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3E1D4">
      <w:pPr>
        <w:ind w:firstLine="1044"/>
        <w:contextualSpacing/>
        <w:jc w:val="center"/>
        <w:outlineLvl w:val="0"/>
        <w:rPr>
          <w:rFonts w:hint="eastAsia"/>
          <w:b/>
          <w:snapToGrid w:val="0"/>
          <w:kern w:val="0"/>
          <w:sz w:val="52"/>
          <w:szCs w:val="52"/>
        </w:rPr>
      </w:pPr>
      <w:bookmarkStart w:id="0" w:name="_Toc457206598"/>
      <w:bookmarkStart w:id="1" w:name="OLE_LINK53"/>
      <w:bookmarkStart w:id="2" w:name="_Toc457206677"/>
      <w:bookmarkStart w:id="3" w:name="_Toc386096597"/>
    </w:p>
    <w:p w14:paraId="76B9524A">
      <w:pPr>
        <w:ind w:firstLine="0" w:firstLineChars="0"/>
        <w:contextualSpacing/>
        <w:jc w:val="center"/>
        <w:outlineLvl w:val="0"/>
        <w:rPr>
          <w:b/>
          <w:sz w:val="48"/>
          <w:szCs w:val="48"/>
        </w:rPr>
      </w:pPr>
      <w:bookmarkStart w:id="4" w:name="_Toc15682"/>
      <w:bookmarkStart w:id="5" w:name="_Toc77601741"/>
      <w:bookmarkStart w:id="6" w:name="_Toc160612812"/>
      <w:bookmarkStart w:id="7" w:name="_Toc73955606"/>
      <w:bookmarkStart w:id="8" w:name="_Toc136271674"/>
      <w:bookmarkStart w:id="9" w:name="_Toc144882323"/>
      <w:bookmarkStart w:id="10" w:name="_Toc73973415"/>
      <w:bookmarkStart w:id="11" w:name="_Toc73973224"/>
      <w:bookmarkStart w:id="12" w:name="_Toc19886"/>
      <w:bookmarkStart w:id="13" w:name="_Toc166572226"/>
      <w:r>
        <w:rPr>
          <w:b/>
          <w:snapToGrid w:val="0"/>
          <w:kern w:val="0"/>
          <w:sz w:val="52"/>
          <w:szCs w:val="52"/>
        </w:rPr>
        <w:t>内蒙古华翔农林牧科技发展有限公司120万只蛋鸡养殖项目</w:t>
      </w:r>
      <w:bookmarkEnd w:id="4"/>
      <w:bookmarkEnd w:id="5"/>
      <w:bookmarkEnd w:id="6"/>
      <w:bookmarkEnd w:id="7"/>
      <w:bookmarkEnd w:id="8"/>
      <w:bookmarkEnd w:id="9"/>
      <w:bookmarkEnd w:id="10"/>
      <w:bookmarkEnd w:id="11"/>
      <w:bookmarkEnd w:id="12"/>
      <w:bookmarkEnd w:id="13"/>
    </w:p>
    <w:p w14:paraId="43011B5B">
      <w:pPr>
        <w:ind w:firstLine="0" w:firstLineChars="0"/>
        <w:contextualSpacing/>
        <w:jc w:val="center"/>
        <w:outlineLvl w:val="0"/>
        <w:rPr>
          <w:b/>
          <w:kern w:val="0"/>
          <w:sz w:val="84"/>
          <w:szCs w:val="84"/>
        </w:rPr>
      </w:pPr>
      <w:bookmarkStart w:id="14" w:name="_Toc8710"/>
      <w:bookmarkStart w:id="15" w:name="_Toc160612813"/>
      <w:bookmarkStart w:id="16" w:name="_Toc136271675"/>
      <w:bookmarkStart w:id="17" w:name="_Toc73955607"/>
      <w:bookmarkStart w:id="18" w:name="_Toc166572227"/>
      <w:bookmarkStart w:id="19" w:name="_Toc32014"/>
      <w:bookmarkStart w:id="20" w:name="_Toc73973416"/>
      <w:bookmarkStart w:id="21" w:name="_Toc77601742"/>
      <w:bookmarkStart w:id="22" w:name="_Toc144882324"/>
      <w:bookmarkStart w:id="23" w:name="_Toc73973225"/>
      <w:r>
        <w:rPr>
          <w:b/>
          <w:kern w:val="0"/>
          <w:sz w:val="84"/>
          <w:szCs w:val="84"/>
        </w:rPr>
        <w:t>环境影响报告书</w:t>
      </w:r>
      <w:bookmarkEnd w:id="14"/>
      <w:bookmarkEnd w:id="15"/>
      <w:bookmarkEnd w:id="16"/>
      <w:bookmarkEnd w:id="17"/>
      <w:bookmarkEnd w:id="18"/>
      <w:bookmarkEnd w:id="19"/>
      <w:bookmarkEnd w:id="20"/>
      <w:bookmarkEnd w:id="21"/>
      <w:bookmarkEnd w:id="22"/>
      <w:bookmarkEnd w:id="23"/>
    </w:p>
    <w:p w14:paraId="21C79982">
      <w:pPr>
        <w:ind w:firstLine="0" w:firstLineChars="0"/>
        <w:jc w:val="center"/>
        <w:outlineLvl w:val="0"/>
        <w:rPr>
          <w:b/>
          <w:kern w:val="0"/>
          <w:sz w:val="32"/>
          <w:szCs w:val="24"/>
        </w:rPr>
      </w:pPr>
      <w:bookmarkStart w:id="24" w:name="_Toc27170"/>
      <w:bookmarkStart w:id="25" w:name="_Toc144882325"/>
      <w:bookmarkStart w:id="26" w:name="_Toc166572228"/>
      <w:bookmarkStart w:id="27" w:name="_Toc73955608"/>
      <w:bookmarkStart w:id="28" w:name="_Toc73973226"/>
      <w:bookmarkStart w:id="29" w:name="_Toc136271676"/>
      <w:bookmarkStart w:id="30" w:name="_Toc77601743"/>
      <w:bookmarkStart w:id="31" w:name="_Toc160612814"/>
      <w:bookmarkStart w:id="32" w:name="_Toc11314"/>
      <w:bookmarkStart w:id="33" w:name="_Toc73973417"/>
      <w:r>
        <w:rPr>
          <w:b/>
          <w:kern w:val="0"/>
          <w:sz w:val="32"/>
          <w:szCs w:val="24"/>
        </w:rPr>
        <w:t>（</w:t>
      </w:r>
      <w:r>
        <w:rPr>
          <w:rFonts w:hint="eastAsia"/>
          <w:b/>
          <w:kern w:val="0"/>
          <w:sz w:val="32"/>
          <w:szCs w:val="24"/>
        </w:rPr>
        <w:t>报批稿</w:t>
      </w:r>
      <w:r>
        <w:rPr>
          <w:b/>
          <w:kern w:val="0"/>
          <w:sz w:val="32"/>
          <w:szCs w:val="24"/>
        </w:rPr>
        <w:t>）</w:t>
      </w:r>
      <w:bookmarkEnd w:id="24"/>
      <w:bookmarkEnd w:id="25"/>
      <w:bookmarkEnd w:id="26"/>
      <w:bookmarkEnd w:id="27"/>
      <w:bookmarkEnd w:id="28"/>
      <w:bookmarkEnd w:id="29"/>
      <w:bookmarkEnd w:id="30"/>
      <w:bookmarkEnd w:id="31"/>
      <w:bookmarkEnd w:id="32"/>
      <w:bookmarkEnd w:id="33"/>
    </w:p>
    <w:p w14:paraId="60301F0C">
      <w:pPr>
        <w:ind w:firstLine="0" w:firstLineChars="0"/>
        <w:contextualSpacing/>
        <w:jc w:val="center"/>
        <w:rPr>
          <w:kern w:val="0"/>
          <w:sz w:val="44"/>
          <w:szCs w:val="24"/>
        </w:rPr>
      </w:pPr>
    </w:p>
    <w:p w14:paraId="27AD00F2">
      <w:pPr>
        <w:ind w:firstLine="0" w:firstLineChars="0"/>
        <w:contextualSpacing/>
        <w:jc w:val="center"/>
        <w:rPr>
          <w:kern w:val="0"/>
          <w:sz w:val="44"/>
          <w:szCs w:val="24"/>
        </w:rPr>
      </w:pPr>
    </w:p>
    <w:p w14:paraId="7BC3E276">
      <w:pPr>
        <w:ind w:firstLine="0" w:firstLineChars="0"/>
        <w:contextualSpacing/>
        <w:jc w:val="center"/>
        <w:rPr>
          <w:kern w:val="0"/>
          <w:sz w:val="44"/>
          <w:szCs w:val="24"/>
        </w:rPr>
      </w:pPr>
    </w:p>
    <w:p w14:paraId="46321D64">
      <w:pPr>
        <w:ind w:firstLine="0" w:firstLineChars="0"/>
        <w:contextualSpacing/>
        <w:jc w:val="center"/>
        <w:rPr>
          <w:kern w:val="0"/>
          <w:sz w:val="44"/>
          <w:szCs w:val="24"/>
        </w:rPr>
      </w:pPr>
    </w:p>
    <w:p w14:paraId="0443DDEB">
      <w:pPr>
        <w:ind w:firstLine="0" w:firstLineChars="0"/>
        <w:contextualSpacing/>
        <w:jc w:val="center"/>
        <w:rPr>
          <w:kern w:val="0"/>
          <w:sz w:val="44"/>
          <w:szCs w:val="24"/>
        </w:rPr>
      </w:pPr>
    </w:p>
    <w:p w14:paraId="37517A3F">
      <w:pPr>
        <w:ind w:firstLine="0" w:firstLineChars="0"/>
        <w:contextualSpacing/>
        <w:jc w:val="center"/>
        <w:rPr>
          <w:kern w:val="0"/>
          <w:sz w:val="44"/>
          <w:szCs w:val="24"/>
        </w:rPr>
      </w:pPr>
    </w:p>
    <w:p w14:paraId="5741F2F0">
      <w:pPr>
        <w:ind w:firstLine="0" w:firstLineChars="0"/>
        <w:contextualSpacing/>
        <w:jc w:val="center"/>
        <w:rPr>
          <w:kern w:val="0"/>
          <w:sz w:val="44"/>
          <w:szCs w:val="24"/>
        </w:rPr>
      </w:pPr>
    </w:p>
    <w:p w14:paraId="32DCCCE6">
      <w:pPr>
        <w:ind w:firstLine="0" w:firstLineChars="0"/>
        <w:contextualSpacing/>
        <w:jc w:val="center"/>
        <w:rPr>
          <w:kern w:val="0"/>
          <w:sz w:val="44"/>
          <w:szCs w:val="24"/>
        </w:rPr>
      </w:pPr>
    </w:p>
    <w:p w14:paraId="36632D42">
      <w:pPr>
        <w:ind w:firstLine="0" w:firstLineChars="0"/>
        <w:contextualSpacing/>
        <w:jc w:val="center"/>
        <w:rPr>
          <w:kern w:val="0"/>
          <w:sz w:val="44"/>
          <w:szCs w:val="24"/>
        </w:rPr>
      </w:pPr>
    </w:p>
    <w:tbl>
      <w:tblPr>
        <w:tblStyle w:val="82"/>
        <w:tblW w:w="5000" w:type="pct"/>
        <w:tblInd w:w="0" w:type="dxa"/>
        <w:tblLayout w:type="autofit"/>
        <w:tblCellMar>
          <w:top w:w="0" w:type="dxa"/>
          <w:left w:w="108" w:type="dxa"/>
          <w:bottom w:w="0" w:type="dxa"/>
          <w:right w:w="108" w:type="dxa"/>
        </w:tblCellMar>
      </w:tblPr>
      <w:tblGrid>
        <w:gridCol w:w="1902"/>
        <w:gridCol w:w="7385"/>
      </w:tblGrid>
      <w:tr w14:paraId="0D6ADB91">
        <w:tblPrEx>
          <w:tblCellMar>
            <w:top w:w="0" w:type="dxa"/>
            <w:left w:w="108" w:type="dxa"/>
            <w:bottom w:w="0" w:type="dxa"/>
            <w:right w:w="108" w:type="dxa"/>
          </w:tblCellMar>
        </w:tblPrEx>
        <w:tc>
          <w:tcPr>
            <w:tcW w:w="1024" w:type="pct"/>
            <w:vAlign w:val="center"/>
          </w:tcPr>
          <w:p w14:paraId="71FE96E3">
            <w:pPr>
              <w:pStyle w:val="81"/>
              <w:spacing w:after="0" w:line="240" w:lineRule="auto"/>
              <w:ind w:left="0" w:leftChars="0" w:firstLine="0" w:firstLineChars="0"/>
              <w:jc w:val="center"/>
              <w:rPr>
                <w:sz w:val="28"/>
              </w:rPr>
            </w:pPr>
            <w:r>
              <w:rPr>
                <w:b/>
                <w:sz w:val="28"/>
                <w:szCs w:val="28"/>
              </w:rPr>
              <w:t>建设单位：</w:t>
            </w:r>
          </w:p>
        </w:tc>
        <w:tc>
          <w:tcPr>
            <w:tcW w:w="3976" w:type="pct"/>
            <w:vAlign w:val="center"/>
          </w:tcPr>
          <w:p w14:paraId="7B4CFDD5">
            <w:pPr>
              <w:pStyle w:val="81"/>
              <w:spacing w:after="0" w:line="240" w:lineRule="auto"/>
              <w:ind w:left="0" w:leftChars="0" w:firstLine="0" w:firstLineChars="0"/>
              <w:jc w:val="distribute"/>
              <w:rPr>
                <w:sz w:val="28"/>
              </w:rPr>
            </w:pPr>
            <w:r>
              <w:rPr>
                <w:b/>
                <w:sz w:val="28"/>
                <w:szCs w:val="28"/>
              </w:rPr>
              <w:t>内蒙古华翔农林牧科技发展有限公司</w:t>
            </w:r>
          </w:p>
        </w:tc>
      </w:tr>
      <w:tr w14:paraId="7EEC4379">
        <w:tblPrEx>
          <w:tblCellMar>
            <w:top w:w="0" w:type="dxa"/>
            <w:left w:w="108" w:type="dxa"/>
            <w:bottom w:w="0" w:type="dxa"/>
            <w:right w:w="108" w:type="dxa"/>
          </w:tblCellMar>
        </w:tblPrEx>
        <w:tc>
          <w:tcPr>
            <w:tcW w:w="1024" w:type="pct"/>
            <w:vAlign w:val="center"/>
          </w:tcPr>
          <w:p w14:paraId="2141D2F4">
            <w:pPr>
              <w:pStyle w:val="81"/>
              <w:spacing w:after="0" w:line="240" w:lineRule="auto"/>
              <w:ind w:left="0" w:leftChars="0" w:firstLine="0" w:firstLineChars="0"/>
              <w:jc w:val="center"/>
              <w:rPr>
                <w:sz w:val="28"/>
              </w:rPr>
            </w:pPr>
            <w:r>
              <w:rPr>
                <w:b/>
                <w:sz w:val="28"/>
                <w:szCs w:val="28"/>
              </w:rPr>
              <w:t>评价单位：</w:t>
            </w:r>
          </w:p>
        </w:tc>
        <w:tc>
          <w:tcPr>
            <w:tcW w:w="3976" w:type="pct"/>
            <w:vAlign w:val="center"/>
          </w:tcPr>
          <w:p w14:paraId="5404C79C">
            <w:pPr>
              <w:spacing w:line="240" w:lineRule="auto"/>
              <w:ind w:firstLine="0" w:firstLineChars="0"/>
              <w:contextualSpacing/>
              <w:jc w:val="distribute"/>
              <w:rPr>
                <w:sz w:val="28"/>
              </w:rPr>
            </w:pPr>
            <w:r>
              <w:rPr>
                <w:b/>
                <w:kern w:val="0"/>
                <w:sz w:val="28"/>
                <w:szCs w:val="28"/>
              </w:rPr>
              <w:t>内蒙古智联明泰工程咨询有限责任公司</w:t>
            </w:r>
          </w:p>
        </w:tc>
      </w:tr>
    </w:tbl>
    <w:p w14:paraId="51BE3BE4">
      <w:pPr>
        <w:ind w:firstLine="562"/>
        <w:jc w:val="center"/>
        <w:rPr>
          <w:b/>
          <w:kern w:val="0"/>
          <w:sz w:val="28"/>
          <w:szCs w:val="28"/>
          <w:lang w:val="zh-CN" w:bidi="zh-CN"/>
        </w:rPr>
        <w:sectPr>
          <w:headerReference r:id="rId7" w:type="first"/>
          <w:footerReference r:id="rId10" w:type="first"/>
          <w:headerReference r:id="rId5" w:type="default"/>
          <w:footerReference r:id="rId8" w:type="default"/>
          <w:headerReference r:id="rId6" w:type="even"/>
          <w:footerReference r:id="rId9" w:type="even"/>
          <w:pgSz w:w="11907" w:h="16840"/>
          <w:pgMar w:top="1418" w:right="1418" w:bottom="1418" w:left="1418" w:header="964" w:footer="964" w:gutter="0"/>
          <w:pgNumType w:start="1"/>
          <w:cols w:space="720" w:num="1"/>
          <w:titlePg/>
          <w:docGrid w:linePitch="312" w:charSpace="0"/>
        </w:sectPr>
      </w:pPr>
      <w:r>
        <w:rPr>
          <w:b/>
          <w:kern w:val="0"/>
          <w:sz w:val="28"/>
          <w:szCs w:val="28"/>
          <w:lang w:val="zh-CN" w:bidi="zh-CN"/>
        </w:rPr>
        <w:t>二〇二</w:t>
      </w:r>
      <w:r>
        <w:rPr>
          <w:rFonts w:hint="eastAsia"/>
          <w:b/>
          <w:kern w:val="0"/>
          <w:sz w:val="28"/>
          <w:szCs w:val="28"/>
          <w:lang w:bidi="zh-CN"/>
        </w:rPr>
        <w:t>四</w:t>
      </w:r>
      <w:r>
        <w:rPr>
          <w:b/>
          <w:kern w:val="0"/>
          <w:sz w:val="28"/>
          <w:szCs w:val="28"/>
          <w:lang w:val="zh-CN" w:bidi="zh-CN"/>
        </w:rPr>
        <w:t>年</w:t>
      </w:r>
      <w:r>
        <w:rPr>
          <w:rFonts w:hint="eastAsia"/>
          <w:b/>
          <w:kern w:val="0"/>
          <w:sz w:val="28"/>
          <w:szCs w:val="28"/>
          <w:lang w:bidi="zh-CN"/>
        </w:rPr>
        <w:t>三</w:t>
      </w:r>
      <w:r>
        <w:rPr>
          <w:b/>
          <w:kern w:val="0"/>
          <w:sz w:val="28"/>
          <w:szCs w:val="28"/>
          <w:lang w:val="zh-CN" w:bidi="zh-CN"/>
        </w:rPr>
        <w:t>月</w:t>
      </w:r>
    </w:p>
    <w:p w14:paraId="403FBF27">
      <w:pPr>
        <w:pStyle w:val="766"/>
        <w:rPr>
          <w:color w:val="auto"/>
          <w:lang w:val="zh-CN" w:bidi="zh-CN"/>
        </w:rPr>
        <w:sectPr>
          <w:pgSz w:w="11907" w:h="16840"/>
          <w:pgMar w:top="1418" w:right="1418" w:bottom="1418" w:left="1418" w:header="964" w:footer="964" w:gutter="0"/>
          <w:pgNumType w:start="1"/>
          <w:cols w:space="720" w:num="1"/>
          <w:titlePg/>
          <w:docGrid w:linePitch="312" w:charSpace="0"/>
        </w:sectPr>
      </w:pPr>
      <w:r>
        <w:rPr>
          <w:color w:val="auto"/>
        </w:rPr>
        <w:drawing>
          <wp:inline distT="0" distB="0" distL="114300" distR="114300">
            <wp:extent cx="5748020" cy="8197215"/>
            <wp:effectExtent l="0" t="0" r="5080" b="13335"/>
            <wp:docPr id="92" name="图片 92" descr="7a91d70b9c665ac5224342e7629aa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7a91d70b9c665ac5224342e7629aa7c"/>
                    <pic:cNvPicPr>
                      <a:picLocks noChangeAspect="1"/>
                    </pic:cNvPicPr>
                  </pic:nvPicPr>
                  <pic:blipFill>
                    <a:blip r:embed="rId20"/>
                    <a:stretch>
                      <a:fillRect/>
                    </a:stretch>
                  </pic:blipFill>
                  <pic:spPr>
                    <a:xfrm>
                      <a:off x="0" y="0"/>
                      <a:ext cx="5748020" cy="8197215"/>
                    </a:xfrm>
                    <a:prstGeom prst="rect">
                      <a:avLst/>
                    </a:prstGeom>
                  </pic:spPr>
                </pic:pic>
              </a:graphicData>
            </a:graphic>
          </wp:inline>
        </w:drawing>
      </w:r>
    </w:p>
    <w:p w14:paraId="45D4A54F">
      <w:pPr>
        <w:pStyle w:val="766"/>
        <w:rPr>
          <w:color w:val="auto"/>
          <w:lang w:val="zh-CN" w:bidi="zh-CN"/>
        </w:rPr>
        <w:sectPr>
          <w:pgSz w:w="11907" w:h="16840"/>
          <w:pgMar w:top="1418" w:right="1418" w:bottom="1418" w:left="1418" w:header="964" w:footer="964" w:gutter="0"/>
          <w:pgNumType w:start="1"/>
          <w:cols w:space="720" w:num="1"/>
          <w:titlePg/>
          <w:docGrid w:linePitch="312" w:charSpace="0"/>
        </w:sectPr>
      </w:pPr>
      <w:r>
        <w:rPr>
          <w:color w:val="auto"/>
        </w:rPr>
        <w:drawing>
          <wp:inline distT="0" distB="0" distL="114300" distR="114300">
            <wp:extent cx="5760085" cy="8147685"/>
            <wp:effectExtent l="0" t="0" r="12065" b="5715"/>
            <wp:docPr id="93" name="图片 93" descr="25531045a29a9f5f4d1b6d5b415b4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25531045a29a9f5f4d1b6d5b415b4c8"/>
                    <pic:cNvPicPr>
                      <a:picLocks noChangeAspect="1"/>
                    </pic:cNvPicPr>
                  </pic:nvPicPr>
                  <pic:blipFill>
                    <a:blip r:embed="rId21"/>
                    <a:stretch>
                      <a:fillRect/>
                    </a:stretch>
                  </pic:blipFill>
                  <pic:spPr>
                    <a:xfrm>
                      <a:off x="0" y="0"/>
                      <a:ext cx="5760085" cy="8147685"/>
                    </a:xfrm>
                    <a:prstGeom prst="rect">
                      <a:avLst/>
                    </a:prstGeom>
                  </pic:spPr>
                </pic:pic>
              </a:graphicData>
            </a:graphic>
          </wp:inline>
        </w:drawing>
      </w:r>
    </w:p>
    <w:p w14:paraId="4A8B852C">
      <w:pPr>
        <w:pStyle w:val="766"/>
        <w:rPr>
          <w:color w:val="auto"/>
          <w:lang w:val="zh-CN" w:bidi="zh-CN"/>
        </w:rPr>
        <w:sectPr>
          <w:pgSz w:w="11907" w:h="16840"/>
          <w:pgMar w:top="1418" w:right="1418" w:bottom="1418" w:left="1418" w:header="964" w:footer="964" w:gutter="0"/>
          <w:pgNumType w:start="1"/>
          <w:cols w:space="720" w:num="1"/>
          <w:titlePg/>
          <w:docGrid w:linePitch="312" w:charSpace="0"/>
        </w:sectPr>
      </w:pPr>
      <w:r>
        <w:rPr>
          <w:color w:val="auto"/>
        </w:rPr>
        <w:drawing>
          <wp:inline distT="0" distB="0" distL="114300" distR="114300">
            <wp:extent cx="5760085" cy="8147685"/>
            <wp:effectExtent l="0" t="0" r="12065" b="5715"/>
            <wp:docPr id="94" name="图片 94" descr="283d23e35938af1a8ab0b8c34639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283d23e35938af1a8ab0b8c34639ed7"/>
                    <pic:cNvPicPr>
                      <a:picLocks noChangeAspect="1"/>
                    </pic:cNvPicPr>
                  </pic:nvPicPr>
                  <pic:blipFill>
                    <a:blip r:embed="rId22"/>
                    <a:stretch>
                      <a:fillRect/>
                    </a:stretch>
                  </pic:blipFill>
                  <pic:spPr>
                    <a:xfrm>
                      <a:off x="0" y="0"/>
                      <a:ext cx="5760085" cy="8147685"/>
                    </a:xfrm>
                    <a:prstGeom prst="rect">
                      <a:avLst/>
                    </a:prstGeom>
                  </pic:spPr>
                </pic:pic>
              </a:graphicData>
            </a:graphic>
          </wp:inline>
        </w:drawing>
      </w:r>
    </w:p>
    <w:p w14:paraId="7F070A75">
      <w:pPr>
        <w:pStyle w:val="766"/>
        <w:rPr>
          <w:color w:val="auto"/>
          <w:lang w:val="zh-CN" w:bidi="zh-CN"/>
        </w:rPr>
        <w:sectPr>
          <w:pgSz w:w="11907" w:h="16840"/>
          <w:pgMar w:top="1418" w:right="1418" w:bottom="1418" w:left="1418" w:header="964" w:footer="964" w:gutter="0"/>
          <w:pgNumType w:start="1"/>
          <w:cols w:space="720" w:num="1"/>
          <w:titlePg/>
          <w:docGrid w:linePitch="312" w:charSpace="0"/>
        </w:sectPr>
      </w:pPr>
    </w:p>
    <w:p w14:paraId="5AAE7A5F">
      <w:pPr>
        <w:widowControl w:val="0"/>
        <w:kinsoku w:val="0"/>
        <w:overflowPunct w:val="0"/>
        <w:ind w:firstLine="0" w:firstLineChars="0"/>
        <w:jc w:val="center"/>
        <w:rPr>
          <w:rFonts w:asciiTheme="minorHAnsi" w:hAnsiTheme="minorHAnsi" w:eastAsiaTheme="minorEastAsia" w:cstheme="minorBidi"/>
          <w:b/>
          <w:sz w:val="21"/>
          <w:szCs w:val="22"/>
        </w:rPr>
      </w:pPr>
      <w:r>
        <w:rPr>
          <w:b/>
          <w:sz w:val="32"/>
          <w:szCs w:val="32"/>
        </w:rPr>
        <w:t>目  录</w:t>
      </w:r>
      <w:r>
        <w:rPr>
          <w:b/>
          <w:szCs w:val="24"/>
        </w:rPr>
        <w:fldChar w:fldCharType="begin"/>
      </w:r>
      <w:r>
        <w:rPr>
          <w:szCs w:val="24"/>
        </w:rPr>
        <w:instrText xml:space="preserve"> TOC \o "1-3" \h \z \u </w:instrText>
      </w:r>
      <w:r>
        <w:rPr>
          <w:b/>
          <w:szCs w:val="24"/>
        </w:rPr>
        <w:fldChar w:fldCharType="separate"/>
      </w:r>
    </w:p>
    <w:p w14:paraId="09FD22A6">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"_Toc166572229" </w:instrText>
      </w:r>
      <w:r>
        <w:fldChar w:fldCharType="separate"/>
      </w:r>
      <w:r>
        <w:rPr>
          <w:rStyle w:val="97"/>
        </w:rPr>
        <w:t>1</w:t>
      </w:r>
      <w:r>
        <w:rPr>
          <w:rStyle w:val="97"/>
          <w:rFonts w:hint="eastAsia"/>
        </w:rPr>
        <w:t>概述</w:t>
      </w:r>
      <w:r>
        <w:tab/>
      </w:r>
      <w:r>
        <w:fldChar w:fldCharType="begin"/>
      </w:r>
      <w:r>
        <w:instrText xml:space="preserve"> PAGEREF _Toc166572229 \h </w:instrText>
      </w:r>
      <w:r>
        <w:fldChar w:fldCharType="separate"/>
      </w:r>
      <w:r>
        <w:t>1</w:t>
      </w:r>
      <w:r>
        <w:fldChar w:fldCharType="end"/>
      </w:r>
      <w:r>
        <w:fldChar w:fldCharType="end"/>
      </w:r>
    </w:p>
    <w:p w14:paraId="50FA59EA">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"_Toc166572230" </w:instrText>
      </w:r>
      <w:r>
        <w:fldChar w:fldCharType="separate"/>
      </w:r>
      <w:r>
        <w:rPr>
          <w:rStyle w:val="97"/>
        </w:rPr>
        <w:t>1.1</w:t>
      </w:r>
      <w:r>
        <w:rPr>
          <w:rStyle w:val="97"/>
          <w:rFonts w:hint="eastAsia"/>
        </w:rPr>
        <w:t>建设项目特点</w:t>
      </w:r>
      <w:r>
        <w:tab/>
      </w:r>
      <w:r>
        <w:fldChar w:fldCharType="begin"/>
      </w:r>
      <w:r>
        <w:instrText xml:space="preserve"> PAGEREF _Toc166572230 \h </w:instrText>
      </w:r>
      <w:r>
        <w:fldChar w:fldCharType="separate"/>
      </w:r>
      <w:r>
        <w:t>1</w:t>
      </w:r>
      <w:r>
        <w:fldChar w:fldCharType="end"/>
      </w:r>
      <w:r>
        <w:fldChar w:fldCharType="end"/>
      </w:r>
    </w:p>
    <w:p w14:paraId="60A6E1BF">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"_Toc166572231" </w:instrText>
      </w:r>
      <w:r>
        <w:fldChar w:fldCharType="separate"/>
      </w:r>
      <w:r>
        <w:rPr>
          <w:rStyle w:val="97"/>
        </w:rPr>
        <w:t>1.2</w:t>
      </w:r>
      <w:r>
        <w:rPr>
          <w:rStyle w:val="97"/>
          <w:rFonts w:hint="eastAsia"/>
        </w:rPr>
        <w:t>环境影响评价的工作过程</w:t>
      </w:r>
      <w:r>
        <w:tab/>
      </w:r>
      <w:r>
        <w:fldChar w:fldCharType="begin"/>
      </w:r>
      <w:r>
        <w:instrText xml:space="preserve"> PAGEREF _Toc166572231 \h </w:instrText>
      </w:r>
      <w:r>
        <w:fldChar w:fldCharType="separate"/>
      </w:r>
      <w:r>
        <w:t>2</w:t>
      </w:r>
      <w:r>
        <w:fldChar w:fldCharType="end"/>
      </w:r>
      <w:r>
        <w:fldChar w:fldCharType="end"/>
      </w:r>
    </w:p>
    <w:p w14:paraId="3B4E185D">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"_Toc166572232" </w:instrText>
      </w:r>
      <w:r>
        <w:fldChar w:fldCharType="separate"/>
      </w:r>
      <w:r>
        <w:rPr>
          <w:rStyle w:val="97"/>
        </w:rPr>
        <w:t>1.3</w:t>
      </w:r>
      <w:r>
        <w:rPr>
          <w:rStyle w:val="97"/>
          <w:rFonts w:hint="eastAsia"/>
        </w:rPr>
        <w:t>分析判定的相关情况</w:t>
      </w:r>
      <w:r>
        <w:tab/>
      </w:r>
      <w:r>
        <w:fldChar w:fldCharType="begin"/>
      </w:r>
      <w:r>
        <w:instrText xml:space="preserve"> PAGEREF _Toc166572232 \h </w:instrText>
      </w:r>
      <w:r>
        <w:fldChar w:fldCharType="separate"/>
      </w:r>
      <w:r>
        <w:t>2</w:t>
      </w:r>
      <w:r>
        <w:fldChar w:fldCharType="end"/>
      </w:r>
      <w:r>
        <w:fldChar w:fldCharType="end"/>
      </w:r>
    </w:p>
    <w:p w14:paraId="2960414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"_Toc166572233" </w:instrText>
      </w:r>
      <w:r>
        <w:fldChar w:fldCharType="separate"/>
      </w:r>
      <w:r>
        <w:rPr>
          <w:rStyle w:val="97"/>
        </w:rPr>
        <w:t>1.3.1</w:t>
      </w:r>
      <w:r>
        <w:rPr>
          <w:rStyle w:val="97"/>
          <w:rFonts w:hint="eastAsia"/>
        </w:rPr>
        <w:t>与产业政策符合性</w:t>
      </w:r>
      <w:r>
        <w:tab/>
      </w:r>
      <w:r>
        <w:fldChar w:fldCharType="begin"/>
      </w:r>
      <w:r>
        <w:instrText xml:space="preserve"> PAGEREF _Toc166572233 \h </w:instrText>
      </w:r>
      <w:r>
        <w:fldChar w:fldCharType="separate"/>
      </w:r>
      <w:r>
        <w:t>2</w:t>
      </w:r>
      <w:r>
        <w:fldChar w:fldCharType="end"/>
      </w:r>
      <w:r>
        <w:fldChar w:fldCharType="end"/>
      </w:r>
    </w:p>
    <w:p w14:paraId="6C5155E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"_Toc166572234" </w:instrText>
      </w:r>
      <w:r>
        <w:fldChar w:fldCharType="separate"/>
      </w:r>
      <w:r>
        <w:rPr>
          <w:rStyle w:val="97"/>
        </w:rPr>
        <w:t>1.3.2</w:t>
      </w:r>
      <w:r>
        <w:rPr>
          <w:rStyle w:val="97"/>
          <w:rFonts w:hint="eastAsia"/>
        </w:rPr>
        <w:t>与相关规划、政策符合性</w:t>
      </w:r>
      <w:r>
        <w:tab/>
      </w:r>
      <w:r>
        <w:fldChar w:fldCharType="begin"/>
      </w:r>
      <w:r>
        <w:instrText xml:space="preserve"> PAGEREF _Toc166572234 \h </w:instrText>
      </w:r>
      <w:r>
        <w:fldChar w:fldCharType="separate"/>
      </w:r>
      <w:r>
        <w:t>2</w:t>
      </w:r>
      <w:r>
        <w:fldChar w:fldCharType="end"/>
      </w:r>
      <w:r>
        <w:fldChar w:fldCharType="end"/>
      </w:r>
    </w:p>
    <w:p w14:paraId="2E0FF379">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"_Toc166572235" </w:instrText>
      </w:r>
      <w:r>
        <w:fldChar w:fldCharType="separate"/>
      </w:r>
      <w:r>
        <w:rPr>
          <w:rStyle w:val="97"/>
        </w:rPr>
        <w:t>1.3.3</w:t>
      </w:r>
      <w:r>
        <w:rPr>
          <w:rStyle w:val="97"/>
          <w:rFonts w:hint="eastAsia"/>
        </w:rPr>
        <w:t>与相关法律、法规的符合性</w:t>
      </w:r>
      <w:r>
        <w:tab/>
      </w:r>
      <w:r>
        <w:fldChar w:fldCharType="begin"/>
      </w:r>
      <w:r>
        <w:instrText xml:space="preserve"> PAGEREF _Toc166572235 \h </w:instrText>
      </w:r>
      <w:r>
        <w:fldChar w:fldCharType="separate"/>
      </w:r>
      <w:r>
        <w:t>10</w:t>
      </w:r>
      <w:r>
        <w:fldChar w:fldCharType="end"/>
      </w:r>
      <w:r>
        <w:fldChar w:fldCharType="end"/>
      </w:r>
    </w:p>
    <w:p w14:paraId="21C09169">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"_Toc166572236" </w:instrText>
      </w:r>
      <w:r>
        <w:fldChar w:fldCharType="separate"/>
      </w:r>
      <w:r>
        <w:rPr>
          <w:rStyle w:val="97"/>
        </w:rPr>
        <w:t xml:space="preserve">1.3.4 </w:t>
      </w:r>
      <w:r>
        <w:rPr>
          <w:rStyle w:val="97"/>
          <w:rFonts w:hint="eastAsia"/>
        </w:rPr>
        <w:t>选址合理性分析</w:t>
      </w:r>
      <w:r>
        <w:tab/>
      </w:r>
      <w:r>
        <w:fldChar w:fldCharType="begin"/>
      </w:r>
      <w:r>
        <w:instrText xml:space="preserve"> PAGEREF _Toc166572236 \h </w:instrText>
      </w:r>
      <w:r>
        <w:fldChar w:fldCharType="separate"/>
      </w:r>
      <w:r>
        <w:t>11</w:t>
      </w:r>
      <w:r>
        <w:fldChar w:fldCharType="end"/>
      </w:r>
      <w:r>
        <w:fldChar w:fldCharType="end"/>
      </w:r>
    </w:p>
    <w:p w14:paraId="184D914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"_Toc166572237" </w:instrText>
      </w:r>
      <w:r>
        <w:fldChar w:fldCharType="separate"/>
      </w:r>
      <w:r>
        <w:rPr>
          <w:rStyle w:val="97"/>
        </w:rPr>
        <w:t>1.3.5“</w:t>
      </w:r>
      <w:r>
        <w:rPr>
          <w:rStyle w:val="97"/>
          <w:rFonts w:hint="eastAsia"/>
        </w:rPr>
        <w:t>三线一单</w:t>
      </w:r>
      <w:r>
        <w:rPr>
          <w:rStyle w:val="97"/>
        </w:rPr>
        <w:t>”</w:t>
      </w:r>
      <w:r>
        <w:rPr>
          <w:rStyle w:val="97"/>
          <w:rFonts w:hint="eastAsia"/>
        </w:rPr>
        <w:t>符合性分析</w:t>
      </w:r>
      <w:r>
        <w:tab/>
      </w:r>
      <w:r>
        <w:fldChar w:fldCharType="begin"/>
      </w:r>
      <w:r>
        <w:instrText xml:space="preserve"> PAGEREF _Toc166572237 \h </w:instrText>
      </w:r>
      <w:r>
        <w:fldChar w:fldCharType="separate"/>
      </w:r>
      <w:r>
        <w:t>15</w:t>
      </w:r>
      <w:r>
        <w:fldChar w:fldCharType="end"/>
      </w:r>
      <w:r>
        <w:fldChar w:fldCharType="end"/>
      </w:r>
    </w:p>
    <w:p w14:paraId="2697B160">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"_Toc166572238" </w:instrText>
      </w:r>
      <w:r>
        <w:fldChar w:fldCharType="separate"/>
      </w:r>
      <w:r>
        <w:rPr>
          <w:rStyle w:val="97"/>
        </w:rPr>
        <w:t>1.4</w:t>
      </w:r>
      <w:r>
        <w:rPr>
          <w:rStyle w:val="97"/>
          <w:rFonts w:hint="eastAsia"/>
        </w:rPr>
        <w:t>关注的主要环境问题及环境影响</w:t>
      </w:r>
      <w:r>
        <w:tab/>
      </w:r>
      <w:r>
        <w:fldChar w:fldCharType="begin"/>
      </w:r>
      <w:r>
        <w:instrText xml:space="preserve"> PAGEREF _Toc166572238 \h </w:instrText>
      </w:r>
      <w:r>
        <w:fldChar w:fldCharType="separate"/>
      </w:r>
      <w:r>
        <w:t>3</w:t>
      </w:r>
      <w:r>
        <w:fldChar w:fldCharType="end"/>
      </w:r>
      <w:r>
        <w:fldChar w:fldCharType="end"/>
      </w:r>
    </w:p>
    <w:p w14:paraId="2B09A200">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"_Toc166572239" </w:instrText>
      </w:r>
      <w:r>
        <w:fldChar w:fldCharType="separate"/>
      </w:r>
      <w:r>
        <w:rPr>
          <w:rStyle w:val="97"/>
        </w:rPr>
        <w:t>1.5</w:t>
      </w:r>
      <w:r>
        <w:rPr>
          <w:rStyle w:val="97"/>
          <w:rFonts w:hint="eastAsia"/>
        </w:rPr>
        <w:t>主要结论</w:t>
      </w:r>
      <w:r>
        <w:tab/>
      </w:r>
      <w:r>
        <w:fldChar w:fldCharType="begin"/>
      </w:r>
      <w:r>
        <w:instrText xml:space="preserve"> PAGEREF _Toc166572239 \h </w:instrText>
      </w:r>
      <w:r>
        <w:fldChar w:fldCharType="separate"/>
      </w:r>
      <w:r>
        <w:t>4</w:t>
      </w:r>
      <w:r>
        <w:fldChar w:fldCharType="end"/>
      </w:r>
      <w:r>
        <w:fldChar w:fldCharType="end"/>
      </w:r>
    </w:p>
    <w:p w14:paraId="05FF5834">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"_Toc166572240" </w:instrText>
      </w:r>
      <w:r>
        <w:fldChar w:fldCharType="separate"/>
      </w:r>
      <w:r>
        <w:rPr>
          <w:rStyle w:val="97"/>
        </w:rPr>
        <w:t>2</w:t>
      </w:r>
      <w:r>
        <w:rPr>
          <w:rStyle w:val="97"/>
          <w:rFonts w:hint="eastAsia"/>
        </w:rPr>
        <w:t>总则</w:t>
      </w:r>
      <w:r>
        <w:tab/>
      </w:r>
      <w:r>
        <w:fldChar w:fldCharType="begin"/>
      </w:r>
      <w:r>
        <w:instrText xml:space="preserve"> PAGEREF _Toc166572240 \h </w:instrText>
      </w:r>
      <w:r>
        <w:fldChar w:fldCharType="separate"/>
      </w:r>
      <w:r>
        <w:t>5</w:t>
      </w:r>
      <w:r>
        <w:fldChar w:fldCharType="end"/>
      </w:r>
      <w:r>
        <w:fldChar w:fldCharType="end"/>
      </w:r>
    </w:p>
    <w:p w14:paraId="0F501ECE">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"_Toc166572241" </w:instrText>
      </w:r>
      <w:r>
        <w:fldChar w:fldCharType="separate"/>
      </w:r>
      <w:r>
        <w:rPr>
          <w:rStyle w:val="97"/>
        </w:rPr>
        <w:t>2.1</w:t>
      </w:r>
      <w:r>
        <w:rPr>
          <w:rStyle w:val="97"/>
          <w:rFonts w:hint="eastAsia"/>
        </w:rPr>
        <w:t>编制依据</w:t>
      </w:r>
      <w:r>
        <w:tab/>
      </w:r>
      <w:r>
        <w:fldChar w:fldCharType="begin"/>
      </w:r>
      <w:r>
        <w:instrText xml:space="preserve"> PAGEREF _Toc166572241 \h </w:instrText>
      </w:r>
      <w:r>
        <w:fldChar w:fldCharType="separate"/>
      </w:r>
      <w:r>
        <w:t>5</w:t>
      </w:r>
      <w:r>
        <w:fldChar w:fldCharType="end"/>
      </w:r>
      <w:r>
        <w:fldChar w:fldCharType="end"/>
      </w:r>
    </w:p>
    <w:p w14:paraId="2FE5DDD8">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"_Toc166572242" </w:instrText>
      </w:r>
      <w:r>
        <w:fldChar w:fldCharType="separate"/>
      </w:r>
      <w:r>
        <w:rPr>
          <w:rStyle w:val="97"/>
        </w:rPr>
        <w:t>2.1.1</w:t>
      </w:r>
      <w:r>
        <w:rPr>
          <w:rStyle w:val="97"/>
          <w:rFonts w:hint="eastAsia"/>
        </w:rPr>
        <w:t>法律法规</w:t>
      </w:r>
      <w:r>
        <w:tab/>
      </w:r>
      <w:r>
        <w:fldChar w:fldCharType="begin"/>
      </w:r>
      <w:r>
        <w:instrText xml:space="preserve"> PAGEREF _Toc166572242 \h </w:instrText>
      </w:r>
      <w:r>
        <w:fldChar w:fldCharType="separate"/>
      </w:r>
      <w:r>
        <w:t>5</w:t>
      </w:r>
      <w:r>
        <w:fldChar w:fldCharType="end"/>
      </w:r>
      <w:r>
        <w:fldChar w:fldCharType="end"/>
      </w:r>
    </w:p>
    <w:p w14:paraId="6EE409E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"_Toc166572243" </w:instrText>
      </w:r>
      <w:r>
        <w:fldChar w:fldCharType="separate"/>
      </w:r>
      <w:r>
        <w:rPr>
          <w:rStyle w:val="97"/>
        </w:rPr>
        <w:t>2.1.2</w:t>
      </w:r>
      <w:r>
        <w:rPr>
          <w:rStyle w:val="97"/>
          <w:rFonts w:hint="eastAsia"/>
        </w:rPr>
        <w:t>相关政策及规划</w:t>
      </w:r>
      <w:r>
        <w:tab/>
      </w:r>
      <w:r>
        <w:fldChar w:fldCharType="begin"/>
      </w:r>
      <w:r>
        <w:instrText xml:space="preserve"> PAGEREF _Toc166572243 \h </w:instrText>
      </w:r>
      <w:r>
        <w:fldChar w:fldCharType="separate"/>
      </w:r>
      <w:r>
        <w:t>5</w:t>
      </w:r>
      <w:r>
        <w:fldChar w:fldCharType="end"/>
      </w:r>
      <w:r>
        <w:fldChar w:fldCharType="end"/>
      </w:r>
    </w:p>
    <w:p w14:paraId="5B3A65D9">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"_Toc166572244" </w:instrText>
      </w:r>
      <w:r>
        <w:fldChar w:fldCharType="separate"/>
      </w:r>
      <w:r>
        <w:rPr>
          <w:rStyle w:val="97"/>
        </w:rPr>
        <w:t>2.1.3</w:t>
      </w:r>
      <w:r>
        <w:rPr>
          <w:rStyle w:val="97"/>
          <w:rFonts w:hint="eastAsia"/>
        </w:rPr>
        <w:t>技术规范性文件</w:t>
      </w:r>
      <w:r>
        <w:tab/>
      </w:r>
      <w:r>
        <w:fldChar w:fldCharType="begin"/>
      </w:r>
      <w:r>
        <w:instrText xml:space="preserve"> PAGEREF _Toc166572244 \h </w:instrText>
      </w:r>
      <w:r>
        <w:fldChar w:fldCharType="separate"/>
      </w:r>
      <w:r>
        <w:t>7</w:t>
      </w:r>
      <w:r>
        <w:fldChar w:fldCharType="end"/>
      </w:r>
      <w:r>
        <w:fldChar w:fldCharType="end"/>
      </w:r>
    </w:p>
    <w:p w14:paraId="2D1C2296">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"_Toc166572245" </w:instrText>
      </w:r>
      <w:r>
        <w:fldChar w:fldCharType="separate"/>
      </w:r>
      <w:r>
        <w:rPr>
          <w:rStyle w:val="97"/>
        </w:rPr>
        <w:t>2.1.4</w:t>
      </w:r>
      <w:r>
        <w:rPr>
          <w:rStyle w:val="97"/>
          <w:rFonts w:hint="eastAsia"/>
        </w:rPr>
        <w:t>项目技术文件</w:t>
      </w:r>
      <w:r>
        <w:tab/>
      </w:r>
      <w:r>
        <w:fldChar w:fldCharType="begin"/>
      </w:r>
      <w:r>
        <w:instrText xml:space="preserve"> PAGEREF _Toc166572245 \h </w:instrText>
      </w:r>
      <w:r>
        <w:fldChar w:fldCharType="separate"/>
      </w:r>
      <w:r>
        <w:t>8</w:t>
      </w:r>
      <w:r>
        <w:fldChar w:fldCharType="end"/>
      </w:r>
      <w:r>
        <w:fldChar w:fldCharType="end"/>
      </w:r>
    </w:p>
    <w:p w14:paraId="415EF01F">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"_Toc166572246" </w:instrText>
      </w:r>
      <w:r>
        <w:fldChar w:fldCharType="separate"/>
      </w:r>
      <w:r>
        <w:rPr>
          <w:rStyle w:val="97"/>
        </w:rPr>
        <w:t>2.2</w:t>
      </w:r>
      <w:r>
        <w:rPr>
          <w:rStyle w:val="97"/>
          <w:rFonts w:hint="eastAsia"/>
        </w:rPr>
        <w:t>评价目的及原则</w:t>
      </w:r>
      <w:r>
        <w:tab/>
      </w:r>
      <w:r>
        <w:fldChar w:fldCharType="begin"/>
      </w:r>
      <w:r>
        <w:instrText xml:space="preserve"> PAGEREF _Toc166572246 \h </w:instrText>
      </w:r>
      <w:r>
        <w:fldChar w:fldCharType="separate"/>
      </w:r>
      <w:r>
        <w:t>8</w:t>
      </w:r>
      <w:r>
        <w:fldChar w:fldCharType="end"/>
      </w:r>
      <w:r>
        <w:fldChar w:fldCharType="end"/>
      </w:r>
    </w:p>
    <w:p w14:paraId="56D937E6">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"_Toc166572247" </w:instrText>
      </w:r>
      <w:r>
        <w:fldChar w:fldCharType="separate"/>
      </w:r>
      <w:r>
        <w:rPr>
          <w:rStyle w:val="97"/>
        </w:rPr>
        <w:t>2.2.1</w:t>
      </w:r>
      <w:r>
        <w:rPr>
          <w:rStyle w:val="97"/>
          <w:rFonts w:hint="eastAsia"/>
        </w:rPr>
        <w:t>评价目的</w:t>
      </w:r>
      <w:r>
        <w:tab/>
      </w:r>
      <w:r>
        <w:fldChar w:fldCharType="begin"/>
      </w:r>
      <w:r>
        <w:instrText xml:space="preserve"> PAGEREF _Toc166572247 \h </w:instrText>
      </w:r>
      <w:r>
        <w:fldChar w:fldCharType="separate"/>
      </w:r>
      <w:r>
        <w:t>8</w:t>
      </w:r>
      <w:r>
        <w:fldChar w:fldCharType="end"/>
      </w:r>
      <w:r>
        <w:fldChar w:fldCharType="end"/>
      </w:r>
    </w:p>
    <w:p w14:paraId="6D43CFD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"_Toc166572248" </w:instrText>
      </w:r>
      <w:r>
        <w:fldChar w:fldCharType="separate"/>
      </w:r>
      <w:r>
        <w:rPr>
          <w:rStyle w:val="97"/>
        </w:rPr>
        <w:t>2.2.2</w:t>
      </w:r>
      <w:r>
        <w:rPr>
          <w:rStyle w:val="97"/>
          <w:rFonts w:hint="eastAsia"/>
        </w:rPr>
        <w:t>评价原则</w:t>
      </w:r>
      <w:r>
        <w:tab/>
      </w:r>
      <w:r>
        <w:fldChar w:fldCharType="begin"/>
      </w:r>
      <w:r>
        <w:instrText xml:space="preserve"> PAGEREF _Toc166572248 \h </w:instrText>
      </w:r>
      <w:r>
        <w:fldChar w:fldCharType="separate"/>
      </w:r>
      <w:r>
        <w:t>8</w:t>
      </w:r>
      <w:r>
        <w:fldChar w:fldCharType="end"/>
      </w:r>
      <w:r>
        <w:fldChar w:fldCharType="end"/>
      </w:r>
    </w:p>
    <w:p w14:paraId="6ABCED52">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"_Toc166572249" </w:instrText>
      </w:r>
      <w:r>
        <w:fldChar w:fldCharType="separate"/>
      </w:r>
      <w:r>
        <w:rPr>
          <w:rStyle w:val="97"/>
        </w:rPr>
        <w:t>2.3</w:t>
      </w:r>
      <w:r>
        <w:rPr>
          <w:rStyle w:val="97"/>
          <w:rFonts w:hint="eastAsia"/>
        </w:rPr>
        <w:t>环境影响识别与评价因子筛选</w:t>
      </w:r>
      <w:r>
        <w:tab/>
      </w:r>
      <w:r>
        <w:fldChar w:fldCharType="begin"/>
      </w:r>
      <w:r>
        <w:instrText xml:space="preserve"> PAGEREF _Toc166572249 \h </w:instrText>
      </w:r>
      <w:r>
        <w:fldChar w:fldCharType="separate"/>
      </w:r>
      <w:r>
        <w:t>8</w:t>
      </w:r>
      <w:r>
        <w:fldChar w:fldCharType="end"/>
      </w:r>
      <w:r>
        <w:fldChar w:fldCharType="end"/>
      </w:r>
    </w:p>
    <w:p w14:paraId="07918F5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"_Toc166572250" </w:instrText>
      </w:r>
      <w:r>
        <w:fldChar w:fldCharType="separate"/>
      </w:r>
      <w:r>
        <w:rPr>
          <w:rStyle w:val="97"/>
        </w:rPr>
        <w:t>2.3.1</w:t>
      </w:r>
      <w:r>
        <w:rPr>
          <w:rStyle w:val="97"/>
          <w:rFonts w:hint="eastAsia"/>
        </w:rPr>
        <w:t>环境影响因子识别</w:t>
      </w:r>
      <w:r>
        <w:tab/>
      </w:r>
      <w:r>
        <w:fldChar w:fldCharType="begin"/>
      </w:r>
      <w:r>
        <w:instrText xml:space="preserve"> PAGEREF _Toc166572250 \h </w:instrText>
      </w:r>
      <w:r>
        <w:fldChar w:fldCharType="separate"/>
      </w:r>
      <w:r>
        <w:t>8</w:t>
      </w:r>
      <w:r>
        <w:fldChar w:fldCharType="end"/>
      </w:r>
      <w:r>
        <w:fldChar w:fldCharType="end"/>
      </w:r>
    </w:p>
    <w:p w14:paraId="0D5F8B64">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"_Toc166572251" </w:instrText>
      </w:r>
      <w:r>
        <w:fldChar w:fldCharType="separate"/>
      </w:r>
      <w:r>
        <w:rPr>
          <w:rStyle w:val="97"/>
        </w:rPr>
        <w:t>2.3.2</w:t>
      </w:r>
      <w:r>
        <w:rPr>
          <w:rStyle w:val="97"/>
          <w:rFonts w:hint="eastAsia"/>
        </w:rPr>
        <w:t>评价因子筛选</w:t>
      </w:r>
      <w:r>
        <w:tab/>
      </w:r>
      <w:r>
        <w:fldChar w:fldCharType="begin"/>
      </w:r>
      <w:r>
        <w:instrText xml:space="preserve"> PAGEREF _Toc166572251 \h </w:instrText>
      </w:r>
      <w:r>
        <w:fldChar w:fldCharType="separate"/>
      </w:r>
      <w:r>
        <w:t>9</w:t>
      </w:r>
      <w:r>
        <w:fldChar w:fldCharType="end"/>
      </w:r>
      <w:r>
        <w:fldChar w:fldCharType="end"/>
      </w:r>
    </w:p>
    <w:p w14:paraId="1075DF56">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"_Toc166572252" </w:instrText>
      </w:r>
      <w:r>
        <w:fldChar w:fldCharType="separate"/>
      </w:r>
      <w:r>
        <w:rPr>
          <w:rStyle w:val="97"/>
        </w:rPr>
        <w:t>2.4</w:t>
      </w:r>
      <w:r>
        <w:rPr>
          <w:rStyle w:val="97"/>
          <w:rFonts w:hint="eastAsia"/>
        </w:rPr>
        <w:t>评价等级及评价范围</w:t>
      </w:r>
      <w:r>
        <w:tab/>
      </w:r>
      <w:r>
        <w:fldChar w:fldCharType="begin"/>
      </w:r>
      <w:r>
        <w:instrText xml:space="preserve"> PAGEREF _Toc166572252 \h </w:instrText>
      </w:r>
      <w:r>
        <w:fldChar w:fldCharType="separate"/>
      </w:r>
      <w:r>
        <w:t>10</w:t>
      </w:r>
      <w:r>
        <w:fldChar w:fldCharType="end"/>
      </w:r>
      <w:r>
        <w:fldChar w:fldCharType="end"/>
      </w:r>
    </w:p>
    <w:p w14:paraId="2176B2D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"_Toc166572253" </w:instrText>
      </w:r>
      <w:r>
        <w:fldChar w:fldCharType="separate"/>
      </w:r>
      <w:r>
        <w:rPr>
          <w:rStyle w:val="97"/>
        </w:rPr>
        <w:t>2.4.1</w:t>
      </w:r>
      <w:r>
        <w:rPr>
          <w:rStyle w:val="97"/>
          <w:rFonts w:hint="eastAsia"/>
        </w:rPr>
        <w:t>评价等级</w:t>
      </w:r>
      <w:r>
        <w:tab/>
      </w:r>
      <w:r>
        <w:fldChar w:fldCharType="begin"/>
      </w:r>
      <w:r>
        <w:instrText xml:space="preserve"> PAGEREF _Toc166572253 \h </w:instrText>
      </w:r>
      <w:r>
        <w:fldChar w:fldCharType="separate"/>
      </w:r>
      <w:r>
        <w:t>10</w:t>
      </w:r>
      <w:r>
        <w:fldChar w:fldCharType="end"/>
      </w:r>
      <w:r>
        <w:fldChar w:fldCharType="end"/>
      </w:r>
    </w:p>
    <w:p w14:paraId="588126C5">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"_Toc166572254" </w:instrText>
      </w:r>
      <w:r>
        <w:fldChar w:fldCharType="separate"/>
      </w:r>
      <w:r>
        <w:rPr>
          <w:rStyle w:val="97"/>
        </w:rPr>
        <w:t xml:space="preserve">2.4.2 </w:t>
      </w:r>
      <w:r>
        <w:rPr>
          <w:rStyle w:val="97"/>
          <w:rFonts w:hint="eastAsia"/>
        </w:rPr>
        <w:t>评价范围</w:t>
      </w:r>
      <w:r>
        <w:tab/>
      </w:r>
      <w:r>
        <w:fldChar w:fldCharType="begin"/>
      </w:r>
      <w:r>
        <w:instrText xml:space="preserve"> PAGEREF _Toc166572254 \h </w:instrText>
      </w:r>
      <w:r>
        <w:fldChar w:fldCharType="separate"/>
      </w:r>
      <w:r>
        <w:t>18</w:t>
      </w:r>
      <w:r>
        <w:fldChar w:fldCharType="end"/>
      </w:r>
      <w:r>
        <w:fldChar w:fldCharType="end"/>
      </w:r>
    </w:p>
    <w:p w14:paraId="630B6759">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"_Toc166572255" </w:instrText>
      </w:r>
      <w:r>
        <w:fldChar w:fldCharType="separate"/>
      </w:r>
      <w:r>
        <w:rPr>
          <w:rStyle w:val="97"/>
        </w:rPr>
        <w:t>2.5</w:t>
      </w:r>
      <w:r>
        <w:rPr>
          <w:rStyle w:val="97"/>
          <w:rFonts w:hint="eastAsia"/>
        </w:rPr>
        <w:t>评价内容及重点</w:t>
      </w:r>
      <w:r>
        <w:tab/>
      </w:r>
      <w:r>
        <w:fldChar w:fldCharType="begin"/>
      </w:r>
      <w:r>
        <w:instrText xml:space="preserve"> PAGEREF _Toc166572255 \h </w:instrText>
      </w:r>
      <w:r>
        <w:fldChar w:fldCharType="separate"/>
      </w:r>
      <w:r>
        <w:t>18</w:t>
      </w:r>
      <w:r>
        <w:fldChar w:fldCharType="end"/>
      </w:r>
      <w:r>
        <w:fldChar w:fldCharType="end"/>
      </w:r>
    </w:p>
    <w:p w14:paraId="04ED9322">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"_Toc166572256" </w:instrText>
      </w:r>
      <w:r>
        <w:fldChar w:fldCharType="separate"/>
      </w:r>
      <w:r>
        <w:rPr>
          <w:rStyle w:val="97"/>
        </w:rPr>
        <w:t xml:space="preserve">2.5.1 </w:t>
      </w:r>
      <w:r>
        <w:rPr>
          <w:rStyle w:val="97"/>
          <w:rFonts w:hint="eastAsia"/>
        </w:rPr>
        <w:t>评价内容</w:t>
      </w:r>
      <w:r>
        <w:tab/>
      </w:r>
      <w:r>
        <w:fldChar w:fldCharType="begin"/>
      </w:r>
      <w:r>
        <w:instrText xml:space="preserve"> PAGEREF _Toc166572256 \h </w:instrText>
      </w:r>
      <w:r>
        <w:fldChar w:fldCharType="separate"/>
      </w:r>
      <w:r>
        <w:t>18</w:t>
      </w:r>
      <w:r>
        <w:fldChar w:fldCharType="end"/>
      </w:r>
      <w:r>
        <w:fldChar w:fldCharType="end"/>
      </w:r>
    </w:p>
    <w:p w14:paraId="6F7D4D50">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"_Toc166572257" </w:instrText>
      </w:r>
      <w:r>
        <w:fldChar w:fldCharType="separate"/>
      </w:r>
      <w:r>
        <w:rPr>
          <w:rStyle w:val="97"/>
        </w:rPr>
        <w:t>2.6</w:t>
      </w:r>
      <w:r>
        <w:rPr>
          <w:rStyle w:val="97"/>
          <w:rFonts w:hint="eastAsia"/>
        </w:rPr>
        <w:t>评价标准</w:t>
      </w:r>
      <w:r>
        <w:tab/>
      </w:r>
      <w:r>
        <w:fldChar w:fldCharType="begin"/>
      </w:r>
      <w:r>
        <w:instrText xml:space="preserve"> PAGEREF _Toc166572257 \h </w:instrText>
      </w:r>
      <w:r>
        <w:fldChar w:fldCharType="separate"/>
      </w:r>
      <w:r>
        <w:t>19</w:t>
      </w:r>
      <w:r>
        <w:fldChar w:fldCharType="end"/>
      </w:r>
      <w:r>
        <w:fldChar w:fldCharType="end"/>
      </w:r>
    </w:p>
    <w:p w14:paraId="78DE9EBB">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"_Toc166572258" </w:instrText>
      </w:r>
      <w:r>
        <w:fldChar w:fldCharType="separate"/>
      </w:r>
      <w:r>
        <w:rPr>
          <w:rStyle w:val="97"/>
        </w:rPr>
        <w:t>2.6.1</w:t>
      </w:r>
      <w:r>
        <w:rPr>
          <w:rStyle w:val="97"/>
          <w:rFonts w:hint="eastAsia"/>
        </w:rPr>
        <w:t>环境质量标准</w:t>
      </w:r>
      <w:r>
        <w:tab/>
      </w:r>
      <w:r>
        <w:fldChar w:fldCharType="begin"/>
      </w:r>
      <w:r>
        <w:instrText xml:space="preserve"> PAGEREF _Toc166572258 \h </w:instrText>
      </w:r>
      <w:r>
        <w:fldChar w:fldCharType="separate"/>
      </w:r>
      <w:r>
        <w:t>19</w:t>
      </w:r>
      <w:r>
        <w:fldChar w:fldCharType="end"/>
      </w:r>
      <w:r>
        <w:fldChar w:fldCharType="end"/>
      </w:r>
    </w:p>
    <w:p w14:paraId="6B10B337">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"_Toc166572259" </w:instrText>
      </w:r>
      <w:r>
        <w:fldChar w:fldCharType="separate"/>
      </w:r>
      <w:r>
        <w:rPr>
          <w:rStyle w:val="97"/>
        </w:rPr>
        <w:t>2.6.2</w:t>
      </w:r>
      <w:r>
        <w:rPr>
          <w:rStyle w:val="97"/>
          <w:rFonts w:hint="eastAsia"/>
        </w:rPr>
        <w:t>污染物排放标准</w:t>
      </w:r>
      <w:r>
        <w:tab/>
      </w:r>
      <w:r>
        <w:fldChar w:fldCharType="begin"/>
      </w:r>
      <w:r>
        <w:instrText xml:space="preserve"> PAGEREF _Toc166572259 \h </w:instrText>
      </w:r>
      <w:r>
        <w:fldChar w:fldCharType="separate"/>
      </w:r>
      <w:r>
        <w:t>21</w:t>
      </w:r>
      <w:r>
        <w:fldChar w:fldCharType="end"/>
      </w:r>
      <w:r>
        <w:fldChar w:fldCharType="end"/>
      </w:r>
    </w:p>
    <w:p w14:paraId="6677E84E">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"_Toc166572260" </w:instrText>
      </w:r>
      <w:r>
        <w:fldChar w:fldCharType="separate"/>
      </w:r>
      <w:r>
        <w:rPr>
          <w:rStyle w:val="97"/>
        </w:rPr>
        <w:t>2.7</w:t>
      </w:r>
      <w:r>
        <w:rPr>
          <w:rStyle w:val="97"/>
          <w:rFonts w:hint="eastAsia"/>
        </w:rPr>
        <w:t>环境保护目标</w:t>
      </w:r>
      <w:r>
        <w:tab/>
      </w:r>
      <w:r>
        <w:fldChar w:fldCharType="begin"/>
      </w:r>
      <w:r>
        <w:instrText xml:space="preserve"> PAGEREF _Toc166572260 \h </w:instrText>
      </w:r>
      <w:r>
        <w:fldChar w:fldCharType="separate"/>
      </w:r>
      <w:r>
        <w:t>23</w:t>
      </w:r>
      <w:r>
        <w:fldChar w:fldCharType="end"/>
      </w:r>
      <w:r>
        <w:fldChar w:fldCharType="end"/>
      </w:r>
    </w:p>
    <w:p w14:paraId="03D49BDA">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"_Toc166572261" </w:instrText>
      </w:r>
      <w:r>
        <w:fldChar w:fldCharType="separate"/>
      </w:r>
      <w:r>
        <w:rPr>
          <w:rStyle w:val="97"/>
        </w:rPr>
        <w:t>3</w:t>
      </w:r>
      <w:r>
        <w:rPr>
          <w:rStyle w:val="97"/>
          <w:rFonts w:hint="eastAsia"/>
        </w:rPr>
        <w:t>建设项目工程分析</w:t>
      </w:r>
      <w:r>
        <w:tab/>
      </w:r>
      <w:r>
        <w:fldChar w:fldCharType="begin"/>
      </w:r>
      <w:r>
        <w:instrText xml:space="preserve"> PAGEREF _Toc166572261 \h </w:instrText>
      </w:r>
      <w:r>
        <w:fldChar w:fldCharType="separate"/>
      </w:r>
      <w:r>
        <w:t>28</w:t>
      </w:r>
      <w:r>
        <w:fldChar w:fldCharType="end"/>
      </w:r>
      <w:r>
        <w:fldChar w:fldCharType="end"/>
      </w:r>
    </w:p>
    <w:p w14:paraId="664D42EE">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"_Toc166572262" </w:instrText>
      </w:r>
      <w:r>
        <w:fldChar w:fldCharType="separate"/>
      </w:r>
      <w:r>
        <w:rPr>
          <w:rStyle w:val="97"/>
        </w:rPr>
        <w:t>3.1</w:t>
      </w:r>
      <w:r>
        <w:rPr>
          <w:rStyle w:val="97"/>
          <w:rFonts w:hint="eastAsia"/>
        </w:rPr>
        <w:t>项目概况</w:t>
      </w:r>
      <w:r>
        <w:tab/>
      </w:r>
      <w:r>
        <w:fldChar w:fldCharType="begin"/>
      </w:r>
      <w:r>
        <w:instrText xml:space="preserve"> PAGEREF _Toc166572262 \h </w:instrText>
      </w:r>
      <w:r>
        <w:fldChar w:fldCharType="separate"/>
      </w:r>
      <w:r>
        <w:t>28</w:t>
      </w:r>
      <w:r>
        <w:fldChar w:fldCharType="end"/>
      </w:r>
      <w:r>
        <w:fldChar w:fldCharType="end"/>
      </w:r>
    </w:p>
    <w:p w14:paraId="2A7F1591">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"_Toc166572263" </w:instrText>
      </w:r>
      <w:r>
        <w:fldChar w:fldCharType="separate"/>
      </w:r>
      <w:r>
        <w:rPr>
          <w:rStyle w:val="97"/>
        </w:rPr>
        <w:t>3.1.1</w:t>
      </w:r>
      <w:r>
        <w:rPr>
          <w:rStyle w:val="97"/>
          <w:rFonts w:hint="eastAsia"/>
        </w:rPr>
        <w:t>建设内容与建设规模</w:t>
      </w:r>
      <w:r>
        <w:tab/>
      </w:r>
      <w:r>
        <w:fldChar w:fldCharType="begin"/>
      </w:r>
      <w:r>
        <w:instrText xml:space="preserve"> PAGEREF _Toc166572263 \h </w:instrText>
      </w:r>
      <w:r>
        <w:fldChar w:fldCharType="separate"/>
      </w:r>
      <w:r>
        <w:t>28</w:t>
      </w:r>
      <w:r>
        <w:fldChar w:fldCharType="end"/>
      </w:r>
      <w:r>
        <w:fldChar w:fldCharType="end"/>
      </w:r>
    </w:p>
    <w:p w14:paraId="39E8EA7B">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"_Toc166572264" </w:instrText>
      </w:r>
      <w:r>
        <w:fldChar w:fldCharType="separate"/>
      </w:r>
      <w:r>
        <w:rPr>
          <w:rStyle w:val="97"/>
        </w:rPr>
        <w:t>3.1.3</w:t>
      </w:r>
      <w:r>
        <w:rPr>
          <w:rStyle w:val="97"/>
          <w:rFonts w:hint="eastAsia"/>
        </w:rPr>
        <w:t>原辅材料能源消耗情况</w:t>
      </w:r>
      <w:r>
        <w:tab/>
      </w:r>
      <w:r>
        <w:fldChar w:fldCharType="begin"/>
      </w:r>
      <w:r>
        <w:instrText xml:space="preserve"> PAGEREF _Toc166572264 \h </w:instrText>
      </w:r>
      <w:r>
        <w:fldChar w:fldCharType="separate"/>
      </w:r>
      <w:r>
        <w:t>32</w:t>
      </w:r>
      <w:r>
        <w:fldChar w:fldCharType="end"/>
      </w:r>
      <w:r>
        <w:fldChar w:fldCharType="end"/>
      </w:r>
    </w:p>
    <w:p w14:paraId="3A500816">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"_Toc166572265" </w:instrText>
      </w:r>
      <w:r>
        <w:fldChar w:fldCharType="separate"/>
      </w:r>
      <w:r>
        <w:rPr>
          <w:rStyle w:val="97"/>
        </w:rPr>
        <w:t>3.1.4</w:t>
      </w:r>
      <w:r>
        <w:rPr>
          <w:rStyle w:val="97"/>
          <w:rFonts w:hint="eastAsia"/>
        </w:rPr>
        <w:t>生产设备情况</w:t>
      </w:r>
      <w:r>
        <w:tab/>
      </w:r>
      <w:r>
        <w:fldChar w:fldCharType="begin"/>
      </w:r>
      <w:r>
        <w:instrText xml:space="preserve"> PAGEREF _Toc166572265 \h </w:instrText>
      </w:r>
      <w:r>
        <w:fldChar w:fldCharType="separate"/>
      </w:r>
      <w:r>
        <w:t>35</w:t>
      </w:r>
      <w:r>
        <w:fldChar w:fldCharType="end"/>
      </w:r>
      <w:r>
        <w:fldChar w:fldCharType="end"/>
      </w:r>
    </w:p>
    <w:p w14:paraId="3146317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"_Toc166572266" </w:instrText>
      </w:r>
      <w:r>
        <w:fldChar w:fldCharType="separate"/>
      </w:r>
      <w:r>
        <w:rPr>
          <w:rStyle w:val="97"/>
        </w:rPr>
        <w:t>3.1.5</w:t>
      </w:r>
      <w:r>
        <w:rPr>
          <w:rStyle w:val="97"/>
          <w:rFonts w:hint="eastAsia"/>
        </w:rPr>
        <w:t>厂区总平面布置</w:t>
      </w:r>
      <w:r>
        <w:tab/>
      </w:r>
      <w:r>
        <w:fldChar w:fldCharType="begin"/>
      </w:r>
      <w:r>
        <w:instrText xml:space="preserve"> PAGEREF _Toc166572266 \h </w:instrText>
      </w:r>
      <w:r>
        <w:fldChar w:fldCharType="separate"/>
      </w:r>
      <w:r>
        <w:t>35</w:t>
      </w:r>
      <w:r>
        <w:fldChar w:fldCharType="end"/>
      </w:r>
      <w:r>
        <w:fldChar w:fldCharType="end"/>
      </w:r>
    </w:p>
    <w:p w14:paraId="410CA29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"_Toc166572267" </w:instrText>
      </w:r>
      <w:r>
        <w:fldChar w:fldCharType="separate"/>
      </w:r>
      <w:r>
        <w:rPr>
          <w:rStyle w:val="97"/>
        </w:rPr>
        <w:t>3.1.6</w:t>
      </w:r>
      <w:r>
        <w:rPr>
          <w:rStyle w:val="97"/>
          <w:rFonts w:hint="eastAsia"/>
        </w:rPr>
        <w:t>公用工程</w:t>
      </w:r>
      <w:r>
        <w:tab/>
      </w:r>
      <w:r>
        <w:fldChar w:fldCharType="begin"/>
      </w:r>
      <w:r>
        <w:instrText xml:space="preserve"> PAGEREF _Toc166572267 \h </w:instrText>
      </w:r>
      <w:r>
        <w:fldChar w:fldCharType="separate"/>
      </w:r>
      <w:r>
        <w:t>36</w:t>
      </w:r>
      <w:r>
        <w:fldChar w:fldCharType="end"/>
      </w:r>
      <w:r>
        <w:fldChar w:fldCharType="end"/>
      </w:r>
    </w:p>
    <w:p w14:paraId="3B03067F">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"_Toc166572268" </w:instrText>
      </w:r>
      <w:r>
        <w:fldChar w:fldCharType="separate"/>
      </w:r>
      <w:r>
        <w:rPr>
          <w:rStyle w:val="97"/>
        </w:rPr>
        <w:t>3.1.7</w:t>
      </w:r>
      <w:r>
        <w:rPr>
          <w:rStyle w:val="97"/>
          <w:rFonts w:hint="eastAsia"/>
        </w:rPr>
        <w:t>劳动定员及工作制度</w:t>
      </w:r>
      <w:r>
        <w:tab/>
      </w:r>
      <w:r>
        <w:fldChar w:fldCharType="begin"/>
      </w:r>
      <w:r>
        <w:instrText xml:space="preserve"> PAGEREF _Toc166572268 \h </w:instrText>
      </w:r>
      <w:r>
        <w:fldChar w:fldCharType="separate"/>
      </w:r>
      <w:r>
        <w:t>41</w:t>
      </w:r>
      <w:r>
        <w:fldChar w:fldCharType="end"/>
      </w:r>
      <w:r>
        <w:fldChar w:fldCharType="end"/>
      </w:r>
    </w:p>
    <w:p w14:paraId="6A3E1AD8">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"_Toc166572269" </w:instrText>
      </w:r>
      <w:r>
        <w:fldChar w:fldCharType="separate"/>
      </w:r>
      <w:r>
        <w:rPr>
          <w:rStyle w:val="97"/>
        </w:rPr>
        <w:t>3.2</w:t>
      </w:r>
      <w:r>
        <w:rPr>
          <w:rStyle w:val="97"/>
          <w:rFonts w:hint="eastAsia"/>
        </w:rPr>
        <w:t>工程分析</w:t>
      </w:r>
      <w:r>
        <w:tab/>
      </w:r>
      <w:r>
        <w:fldChar w:fldCharType="begin"/>
      </w:r>
      <w:r>
        <w:instrText xml:space="preserve"> PAGEREF _Toc166572269 \h </w:instrText>
      </w:r>
      <w:r>
        <w:fldChar w:fldCharType="separate"/>
      </w:r>
      <w:r>
        <w:t>41</w:t>
      </w:r>
      <w:r>
        <w:fldChar w:fldCharType="end"/>
      </w:r>
      <w:r>
        <w:fldChar w:fldCharType="end"/>
      </w:r>
    </w:p>
    <w:p w14:paraId="40A0A813">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"_Toc166572270" </w:instrText>
      </w:r>
      <w:r>
        <w:fldChar w:fldCharType="separate"/>
      </w:r>
      <w:r>
        <w:rPr>
          <w:rStyle w:val="97"/>
        </w:rPr>
        <w:t>3.2.1</w:t>
      </w:r>
      <w:r>
        <w:rPr>
          <w:rStyle w:val="97"/>
          <w:rFonts w:hint="eastAsia"/>
        </w:rPr>
        <w:t>施工期工艺及污染防治措施</w:t>
      </w:r>
      <w:r>
        <w:tab/>
      </w:r>
      <w:r>
        <w:fldChar w:fldCharType="begin"/>
      </w:r>
      <w:r>
        <w:instrText xml:space="preserve"> PAGEREF _Toc166572270 \h </w:instrText>
      </w:r>
      <w:r>
        <w:fldChar w:fldCharType="separate"/>
      </w:r>
      <w:r>
        <w:t>41</w:t>
      </w:r>
      <w:r>
        <w:fldChar w:fldCharType="end"/>
      </w:r>
      <w:r>
        <w:fldChar w:fldCharType="end"/>
      </w:r>
    </w:p>
    <w:p w14:paraId="41C9060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"_Toc166572271" </w:instrText>
      </w:r>
      <w:r>
        <w:fldChar w:fldCharType="separate"/>
      </w:r>
      <w:r>
        <w:rPr>
          <w:rStyle w:val="97"/>
        </w:rPr>
        <w:t>3.2.2</w:t>
      </w:r>
      <w:r>
        <w:rPr>
          <w:rStyle w:val="97"/>
          <w:rFonts w:hint="eastAsia"/>
        </w:rPr>
        <w:t>运营期工艺</w:t>
      </w:r>
      <w:r>
        <w:tab/>
      </w:r>
      <w:r>
        <w:fldChar w:fldCharType="begin"/>
      </w:r>
      <w:r>
        <w:instrText xml:space="preserve"> PAGEREF _Toc166572271 \h </w:instrText>
      </w:r>
      <w:r>
        <w:fldChar w:fldCharType="separate"/>
      </w:r>
      <w:r>
        <w:t>43</w:t>
      </w:r>
      <w:r>
        <w:fldChar w:fldCharType="end"/>
      </w:r>
      <w:r>
        <w:fldChar w:fldCharType="end"/>
      </w:r>
    </w:p>
    <w:p w14:paraId="26DEC763">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"_Toc166572272" </w:instrText>
      </w:r>
      <w:r>
        <w:fldChar w:fldCharType="separate"/>
      </w:r>
      <w:r>
        <w:rPr>
          <w:rStyle w:val="97"/>
        </w:rPr>
        <w:t>3.3</w:t>
      </w:r>
      <w:r>
        <w:rPr>
          <w:rStyle w:val="97"/>
          <w:rFonts w:hint="eastAsia"/>
        </w:rPr>
        <w:t>污染源分析</w:t>
      </w:r>
      <w:r>
        <w:tab/>
      </w:r>
      <w:r>
        <w:fldChar w:fldCharType="begin"/>
      </w:r>
      <w:r>
        <w:instrText xml:space="preserve"> PAGEREF _Toc166572272 \h </w:instrText>
      </w:r>
      <w:r>
        <w:fldChar w:fldCharType="separate"/>
      </w:r>
      <w:r>
        <w:t>52</w:t>
      </w:r>
      <w:r>
        <w:fldChar w:fldCharType="end"/>
      </w:r>
      <w:r>
        <w:fldChar w:fldCharType="end"/>
      </w:r>
    </w:p>
    <w:p w14:paraId="57CDB76B">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"_Toc166572273" </w:instrText>
      </w:r>
      <w:r>
        <w:fldChar w:fldCharType="separate"/>
      </w:r>
      <w:r>
        <w:rPr>
          <w:rStyle w:val="97"/>
        </w:rPr>
        <w:t>3.3.1</w:t>
      </w:r>
      <w:r>
        <w:rPr>
          <w:rStyle w:val="97"/>
          <w:rFonts w:hint="eastAsia"/>
        </w:rPr>
        <w:t>施工期污染源分析</w:t>
      </w:r>
      <w:r>
        <w:tab/>
      </w:r>
      <w:r>
        <w:fldChar w:fldCharType="begin"/>
      </w:r>
      <w:r>
        <w:instrText xml:space="preserve"> PAGEREF _Toc166572273 \h </w:instrText>
      </w:r>
      <w:r>
        <w:fldChar w:fldCharType="separate"/>
      </w:r>
      <w:r>
        <w:t>52</w:t>
      </w:r>
      <w:r>
        <w:fldChar w:fldCharType="end"/>
      </w:r>
      <w:r>
        <w:fldChar w:fldCharType="end"/>
      </w:r>
    </w:p>
    <w:p w14:paraId="2EE8D91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"_Toc166572274" </w:instrText>
      </w:r>
      <w:r>
        <w:fldChar w:fldCharType="separate"/>
      </w:r>
      <w:r>
        <w:rPr>
          <w:rStyle w:val="97"/>
        </w:rPr>
        <w:t>3.3.2</w:t>
      </w:r>
      <w:r>
        <w:rPr>
          <w:rStyle w:val="97"/>
          <w:rFonts w:hint="eastAsia"/>
        </w:rPr>
        <w:t>运营期污染源分析</w:t>
      </w:r>
      <w:r>
        <w:tab/>
      </w:r>
      <w:r>
        <w:fldChar w:fldCharType="begin"/>
      </w:r>
      <w:r>
        <w:instrText xml:space="preserve"> PAGEREF _Toc166572274 \h </w:instrText>
      </w:r>
      <w:r>
        <w:fldChar w:fldCharType="separate"/>
      </w:r>
      <w:r>
        <w:t>54</w:t>
      </w:r>
      <w:r>
        <w:fldChar w:fldCharType="end"/>
      </w:r>
      <w:r>
        <w:fldChar w:fldCharType="end"/>
      </w:r>
    </w:p>
    <w:p w14:paraId="5B2F99E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"_Toc166572275" </w:instrText>
      </w:r>
      <w:r>
        <w:fldChar w:fldCharType="separate"/>
      </w:r>
      <w:r>
        <w:rPr>
          <w:rStyle w:val="97"/>
        </w:rPr>
        <w:t>3.4</w:t>
      </w:r>
      <w:r>
        <w:rPr>
          <w:rStyle w:val="97"/>
          <w:rFonts w:hint="eastAsia"/>
        </w:rPr>
        <w:t>污染物总量控制</w:t>
      </w:r>
      <w:r>
        <w:tab/>
      </w:r>
      <w:r>
        <w:fldChar w:fldCharType="begin"/>
      </w:r>
      <w:r>
        <w:instrText xml:space="preserve"> PAGEREF _Toc166572275 \h </w:instrText>
      </w:r>
      <w:r>
        <w:fldChar w:fldCharType="separate"/>
      </w:r>
      <w:r>
        <w:t>70</w:t>
      </w:r>
      <w:r>
        <w:fldChar w:fldCharType="end"/>
      </w:r>
      <w:r>
        <w:fldChar w:fldCharType="end"/>
      </w:r>
    </w:p>
    <w:p w14:paraId="6751DE23">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"_Toc166572276" </w:instrText>
      </w:r>
      <w:r>
        <w:fldChar w:fldCharType="separate"/>
      </w:r>
      <w:r>
        <w:rPr>
          <w:rStyle w:val="97"/>
        </w:rPr>
        <w:t>3.4.1</w:t>
      </w:r>
      <w:r>
        <w:rPr>
          <w:rStyle w:val="97"/>
          <w:rFonts w:hint="eastAsia"/>
        </w:rPr>
        <w:t>总量控制因子确定</w:t>
      </w:r>
      <w:r>
        <w:tab/>
      </w:r>
      <w:r>
        <w:fldChar w:fldCharType="begin"/>
      </w:r>
      <w:r>
        <w:instrText xml:space="preserve"> PAGEREF _Toc166572276 \h </w:instrText>
      </w:r>
      <w:r>
        <w:fldChar w:fldCharType="separate"/>
      </w:r>
      <w:r>
        <w:t>70</w:t>
      </w:r>
      <w:r>
        <w:fldChar w:fldCharType="end"/>
      </w:r>
      <w:r>
        <w:fldChar w:fldCharType="end"/>
      </w:r>
    </w:p>
    <w:p w14:paraId="57B1616F">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"_Toc166572277" </w:instrText>
      </w:r>
      <w:r>
        <w:fldChar w:fldCharType="separate"/>
      </w:r>
      <w:r>
        <w:rPr>
          <w:rStyle w:val="97"/>
        </w:rPr>
        <w:t>3.4.2</w:t>
      </w:r>
      <w:r>
        <w:rPr>
          <w:rStyle w:val="97"/>
          <w:rFonts w:hint="eastAsia"/>
        </w:rPr>
        <w:t>总量控制指标确定</w:t>
      </w:r>
      <w:r>
        <w:tab/>
      </w:r>
      <w:r>
        <w:fldChar w:fldCharType="begin"/>
      </w:r>
      <w:r>
        <w:instrText xml:space="preserve"> PAGEREF _Toc166572277 \h </w:instrText>
      </w:r>
      <w:r>
        <w:fldChar w:fldCharType="separate"/>
      </w:r>
      <w:r>
        <w:t>70</w:t>
      </w:r>
      <w:r>
        <w:fldChar w:fldCharType="end"/>
      </w:r>
      <w:r>
        <w:fldChar w:fldCharType="end"/>
      </w:r>
    </w:p>
    <w:p w14:paraId="7C618C37">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"_Toc166572278" </w:instrText>
      </w:r>
      <w:r>
        <w:fldChar w:fldCharType="separate"/>
      </w:r>
      <w:r>
        <w:rPr>
          <w:rStyle w:val="97"/>
        </w:rPr>
        <w:t>3.4.3</w:t>
      </w:r>
      <w:r>
        <w:rPr>
          <w:rStyle w:val="97"/>
          <w:rFonts w:hint="eastAsia"/>
        </w:rPr>
        <w:t>非正常工况总量控制指标分析</w:t>
      </w:r>
      <w:r>
        <w:tab/>
      </w:r>
      <w:r>
        <w:fldChar w:fldCharType="begin"/>
      </w:r>
      <w:r>
        <w:instrText xml:space="preserve"> PAGEREF _Toc166572278 \h </w:instrText>
      </w:r>
      <w:r>
        <w:fldChar w:fldCharType="separate"/>
      </w:r>
      <w:r>
        <w:t>70</w:t>
      </w:r>
      <w:r>
        <w:fldChar w:fldCharType="end"/>
      </w:r>
      <w:r>
        <w:fldChar w:fldCharType="end"/>
      </w:r>
    </w:p>
    <w:p w14:paraId="50CE99C0">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"_Toc166572279" </w:instrText>
      </w:r>
      <w:r>
        <w:fldChar w:fldCharType="separate"/>
      </w:r>
      <w:r>
        <w:rPr>
          <w:rStyle w:val="97"/>
        </w:rPr>
        <w:t>4</w:t>
      </w:r>
      <w:r>
        <w:rPr>
          <w:rStyle w:val="97"/>
          <w:rFonts w:hint="eastAsia"/>
        </w:rPr>
        <w:t>环境现状调查与评价</w:t>
      </w:r>
      <w:r>
        <w:tab/>
      </w:r>
      <w:r>
        <w:fldChar w:fldCharType="begin"/>
      </w:r>
      <w:r>
        <w:instrText xml:space="preserve"> PAGEREF _Toc166572279 \h </w:instrText>
      </w:r>
      <w:r>
        <w:fldChar w:fldCharType="separate"/>
      </w:r>
      <w:r>
        <w:t>71</w:t>
      </w:r>
      <w:r>
        <w:fldChar w:fldCharType="end"/>
      </w:r>
      <w:r>
        <w:fldChar w:fldCharType="end"/>
      </w:r>
    </w:p>
    <w:p w14:paraId="5975FC02">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"_Toc166572280" </w:instrText>
      </w:r>
      <w:r>
        <w:fldChar w:fldCharType="separate"/>
      </w:r>
      <w:r>
        <w:rPr>
          <w:rStyle w:val="97"/>
        </w:rPr>
        <w:t>4.1</w:t>
      </w:r>
      <w:r>
        <w:rPr>
          <w:rStyle w:val="97"/>
          <w:rFonts w:hint="eastAsia"/>
        </w:rPr>
        <w:t>自然环境概况</w:t>
      </w:r>
      <w:r>
        <w:tab/>
      </w:r>
      <w:r>
        <w:fldChar w:fldCharType="begin"/>
      </w:r>
      <w:r>
        <w:instrText xml:space="preserve"> PAGEREF _Toc166572280 \h </w:instrText>
      </w:r>
      <w:r>
        <w:fldChar w:fldCharType="separate"/>
      </w:r>
      <w:r>
        <w:t>71</w:t>
      </w:r>
      <w:r>
        <w:fldChar w:fldCharType="end"/>
      </w:r>
      <w:r>
        <w:fldChar w:fldCharType="end"/>
      </w:r>
    </w:p>
    <w:p w14:paraId="47815B64">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"_Toc166572281" </w:instrText>
      </w:r>
      <w:r>
        <w:fldChar w:fldCharType="separate"/>
      </w:r>
      <w:r>
        <w:rPr>
          <w:rStyle w:val="97"/>
        </w:rPr>
        <w:t>4.1.1</w:t>
      </w:r>
      <w:r>
        <w:rPr>
          <w:rStyle w:val="97"/>
          <w:rFonts w:hint="eastAsia"/>
        </w:rPr>
        <w:t>地理位置</w:t>
      </w:r>
      <w:r>
        <w:tab/>
      </w:r>
      <w:r>
        <w:fldChar w:fldCharType="begin"/>
      </w:r>
      <w:r>
        <w:instrText xml:space="preserve"> PAGEREF _Toc166572281 \h </w:instrText>
      </w:r>
      <w:r>
        <w:fldChar w:fldCharType="separate"/>
      </w:r>
      <w:r>
        <w:t>71</w:t>
      </w:r>
      <w:r>
        <w:fldChar w:fldCharType="end"/>
      </w:r>
      <w:r>
        <w:fldChar w:fldCharType="end"/>
      </w:r>
    </w:p>
    <w:p w14:paraId="61250CD9">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"_Toc166572282" </w:instrText>
      </w:r>
      <w:r>
        <w:fldChar w:fldCharType="separate"/>
      </w:r>
      <w:r>
        <w:rPr>
          <w:rStyle w:val="97"/>
        </w:rPr>
        <w:t>4.1.2</w:t>
      </w:r>
      <w:r>
        <w:rPr>
          <w:rStyle w:val="97"/>
          <w:rFonts w:hint="eastAsia"/>
        </w:rPr>
        <w:t>地形地貌</w:t>
      </w:r>
      <w:r>
        <w:tab/>
      </w:r>
      <w:r>
        <w:fldChar w:fldCharType="begin"/>
      </w:r>
      <w:r>
        <w:instrText xml:space="preserve"> PAGEREF _Toc166572282 \h </w:instrText>
      </w:r>
      <w:r>
        <w:fldChar w:fldCharType="separate"/>
      </w:r>
      <w:r>
        <w:t>73</w:t>
      </w:r>
      <w:r>
        <w:fldChar w:fldCharType="end"/>
      </w:r>
      <w:r>
        <w:fldChar w:fldCharType="end"/>
      </w:r>
    </w:p>
    <w:p w14:paraId="294A36EE">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"_Toc166572283" </w:instrText>
      </w:r>
      <w:r>
        <w:fldChar w:fldCharType="separate"/>
      </w:r>
      <w:r>
        <w:rPr>
          <w:rStyle w:val="97"/>
        </w:rPr>
        <w:t>4.1.3</w:t>
      </w:r>
      <w:r>
        <w:rPr>
          <w:rStyle w:val="97"/>
          <w:rFonts w:hint="eastAsia"/>
        </w:rPr>
        <w:t>水文地质</w:t>
      </w:r>
      <w:r>
        <w:tab/>
      </w:r>
      <w:r>
        <w:fldChar w:fldCharType="begin"/>
      </w:r>
      <w:r>
        <w:instrText xml:space="preserve"> PAGEREF _Toc166572283 \h </w:instrText>
      </w:r>
      <w:r>
        <w:fldChar w:fldCharType="separate"/>
      </w:r>
      <w:r>
        <w:t>73</w:t>
      </w:r>
      <w:r>
        <w:fldChar w:fldCharType="end"/>
      </w:r>
      <w:r>
        <w:fldChar w:fldCharType="end"/>
      </w:r>
    </w:p>
    <w:p w14:paraId="141E3F2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"_Toc166572284" </w:instrText>
      </w:r>
      <w:r>
        <w:fldChar w:fldCharType="separate"/>
      </w:r>
      <w:r>
        <w:rPr>
          <w:rStyle w:val="97"/>
        </w:rPr>
        <w:t>4.1.4</w:t>
      </w:r>
      <w:r>
        <w:rPr>
          <w:rStyle w:val="97"/>
          <w:rFonts w:hint="eastAsia"/>
        </w:rPr>
        <w:t>地下水</w:t>
      </w:r>
      <w:r>
        <w:tab/>
      </w:r>
      <w:r>
        <w:fldChar w:fldCharType="begin"/>
      </w:r>
      <w:r>
        <w:instrText xml:space="preserve"> PAGEREF _Toc166572284 \h </w:instrText>
      </w:r>
      <w:r>
        <w:fldChar w:fldCharType="separate"/>
      </w:r>
      <w:r>
        <w:t>73</w:t>
      </w:r>
      <w:r>
        <w:fldChar w:fldCharType="end"/>
      </w:r>
      <w:r>
        <w:fldChar w:fldCharType="end"/>
      </w:r>
    </w:p>
    <w:p w14:paraId="3F391D5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"_Toc166572285" </w:instrText>
      </w:r>
      <w:r>
        <w:fldChar w:fldCharType="separate"/>
      </w:r>
      <w:r>
        <w:rPr>
          <w:rStyle w:val="97"/>
        </w:rPr>
        <w:t>4.1.5</w:t>
      </w:r>
      <w:r>
        <w:rPr>
          <w:rStyle w:val="97"/>
          <w:rFonts w:hint="eastAsia"/>
        </w:rPr>
        <w:t>地表水</w:t>
      </w:r>
      <w:r>
        <w:tab/>
      </w:r>
      <w:r>
        <w:fldChar w:fldCharType="begin"/>
      </w:r>
      <w:r>
        <w:instrText xml:space="preserve"> PAGEREF _Toc166572285 \h </w:instrText>
      </w:r>
      <w:r>
        <w:fldChar w:fldCharType="separate"/>
      </w:r>
      <w:r>
        <w:t>74</w:t>
      </w:r>
      <w:r>
        <w:fldChar w:fldCharType="end"/>
      </w:r>
      <w:r>
        <w:fldChar w:fldCharType="end"/>
      </w:r>
    </w:p>
    <w:p w14:paraId="0D4DE482">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"_Toc166572286" </w:instrText>
      </w:r>
      <w:r>
        <w:fldChar w:fldCharType="separate"/>
      </w:r>
      <w:r>
        <w:rPr>
          <w:rStyle w:val="97"/>
        </w:rPr>
        <w:t>4.1.6</w:t>
      </w:r>
      <w:r>
        <w:rPr>
          <w:rStyle w:val="97"/>
          <w:rFonts w:hint="eastAsia"/>
        </w:rPr>
        <w:t>气象条件</w:t>
      </w:r>
      <w:r>
        <w:tab/>
      </w:r>
      <w:r>
        <w:fldChar w:fldCharType="begin"/>
      </w:r>
      <w:r>
        <w:instrText xml:space="preserve"> PAGEREF _Toc166572286 \h </w:instrText>
      </w:r>
      <w:r>
        <w:fldChar w:fldCharType="separate"/>
      </w:r>
      <w:r>
        <w:t>77</w:t>
      </w:r>
      <w:r>
        <w:fldChar w:fldCharType="end"/>
      </w:r>
      <w:r>
        <w:fldChar w:fldCharType="end"/>
      </w:r>
    </w:p>
    <w:p w14:paraId="05388EC3">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"_Toc166572287" </w:instrText>
      </w:r>
      <w:r>
        <w:fldChar w:fldCharType="separate"/>
      </w:r>
      <w:r>
        <w:rPr>
          <w:rStyle w:val="97"/>
        </w:rPr>
        <w:t>4.1.7</w:t>
      </w:r>
      <w:r>
        <w:rPr>
          <w:rStyle w:val="97"/>
          <w:rFonts w:hint="eastAsia"/>
        </w:rPr>
        <w:t>土壤、植被</w:t>
      </w:r>
      <w:r>
        <w:tab/>
      </w:r>
      <w:r>
        <w:fldChar w:fldCharType="begin"/>
      </w:r>
      <w:r>
        <w:instrText xml:space="preserve"> PAGEREF _Toc166572287 \h </w:instrText>
      </w:r>
      <w:r>
        <w:fldChar w:fldCharType="separate"/>
      </w:r>
      <w:r>
        <w:t>77</w:t>
      </w:r>
      <w:r>
        <w:fldChar w:fldCharType="end"/>
      </w:r>
      <w:r>
        <w:fldChar w:fldCharType="end"/>
      </w:r>
    </w:p>
    <w:p w14:paraId="3B6F0FA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"_Toc166572288" </w:instrText>
      </w:r>
      <w:r>
        <w:fldChar w:fldCharType="separate"/>
      </w:r>
      <w:r>
        <w:rPr>
          <w:rStyle w:val="97"/>
        </w:rPr>
        <w:t>4.1.8</w:t>
      </w:r>
      <w:r>
        <w:rPr>
          <w:rStyle w:val="97"/>
          <w:rFonts w:hint="eastAsia"/>
        </w:rPr>
        <w:t>西鄂尔多斯国家级自然保护区生态环境概况</w:t>
      </w:r>
      <w:r>
        <w:tab/>
      </w:r>
      <w:r>
        <w:fldChar w:fldCharType="begin"/>
      </w:r>
      <w:r>
        <w:instrText xml:space="preserve"> PAGEREF _Toc166572288 \h </w:instrText>
      </w:r>
      <w:r>
        <w:fldChar w:fldCharType="separate"/>
      </w:r>
      <w:r>
        <w:t>78</w:t>
      </w:r>
      <w:r>
        <w:fldChar w:fldCharType="end"/>
      </w:r>
      <w:r>
        <w:fldChar w:fldCharType="end"/>
      </w:r>
    </w:p>
    <w:p w14:paraId="30D413D5">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"_Toc166572289" </w:instrText>
      </w:r>
      <w:r>
        <w:fldChar w:fldCharType="separate"/>
      </w:r>
      <w:r>
        <w:rPr>
          <w:rStyle w:val="97"/>
        </w:rPr>
        <w:t>4.2</w:t>
      </w:r>
      <w:r>
        <w:rPr>
          <w:rStyle w:val="97"/>
          <w:rFonts w:hint="eastAsia"/>
        </w:rPr>
        <w:t>环境质量现状监测与评价</w:t>
      </w:r>
      <w:r>
        <w:tab/>
      </w:r>
      <w:r>
        <w:fldChar w:fldCharType="begin"/>
      </w:r>
      <w:r>
        <w:instrText xml:space="preserve"> PAGEREF _Toc166572289 \h </w:instrText>
      </w:r>
      <w:r>
        <w:fldChar w:fldCharType="separate"/>
      </w:r>
      <w:r>
        <w:t>83</w:t>
      </w:r>
      <w:r>
        <w:fldChar w:fldCharType="end"/>
      </w:r>
      <w:r>
        <w:fldChar w:fldCharType="end"/>
      </w:r>
    </w:p>
    <w:p w14:paraId="2EA988F6">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"_Toc166572290" </w:instrText>
      </w:r>
      <w:r>
        <w:fldChar w:fldCharType="separate"/>
      </w:r>
      <w:r>
        <w:rPr>
          <w:rStyle w:val="97"/>
        </w:rPr>
        <w:t>4.2.1</w:t>
      </w:r>
      <w:r>
        <w:rPr>
          <w:rStyle w:val="97"/>
          <w:rFonts w:hint="eastAsia"/>
        </w:rPr>
        <w:t>空气质量达标区判定</w:t>
      </w:r>
      <w:r>
        <w:tab/>
      </w:r>
      <w:r>
        <w:fldChar w:fldCharType="begin"/>
      </w:r>
      <w:r>
        <w:instrText xml:space="preserve"> PAGEREF _Toc166572290 \h </w:instrText>
      </w:r>
      <w:r>
        <w:fldChar w:fldCharType="separate"/>
      </w:r>
      <w:r>
        <w:t>83</w:t>
      </w:r>
      <w:r>
        <w:fldChar w:fldCharType="end"/>
      </w:r>
      <w:r>
        <w:fldChar w:fldCharType="end"/>
      </w:r>
    </w:p>
    <w:p w14:paraId="700ABB3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"_Toc166572291" </w:instrText>
      </w:r>
      <w:r>
        <w:fldChar w:fldCharType="separate"/>
      </w:r>
      <w:r>
        <w:rPr>
          <w:rStyle w:val="97"/>
        </w:rPr>
        <w:t>4.2.2</w:t>
      </w:r>
      <w:r>
        <w:rPr>
          <w:rStyle w:val="97"/>
          <w:rFonts w:hint="eastAsia"/>
        </w:rPr>
        <w:t>其他污染物环境质量现状调查</w:t>
      </w:r>
      <w:r>
        <w:tab/>
      </w:r>
      <w:r>
        <w:fldChar w:fldCharType="begin"/>
      </w:r>
      <w:r>
        <w:instrText xml:space="preserve"> PAGEREF _Toc166572291 \h </w:instrText>
      </w:r>
      <w:r>
        <w:fldChar w:fldCharType="separate"/>
      </w:r>
      <w:r>
        <w:t>83</w:t>
      </w:r>
      <w:r>
        <w:fldChar w:fldCharType="end"/>
      </w:r>
      <w:r>
        <w:fldChar w:fldCharType="end"/>
      </w:r>
    </w:p>
    <w:p w14:paraId="7AEF1CEF">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"_Toc166572292" </w:instrText>
      </w:r>
      <w:r>
        <w:fldChar w:fldCharType="separate"/>
      </w:r>
      <w:r>
        <w:rPr>
          <w:rStyle w:val="97"/>
          <w:kern w:val="44"/>
        </w:rPr>
        <w:t>4.2.3</w:t>
      </w:r>
      <w:r>
        <w:rPr>
          <w:rStyle w:val="97"/>
          <w:rFonts w:hint="eastAsia"/>
        </w:rPr>
        <w:t>其他污染物环境质量现状评价</w:t>
      </w:r>
      <w:r>
        <w:tab/>
      </w:r>
      <w:r>
        <w:fldChar w:fldCharType="begin"/>
      </w:r>
      <w:r>
        <w:instrText xml:space="preserve"> PAGEREF _Toc166572292 \h </w:instrText>
      </w:r>
      <w:r>
        <w:fldChar w:fldCharType="separate"/>
      </w:r>
      <w:r>
        <w:t>85</w:t>
      </w:r>
      <w:r>
        <w:fldChar w:fldCharType="end"/>
      </w:r>
      <w:r>
        <w:fldChar w:fldCharType="end"/>
      </w:r>
    </w:p>
    <w:p w14:paraId="7D344546">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"_Toc166572293" </w:instrText>
      </w:r>
      <w:r>
        <w:fldChar w:fldCharType="separate"/>
      </w:r>
      <w:r>
        <w:rPr>
          <w:rStyle w:val="97"/>
        </w:rPr>
        <w:t>4.3</w:t>
      </w:r>
      <w:r>
        <w:rPr>
          <w:rStyle w:val="97"/>
          <w:rFonts w:hint="eastAsia"/>
        </w:rPr>
        <w:t>地下水环境质量现状监测与评价</w:t>
      </w:r>
      <w:r>
        <w:tab/>
      </w:r>
      <w:r>
        <w:fldChar w:fldCharType="begin"/>
      </w:r>
      <w:r>
        <w:instrText xml:space="preserve"> PAGEREF _Toc166572293 \h </w:instrText>
      </w:r>
      <w:r>
        <w:fldChar w:fldCharType="separate"/>
      </w:r>
      <w:r>
        <w:t>86</w:t>
      </w:r>
      <w:r>
        <w:fldChar w:fldCharType="end"/>
      </w:r>
      <w:r>
        <w:fldChar w:fldCharType="end"/>
      </w:r>
    </w:p>
    <w:p w14:paraId="58655AE8">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"_Toc166572294" </w:instrText>
      </w:r>
      <w:r>
        <w:fldChar w:fldCharType="separate"/>
      </w:r>
      <w:r>
        <w:rPr>
          <w:rStyle w:val="97"/>
        </w:rPr>
        <w:t>4.3.1</w:t>
      </w:r>
      <w:r>
        <w:rPr>
          <w:rStyle w:val="97"/>
          <w:rFonts w:hint="eastAsia"/>
        </w:rPr>
        <w:t>地下水环境质量现状监测</w:t>
      </w:r>
      <w:r>
        <w:tab/>
      </w:r>
      <w:r>
        <w:fldChar w:fldCharType="begin"/>
      </w:r>
      <w:r>
        <w:instrText xml:space="preserve"> PAGEREF _Toc166572294 \h </w:instrText>
      </w:r>
      <w:r>
        <w:fldChar w:fldCharType="separate"/>
      </w:r>
      <w:r>
        <w:t>86</w:t>
      </w:r>
      <w:r>
        <w:fldChar w:fldCharType="end"/>
      </w:r>
      <w:r>
        <w:fldChar w:fldCharType="end"/>
      </w:r>
    </w:p>
    <w:p w14:paraId="66D3CE0E">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"_Toc166572295" </w:instrText>
      </w:r>
      <w:r>
        <w:fldChar w:fldCharType="separate"/>
      </w:r>
      <w:r>
        <w:rPr>
          <w:rStyle w:val="97"/>
        </w:rPr>
        <w:t>4.3.2</w:t>
      </w:r>
      <w:r>
        <w:rPr>
          <w:rStyle w:val="97"/>
          <w:rFonts w:hint="eastAsia"/>
        </w:rPr>
        <w:t>地下水环境质量现状评价</w:t>
      </w:r>
      <w:r>
        <w:tab/>
      </w:r>
      <w:r>
        <w:fldChar w:fldCharType="begin"/>
      </w:r>
      <w:r>
        <w:instrText xml:space="preserve"> PAGEREF _Toc166572295 \h </w:instrText>
      </w:r>
      <w:r>
        <w:fldChar w:fldCharType="separate"/>
      </w:r>
      <w:r>
        <w:t>91</w:t>
      </w:r>
      <w:r>
        <w:fldChar w:fldCharType="end"/>
      </w:r>
      <w:r>
        <w:fldChar w:fldCharType="end"/>
      </w:r>
    </w:p>
    <w:p w14:paraId="27DC2A88">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"_Toc166572296" </w:instrText>
      </w:r>
      <w:r>
        <w:fldChar w:fldCharType="separate"/>
      </w:r>
      <w:r>
        <w:rPr>
          <w:rStyle w:val="97"/>
        </w:rPr>
        <w:t>4.4</w:t>
      </w:r>
      <w:r>
        <w:rPr>
          <w:rStyle w:val="97"/>
          <w:rFonts w:hint="eastAsia"/>
        </w:rPr>
        <w:t>声环境质量现状监测与评价</w:t>
      </w:r>
      <w:r>
        <w:tab/>
      </w:r>
      <w:r>
        <w:fldChar w:fldCharType="begin"/>
      </w:r>
      <w:r>
        <w:instrText xml:space="preserve"> PAGEREF _Toc166572296 \h </w:instrText>
      </w:r>
      <w:r>
        <w:fldChar w:fldCharType="separate"/>
      </w:r>
      <w:r>
        <w:t>94</w:t>
      </w:r>
      <w:r>
        <w:fldChar w:fldCharType="end"/>
      </w:r>
      <w:r>
        <w:fldChar w:fldCharType="end"/>
      </w:r>
    </w:p>
    <w:p w14:paraId="49EA6293">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"_Toc166572297" </w:instrText>
      </w:r>
      <w:r>
        <w:fldChar w:fldCharType="separate"/>
      </w:r>
      <w:r>
        <w:rPr>
          <w:rStyle w:val="97"/>
        </w:rPr>
        <w:t>4.4.1</w:t>
      </w:r>
      <w:r>
        <w:rPr>
          <w:rStyle w:val="97"/>
          <w:rFonts w:hint="eastAsia"/>
        </w:rPr>
        <w:t>声环境质量现状监测</w:t>
      </w:r>
      <w:r>
        <w:tab/>
      </w:r>
      <w:r>
        <w:fldChar w:fldCharType="begin"/>
      </w:r>
      <w:r>
        <w:instrText xml:space="preserve"> PAGEREF _Toc166572297 \h </w:instrText>
      </w:r>
      <w:r>
        <w:fldChar w:fldCharType="separate"/>
      </w:r>
      <w:r>
        <w:t>95</w:t>
      </w:r>
      <w:r>
        <w:fldChar w:fldCharType="end"/>
      </w:r>
      <w:r>
        <w:fldChar w:fldCharType="end"/>
      </w:r>
    </w:p>
    <w:p w14:paraId="5F56792B">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"_Toc166572298" </w:instrText>
      </w:r>
      <w:r>
        <w:fldChar w:fldCharType="separate"/>
      </w:r>
      <w:r>
        <w:rPr>
          <w:rStyle w:val="97"/>
        </w:rPr>
        <w:t>4.4.2</w:t>
      </w:r>
      <w:r>
        <w:rPr>
          <w:rStyle w:val="97"/>
          <w:rFonts w:hint="eastAsia"/>
        </w:rPr>
        <w:t>声环境质量现状评价</w:t>
      </w:r>
      <w:r>
        <w:tab/>
      </w:r>
      <w:r>
        <w:fldChar w:fldCharType="begin"/>
      </w:r>
      <w:r>
        <w:instrText xml:space="preserve"> PAGEREF _Toc166572298 \h </w:instrText>
      </w:r>
      <w:r>
        <w:fldChar w:fldCharType="separate"/>
      </w:r>
      <w:r>
        <w:t>96</w:t>
      </w:r>
      <w:r>
        <w:fldChar w:fldCharType="end"/>
      </w:r>
      <w:r>
        <w:fldChar w:fldCharType="end"/>
      </w:r>
    </w:p>
    <w:p w14:paraId="10E0B27C">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"_Toc166572299" </w:instrText>
      </w:r>
      <w:r>
        <w:fldChar w:fldCharType="separate"/>
      </w:r>
      <w:r>
        <w:rPr>
          <w:rStyle w:val="97"/>
        </w:rPr>
        <w:t>4.5</w:t>
      </w:r>
      <w:r>
        <w:rPr>
          <w:rStyle w:val="97"/>
          <w:rFonts w:hint="eastAsia"/>
        </w:rPr>
        <w:t>土壤环境质量现状调查与评价</w:t>
      </w:r>
      <w:r>
        <w:tab/>
      </w:r>
      <w:r>
        <w:fldChar w:fldCharType="begin"/>
      </w:r>
      <w:r>
        <w:instrText xml:space="preserve"> PAGEREF _Toc166572299 \h </w:instrText>
      </w:r>
      <w:r>
        <w:fldChar w:fldCharType="separate"/>
      </w:r>
      <w:r>
        <w:t>96</w:t>
      </w:r>
      <w:r>
        <w:fldChar w:fldCharType="end"/>
      </w:r>
      <w:r>
        <w:fldChar w:fldCharType="end"/>
      </w:r>
    </w:p>
    <w:p w14:paraId="58195BCE">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"_Toc166572300" </w:instrText>
      </w:r>
      <w:r>
        <w:fldChar w:fldCharType="separate"/>
      </w:r>
      <w:r>
        <w:rPr>
          <w:rStyle w:val="97"/>
        </w:rPr>
        <w:t>4.5.1</w:t>
      </w:r>
      <w:r>
        <w:rPr>
          <w:rStyle w:val="97"/>
          <w:rFonts w:hint="eastAsia"/>
        </w:rPr>
        <w:t>土壤环境质量现状监测</w:t>
      </w:r>
      <w:r>
        <w:tab/>
      </w:r>
      <w:r>
        <w:fldChar w:fldCharType="begin"/>
      </w:r>
      <w:r>
        <w:instrText xml:space="preserve"> PAGEREF _Toc166572300 \h </w:instrText>
      </w:r>
      <w:r>
        <w:fldChar w:fldCharType="separate"/>
      </w:r>
      <w:r>
        <w:t>96</w:t>
      </w:r>
      <w:r>
        <w:fldChar w:fldCharType="end"/>
      </w:r>
      <w:r>
        <w:fldChar w:fldCharType="end"/>
      </w:r>
    </w:p>
    <w:p w14:paraId="0F840FE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"_Toc166572301" </w:instrText>
      </w:r>
      <w:r>
        <w:fldChar w:fldCharType="separate"/>
      </w:r>
      <w:r>
        <w:rPr>
          <w:rStyle w:val="97"/>
        </w:rPr>
        <w:t>4.5.2</w:t>
      </w:r>
      <w:r>
        <w:rPr>
          <w:rStyle w:val="97"/>
          <w:rFonts w:hint="eastAsia"/>
        </w:rPr>
        <w:t>土壤环境质量现状评价</w:t>
      </w:r>
      <w:r>
        <w:tab/>
      </w:r>
      <w:r>
        <w:fldChar w:fldCharType="begin"/>
      </w:r>
      <w:r>
        <w:instrText xml:space="preserve"> PAGEREF _Toc166572301 \h </w:instrText>
      </w:r>
      <w:r>
        <w:fldChar w:fldCharType="separate"/>
      </w:r>
      <w:r>
        <w:t>98</w:t>
      </w:r>
      <w:r>
        <w:fldChar w:fldCharType="end"/>
      </w:r>
      <w:r>
        <w:fldChar w:fldCharType="end"/>
      </w:r>
    </w:p>
    <w:p w14:paraId="3FFA6BF8">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"_Toc166572302" </w:instrText>
      </w:r>
      <w:r>
        <w:fldChar w:fldCharType="separate"/>
      </w:r>
      <w:r>
        <w:rPr>
          <w:rStyle w:val="97"/>
        </w:rPr>
        <w:t>4.6</w:t>
      </w:r>
      <w:r>
        <w:rPr>
          <w:rStyle w:val="97"/>
          <w:rFonts w:hint="eastAsia"/>
        </w:rPr>
        <w:t>生态环境现状调查与评价</w:t>
      </w:r>
      <w:r>
        <w:tab/>
      </w:r>
      <w:r>
        <w:fldChar w:fldCharType="begin"/>
      </w:r>
      <w:r>
        <w:instrText xml:space="preserve"> PAGEREF _Toc166572302 \h </w:instrText>
      </w:r>
      <w:r>
        <w:fldChar w:fldCharType="separate"/>
      </w:r>
      <w:r>
        <w:t>99</w:t>
      </w:r>
      <w:r>
        <w:fldChar w:fldCharType="end"/>
      </w:r>
      <w:r>
        <w:fldChar w:fldCharType="end"/>
      </w:r>
    </w:p>
    <w:p w14:paraId="217B5F98">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"_Toc166572303" </w:instrText>
      </w:r>
      <w:r>
        <w:fldChar w:fldCharType="separate"/>
      </w:r>
      <w:r>
        <w:rPr>
          <w:rStyle w:val="97"/>
        </w:rPr>
        <w:t>4.6.1</w:t>
      </w:r>
      <w:r>
        <w:rPr>
          <w:rStyle w:val="97"/>
          <w:rFonts w:hint="eastAsia"/>
        </w:rPr>
        <w:t>生态系统功能区划</w:t>
      </w:r>
      <w:r>
        <w:tab/>
      </w:r>
      <w:r>
        <w:fldChar w:fldCharType="begin"/>
      </w:r>
      <w:r>
        <w:instrText xml:space="preserve"> PAGEREF _Toc166572303 \h </w:instrText>
      </w:r>
      <w:r>
        <w:fldChar w:fldCharType="separate"/>
      </w:r>
      <w:r>
        <w:t>99</w:t>
      </w:r>
      <w:r>
        <w:fldChar w:fldCharType="end"/>
      </w:r>
      <w:r>
        <w:fldChar w:fldCharType="end"/>
      </w:r>
    </w:p>
    <w:p w14:paraId="3F3808C5">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"_Toc166572304" </w:instrText>
      </w:r>
      <w:r>
        <w:fldChar w:fldCharType="separate"/>
      </w:r>
      <w:r>
        <w:rPr>
          <w:rStyle w:val="97"/>
        </w:rPr>
        <w:t>4.6.2</w:t>
      </w:r>
      <w:r>
        <w:rPr>
          <w:rStyle w:val="97"/>
          <w:rFonts w:hint="eastAsia"/>
        </w:rPr>
        <w:t>与保护区位置关系</w:t>
      </w:r>
      <w:r>
        <w:tab/>
      </w:r>
      <w:r>
        <w:fldChar w:fldCharType="begin"/>
      </w:r>
      <w:r>
        <w:instrText xml:space="preserve"> PAGEREF _Toc166572304 \h </w:instrText>
      </w:r>
      <w:r>
        <w:fldChar w:fldCharType="separate"/>
      </w:r>
      <w:r>
        <w:t>103</w:t>
      </w:r>
      <w:r>
        <w:fldChar w:fldCharType="end"/>
      </w:r>
      <w:r>
        <w:fldChar w:fldCharType="end"/>
      </w:r>
    </w:p>
    <w:p w14:paraId="54FE17F3">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"_Toc166572305" </w:instrText>
      </w:r>
      <w:r>
        <w:fldChar w:fldCharType="separate"/>
      </w:r>
      <w:r>
        <w:rPr>
          <w:rStyle w:val="97"/>
        </w:rPr>
        <w:t>4.6.3</w:t>
      </w:r>
      <w:r>
        <w:rPr>
          <w:rStyle w:val="97"/>
          <w:rFonts w:hint="eastAsia"/>
        </w:rPr>
        <w:t>生态环境现状调查方法</w:t>
      </w:r>
      <w:r>
        <w:tab/>
      </w:r>
      <w:r>
        <w:fldChar w:fldCharType="begin"/>
      </w:r>
      <w:r>
        <w:instrText xml:space="preserve"> PAGEREF _Toc166572305 \h </w:instrText>
      </w:r>
      <w:r>
        <w:fldChar w:fldCharType="separate"/>
      </w:r>
      <w:r>
        <w:t>105</w:t>
      </w:r>
      <w:r>
        <w:fldChar w:fldCharType="end"/>
      </w:r>
      <w:r>
        <w:fldChar w:fldCharType="end"/>
      </w:r>
    </w:p>
    <w:p w14:paraId="635757F9">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"_Toc166572306" </w:instrText>
      </w:r>
      <w:r>
        <w:fldChar w:fldCharType="separate"/>
      </w:r>
      <w:r>
        <w:rPr>
          <w:rStyle w:val="97"/>
        </w:rPr>
        <w:t>4.6.4</w:t>
      </w:r>
      <w:r>
        <w:rPr>
          <w:rStyle w:val="97"/>
          <w:rFonts w:hint="eastAsia"/>
        </w:rPr>
        <w:t>遥感调查技术手段及信息来源</w:t>
      </w:r>
      <w:r>
        <w:tab/>
      </w:r>
      <w:r>
        <w:fldChar w:fldCharType="begin"/>
      </w:r>
      <w:r>
        <w:instrText xml:space="preserve"> PAGEREF _Toc166572306 \h </w:instrText>
      </w:r>
      <w:r>
        <w:fldChar w:fldCharType="separate"/>
      </w:r>
      <w:r>
        <w:t>123</w:t>
      </w:r>
      <w:r>
        <w:fldChar w:fldCharType="end"/>
      </w:r>
      <w:r>
        <w:fldChar w:fldCharType="end"/>
      </w:r>
    </w:p>
    <w:p w14:paraId="03F1862B">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"_Toc166572307" </w:instrText>
      </w:r>
      <w:r>
        <w:fldChar w:fldCharType="separate"/>
      </w:r>
      <w:r>
        <w:rPr>
          <w:rStyle w:val="97"/>
        </w:rPr>
        <w:t>4.6.5</w:t>
      </w:r>
      <w:r>
        <w:rPr>
          <w:rStyle w:val="97"/>
          <w:rFonts w:hint="eastAsia"/>
        </w:rPr>
        <w:t>土地利用现状评价</w:t>
      </w:r>
      <w:r>
        <w:tab/>
      </w:r>
      <w:r>
        <w:fldChar w:fldCharType="begin"/>
      </w:r>
      <w:r>
        <w:instrText xml:space="preserve"> PAGEREF _Toc166572307 \h </w:instrText>
      </w:r>
      <w:r>
        <w:fldChar w:fldCharType="separate"/>
      </w:r>
      <w:r>
        <w:t>126</w:t>
      </w:r>
      <w:r>
        <w:fldChar w:fldCharType="end"/>
      </w:r>
      <w:r>
        <w:fldChar w:fldCharType="end"/>
      </w:r>
    </w:p>
    <w:p w14:paraId="02CCC182">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"_Toc166572308" </w:instrText>
      </w:r>
      <w:r>
        <w:fldChar w:fldCharType="separate"/>
      </w:r>
      <w:r>
        <w:rPr>
          <w:rStyle w:val="97"/>
        </w:rPr>
        <w:t>4.6.6</w:t>
      </w:r>
      <w:r>
        <w:rPr>
          <w:rStyle w:val="97"/>
          <w:rFonts w:hint="eastAsia"/>
        </w:rPr>
        <w:t>植被现状调查与评价</w:t>
      </w:r>
      <w:r>
        <w:tab/>
      </w:r>
      <w:r>
        <w:fldChar w:fldCharType="begin"/>
      </w:r>
      <w:r>
        <w:instrText xml:space="preserve"> PAGEREF _Toc166572308 \h </w:instrText>
      </w:r>
      <w:r>
        <w:fldChar w:fldCharType="separate"/>
      </w:r>
      <w:r>
        <w:t>129</w:t>
      </w:r>
      <w:r>
        <w:fldChar w:fldCharType="end"/>
      </w:r>
      <w:r>
        <w:fldChar w:fldCharType="end"/>
      </w:r>
    </w:p>
    <w:p w14:paraId="0BA6CAC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"_Toc166572309" </w:instrText>
      </w:r>
      <w:r>
        <w:fldChar w:fldCharType="separate"/>
      </w:r>
      <w:r>
        <w:rPr>
          <w:rStyle w:val="97"/>
        </w:rPr>
        <w:t>4.6.7</w:t>
      </w:r>
      <w:r>
        <w:rPr>
          <w:rStyle w:val="97"/>
          <w:rFonts w:hint="eastAsia"/>
        </w:rPr>
        <w:t>景观格局现状评价</w:t>
      </w:r>
      <w:r>
        <w:tab/>
      </w:r>
      <w:r>
        <w:fldChar w:fldCharType="begin"/>
      </w:r>
      <w:r>
        <w:instrText xml:space="preserve"> PAGEREF _Toc166572309 \h </w:instrText>
      </w:r>
      <w:r>
        <w:fldChar w:fldCharType="separate"/>
      </w:r>
      <w:r>
        <w:t>138</w:t>
      </w:r>
      <w:r>
        <w:fldChar w:fldCharType="end"/>
      </w:r>
      <w:r>
        <w:fldChar w:fldCharType="end"/>
      </w:r>
    </w:p>
    <w:p w14:paraId="48D9A12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"_Toc166572310" </w:instrText>
      </w:r>
      <w:r>
        <w:fldChar w:fldCharType="separate"/>
      </w:r>
      <w:r>
        <w:rPr>
          <w:rStyle w:val="97"/>
        </w:rPr>
        <w:t>4.6.8</w:t>
      </w:r>
      <w:r>
        <w:rPr>
          <w:rStyle w:val="97"/>
          <w:rFonts w:hint="eastAsia"/>
        </w:rPr>
        <w:t>生态系统现状评价</w:t>
      </w:r>
      <w:r>
        <w:tab/>
      </w:r>
      <w:r>
        <w:fldChar w:fldCharType="begin"/>
      </w:r>
      <w:r>
        <w:instrText xml:space="preserve"> PAGEREF _Toc166572310 \h </w:instrText>
      </w:r>
      <w:r>
        <w:fldChar w:fldCharType="separate"/>
      </w:r>
      <w:r>
        <w:t>140</w:t>
      </w:r>
      <w:r>
        <w:fldChar w:fldCharType="end"/>
      </w:r>
      <w:r>
        <w:fldChar w:fldCharType="end"/>
      </w:r>
    </w:p>
    <w:p w14:paraId="4E3E7708">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"_Toc166572311" </w:instrText>
      </w:r>
      <w:r>
        <w:fldChar w:fldCharType="separate"/>
      </w:r>
      <w:r>
        <w:rPr>
          <w:rStyle w:val="97"/>
        </w:rPr>
        <w:t>4.6.9</w:t>
      </w:r>
      <w:r>
        <w:rPr>
          <w:rStyle w:val="97"/>
          <w:rFonts w:hint="eastAsia"/>
        </w:rPr>
        <w:t>生物量</w:t>
      </w:r>
      <w:r>
        <w:tab/>
      </w:r>
      <w:r>
        <w:fldChar w:fldCharType="begin"/>
      </w:r>
      <w:r>
        <w:instrText xml:space="preserve"> PAGEREF _Toc166572311 \h </w:instrText>
      </w:r>
      <w:r>
        <w:fldChar w:fldCharType="separate"/>
      </w:r>
      <w:r>
        <w:t>146</w:t>
      </w:r>
      <w:r>
        <w:fldChar w:fldCharType="end"/>
      </w:r>
      <w:r>
        <w:fldChar w:fldCharType="end"/>
      </w:r>
    </w:p>
    <w:p w14:paraId="500A23A6">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"_Toc166572312" </w:instrText>
      </w:r>
      <w:r>
        <w:fldChar w:fldCharType="separate"/>
      </w:r>
      <w:r>
        <w:rPr>
          <w:rStyle w:val="97"/>
        </w:rPr>
        <w:t>4.6.10</w:t>
      </w:r>
      <w:r>
        <w:rPr>
          <w:rStyle w:val="97"/>
          <w:rFonts w:hint="eastAsia"/>
        </w:rPr>
        <w:t>动物资源现状</w:t>
      </w:r>
      <w:r>
        <w:tab/>
      </w:r>
      <w:r>
        <w:fldChar w:fldCharType="begin"/>
      </w:r>
      <w:r>
        <w:instrText xml:space="preserve"> PAGEREF _Toc166572312 \h </w:instrText>
      </w:r>
      <w:r>
        <w:fldChar w:fldCharType="separate"/>
      </w:r>
      <w:r>
        <w:t>146</w:t>
      </w:r>
      <w:r>
        <w:fldChar w:fldCharType="end"/>
      </w:r>
      <w:r>
        <w:fldChar w:fldCharType="end"/>
      </w:r>
    </w:p>
    <w:p w14:paraId="351A7382">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"_Toc166572313" </w:instrText>
      </w:r>
      <w:r>
        <w:fldChar w:fldCharType="separate"/>
      </w:r>
      <w:r>
        <w:rPr>
          <w:rStyle w:val="97"/>
        </w:rPr>
        <w:t>4.6.11</w:t>
      </w:r>
      <w:r>
        <w:rPr>
          <w:rStyle w:val="97"/>
          <w:rFonts w:hint="eastAsia"/>
        </w:rPr>
        <w:t>物种多样性评价</w:t>
      </w:r>
      <w:r>
        <w:tab/>
      </w:r>
      <w:r>
        <w:fldChar w:fldCharType="begin"/>
      </w:r>
      <w:r>
        <w:instrText xml:space="preserve"> PAGEREF _Toc166572313 \h </w:instrText>
      </w:r>
      <w:r>
        <w:fldChar w:fldCharType="separate"/>
      </w:r>
      <w:r>
        <w:t>149</w:t>
      </w:r>
      <w:r>
        <w:fldChar w:fldCharType="end"/>
      </w:r>
      <w:r>
        <w:fldChar w:fldCharType="end"/>
      </w:r>
    </w:p>
    <w:p w14:paraId="2215DCA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"_Toc166572314" </w:instrText>
      </w:r>
      <w:r>
        <w:fldChar w:fldCharType="separate"/>
      </w:r>
      <w:r>
        <w:rPr>
          <w:rStyle w:val="97"/>
        </w:rPr>
        <w:t>4.6.12</w:t>
      </w:r>
      <w:r>
        <w:rPr>
          <w:rStyle w:val="97"/>
          <w:rFonts w:hint="eastAsia"/>
        </w:rPr>
        <w:t>生态现状综合评价</w:t>
      </w:r>
      <w:r>
        <w:tab/>
      </w:r>
      <w:r>
        <w:fldChar w:fldCharType="begin"/>
      </w:r>
      <w:r>
        <w:instrText xml:space="preserve"> PAGEREF _Toc166572314 \h </w:instrText>
      </w:r>
      <w:r>
        <w:fldChar w:fldCharType="separate"/>
      </w:r>
      <w:r>
        <w:t>152</w:t>
      </w:r>
      <w:r>
        <w:fldChar w:fldCharType="end"/>
      </w:r>
      <w:r>
        <w:fldChar w:fldCharType="end"/>
      </w:r>
    </w:p>
    <w:p w14:paraId="1E056610">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"_Toc166572315" </w:instrText>
      </w:r>
      <w:r>
        <w:fldChar w:fldCharType="separate"/>
      </w:r>
      <w:r>
        <w:rPr>
          <w:rStyle w:val="97"/>
        </w:rPr>
        <w:t>4.6.13</w:t>
      </w:r>
      <w:r>
        <w:rPr>
          <w:rStyle w:val="97"/>
          <w:rFonts w:hint="eastAsia"/>
        </w:rPr>
        <w:t>生态保护措施</w:t>
      </w:r>
      <w:r>
        <w:tab/>
      </w:r>
      <w:r>
        <w:fldChar w:fldCharType="begin"/>
      </w:r>
      <w:r>
        <w:instrText xml:space="preserve"> PAGEREF _Toc166572315 \h </w:instrText>
      </w:r>
      <w:r>
        <w:fldChar w:fldCharType="separate"/>
      </w:r>
      <w:r>
        <w:t>153</w:t>
      </w:r>
      <w:r>
        <w:fldChar w:fldCharType="end"/>
      </w:r>
      <w:r>
        <w:fldChar w:fldCharType="end"/>
      </w:r>
    </w:p>
    <w:p w14:paraId="00D0DB9F">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"_Toc166572316" </w:instrText>
      </w:r>
      <w:r>
        <w:fldChar w:fldCharType="separate"/>
      </w:r>
      <w:r>
        <w:rPr>
          <w:rStyle w:val="97"/>
        </w:rPr>
        <w:t>5</w:t>
      </w:r>
      <w:r>
        <w:rPr>
          <w:rStyle w:val="97"/>
          <w:rFonts w:hint="eastAsia"/>
        </w:rPr>
        <w:t>环境影响预测与评价</w:t>
      </w:r>
      <w:r>
        <w:tab/>
      </w:r>
      <w:r>
        <w:fldChar w:fldCharType="begin"/>
      </w:r>
      <w:r>
        <w:instrText xml:space="preserve"> PAGEREF _Toc166572316 \h </w:instrText>
      </w:r>
      <w:r>
        <w:fldChar w:fldCharType="separate"/>
      </w:r>
      <w:r>
        <w:t>154</w:t>
      </w:r>
      <w:r>
        <w:fldChar w:fldCharType="end"/>
      </w:r>
      <w:r>
        <w:fldChar w:fldCharType="end"/>
      </w:r>
    </w:p>
    <w:p w14:paraId="1A7F4CF9">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"_Toc166572317" </w:instrText>
      </w:r>
      <w:r>
        <w:fldChar w:fldCharType="separate"/>
      </w:r>
      <w:r>
        <w:rPr>
          <w:rStyle w:val="97"/>
        </w:rPr>
        <w:t>5.1</w:t>
      </w:r>
      <w:r>
        <w:rPr>
          <w:rStyle w:val="97"/>
          <w:rFonts w:hint="eastAsia"/>
        </w:rPr>
        <w:t>施工期环境影响预测与分析</w:t>
      </w:r>
      <w:r>
        <w:tab/>
      </w:r>
      <w:r>
        <w:fldChar w:fldCharType="begin"/>
      </w:r>
      <w:r>
        <w:instrText xml:space="preserve"> PAGEREF _Toc166572317 \h </w:instrText>
      </w:r>
      <w:r>
        <w:fldChar w:fldCharType="separate"/>
      </w:r>
      <w:r>
        <w:t>154</w:t>
      </w:r>
      <w:r>
        <w:fldChar w:fldCharType="end"/>
      </w:r>
      <w:r>
        <w:fldChar w:fldCharType="end"/>
      </w:r>
    </w:p>
    <w:p w14:paraId="5626A8C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"_Toc166572318" </w:instrText>
      </w:r>
      <w:r>
        <w:fldChar w:fldCharType="separate"/>
      </w:r>
      <w:r>
        <w:rPr>
          <w:rStyle w:val="97"/>
        </w:rPr>
        <w:t>5.1.1</w:t>
      </w:r>
      <w:r>
        <w:rPr>
          <w:rStyle w:val="97"/>
          <w:rFonts w:hint="eastAsia"/>
        </w:rPr>
        <w:t>施工期大气环境影响分析</w:t>
      </w:r>
      <w:r>
        <w:tab/>
      </w:r>
      <w:r>
        <w:fldChar w:fldCharType="begin"/>
      </w:r>
      <w:r>
        <w:instrText xml:space="preserve"> PAGEREF _Toc166572318 \h </w:instrText>
      </w:r>
      <w:r>
        <w:fldChar w:fldCharType="separate"/>
      </w:r>
      <w:r>
        <w:t>154</w:t>
      </w:r>
      <w:r>
        <w:fldChar w:fldCharType="end"/>
      </w:r>
      <w:r>
        <w:fldChar w:fldCharType="end"/>
      </w:r>
    </w:p>
    <w:p w14:paraId="2525A11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"_Toc166572319" </w:instrText>
      </w:r>
      <w:r>
        <w:fldChar w:fldCharType="separate"/>
      </w:r>
      <w:r>
        <w:rPr>
          <w:rStyle w:val="97"/>
        </w:rPr>
        <w:t>5.1.2</w:t>
      </w:r>
      <w:r>
        <w:rPr>
          <w:rStyle w:val="97"/>
          <w:rFonts w:hint="eastAsia"/>
        </w:rPr>
        <w:t>施工期水环境影响分析</w:t>
      </w:r>
      <w:r>
        <w:tab/>
      </w:r>
      <w:r>
        <w:fldChar w:fldCharType="begin"/>
      </w:r>
      <w:r>
        <w:instrText xml:space="preserve"> PAGEREF _Toc166572319 \h </w:instrText>
      </w:r>
      <w:r>
        <w:fldChar w:fldCharType="separate"/>
      </w:r>
      <w:r>
        <w:t>155</w:t>
      </w:r>
      <w:r>
        <w:fldChar w:fldCharType="end"/>
      </w:r>
      <w:r>
        <w:fldChar w:fldCharType="end"/>
      </w:r>
    </w:p>
    <w:p w14:paraId="11B30C04">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"_Toc166572320" </w:instrText>
      </w:r>
      <w:r>
        <w:fldChar w:fldCharType="separate"/>
      </w:r>
      <w:r>
        <w:rPr>
          <w:rStyle w:val="97"/>
        </w:rPr>
        <w:t>5.1.3</w:t>
      </w:r>
      <w:r>
        <w:rPr>
          <w:rStyle w:val="97"/>
          <w:rFonts w:hint="eastAsia"/>
        </w:rPr>
        <w:t>施工期声环境影响分析</w:t>
      </w:r>
      <w:r>
        <w:tab/>
      </w:r>
      <w:r>
        <w:fldChar w:fldCharType="begin"/>
      </w:r>
      <w:r>
        <w:instrText xml:space="preserve"> PAGEREF _Toc166572320 \h </w:instrText>
      </w:r>
      <w:r>
        <w:fldChar w:fldCharType="separate"/>
      </w:r>
      <w:r>
        <w:t>155</w:t>
      </w:r>
      <w:r>
        <w:fldChar w:fldCharType="end"/>
      </w:r>
      <w:r>
        <w:fldChar w:fldCharType="end"/>
      </w:r>
    </w:p>
    <w:p w14:paraId="07B965AF">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"_Toc166572321" </w:instrText>
      </w:r>
      <w:r>
        <w:fldChar w:fldCharType="separate"/>
      </w:r>
      <w:r>
        <w:rPr>
          <w:rStyle w:val="97"/>
        </w:rPr>
        <w:t>5.1.4</w:t>
      </w:r>
      <w:r>
        <w:rPr>
          <w:rStyle w:val="97"/>
          <w:rFonts w:hint="eastAsia"/>
        </w:rPr>
        <w:t>施工期固体废物环境影响分析</w:t>
      </w:r>
      <w:r>
        <w:tab/>
      </w:r>
      <w:r>
        <w:fldChar w:fldCharType="begin"/>
      </w:r>
      <w:r>
        <w:instrText xml:space="preserve"> PAGEREF _Toc166572321 \h </w:instrText>
      </w:r>
      <w:r>
        <w:fldChar w:fldCharType="separate"/>
      </w:r>
      <w:r>
        <w:t>156</w:t>
      </w:r>
      <w:r>
        <w:fldChar w:fldCharType="end"/>
      </w:r>
      <w:r>
        <w:fldChar w:fldCharType="end"/>
      </w:r>
    </w:p>
    <w:p w14:paraId="76499C3B">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"_Toc166572322" </w:instrText>
      </w:r>
      <w:r>
        <w:fldChar w:fldCharType="separate"/>
      </w:r>
      <w:r>
        <w:rPr>
          <w:rStyle w:val="97"/>
        </w:rPr>
        <w:t>5.1.5</w:t>
      </w:r>
      <w:r>
        <w:rPr>
          <w:rStyle w:val="97"/>
          <w:rFonts w:hint="eastAsia"/>
        </w:rPr>
        <w:t>施工期生态环境影响预测分析</w:t>
      </w:r>
      <w:r>
        <w:tab/>
      </w:r>
      <w:r>
        <w:fldChar w:fldCharType="begin"/>
      </w:r>
      <w:r>
        <w:instrText xml:space="preserve"> PAGEREF _Toc166572322 \h </w:instrText>
      </w:r>
      <w:r>
        <w:fldChar w:fldCharType="separate"/>
      </w:r>
      <w:r>
        <w:t>156</w:t>
      </w:r>
      <w:r>
        <w:fldChar w:fldCharType="end"/>
      </w:r>
      <w:r>
        <w:fldChar w:fldCharType="end"/>
      </w:r>
    </w:p>
    <w:p w14:paraId="5134FE13">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"_Toc166572323" </w:instrText>
      </w:r>
      <w:r>
        <w:fldChar w:fldCharType="separate"/>
      </w:r>
      <w:r>
        <w:rPr>
          <w:rStyle w:val="97"/>
        </w:rPr>
        <w:t>5.2</w:t>
      </w:r>
      <w:r>
        <w:rPr>
          <w:rStyle w:val="97"/>
          <w:rFonts w:hint="eastAsia"/>
        </w:rPr>
        <w:t>运营期环境影响预测与分析</w:t>
      </w:r>
      <w:r>
        <w:tab/>
      </w:r>
      <w:r>
        <w:fldChar w:fldCharType="begin"/>
      </w:r>
      <w:r>
        <w:instrText xml:space="preserve"> PAGEREF _Toc166572323 \h </w:instrText>
      </w:r>
      <w:r>
        <w:fldChar w:fldCharType="separate"/>
      </w:r>
      <w:r>
        <w:t>158</w:t>
      </w:r>
      <w:r>
        <w:fldChar w:fldCharType="end"/>
      </w:r>
      <w:r>
        <w:fldChar w:fldCharType="end"/>
      </w:r>
    </w:p>
    <w:p w14:paraId="00DB4B46">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"_Toc166572324" </w:instrText>
      </w:r>
      <w:r>
        <w:fldChar w:fldCharType="separate"/>
      </w:r>
      <w:r>
        <w:rPr>
          <w:rStyle w:val="97"/>
        </w:rPr>
        <w:t>5.2.1</w:t>
      </w:r>
      <w:r>
        <w:rPr>
          <w:rStyle w:val="97"/>
          <w:rFonts w:hint="eastAsia"/>
        </w:rPr>
        <w:t>气象资料</w:t>
      </w:r>
      <w:r>
        <w:tab/>
      </w:r>
      <w:r>
        <w:fldChar w:fldCharType="begin"/>
      </w:r>
      <w:r>
        <w:instrText xml:space="preserve"> PAGEREF _Toc166572324 \h </w:instrText>
      </w:r>
      <w:r>
        <w:fldChar w:fldCharType="separate"/>
      </w:r>
      <w:r>
        <w:t>158</w:t>
      </w:r>
      <w:r>
        <w:fldChar w:fldCharType="end"/>
      </w:r>
      <w:r>
        <w:fldChar w:fldCharType="end"/>
      </w:r>
    </w:p>
    <w:p w14:paraId="78DF6DAF">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"_Toc166572325" </w:instrText>
      </w:r>
      <w:r>
        <w:fldChar w:fldCharType="separate"/>
      </w:r>
      <w:r>
        <w:rPr>
          <w:rStyle w:val="97"/>
        </w:rPr>
        <w:t>5.2.2</w:t>
      </w:r>
      <w:r>
        <w:rPr>
          <w:rStyle w:val="97"/>
          <w:rFonts w:hint="eastAsia"/>
        </w:rPr>
        <w:t>大气环境影响分析与评价</w:t>
      </w:r>
      <w:r>
        <w:tab/>
      </w:r>
      <w:r>
        <w:fldChar w:fldCharType="begin"/>
      </w:r>
      <w:r>
        <w:instrText xml:space="preserve"> PAGEREF _Toc166572325 \h </w:instrText>
      </w:r>
      <w:r>
        <w:fldChar w:fldCharType="separate"/>
      </w:r>
      <w:r>
        <w:t>164</w:t>
      </w:r>
      <w:r>
        <w:fldChar w:fldCharType="end"/>
      </w:r>
      <w:r>
        <w:fldChar w:fldCharType="end"/>
      </w:r>
    </w:p>
    <w:p w14:paraId="4A4631B5">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"_Toc166572326" </w:instrText>
      </w:r>
      <w:r>
        <w:fldChar w:fldCharType="separate"/>
      </w:r>
      <w:r>
        <w:rPr>
          <w:rStyle w:val="97"/>
        </w:rPr>
        <w:t>5.2.3</w:t>
      </w:r>
      <w:r>
        <w:rPr>
          <w:rStyle w:val="97"/>
          <w:rFonts w:hint="eastAsia"/>
        </w:rPr>
        <w:t>地表水环境影响分析</w:t>
      </w:r>
      <w:r>
        <w:tab/>
      </w:r>
      <w:r>
        <w:fldChar w:fldCharType="begin"/>
      </w:r>
      <w:r>
        <w:instrText xml:space="preserve"> PAGEREF _Toc166572326 \h </w:instrText>
      </w:r>
      <w:r>
        <w:fldChar w:fldCharType="separate"/>
      </w:r>
      <w:r>
        <w:t>168</w:t>
      </w:r>
      <w:r>
        <w:fldChar w:fldCharType="end"/>
      </w:r>
      <w:r>
        <w:fldChar w:fldCharType="end"/>
      </w:r>
    </w:p>
    <w:p w14:paraId="2A0FB8C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"_Toc166572327" </w:instrText>
      </w:r>
      <w:r>
        <w:fldChar w:fldCharType="separate"/>
      </w:r>
      <w:r>
        <w:rPr>
          <w:rStyle w:val="97"/>
        </w:rPr>
        <w:t>5.2.4</w:t>
      </w:r>
      <w:r>
        <w:rPr>
          <w:rStyle w:val="97"/>
          <w:rFonts w:hint="eastAsia"/>
        </w:rPr>
        <w:t>地下水环境影响分析</w:t>
      </w:r>
      <w:r>
        <w:tab/>
      </w:r>
      <w:r>
        <w:fldChar w:fldCharType="begin"/>
      </w:r>
      <w:r>
        <w:instrText xml:space="preserve"> PAGEREF _Toc166572327 \h </w:instrText>
      </w:r>
      <w:r>
        <w:fldChar w:fldCharType="separate"/>
      </w:r>
      <w:r>
        <w:t>172</w:t>
      </w:r>
      <w:r>
        <w:fldChar w:fldCharType="end"/>
      </w:r>
      <w:r>
        <w:fldChar w:fldCharType="end"/>
      </w:r>
    </w:p>
    <w:p w14:paraId="75E5C3E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"_Toc166572328" </w:instrText>
      </w:r>
      <w:r>
        <w:fldChar w:fldCharType="separate"/>
      </w:r>
      <w:r>
        <w:rPr>
          <w:rStyle w:val="97"/>
        </w:rPr>
        <w:t>5.2.5</w:t>
      </w:r>
      <w:r>
        <w:rPr>
          <w:rStyle w:val="97"/>
          <w:rFonts w:hint="eastAsia"/>
        </w:rPr>
        <w:t>声环境影响分析</w:t>
      </w:r>
      <w:r>
        <w:tab/>
      </w:r>
      <w:r>
        <w:fldChar w:fldCharType="begin"/>
      </w:r>
      <w:r>
        <w:instrText xml:space="preserve"> PAGEREF _Toc166572328 \h </w:instrText>
      </w:r>
      <w:r>
        <w:fldChar w:fldCharType="separate"/>
      </w:r>
      <w:r>
        <w:t>178</w:t>
      </w:r>
      <w:r>
        <w:fldChar w:fldCharType="end"/>
      </w:r>
      <w:r>
        <w:fldChar w:fldCharType="end"/>
      </w:r>
    </w:p>
    <w:p w14:paraId="6B1EB880">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"_Toc166572329" </w:instrText>
      </w:r>
      <w:r>
        <w:fldChar w:fldCharType="separate"/>
      </w:r>
      <w:r>
        <w:rPr>
          <w:rStyle w:val="97"/>
        </w:rPr>
        <w:t>5.2.6</w:t>
      </w:r>
      <w:r>
        <w:rPr>
          <w:rStyle w:val="97"/>
          <w:rFonts w:hint="eastAsia"/>
        </w:rPr>
        <w:t>土壤环境影响分析与评价</w:t>
      </w:r>
      <w:r>
        <w:tab/>
      </w:r>
      <w:r>
        <w:fldChar w:fldCharType="begin"/>
      </w:r>
      <w:r>
        <w:instrText xml:space="preserve"> PAGEREF _Toc166572329 \h </w:instrText>
      </w:r>
      <w:r>
        <w:fldChar w:fldCharType="separate"/>
      </w:r>
      <w:r>
        <w:t>182</w:t>
      </w:r>
      <w:r>
        <w:fldChar w:fldCharType="end"/>
      </w:r>
      <w:r>
        <w:fldChar w:fldCharType="end"/>
      </w:r>
    </w:p>
    <w:p w14:paraId="71FA0D1E">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"_Toc166572330" </w:instrText>
      </w:r>
      <w:r>
        <w:fldChar w:fldCharType="separate"/>
      </w:r>
      <w:r>
        <w:rPr>
          <w:rStyle w:val="97"/>
        </w:rPr>
        <w:t>5.2.7</w:t>
      </w:r>
      <w:r>
        <w:rPr>
          <w:rStyle w:val="97"/>
          <w:rFonts w:hint="eastAsia"/>
        </w:rPr>
        <w:t>固废环境影响分析与评价</w:t>
      </w:r>
      <w:r>
        <w:tab/>
      </w:r>
      <w:r>
        <w:fldChar w:fldCharType="begin"/>
      </w:r>
      <w:r>
        <w:instrText xml:space="preserve"> PAGEREF _Toc166572330 \h </w:instrText>
      </w:r>
      <w:r>
        <w:fldChar w:fldCharType="separate"/>
      </w:r>
      <w:r>
        <w:t>185</w:t>
      </w:r>
      <w:r>
        <w:fldChar w:fldCharType="end"/>
      </w:r>
      <w:r>
        <w:fldChar w:fldCharType="end"/>
      </w:r>
    </w:p>
    <w:p w14:paraId="1F517C67">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"_Toc166572331" </w:instrText>
      </w:r>
      <w:r>
        <w:fldChar w:fldCharType="separate"/>
      </w:r>
      <w:r>
        <w:rPr>
          <w:rStyle w:val="97"/>
        </w:rPr>
        <w:t>5.2.8</w:t>
      </w:r>
      <w:r>
        <w:rPr>
          <w:rStyle w:val="97"/>
          <w:rFonts w:hint="eastAsia"/>
        </w:rPr>
        <w:t>生态环境影响分析</w:t>
      </w:r>
      <w:r>
        <w:tab/>
      </w:r>
      <w:r>
        <w:fldChar w:fldCharType="begin"/>
      </w:r>
      <w:r>
        <w:instrText xml:space="preserve"> PAGEREF _Toc166572331 \h </w:instrText>
      </w:r>
      <w:r>
        <w:fldChar w:fldCharType="separate"/>
      </w:r>
      <w:r>
        <w:t>187</w:t>
      </w:r>
      <w:r>
        <w:fldChar w:fldCharType="end"/>
      </w:r>
      <w:r>
        <w:fldChar w:fldCharType="end"/>
      </w:r>
    </w:p>
    <w:p w14:paraId="4A720251">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"_Toc166572332" </w:instrText>
      </w:r>
      <w:r>
        <w:fldChar w:fldCharType="separate"/>
      </w:r>
      <w:r>
        <w:rPr>
          <w:rStyle w:val="97"/>
        </w:rPr>
        <w:t>6</w:t>
      </w:r>
      <w:r>
        <w:rPr>
          <w:rStyle w:val="97"/>
          <w:rFonts w:hint="eastAsia"/>
        </w:rPr>
        <w:t>环境风险评价</w:t>
      </w:r>
      <w:r>
        <w:tab/>
      </w:r>
      <w:r>
        <w:fldChar w:fldCharType="begin"/>
      </w:r>
      <w:r>
        <w:instrText xml:space="preserve"> PAGEREF _Toc166572332 \h </w:instrText>
      </w:r>
      <w:r>
        <w:fldChar w:fldCharType="separate"/>
      </w:r>
      <w:r>
        <w:t>191</w:t>
      </w:r>
      <w:r>
        <w:fldChar w:fldCharType="end"/>
      </w:r>
      <w:r>
        <w:fldChar w:fldCharType="end"/>
      </w:r>
    </w:p>
    <w:p w14:paraId="5FC79D83">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"_Toc166572333" </w:instrText>
      </w:r>
      <w:r>
        <w:fldChar w:fldCharType="separate"/>
      </w:r>
      <w:r>
        <w:rPr>
          <w:rStyle w:val="97"/>
        </w:rPr>
        <w:t>6.1</w:t>
      </w:r>
      <w:r>
        <w:rPr>
          <w:rStyle w:val="97"/>
          <w:rFonts w:hint="eastAsia"/>
        </w:rPr>
        <w:t>风险识别</w:t>
      </w:r>
      <w:r>
        <w:tab/>
      </w:r>
      <w:r>
        <w:fldChar w:fldCharType="begin"/>
      </w:r>
      <w:r>
        <w:instrText xml:space="preserve"> PAGEREF _Toc166572333 \h </w:instrText>
      </w:r>
      <w:r>
        <w:fldChar w:fldCharType="separate"/>
      </w:r>
      <w:r>
        <w:t>192</w:t>
      </w:r>
      <w:r>
        <w:fldChar w:fldCharType="end"/>
      </w:r>
      <w:r>
        <w:fldChar w:fldCharType="end"/>
      </w:r>
    </w:p>
    <w:p w14:paraId="21CAEF4D">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"_Toc166572334" </w:instrText>
      </w:r>
      <w:r>
        <w:fldChar w:fldCharType="separate"/>
      </w:r>
      <w:r>
        <w:rPr>
          <w:rStyle w:val="97"/>
        </w:rPr>
        <w:t>6.2</w:t>
      </w:r>
      <w:r>
        <w:rPr>
          <w:rStyle w:val="97"/>
          <w:rFonts w:hint="eastAsia"/>
        </w:rPr>
        <w:t>环境敏感目标</w:t>
      </w:r>
      <w:r>
        <w:tab/>
      </w:r>
      <w:r>
        <w:fldChar w:fldCharType="begin"/>
      </w:r>
      <w:r>
        <w:instrText xml:space="preserve"> PAGEREF _Toc166572334 \h </w:instrText>
      </w:r>
      <w:r>
        <w:fldChar w:fldCharType="separate"/>
      </w:r>
      <w:r>
        <w:t>193</w:t>
      </w:r>
      <w:r>
        <w:fldChar w:fldCharType="end"/>
      </w:r>
      <w:r>
        <w:fldChar w:fldCharType="end"/>
      </w:r>
    </w:p>
    <w:p w14:paraId="1B8E9F49">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"_Toc166572335" </w:instrText>
      </w:r>
      <w:r>
        <w:fldChar w:fldCharType="separate"/>
      </w:r>
      <w:r>
        <w:rPr>
          <w:rStyle w:val="97"/>
        </w:rPr>
        <w:t>6.3</w:t>
      </w:r>
      <w:r>
        <w:rPr>
          <w:rStyle w:val="97"/>
          <w:rFonts w:hint="eastAsia"/>
        </w:rPr>
        <w:t>风险评价等级与范围</w:t>
      </w:r>
      <w:r>
        <w:tab/>
      </w:r>
      <w:r>
        <w:fldChar w:fldCharType="begin"/>
      </w:r>
      <w:r>
        <w:instrText xml:space="preserve"> PAGEREF _Toc166572335 \h </w:instrText>
      </w:r>
      <w:r>
        <w:fldChar w:fldCharType="separate"/>
      </w:r>
      <w:r>
        <w:t>194</w:t>
      </w:r>
      <w:r>
        <w:fldChar w:fldCharType="end"/>
      </w:r>
      <w:r>
        <w:fldChar w:fldCharType="end"/>
      </w:r>
    </w:p>
    <w:p w14:paraId="669B8938">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"_Toc166572336" </w:instrText>
      </w:r>
      <w:r>
        <w:fldChar w:fldCharType="separate"/>
      </w:r>
      <w:r>
        <w:rPr>
          <w:rStyle w:val="97"/>
        </w:rPr>
        <w:t>6.4</w:t>
      </w:r>
      <w:r>
        <w:rPr>
          <w:rStyle w:val="97"/>
          <w:rFonts w:hint="eastAsia"/>
        </w:rPr>
        <w:t>环境风险识别</w:t>
      </w:r>
      <w:r>
        <w:tab/>
      </w:r>
      <w:r>
        <w:fldChar w:fldCharType="begin"/>
      </w:r>
      <w:r>
        <w:instrText xml:space="preserve"> PAGEREF _Toc166572336 \h </w:instrText>
      </w:r>
      <w:r>
        <w:fldChar w:fldCharType="separate"/>
      </w:r>
      <w:r>
        <w:t>194</w:t>
      </w:r>
      <w:r>
        <w:fldChar w:fldCharType="end"/>
      </w:r>
      <w:r>
        <w:fldChar w:fldCharType="end"/>
      </w:r>
    </w:p>
    <w:p w14:paraId="1FEB6080">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"_Toc166572337" </w:instrText>
      </w:r>
      <w:r>
        <w:fldChar w:fldCharType="separate"/>
      </w:r>
      <w:r>
        <w:rPr>
          <w:rStyle w:val="97"/>
        </w:rPr>
        <w:t>6.5</w:t>
      </w:r>
      <w:r>
        <w:rPr>
          <w:rStyle w:val="97"/>
          <w:rFonts w:hint="eastAsia"/>
        </w:rPr>
        <w:t>环境风险影响分析</w:t>
      </w:r>
      <w:r>
        <w:tab/>
      </w:r>
      <w:r>
        <w:fldChar w:fldCharType="begin"/>
      </w:r>
      <w:r>
        <w:instrText xml:space="preserve"> PAGEREF _Toc166572337 \h </w:instrText>
      </w:r>
      <w:r>
        <w:fldChar w:fldCharType="separate"/>
      </w:r>
      <w:r>
        <w:t>195</w:t>
      </w:r>
      <w:r>
        <w:fldChar w:fldCharType="end"/>
      </w:r>
      <w:r>
        <w:fldChar w:fldCharType="end"/>
      </w:r>
    </w:p>
    <w:p w14:paraId="611BDDF2">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"_Toc166572338" </w:instrText>
      </w:r>
      <w:r>
        <w:fldChar w:fldCharType="separate"/>
      </w:r>
      <w:r>
        <w:rPr>
          <w:rStyle w:val="97"/>
        </w:rPr>
        <w:t>6.6</w:t>
      </w:r>
      <w:r>
        <w:rPr>
          <w:rStyle w:val="97"/>
          <w:rFonts w:hint="eastAsia"/>
        </w:rPr>
        <w:t>环境风险防范措施及应急要求</w:t>
      </w:r>
      <w:r>
        <w:tab/>
      </w:r>
      <w:r>
        <w:fldChar w:fldCharType="begin"/>
      </w:r>
      <w:r>
        <w:instrText xml:space="preserve"> PAGEREF _Toc166572338 \h </w:instrText>
      </w:r>
      <w:r>
        <w:fldChar w:fldCharType="separate"/>
      </w:r>
      <w:r>
        <w:t>196</w:t>
      </w:r>
      <w:r>
        <w:fldChar w:fldCharType="end"/>
      </w:r>
      <w:r>
        <w:fldChar w:fldCharType="end"/>
      </w:r>
    </w:p>
    <w:p w14:paraId="19C4A458">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"_Toc166572339" </w:instrText>
      </w:r>
      <w:r>
        <w:fldChar w:fldCharType="separate"/>
      </w:r>
      <w:r>
        <w:rPr>
          <w:rStyle w:val="97"/>
        </w:rPr>
        <w:t>6.6.1</w:t>
      </w:r>
      <w:r>
        <w:rPr>
          <w:rStyle w:val="97"/>
          <w:rFonts w:hint="eastAsia"/>
        </w:rPr>
        <w:t>应急措施</w:t>
      </w:r>
      <w:r>
        <w:tab/>
      </w:r>
      <w:r>
        <w:fldChar w:fldCharType="begin"/>
      </w:r>
      <w:r>
        <w:instrText xml:space="preserve"> PAGEREF _Toc166572339 \h </w:instrText>
      </w:r>
      <w:r>
        <w:fldChar w:fldCharType="separate"/>
      </w:r>
      <w:r>
        <w:t>196</w:t>
      </w:r>
      <w:r>
        <w:fldChar w:fldCharType="end"/>
      </w:r>
      <w:r>
        <w:fldChar w:fldCharType="end"/>
      </w:r>
    </w:p>
    <w:p w14:paraId="5F1420CE">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"_Toc166572340" </w:instrText>
      </w:r>
      <w:r>
        <w:fldChar w:fldCharType="separate"/>
      </w:r>
      <w:r>
        <w:rPr>
          <w:rStyle w:val="97"/>
        </w:rPr>
        <w:t>6.6.2</w:t>
      </w:r>
      <w:r>
        <w:rPr>
          <w:rStyle w:val="97"/>
          <w:rFonts w:hint="eastAsia"/>
        </w:rPr>
        <w:t>应急计划区</w:t>
      </w:r>
      <w:r>
        <w:tab/>
      </w:r>
      <w:r>
        <w:fldChar w:fldCharType="begin"/>
      </w:r>
      <w:r>
        <w:instrText xml:space="preserve"> PAGEREF _Toc166572340 \h </w:instrText>
      </w:r>
      <w:r>
        <w:fldChar w:fldCharType="separate"/>
      </w:r>
      <w:r>
        <w:t>198</w:t>
      </w:r>
      <w:r>
        <w:fldChar w:fldCharType="end"/>
      </w:r>
      <w:r>
        <w:fldChar w:fldCharType="end"/>
      </w:r>
    </w:p>
    <w:p w14:paraId="4D96898E">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"_Toc166572341" </w:instrText>
      </w:r>
      <w:r>
        <w:fldChar w:fldCharType="separate"/>
      </w:r>
      <w:r>
        <w:rPr>
          <w:rStyle w:val="97"/>
        </w:rPr>
        <w:t>6.6.3</w:t>
      </w:r>
      <w:r>
        <w:rPr>
          <w:rStyle w:val="97"/>
          <w:rFonts w:hint="eastAsia"/>
        </w:rPr>
        <w:t>应急组织机构</w:t>
      </w:r>
      <w:r>
        <w:tab/>
      </w:r>
      <w:r>
        <w:fldChar w:fldCharType="begin"/>
      </w:r>
      <w:r>
        <w:instrText xml:space="preserve"> PAGEREF _Toc166572341 \h </w:instrText>
      </w:r>
      <w:r>
        <w:fldChar w:fldCharType="separate"/>
      </w:r>
      <w:r>
        <w:t>198</w:t>
      </w:r>
      <w:r>
        <w:fldChar w:fldCharType="end"/>
      </w:r>
      <w:r>
        <w:fldChar w:fldCharType="end"/>
      </w:r>
    </w:p>
    <w:p w14:paraId="1A616F0C">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"_Toc166572342" </w:instrText>
      </w:r>
      <w:r>
        <w:fldChar w:fldCharType="separate"/>
      </w:r>
      <w:r>
        <w:rPr>
          <w:rStyle w:val="97"/>
        </w:rPr>
        <w:t>6.6.4</w:t>
      </w:r>
      <w:r>
        <w:rPr>
          <w:rStyle w:val="97"/>
          <w:rFonts w:hint="eastAsia"/>
        </w:rPr>
        <w:t>应急联动机制</w:t>
      </w:r>
      <w:r>
        <w:tab/>
      </w:r>
      <w:r>
        <w:fldChar w:fldCharType="begin"/>
      </w:r>
      <w:r>
        <w:instrText xml:space="preserve"> PAGEREF _Toc166572342 \h </w:instrText>
      </w:r>
      <w:r>
        <w:fldChar w:fldCharType="separate"/>
      </w:r>
      <w:r>
        <w:t>198</w:t>
      </w:r>
      <w:r>
        <w:fldChar w:fldCharType="end"/>
      </w:r>
      <w:r>
        <w:fldChar w:fldCharType="end"/>
      </w:r>
    </w:p>
    <w:p w14:paraId="7E10B5B6">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"_Toc166572343" </w:instrText>
      </w:r>
      <w:r>
        <w:fldChar w:fldCharType="separate"/>
      </w:r>
      <w:r>
        <w:rPr>
          <w:rStyle w:val="97"/>
        </w:rPr>
        <w:t>6.6.5</w:t>
      </w:r>
      <w:r>
        <w:rPr>
          <w:rStyle w:val="97"/>
          <w:rFonts w:hint="eastAsia"/>
        </w:rPr>
        <w:t>应急防护</w:t>
      </w:r>
      <w:r>
        <w:tab/>
      </w:r>
      <w:r>
        <w:fldChar w:fldCharType="begin"/>
      </w:r>
      <w:r>
        <w:instrText xml:space="preserve"> PAGEREF _Toc166572343 \h </w:instrText>
      </w:r>
      <w:r>
        <w:fldChar w:fldCharType="separate"/>
      </w:r>
      <w:r>
        <w:t>198</w:t>
      </w:r>
      <w:r>
        <w:fldChar w:fldCharType="end"/>
      </w:r>
      <w:r>
        <w:fldChar w:fldCharType="end"/>
      </w:r>
    </w:p>
    <w:p w14:paraId="54138AE9">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"_Toc166572344" </w:instrText>
      </w:r>
      <w:r>
        <w:fldChar w:fldCharType="separate"/>
      </w:r>
      <w:r>
        <w:rPr>
          <w:rStyle w:val="97"/>
        </w:rPr>
        <w:t>6.6.6</w:t>
      </w:r>
      <w:r>
        <w:rPr>
          <w:rStyle w:val="97"/>
          <w:rFonts w:hint="eastAsia"/>
        </w:rPr>
        <w:t>事故应急救援关闭程序与恢复措施</w:t>
      </w:r>
      <w:r>
        <w:tab/>
      </w:r>
      <w:r>
        <w:fldChar w:fldCharType="begin"/>
      </w:r>
      <w:r>
        <w:instrText xml:space="preserve"> PAGEREF _Toc166572344 \h </w:instrText>
      </w:r>
      <w:r>
        <w:fldChar w:fldCharType="separate"/>
      </w:r>
      <w:r>
        <w:t>198</w:t>
      </w:r>
      <w:r>
        <w:fldChar w:fldCharType="end"/>
      </w:r>
      <w:r>
        <w:fldChar w:fldCharType="end"/>
      </w:r>
    </w:p>
    <w:p w14:paraId="21ED5DE5">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"_Toc166572345" </w:instrText>
      </w:r>
      <w:r>
        <w:fldChar w:fldCharType="separate"/>
      </w:r>
      <w:r>
        <w:rPr>
          <w:rStyle w:val="97"/>
        </w:rPr>
        <w:t>6.6.7</w:t>
      </w:r>
      <w:r>
        <w:rPr>
          <w:rStyle w:val="97"/>
          <w:rFonts w:hint="eastAsia"/>
        </w:rPr>
        <w:t>应急培训与演练</w:t>
      </w:r>
      <w:r>
        <w:tab/>
      </w:r>
      <w:r>
        <w:fldChar w:fldCharType="begin"/>
      </w:r>
      <w:r>
        <w:instrText xml:space="preserve"> PAGEREF _Toc166572345 \h </w:instrText>
      </w:r>
      <w:r>
        <w:fldChar w:fldCharType="separate"/>
      </w:r>
      <w:r>
        <w:t>198</w:t>
      </w:r>
      <w:r>
        <w:fldChar w:fldCharType="end"/>
      </w:r>
      <w:r>
        <w:fldChar w:fldCharType="end"/>
      </w:r>
    </w:p>
    <w:p w14:paraId="3C1DD875">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"_Toc166572346" </w:instrText>
      </w:r>
      <w:r>
        <w:fldChar w:fldCharType="separate"/>
      </w:r>
      <w:r>
        <w:rPr>
          <w:rStyle w:val="97"/>
        </w:rPr>
        <w:t>6.7</w:t>
      </w:r>
      <w:r>
        <w:rPr>
          <w:rStyle w:val="97"/>
          <w:rFonts w:hint="eastAsia"/>
        </w:rPr>
        <w:t>环境风险评价结论</w:t>
      </w:r>
      <w:r>
        <w:tab/>
      </w:r>
      <w:r>
        <w:fldChar w:fldCharType="begin"/>
      </w:r>
      <w:r>
        <w:instrText xml:space="preserve"> PAGEREF _Toc166572346 \h </w:instrText>
      </w:r>
      <w:r>
        <w:fldChar w:fldCharType="separate"/>
      </w:r>
      <w:r>
        <w:t>198</w:t>
      </w:r>
      <w:r>
        <w:fldChar w:fldCharType="end"/>
      </w:r>
      <w:r>
        <w:fldChar w:fldCharType="end"/>
      </w:r>
    </w:p>
    <w:p w14:paraId="61C85EBD">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"_Toc166572347" </w:instrText>
      </w:r>
      <w:r>
        <w:fldChar w:fldCharType="separate"/>
      </w:r>
      <w:r>
        <w:rPr>
          <w:rStyle w:val="97"/>
        </w:rPr>
        <w:t>7</w:t>
      </w:r>
      <w:r>
        <w:rPr>
          <w:rStyle w:val="97"/>
          <w:rFonts w:hint="eastAsia"/>
        </w:rPr>
        <w:t>环境保护措施及其可行性论证</w:t>
      </w:r>
      <w:r>
        <w:tab/>
      </w:r>
      <w:r>
        <w:fldChar w:fldCharType="begin"/>
      </w:r>
      <w:r>
        <w:instrText xml:space="preserve"> PAGEREF _Toc166572347 \h </w:instrText>
      </w:r>
      <w:r>
        <w:fldChar w:fldCharType="separate"/>
      </w:r>
      <w:r>
        <w:t>201</w:t>
      </w:r>
      <w:r>
        <w:fldChar w:fldCharType="end"/>
      </w:r>
      <w:r>
        <w:fldChar w:fldCharType="end"/>
      </w:r>
    </w:p>
    <w:p w14:paraId="72A4F2B9">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"_Toc166572348" </w:instrText>
      </w:r>
      <w:r>
        <w:fldChar w:fldCharType="separate"/>
      </w:r>
      <w:r>
        <w:rPr>
          <w:rStyle w:val="97"/>
        </w:rPr>
        <w:t xml:space="preserve">7.1 </w:t>
      </w:r>
      <w:r>
        <w:rPr>
          <w:rStyle w:val="97"/>
          <w:rFonts w:hint="eastAsia"/>
        </w:rPr>
        <w:t>施工期污染防治措施</w:t>
      </w:r>
      <w:r>
        <w:tab/>
      </w:r>
      <w:r>
        <w:fldChar w:fldCharType="begin"/>
      </w:r>
      <w:r>
        <w:instrText xml:space="preserve"> PAGEREF _Toc166572348 \h </w:instrText>
      </w:r>
      <w:r>
        <w:fldChar w:fldCharType="separate"/>
      </w:r>
      <w:r>
        <w:t>201</w:t>
      </w:r>
      <w:r>
        <w:fldChar w:fldCharType="end"/>
      </w:r>
      <w:r>
        <w:fldChar w:fldCharType="end"/>
      </w:r>
    </w:p>
    <w:p w14:paraId="4CCF1EBD">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"_Toc166572349" </w:instrText>
      </w:r>
      <w:r>
        <w:fldChar w:fldCharType="separate"/>
      </w:r>
      <w:r>
        <w:rPr>
          <w:rStyle w:val="97"/>
        </w:rPr>
        <w:t>7.1.1</w:t>
      </w:r>
      <w:r>
        <w:rPr>
          <w:rStyle w:val="97"/>
          <w:rFonts w:hint="eastAsia"/>
        </w:rPr>
        <w:t>大气污染防治措施</w:t>
      </w:r>
      <w:r>
        <w:tab/>
      </w:r>
      <w:r>
        <w:fldChar w:fldCharType="begin"/>
      </w:r>
      <w:r>
        <w:instrText xml:space="preserve"> PAGEREF _Toc166572349 \h </w:instrText>
      </w:r>
      <w:r>
        <w:fldChar w:fldCharType="separate"/>
      </w:r>
      <w:r>
        <w:t>201</w:t>
      </w:r>
      <w:r>
        <w:fldChar w:fldCharType="end"/>
      </w:r>
      <w:r>
        <w:fldChar w:fldCharType="end"/>
      </w:r>
    </w:p>
    <w:p w14:paraId="2756B4D1">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"_Toc166572350" </w:instrText>
      </w:r>
      <w:r>
        <w:fldChar w:fldCharType="separate"/>
      </w:r>
      <w:r>
        <w:rPr>
          <w:rStyle w:val="97"/>
        </w:rPr>
        <w:t>7.1.2</w:t>
      </w:r>
      <w:r>
        <w:rPr>
          <w:rStyle w:val="97"/>
          <w:rFonts w:hint="eastAsia"/>
        </w:rPr>
        <w:t>水污染防治措施</w:t>
      </w:r>
      <w:r>
        <w:tab/>
      </w:r>
      <w:r>
        <w:fldChar w:fldCharType="begin"/>
      </w:r>
      <w:r>
        <w:instrText xml:space="preserve"> PAGEREF _Toc166572350 \h </w:instrText>
      </w:r>
      <w:r>
        <w:fldChar w:fldCharType="separate"/>
      </w:r>
      <w:r>
        <w:t>202</w:t>
      </w:r>
      <w:r>
        <w:fldChar w:fldCharType="end"/>
      </w:r>
      <w:r>
        <w:fldChar w:fldCharType="end"/>
      </w:r>
    </w:p>
    <w:p w14:paraId="282CB75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"_Toc166572351" </w:instrText>
      </w:r>
      <w:r>
        <w:fldChar w:fldCharType="separate"/>
      </w:r>
      <w:r>
        <w:rPr>
          <w:rStyle w:val="97"/>
        </w:rPr>
        <w:t>7.1.3</w:t>
      </w:r>
      <w:r>
        <w:rPr>
          <w:rStyle w:val="97"/>
          <w:rFonts w:hint="eastAsia"/>
        </w:rPr>
        <w:t>噪声污染防治措施</w:t>
      </w:r>
      <w:r>
        <w:tab/>
      </w:r>
      <w:r>
        <w:fldChar w:fldCharType="begin"/>
      </w:r>
      <w:r>
        <w:instrText xml:space="preserve"> PAGEREF _Toc166572351 \h </w:instrText>
      </w:r>
      <w:r>
        <w:fldChar w:fldCharType="separate"/>
      </w:r>
      <w:r>
        <w:t>202</w:t>
      </w:r>
      <w:r>
        <w:fldChar w:fldCharType="end"/>
      </w:r>
      <w:r>
        <w:fldChar w:fldCharType="end"/>
      </w:r>
    </w:p>
    <w:p w14:paraId="05ECD31B">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"_Toc166572352" </w:instrText>
      </w:r>
      <w:r>
        <w:fldChar w:fldCharType="separate"/>
      </w:r>
      <w:r>
        <w:rPr>
          <w:rStyle w:val="97"/>
        </w:rPr>
        <w:t>7.1.4</w:t>
      </w:r>
      <w:r>
        <w:rPr>
          <w:rStyle w:val="97"/>
          <w:rFonts w:hint="eastAsia"/>
        </w:rPr>
        <w:t>固体废物污染防治措施</w:t>
      </w:r>
      <w:r>
        <w:tab/>
      </w:r>
      <w:r>
        <w:fldChar w:fldCharType="begin"/>
      </w:r>
      <w:r>
        <w:instrText xml:space="preserve"> PAGEREF _Toc166572352 \h </w:instrText>
      </w:r>
      <w:r>
        <w:fldChar w:fldCharType="separate"/>
      </w:r>
      <w:r>
        <w:t>203</w:t>
      </w:r>
      <w:r>
        <w:fldChar w:fldCharType="end"/>
      </w:r>
      <w:r>
        <w:fldChar w:fldCharType="end"/>
      </w:r>
    </w:p>
    <w:p w14:paraId="1A0569E0">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"_Toc166572353" </w:instrText>
      </w:r>
      <w:r>
        <w:fldChar w:fldCharType="separate"/>
      </w:r>
      <w:r>
        <w:rPr>
          <w:rStyle w:val="97"/>
        </w:rPr>
        <w:t>7.1.5</w:t>
      </w:r>
      <w:r>
        <w:rPr>
          <w:rStyle w:val="97"/>
          <w:rFonts w:hint="eastAsia"/>
        </w:rPr>
        <w:t>施工期生态环境防治措施</w:t>
      </w:r>
      <w:r>
        <w:tab/>
      </w:r>
      <w:r>
        <w:fldChar w:fldCharType="begin"/>
      </w:r>
      <w:r>
        <w:instrText xml:space="preserve"> PAGEREF _Toc166572353 \h </w:instrText>
      </w:r>
      <w:r>
        <w:fldChar w:fldCharType="separate"/>
      </w:r>
      <w:r>
        <w:t>203</w:t>
      </w:r>
      <w:r>
        <w:fldChar w:fldCharType="end"/>
      </w:r>
      <w:r>
        <w:fldChar w:fldCharType="end"/>
      </w:r>
    </w:p>
    <w:p w14:paraId="3053A6F6">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"_Toc166572354" </w:instrText>
      </w:r>
      <w:r>
        <w:fldChar w:fldCharType="separate"/>
      </w:r>
      <w:r>
        <w:rPr>
          <w:rStyle w:val="97"/>
        </w:rPr>
        <w:t xml:space="preserve">7.2 </w:t>
      </w:r>
      <w:r>
        <w:rPr>
          <w:rStyle w:val="97"/>
          <w:rFonts w:hint="eastAsia"/>
        </w:rPr>
        <w:t>运营期污染防治措施及其可行性分析</w:t>
      </w:r>
      <w:r>
        <w:tab/>
      </w:r>
      <w:r>
        <w:fldChar w:fldCharType="begin"/>
      </w:r>
      <w:r>
        <w:instrText xml:space="preserve"> PAGEREF _Toc166572354 \h </w:instrText>
      </w:r>
      <w:r>
        <w:fldChar w:fldCharType="separate"/>
      </w:r>
      <w:r>
        <w:t>204</w:t>
      </w:r>
      <w:r>
        <w:fldChar w:fldCharType="end"/>
      </w:r>
      <w:r>
        <w:fldChar w:fldCharType="end"/>
      </w:r>
    </w:p>
    <w:p w14:paraId="7D85A9E4">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"_Toc166572355" </w:instrText>
      </w:r>
      <w:r>
        <w:fldChar w:fldCharType="separate"/>
      </w:r>
      <w:r>
        <w:rPr>
          <w:rStyle w:val="97"/>
        </w:rPr>
        <w:t xml:space="preserve">7.2.1 </w:t>
      </w:r>
      <w:r>
        <w:rPr>
          <w:rStyle w:val="97"/>
          <w:rFonts w:hint="eastAsia"/>
        </w:rPr>
        <w:t>废气污染防治措施及其可行性分析</w:t>
      </w:r>
      <w:r>
        <w:tab/>
      </w:r>
      <w:r>
        <w:fldChar w:fldCharType="begin"/>
      </w:r>
      <w:r>
        <w:instrText xml:space="preserve"> PAGEREF _Toc166572355 \h </w:instrText>
      </w:r>
      <w:r>
        <w:fldChar w:fldCharType="separate"/>
      </w:r>
      <w:r>
        <w:t>204</w:t>
      </w:r>
      <w:r>
        <w:fldChar w:fldCharType="end"/>
      </w:r>
      <w:r>
        <w:fldChar w:fldCharType="end"/>
      </w:r>
    </w:p>
    <w:p w14:paraId="67EAC9AF">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"_Toc166572356" </w:instrText>
      </w:r>
      <w:r>
        <w:fldChar w:fldCharType="separate"/>
      </w:r>
      <w:r>
        <w:rPr>
          <w:rStyle w:val="97"/>
        </w:rPr>
        <w:t xml:space="preserve">7.2.2 </w:t>
      </w:r>
      <w:r>
        <w:rPr>
          <w:rStyle w:val="97"/>
          <w:rFonts w:hint="eastAsia"/>
        </w:rPr>
        <w:t>废水治理措施可行性论证</w:t>
      </w:r>
      <w:r>
        <w:tab/>
      </w:r>
      <w:r>
        <w:fldChar w:fldCharType="begin"/>
      </w:r>
      <w:r>
        <w:instrText xml:space="preserve"> PAGEREF _Toc166572356 \h </w:instrText>
      </w:r>
      <w:r>
        <w:fldChar w:fldCharType="separate"/>
      </w:r>
      <w:r>
        <w:t>209</w:t>
      </w:r>
      <w:r>
        <w:fldChar w:fldCharType="end"/>
      </w:r>
      <w:r>
        <w:fldChar w:fldCharType="end"/>
      </w:r>
    </w:p>
    <w:p w14:paraId="7DFA2711">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"_Toc166572357" </w:instrText>
      </w:r>
      <w:r>
        <w:fldChar w:fldCharType="separate"/>
      </w:r>
      <w:r>
        <w:rPr>
          <w:rStyle w:val="97"/>
        </w:rPr>
        <w:t xml:space="preserve">7.2.3 </w:t>
      </w:r>
      <w:r>
        <w:rPr>
          <w:rStyle w:val="97"/>
          <w:rFonts w:hint="eastAsia"/>
        </w:rPr>
        <w:t>地下水环境污染防治措施</w:t>
      </w:r>
      <w:r>
        <w:tab/>
      </w:r>
      <w:r>
        <w:fldChar w:fldCharType="begin"/>
      </w:r>
      <w:r>
        <w:instrText xml:space="preserve"> PAGEREF _Toc166572357 \h </w:instrText>
      </w:r>
      <w:r>
        <w:fldChar w:fldCharType="separate"/>
      </w:r>
      <w:r>
        <w:t>213</w:t>
      </w:r>
      <w:r>
        <w:fldChar w:fldCharType="end"/>
      </w:r>
      <w:r>
        <w:fldChar w:fldCharType="end"/>
      </w:r>
    </w:p>
    <w:p w14:paraId="42FD65BF">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"_Toc166572358" </w:instrText>
      </w:r>
      <w:r>
        <w:fldChar w:fldCharType="separate"/>
      </w:r>
      <w:r>
        <w:rPr>
          <w:rStyle w:val="97"/>
        </w:rPr>
        <w:t xml:space="preserve">7.2.4 </w:t>
      </w:r>
      <w:r>
        <w:rPr>
          <w:rStyle w:val="97"/>
          <w:rFonts w:hint="eastAsia"/>
        </w:rPr>
        <w:t>声环境污染防治措施</w:t>
      </w:r>
      <w:r>
        <w:tab/>
      </w:r>
      <w:r>
        <w:fldChar w:fldCharType="begin"/>
      </w:r>
      <w:r>
        <w:instrText xml:space="preserve"> PAGEREF _Toc166572358 \h </w:instrText>
      </w:r>
      <w:r>
        <w:fldChar w:fldCharType="separate"/>
      </w:r>
      <w:r>
        <w:t>215</w:t>
      </w:r>
      <w:r>
        <w:fldChar w:fldCharType="end"/>
      </w:r>
      <w:r>
        <w:fldChar w:fldCharType="end"/>
      </w:r>
    </w:p>
    <w:p w14:paraId="31A1932A">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"_Toc166572359" </w:instrText>
      </w:r>
      <w:r>
        <w:fldChar w:fldCharType="separate"/>
      </w:r>
      <w:r>
        <w:rPr>
          <w:rStyle w:val="97"/>
        </w:rPr>
        <w:t xml:space="preserve">7.2.5 </w:t>
      </w:r>
      <w:r>
        <w:rPr>
          <w:rStyle w:val="97"/>
          <w:rFonts w:hint="eastAsia"/>
        </w:rPr>
        <w:t>固体废物污染防治措施</w:t>
      </w:r>
      <w:r>
        <w:tab/>
      </w:r>
      <w:r>
        <w:fldChar w:fldCharType="begin"/>
      </w:r>
      <w:r>
        <w:instrText xml:space="preserve"> PAGEREF _Toc166572359 \h </w:instrText>
      </w:r>
      <w:r>
        <w:fldChar w:fldCharType="separate"/>
      </w:r>
      <w:r>
        <w:t>216</w:t>
      </w:r>
      <w:r>
        <w:fldChar w:fldCharType="end"/>
      </w:r>
      <w:r>
        <w:fldChar w:fldCharType="end"/>
      </w:r>
    </w:p>
    <w:p w14:paraId="19E0BC23">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"_Toc166572360" </w:instrText>
      </w:r>
      <w:r>
        <w:fldChar w:fldCharType="separate"/>
      </w:r>
      <w:r>
        <w:rPr>
          <w:rStyle w:val="97"/>
        </w:rPr>
        <w:t>7.2.6</w:t>
      </w:r>
      <w:r>
        <w:rPr>
          <w:rStyle w:val="97"/>
          <w:rFonts w:hint="eastAsia"/>
        </w:rPr>
        <w:t>土壤污染治理措施</w:t>
      </w:r>
      <w:r>
        <w:tab/>
      </w:r>
      <w:r>
        <w:fldChar w:fldCharType="begin"/>
      </w:r>
      <w:r>
        <w:instrText xml:space="preserve"> PAGEREF _Toc166572360 \h </w:instrText>
      </w:r>
      <w:r>
        <w:fldChar w:fldCharType="separate"/>
      </w:r>
      <w:r>
        <w:t>216</w:t>
      </w:r>
      <w:r>
        <w:fldChar w:fldCharType="end"/>
      </w:r>
      <w:r>
        <w:fldChar w:fldCharType="end"/>
      </w:r>
    </w:p>
    <w:p w14:paraId="66971807">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"_Toc166572361" </w:instrText>
      </w:r>
      <w:r>
        <w:fldChar w:fldCharType="separate"/>
      </w:r>
      <w:r>
        <w:rPr>
          <w:rStyle w:val="97"/>
        </w:rPr>
        <w:t>7.2.7</w:t>
      </w:r>
      <w:r>
        <w:rPr>
          <w:rStyle w:val="97"/>
          <w:rFonts w:hint="eastAsia"/>
        </w:rPr>
        <w:t>生态环境防治措施</w:t>
      </w:r>
      <w:r>
        <w:tab/>
      </w:r>
      <w:r>
        <w:fldChar w:fldCharType="begin"/>
      </w:r>
      <w:r>
        <w:instrText xml:space="preserve"> PAGEREF _Toc166572361 \h </w:instrText>
      </w:r>
      <w:r>
        <w:fldChar w:fldCharType="separate"/>
      </w:r>
      <w:r>
        <w:t>218</w:t>
      </w:r>
      <w:r>
        <w:fldChar w:fldCharType="end"/>
      </w:r>
      <w:r>
        <w:fldChar w:fldCharType="end"/>
      </w:r>
    </w:p>
    <w:p w14:paraId="5D00E0C4">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"_Toc166572362" </w:instrText>
      </w:r>
      <w:r>
        <w:fldChar w:fldCharType="separate"/>
      </w:r>
      <w:r>
        <w:rPr>
          <w:rStyle w:val="97"/>
        </w:rPr>
        <w:t>8</w:t>
      </w:r>
      <w:r>
        <w:rPr>
          <w:rStyle w:val="97"/>
          <w:rFonts w:hint="eastAsia"/>
        </w:rPr>
        <w:t>环境影响经济损益分析</w:t>
      </w:r>
      <w:r>
        <w:tab/>
      </w:r>
      <w:r>
        <w:fldChar w:fldCharType="begin"/>
      </w:r>
      <w:r>
        <w:instrText xml:space="preserve"> PAGEREF _Toc166572362 \h </w:instrText>
      </w:r>
      <w:r>
        <w:fldChar w:fldCharType="separate"/>
      </w:r>
      <w:r>
        <w:t>221</w:t>
      </w:r>
      <w:r>
        <w:fldChar w:fldCharType="end"/>
      </w:r>
      <w:r>
        <w:fldChar w:fldCharType="end"/>
      </w:r>
    </w:p>
    <w:p w14:paraId="78344344">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"_Toc166572363" </w:instrText>
      </w:r>
      <w:r>
        <w:fldChar w:fldCharType="separate"/>
      </w:r>
      <w:r>
        <w:rPr>
          <w:rStyle w:val="97"/>
        </w:rPr>
        <w:t>8.1</w:t>
      </w:r>
      <w:r>
        <w:rPr>
          <w:rStyle w:val="97"/>
          <w:rFonts w:hint="eastAsia"/>
        </w:rPr>
        <w:t>环境保护投资</w:t>
      </w:r>
      <w:r>
        <w:tab/>
      </w:r>
      <w:r>
        <w:fldChar w:fldCharType="begin"/>
      </w:r>
      <w:r>
        <w:instrText xml:space="preserve"> PAGEREF _Toc166572363 \h </w:instrText>
      </w:r>
      <w:r>
        <w:fldChar w:fldCharType="separate"/>
      </w:r>
      <w:r>
        <w:t>221</w:t>
      </w:r>
      <w:r>
        <w:fldChar w:fldCharType="end"/>
      </w:r>
      <w:r>
        <w:fldChar w:fldCharType="end"/>
      </w:r>
    </w:p>
    <w:p w14:paraId="07ABD881">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"_Toc166572364" </w:instrText>
      </w:r>
      <w:r>
        <w:fldChar w:fldCharType="separate"/>
      </w:r>
      <w:r>
        <w:rPr>
          <w:rStyle w:val="97"/>
        </w:rPr>
        <w:t>8.2</w:t>
      </w:r>
      <w:r>
        <w:rPr>
          <w:rStyle w:val="97"/>
          <w:rFonts w:hint="eastAsia"/>
        </w:rPr>
        <w:t>环境效益</w:t>
      </w:r>
      <w:r>
        <w:tab/>
      </w:r>
      <w:r>
        <w:fldChar w:fldCharType="begin"/>
      </w:r>
      <w:r>
        <w:instrText xml:space="preserve"> PAGEREF _Toc166572364 \h </w:instrText>
      </w:r>
      <w:r>
        <w:fldChar w:fldCharType="separate"/>
      </w:r>
      <w:r>
        <w:t>222</w:t>
      </w:r>
      <w:r>
        <w:fldChar w:fldCharType="end"/>
      </w:r>
      <w:r>
        <w:fldChar w:fldCharType="end"/>
      </w:r>
    </w:p>
    <w:p w14:paraId="7844F6CC">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"_Toc166572365" </w:instrText>
      </w:r>
      <w:r>
        <w:fldChar w:fldCharType="separate"/>
      </w:r>
      <w:r>
        <w:rPr>
          <w:rStyle w:val="97"/>
        </w:rPr>
        <w:t>8.3</w:t>
      </w:r>
      <w:r>
        <w:rPr>
          <w:rStyle w:val="97"/>
          <w:rFonts w:hint="eastAsia"/>
        </w:rPr>
        <w:t>经济效益</w:t>
      </w:r>
      <w:r>
        <w:tab/>
      </w:r>
      <w:r>
        <w:fldChar w:fldCharType="begin"/>
      </w:r>
      <w:r>
        <w:instrText xml:space="preserve"> PAGEREF _Toc166572365 \h </w:instrText>
      </w:r>
      <w:r>
        <w:fldChar w:fldCharType="separate"/>
      </w:r>
      <w:r>
        <w:t>222</w:t>
      </w:r>
      <w:r>
        <w:fldChar w:fldCharType="end"/>
      </w:r>
      <w:r>
        <w:fldChar w:fldCharType="end"/>
      </w:r>
    </w:p>
    <w:p w14:paraId="74764230">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"_Toc166572366" </w:instrText>
      </w:r>
      <w:r>
        <w:fldChar w:fldCharType="separate"/>
      </w:r>
      <w:r>
        <w:rPr>
          <w:rStyle w:val="97"/>
        </w:rPr>
        <w:t>8.4</w:t>
      </w:r>
      <w:r>
        <w:rPr>
          <w:rStyle w:val="97"/>
          <w:rFonts w:hint="eastAsia"/>
        </w:rPr>
        <w:t>社会效益</w:t>
      </w:r>
      <w:r>
        <w:tab/>
      </w:r>
      <w:r>
        <w:fldChar w:fldCharType="begin"/>
      </w:r>
      <w:r>
        <w:instrText xml:space="preserve"> PAGEREF _Toc166572366 \h </w:instrText>
      </w:r>
      <w:r>
        <w:fldChar w:fldCharType="separate"/>
      </w:r>
      <w:r>
        <w:t>222</w:t>
      </w:r>
      <w:r>
        <w:fldChar w:fldCharType="end"/>
      </w:r>
      <w:r>
        <w:fldChar w:fldCharType="end"/>
      </w:r>
    </w:p>
    <w:p w14:paraId="0E7B590A">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"_Toc166572367" </w:instrText>
      </w:r>
      <w:r>
        <w:fldChar w:fldCharType="separate"/>
      </w:r>
      <w:r>
        <w:rPr>
          <w:rStyle w:val="97"/>
        </w:rPr>
        <w:t>8.5</w:t>
      </w:r>
      <w:r>
        <w:rPr>
          <w:rStyle w:val="97"/>
          <w:rFonts w:hint="eastAsia"/>
        </w:rPr>
        <w:t>环境经济效益综合评述</w:t>
      </w:r>
      <w:r>
        <w:tab/>
      </w:r>
      <w:r>
        <w:fldChar w:fldCharType="begin"/>
      </w:r>
      <w:r>
        <w:instrText xml:space="preserve"> PAGEREF _Toc166572367 \h </w:instrText>
      </w:r>
      <w:r>
        <w:fldChar w:fldCharType="separate"/>
      </w:r>
      <w:r>
        <w:t>223</w:t>
      </w:r>
      <w:r>
        <w:fldChar w:fldCharType="end"/>
      </w:r>
      <w:r>
        <w:fldChar w:fldCharType="end"/>
      </w:r>
    </w:p>
    <w:p w14:paraId="667115E0">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"_Toc166572368" </w:instrText>
      </w:r>
      <w:r>
        <w:fldChar w:fldCharType="separate"/>
      </w:r>
      <w:r>
        <w:rPr>
          <w:rStyle w:val="97"/>
        </w:rPr>
        <w:t>9</w:t>
      </w:r>
      <w:r>
        <w:rPr>
          <w:rStyle w:val="97"/>
          <w:rFonts w:hint="eastAsia"/>
        </w:rPr>
        <w:t>环境管理与监测计划</w:t>
      </w:r>
      <w:r>
        <w:tab/>
      </w:r>
      <w:r>
        <w:fldChar w:fldCharType="begin"/>
      </w:r>
      <w:r>
        <w:instrText xml:space="preserve"> PAGEREF _Toc166572368 \h </w:instrText>
      </w:r>
      <w:r>
        <w:fldChar w:fldCharType="separate"/>
      </w:r>
      <w:r>
        <w:t>224</w:t>
      </w:r>
      <w:r>
        <w:fldChar w:fldCharType="end"/>
      </w:r>
      <w:r>
        <w:fldChar w:fldCharType="end"/>
      </w:r>
    </w:p>
    <w:p w14:paraId="4316DD53">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"_Toc166572369" </w:instrText>
      </w:r>
      <w:r>
        <w:fldChar w:fldCharType="separate"/>
      </w:r>
      <w:r>
        <w:rPr>
          <w:rStyle w:val="97"/>
        </w:rPr>
        <w:t>9.1</w:t>
      </w:r>
      <w:r>
        <w:rPr>
          <w:rStyle w:val="97"/>
          <w:rFonts w:hint="eastAsia"/>
        </w:rPr>
        <w:t>环境管理</w:t>
      </w:r>
      <w:r>
        <w:tab/>
      </w:r>
      <w:r>
        <w:fldChar w:fldCharType="begin"/>
      </w:r>
      <w:r>
        <w:instrText xml:space="preserve"> PAGEREF _Toc166572369 \h </w:instrText>
      </w:r>
      <w:r>
        <w:fldChar w:fldCharType="separate"/>
      </w:r>
      <w:r>
        <w:t>224</w:t>
      </w:r>
      <w:r>
        <w:fldChar w:fldCharType="end"/>
      </w:r>
      <w:r>
        <w:fldChar w:fldCharType="end"/>
      </w:r>
    </w:p>
    <w:p w14:paraId="7B4F190E">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"_Toc166572370" </w:instrText>
      </w:r>
      <w:r>
        <w:fldChar w:fldCharType="separate"/>
      </w:r>
      <w:r>
        <w:rPr>
          <w:rStyle w:val="97"/>
        </w:rPr>
        <w:t>9.1.1</w:t>
      </w:r>
      <w:r>
        <w:rPr>
          <w:rStyle w:val="97"/>
          <w:rFonts w:hint="eastAsia"/>
        </w:rPr>
        <w:t>管理机构</w:t>
      </w:r>
      <w:r>
        <w:tab/>
      </w:r>
      <w:r>
        <w:fldChar w:fldCharType="begin"/>
      </w:r>
      <w:r>
        <w:instrText xml:space="preserve"> PAGEREF _Toc166572370 \h </w:instrText>
      </w:r>
      <w:r>
        <w:fldChar w:fldCharType="separate"/>
      </w:r>
      <w:r>
        <w:t>224</w:t>
      </w:r>
      <w:r>
        <w:fldChar w:fldCharType="end"/>
      </w:r>
      <w:r>
        <w:fldChar w:fldCharType="end"/>
      </w:r>
    </w:p>
    <w:p w14:paraId="0DA74CC4">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"_Toc166572371" </w:instrText>
      </w:r>
      <w:r>
        <w:fldChar w:fldCharType="separate"/>
      </w:r>
      <w:r>
        <w:rPr>
          <w:rStyle w:val="97"/>
        </w:rPr>
        <w:t>9.1.2</w:t>
      </w:r>
      <w:r>
        <w:rPr>
          <w:rStyle w:val="97"/>
          <w:rFonts w:hint="eastAsia"/>
        </w:rPr>
        <w:t>环境管理机构职责</w:t>
      </w:r>
      <w:r>
        <w:tab/>
      </w:r>
      <w:r>
        <w:fldChar w:fldCharType="begin"/>
      </w:r>
      <w:r>
        <w:instrText xml:space="preserve"> PAGEREF _Toc166572371 \h </w:instrText>
      </w:r>
      <w:r>
        <w:fldChar w:fldCharType="separate"/>
      </w:r>
      <w:r>
        <w:t>224</w:t>
      </w:r>
      <w:r>
        <w:fldChar w:fldCharType="end"/>
      </w:r>
      <w:r>
        <w:fldChar w:fldCharType="end"/>
      </w:r>
    </w:p>
    <w:p w14:paraId="52B008E2">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"_Toc166572372" </w:instrText>
      </w:r>
      <w:r>
        <w:fldChar w:fldCharType="separate"/>
      </w:r>
      <w:r>
        <w:rPr>
          <w:rStyle w:val="97"/>
        </w:rPr>
        <w:t>9.1.3</w:t>
      </w:r>
      <w:r>
        <w:rPr>
          <w:rStyle w:val="97"/>
          <w:rFonts w:hint="eastAsia"/>
        </w:rPr>
        <w:t>环境管理计划</w:t>
      </w:r>
      <w:r>
        <w:tab/>
      </w:r>
      <w:r>
        <w:fldChar w:fldCharType="begin"/>
      </w:r>
      <w:r>
        <w:instrText xml:space="preserve"> PAGEREF _Toc166572372 \h </w:instrText>
      </w:r>
      <w:r>
        <w:fldChar w:fldCharType="separate"/>
      </w:r>
      <w:r>
        <w:t>225</w:t>
      </w:r>
      <w:r>
        <w:fldChar w:fldCharType="end"/>
      </w:r>
      <w:r>
        <w:fldChar w:fldCharType="end"/>
      </w:r>
    </w:p>
    <w:p w14:paraId="3A940894">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"_Toc166572373" </w:instrText>
      </w:r>
      <w:r>
        <w:fldChar w:fldCharType="separate"/>
      </w:r>
      <w:r>
        <w:rPr>
          <w:rStyle w:val="97"/>
        </w:rPr>
        <w:t>9.1.4</w:t>
      </w:r>
      <w:r>
        <w:rPr>
          <w:rStyle w:val="97"/>
          <w:rFonts w:hint="eastAsia"/>
        </w:rPr>
        <w:t>项目防治措施</w:t>
      </w:r>
      <w:r>
        <w:tab/>
      </w:r>
      <w:r>
        <w:fldChar w:fldCharType="begin"/>
      </w:r>
      <w:r>
        <w:instrText xml:space="preserve"> PAGEREF _Toc166572373 \h </w:instrText>
      </w:r>
      <w:r>
        <w:fldChar w:fldCharType="separate"/>
      </w:r>
      <w:r>
        <w:t>226</w:t>
      </w:r>
      <w:r>
        <w:fldChar w:fldCharType="end"/>
      </w:r>
      <w:r>
        <w:fldChar w:fldCharType="end"/>
      </w:r>
    </w:p>
    <w:p w14:paraId="0534572B">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"_Toc166572374" </w:instrText>
      </w:r>
      <w:r>
        <w:fldChar w:fldCharType="separate"/>
      </w:r>
      <w:r>
        <w:rPr>
          <w:rStyle w:val="97"/>
        </w:rPr>
        <w:t>9.2</w:t>
      </w:r>
      <w:r>
        <w:rPr>
          <w:rStyle w:val="97"/>
          <w:rFonts w:hint="eastAsia"/>
        </w:rPr>
        <w:t>环境监测</w:t>
      </w:r>
      <w:r>
        <w:tab/>
      </w:r>
      <w:r>
        <w:fldChar w:fldCharType="begin"/>
      </w:r>
      <w:r>
        <w:instrText xml:space="preserve"> PAGEREF _Toc166572374 \h </w:instrText>
      </w:r>
      <w:r>
        <w:fldChar w:fldCharType="separate"/>
      </w:r>
      <w:r>
        <w:t>230</w:t>
      </w:r>
      <w:r>
        <w:fldChar w:fldCharType="end"/>
      </w:r>
      <w:r>
        <w:fldChar w:fldCharType="end"/>
      </w:r>
    </w:p>
    <w:p w14:paraId="4646A142">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"_Toc166572375" </w:instrText>
      </w:r>
      <w:r>
        <w:fldChar w:fldCharType="separate"/>
      </w:r>
      <w:r>
        <w:rPr>
          <w:rStyle w:val="97"/>
        </w:rPr>
        <w:t>9.2.1</w:t>
      </w:r>
      <w:r>
        <w:rPr>
          <w:rStyle w:val="97"/>
          <w:rFonts w:hint="eastAsia"/>
        </w:rPr>
        <w:t>监测目的</w:t>
      </w:r>
      <w:r>
        <w:tab/>
      </w:r>
      <w:r>
        <w:fldChar w:fldCharType="begin"/>
      </w:r>
      <w:r>
        <w:instrText xml:space="preserve"> PAGEREF _Toc166572375 \h </w:instrText>
      </w:r>
      <w:r>
        <w:fldChar w:fldCharType="separate"/>
      </w:r>
      <w:r>
        <w:t>230</w:t>
      </w:r>
      <w:r>
        <w:fldChar w:fldCharType="end"/>
      </w:r>
      <w:r>
        <w:fldChar w:fldCharType="end"/>
      </w:r>
    </w:p>
    <w:p w14:paraId="556475E1">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"_Toc166572376" </w:instrText>
      </w:r>
      <w:r>
        <w:fldChar w:fldCharType="separate"/>
      </w:r>
      <w:r>
        <w:rPr>
          <w:rStyle w:val="97"/>
        </w:rPr>
        <w:t>9.2.2</w:t>
      </w:r>
      <w:r>
        <w:rPr>
          <w:rStyle w:val="97"/>
          <w:rFonts w:hint="eastAsia"/>
        </w:rPr>
        <w:t>监测机构</w:t>
      </w:r>
      <w:r>
        <w:tab/>
      </w:r>
      <w:r>
        <w:fldChar w:fldCharType="begin"/>
      </w:r>
      <w:r>
        <w:instrText xml:space="preserve"> PAGEREF _Toc166572376 \h </w:instrText>
      </w:r>
      <w:r>
        <w:fldChar w:fldCharType="separate"/>
      </w:r>
      <w:r>
        <w:t>230</w:t>
      </w:r>
      <w:r>
        <w:fldChar w:fldCharType="end"/>
      </w:r>
      <w:r>
        <w:fldChar w:fldCharType="end"/>
      </w:r>
    </w:p>
    <w:p w14:paraId="2B389534">
      <w:pPr>
        <w:pStyle w:val="43"/>
        <w:tabs>
          <w:tab w:val="right" w:leader="dot" w:pos="9061"/>
        </w:tabs>
        <w:ind w:left="480"/>
        <w:rPr>
          <w:rFonts w:asciiTheme="minorHAnsi" w:hAnsiTheme="minorHAnsi" w:eastAsiaTheme="minorEastAsia" w:cstheme="minorBidi"/>
          <w:sz w:val="21"/>
          <w:szCs w:val="22"/>
        </w:rPr>
      </w:pPr>
      <w:r>
        <w:fldChar w:fldCharType="begin"/>
      </w:r>
      <w:r>
        <w:instrText xml:space="preserve"> HYPERLINK \l "_Toc166572377" </w:instrText>
      </w:r>
      <w:r>
        <w:fldChar w:fldCharType="separate"/>
      </w:r>
      <w:r>
        <w:rPr>
          <w:rStyle w:val="97"/>
        </w:rPr>
        <w:t>9.2.3</w:t>
      </w:r>
      <w:r>
        <w:rPr>
          <w:rStyle w:val="97"/>
          <w:rFonts w:hint="eastAsia"/>
        </w:rPr>
        <w:t>监测计划</w:t>
      </w:r>
      <w:r>
        <w:tab/>
      </w:r>
      <w:r>
        <w:fldChar w:fldCharType="begin"/>
      </w:r>
      <w:r>
        <w:instrText xml:space="preserve"> PAGEREF _Toc166572377 \h </w:instrText>
      </w:r>
      <w:r>
        <w:fldChar w:fldCharType="separate"/>
      </w:r>
      <w:r>
        <w:t>230</w:t>
      </w:r>
      <w:r>
        <w:fldChar w:fldCharType="end"/>
      </w:r>
      <w:r>
        <w:fldChar w:fldCharType="end"/>
      </w:r>
    </w:p>
    <w:p w14:paraId="44BF4B72">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"_Toc166572378" </w:instrText>
      </w:r>
      <w:r>
        <w:fldChar w:fldCharType="separate"/>
      </w:r>
      <w:r>
        <w:rPr>
          <w:rStyle w:val="97"/>
        </w:rPr>
        <w:t>9.3</w:t>
      </w:r>
      <w:r>
        <w:rPr>
          <w:rStyle w:val="97"/>
          <w:rFonts w:hint="eastAsia"/>
        </w:rPr>
        <w:t>排污口规范化管理</w:t>
      </w:r>
      <w:r>
        <w:tab/>
      </w:r>
      <w:r>
        <w:fldChar w:fldCharType="begin"/>
      </w:r>
      <w:r>
        <w:instrText xml:space="preserve"> PAGEREF _Toc166572378 \h </w:instrText>
      </w:r>
      <w:r>
        <w:fldChar w:fldCharType="separate"/>
      </w:r>
      <w:r>
        <w:t>233</w:t>
      </w:r>
      <w:r>
        <w:fldChar w:fldCharType="end"/>
      </w:r>
      <w:r>
        <w:fldChar w:fldCharType="end"/>
      </w:r>
    </w:p>
    <w:p w14:paraId="50BED04B">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"_Toc166572379" </w:instrText>
      </w:r>
      <w:r>
        <w:fldChar w:fldCharType="separate"/>
      </w:r>
      <w:r>
        <w:rPr>
          <w:rStyle w:val="97"/>
        </w:rPr>
        <w:t>9.4</w:t>
      </w:r>
      <w:r>
        <w:rPr>
          <w:rStyle w:val="97"/>
          <w:rFonts w:hint="eastAsia"/>
        </w:rPr>
        <w:t>排污许可管理</w:t>
      </w:r>
      <w:r>
        <w:tab/>
      </w:r>
      <w:r>
        <w:fldChar w:fldCharType="begin"/>
      </w:r>
      <w:r>
        <w:instrText xml:space="preserve"> PAGEREF _Toc166572379 \h </w:instrText>
      </w:r>
      <w:r>
        <w:fldChar w:fldCharType="separate"/>
      </w:r>
      <w:r>
        <w:t>233</w:t>
      </w:r>
      <w:r>
        <w:fldChar w:fldCharType="end"/>
      </w:r>
      <w:r>
        <w:fldChar w:fldCharType="end"/>
      </w:r>
    </w:p>
    <w:p w14:paraId="4C160A71">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"_Toc166572380" </w:instrText>
      </w:r>
      <w:r>
        <w:fldChar w:fldCharType="separate"/>
      </w:r>
      <w:r>
        <w:rPr>
          <w:rStyle w:val="97"/>
        </w:rPr>
        <w:t>9.5“</w:t>
      </w:r>
      <w:r>
        <w:rPr>
          <w:rStyle w:val="97"/>
          <w:rFonts w:hint="eastAsia"/>
        </w:rPr>
        <w:t>三同时</w:t>
      </w:r>
      <w:r>
        <w:rPr>
          <w:rStyle w:val="97"/>
        </w:rPr>
        <w:t>”</w:t>
      </w:r>
      <w:r>
        <w:rPr>
          <w:rStyle w:val="97"/>
          <w:rFonts w:hint="eastAsia"/>
        </w:rPr>
        <w:t>竣工验收一览表</w:t>
      </w:r>
      <w:r>
        <w:tab/>
      </w:r>
      <w:r>
        <w:fldChar w:fldCharType="begin"/>
      </w:r>
      <w:r>
        <w:instrText xml:space="preserve"> PAGEREF _Toc166572380 \h </w:instrText>
      </w:r>
      <w:r>
        <w:fldChar w:fldCharType="separate"/>
      </w:r>
      <w:r>
        <w:t>234</w:t>
      </w:r>
      <w:r>
        <w:fldChar w:fldCharType="end"/>
      </w:r>
      <w:r>
        <w:fldChar w:fldCharType="end"/>
      </w:r>
    </w:p>
    <w:p w14:paraId="172668BD">
      <w:pPr>
        <w:pStyle w:val="57"/>
        <w:tabs>
          <w:tab w:val="right" w:leader="dot" w:pos="9061"/>
        </w:tabs>
        <w:rPr>
          <w:rFonts w:asciiTheme="minorHAnsi" w:hAnsiTheme="minorHAnsi" w:eastAsiaTheme="minorEastAsia" w:cstheme="minorBidi"/>
          <w:b w:val="0"/>
          <w:sz w:val="21"/>
          <w:szCs w:val="22"/>
        </w:rPr>
      </w:pPr>
      <w:r>
        <w:fldChar w:fldCharType="begin"/>
      </w:r>
      <w:r>
        <w:instrText xml:space="preserve"> HYPERLINK \l "_Toc166572381" </w:instrText>
      </w:r>
      <w:r>
        <w:fldChar w:fldCharType="separate"/>
      </w:r>
      <w:r>
        <w:rPr>
          <w:rStyle w:val="97"/>
        </w:rPr>
        <w:t>10</w:t>
      </w:r>
      <w:r>
        <w:rPr>
          <w:rStyle w:val="97"/>
          <w:rFonts w:hint="eastAsia"/>
        </w:rPr>
        <w:t>环境影响评价结论</w:t>
      </w:r>
      <w:r>
        <w:tab/>
      </w:r>
      <w:r>
        <w:fldChar w:fldCharType="begin"/>
      </w:r>
      <w:r>
        <w:instrText xml:space="preserve"> PAGEREF _Toc166572381 \h </w:instrText>
      </w:r>
      <w:r>
        <w:fldChar w:fldCharType="separate"/>
      </w:r>
      <w:r>
        <w:t>236</w:t>
      </w:r>
      <w:r>
        <w:fldChar w:fldCharType="end"/>
      </w:r>
      <w:r>
        <w:fldChar w:fldCharType="end"/>
      </w:r>
    </w:p>
    <w:p w14:paraId="40EE6AE8">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"_Toc166572382" </w:instrText>
      </w:r>
      <w:r>
        <w:fldChar w:fldCharType="separate"/>
      </w:r>
      <w:r>
        <w:rPr>
          <w:rStyle w:val="97"/>
        </w:rPr>
        <w:t>10.1</w:t>
      </w:r>
      <w:r>
        <w:rPr>
          <w:rStyle w:val="97"/>
          <w:rFonts w:hint="eastAsia"/>
        </w:rPr>
        <w:t>项目概况</w:t>
      </w:r>
      <w:r>
        <w:tab/>
      </w:r>
      <w:r>
        <w:fldChar w:fldCharType="begin"/>
      </w:r>
      <w:r>
        <w:instrText xml:space="preserve"> PAGEREF _Toc166572382 \h </w:instrText>
      </w:r>
      <w:r>
        <w:fldChar w:fldCharType="separate"/>
      </w:r>
      <w:r>
        <w:t>236</w:t>
      </w:r>
      <w:r>
        <w:fldChar w:fldCharType="end"/>
      </w:r>
      <w:r>
        <w:fldChar w:fldCharType="end"/>
      </w:r>
    </w:p>
    <w:p w14:paraId="1FF1DD33">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"_Toc166572383" </w:instrText>
      </w:r>
      <w:r>
        <w:fldChar w:fldCharType="separate"/>
      </w:r>
      <w:r>
        <w:rPr>
          <w:rStyle w:val="97"/>
        </w:rPr>
        <w:t>10.2</w:t>
      </w:r>
      <w:r>
        <w:rPr>
          <w:rStyle w:val="97"/>
          <w:rFonts w:hint="eastAsia"/>
        </w:rPr>
        <w:t>区域环境质量现状</w:t>
      </w:r>
      <w:r>
        <w:tab/>
      </w:r>
      <w:r>
        <w:fldChar w:fldCharType="begin"/>
      </w:r>
      <w:r>
        <w:instrText xml:space="preserve"> PAGEREF _Toc166572383 \h </w:instrText>
      </w:r>
      <w:r>
        <w:fldChar w:fldCharType="separate"/>
      </w:r>
      <w:r>
        <w:t>236</w:t>
      </w:r>
      <w:r>
        <w:fldChar w:fldCharType="end"/>
      </w:r>
      <w:r>
        <w:fldChar w:fldCharType="end"/>
      </w:r>
    </w:p>
    <w:p w14:paraId="1A2F9282">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"_Toc166572384" </w:instrText>
      </w:r>
      <w:r>
        <w:fldChar w:fldCharType="separate"/>
      </w:r>
      <w:r>
        <w:rPr>
          <w:rStyle w:val="97"/>
        </w:rPr>
        <w:t>10.3</w:t>
      </w:r>
      <w:r>
        <w:rPr>
          <w:rStyle w:val="97"/>
          <w:rFonts w:hint="eastAsia"/>
        </w:rPr>
        <w:t>污染防治措施及环境影响评价结论</w:t>
      </w:r>
      <w:r>
        <w:tab/>
      </w:r>
      <w:r>
        <w:fldChar w:fldCharType="begin"/>
      </w:r>
      <w:r>
        <w:instrText xml:space="preserve"> PAGEREF _Toc166572384 \h </w:instrText>
      </w:r>
      <w:r>
        <w:fldChar w:fldCharType="separate"/>
      </w:r>
      <w:r>
        <w:t>237</w:t>
      </w:r>
      <w:r>
        <w:fldChar w:fldCharType="end"/>
      </w:r>
      <w:r>
        <w:fldChar w:fldCharType="end"/>
      </w:r>
    </w:p>
    <w:p w14:paraId="70B2E202">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"_Toc166572385" </w:instrText>
      </w:r>
      <w:r>
        <w:fldChar w:fldCharType="separate"/>
      </w:r>
      <w:r>
        <w:rPr>
          <w:rStyle w:val="97"/>
        </w:rPr>
        <w:t>10.4</w:t>
      </w:r>
      <w:r>
        <w:rPr>
          <w:rStyle w:val="97"/>
          <w:rFonts w:hint="eastAsia"/>
        </w:rPr>
        <w:t>环境风险分析结论</w:t>
      </w:r>
      <w:r>
        <w:tab/>
      </w:r>
      <w:r>
        <w:fldChar w:fldCharType="begin"/>
      </w:r>
      <w:r>
        <w:instrText xml:space="preserve"> PAGEREF _Toc166572385 \h </w:instrText>
      </w:r>
      <w:r>
        <w:fldChar w:fldCharType="separate"/>
      </w:r>
      <w:r>
        <w:t>238</w:t>
      </w:r>
      <w:r>
        <w:fldChar w:fldCharType="end"/>
      </w:r>
      <w:r>
        <w:fldChar w:fldCharType="end"/>
      </w:r>
    </w:p>
    <w:p w14:paraId="2A646EE1">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"_Toc166572386" </w:instrText>
      </w:r>
      <w:r>
        <w:fldChar w:fldCharType="separate"/>
      </w:r>
      <w:r>
        <w:rPr>
          <w:rStyle w:val="97"/>
        </w:rPr>
        <w:t>10.5</w:t>
      </w:r>
      <w:r>
        <w:rPr>
          <w:rStyle w:val="97"/>
          <w:rFonts w:hint="eastAsia"/>
        </w:rPr>
        <w:t>公众参与结论</w:t>
      </w:r>
      <w:r>
        <w:tab/>
      </w:r>
      <w:r>
        <w:fldChar w:fldCharType="begin"/>
      </w:r>
      <w:r>
        <w:instrText xml:space="preserve"> PAGEREF _Toc166572386 \h </w:instrText>
      </w:r>
      <w:r>
        <w:fldChar w:fldCharType="separate"/>
      </w:r>
      <w:r>
        <w:t>238</w:t>
      </w:r>
      <w:r>
        <w:fldChar w:fldCharType="end"/>
      </w:r>
      <w:r>
        <w:fldChar w:fldCharType="end"/>
      </w:r>
    </w:p>
    <w:p w14:paraId="6B5E0D8D">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"_Toc166572387" </w:instrText>
      </w:r>
      <w:r>
        <w:fldChar w:fldCharType="separate"/>
      </w:r>
      <w:r>
        <w:rPr>
          <w:rStyle w:val="97"/>
        </w:rPr>
        <w:t>10.6</w:t>
      </w:r>
      <w:r>
        <w:rPr>
          <w:rStyle w:val="97"/>
          <w:rFonts w:hint="eastAsia"/>
        </w:rPr>
        <w:t>评价总结论</w:t>
      </w:r>
      <w:r>
        <w:tab/>
      </w:r>
      <w:r>
        <w:fldChar w:fldCharType="begin"/>
      </w:r>
      <w:r>
        <w:instrText xml:space="preserve"> PAGEREF _Toc166572387 \h </w:instrText>
      </w:r>
      <w:r>
        <w:fldChar w:fldCharType="separate"/>
      </w:r>
      <w:r>
        <w:t>241</w:t>
      </w:r>
      <w:r>
        <w:fldChar w:fldCharType="end"/>
      </w:r>
      <w:r>
        <w:fldChar w:fldCharType="end"/>
      </w:r>
    </w:p>
    <w:p w14:paraId="52E74B3F">
      <w:pPr>
        <w:pStyle w:val="69"/>
        <w:tabs>
          <w:tab w:val="right" w:leader="dot" w:pos="9061"/>
        </w:tabs>
        <w:ind w:left="240"/>
        <w:rPr>
          <w:rFonts w:asciiTheme="minorHAnsi" w:hAnsiTheme="minorHAnsi" w:eastAsiaTheme="minorEastAsia" w:cstheme="minorBidi"/>
          <w:sz w:val="21"/>
          <w:szCs w:val="22"/>
        </w:rPr>
      </w:pPr>
      <w:r>
        <w:fldChar w:fldCharType="begin"/>
      </w:r>
      <w:r>
        <w:instrText xml:space="preserve"> HYPERLINK \l "_Toc166572388" </w:instrText>
      </w:r>
      <w:r>
        <w:fldChar w:fldCharType="separate"/>
      </w:r>
      <w:r>
        <w:rPr>
          <w:rStyle w:val="97"/>
        </w:rPr>
        <w:t>10.7</w:t>
      </w:r>
      <w:r>
        <w:rPr>
          <w:rStyle w:val="97"/>
          <w:rFonts w:hint="eastAsia"/>
        </w:rPr>
        <w:t>建议与要求</w:t>
      </w:r>
      <w:r>
        <w:tab/>
      </w:r>
      <w:r>
        <w:fldChar w:fldCharType="begin"/>
      </w:r>
      <w:r>
        <w:instrText xml:space="preserve"> PAGEREF _Toc166572388 \h </w:instrText>
      </w:r>
      <w:r>
        <w:fldChar w:fldCharType="separate"/>
      </w:r>
      <w:r>
        <w:t>241</w:t>
      </w:r>
      <w:r>
        <w:fldChar w:fldCharType="end"/>
      </w:r>
      <w:r>
        <w:fldChar w:fldCharType="end"/>
      </w:r>
    </w:p>
    <w:p w14:paraId="1641F92E">
      <w:pPr>
        <w:widowControl w:val="0"/>
        <w:kinsoku w:val="0"/>
        <w:overflowPunct w:val="0"/>
        <w:ind w:firstLine="0" w:firstLineChars="0"/>
        <w:jc w:val="center"/>
      </w:pPr>
      <w:r>
        <w:rPr>
          <w:szCs w:val="24"/>
        </w:rPr>
        <w:fldChar w:fldCharType="end"/>
      </w:r>
    </w:p>
    <w:p w14:paraId="14F74C47">
      <w:pPr>
        <w:ind w:firstLine="480"/>
        <w:sectPr>
          <w:footerReference r:id="rId12" w:type="default"/>
          <w:headerReference r:id="rId11" w:type="even"/>
          <w:footerReference r:id="rId13" w:type="even"/>
          <w:pgSz w:w="11907" w:h="16840"/>
          <w:pgMar w:top="1418" w:right="1418" w:bottom="1418" w:left="1418" w:header="964" w:footer="964" w:gutter="0"/>
          <w:pgNumType w:fmt="upperRoman" w:start="1"/>
          <w:cols w:space="720" w:num="1"/>
          <w:docGrid w:linePitch="312" w:charSpace="0"/>
        </w:sectPr>
      </w:pPr>
    </w:p>
    <w:bookmarkEnd w:id="0"/>
    <w:p w14:paraId="49B452AE">
      <w:pPr>
        <w:pStyle w:val="103"/>
      </w:pPr>
      <w:bookmarkStart w:id="34" w:name="_Toc36234631"/>
      <w:bookmarkStart w:id="35" w:name="_Toc166572229"/>
      <w:r>
        <w:t>1概述</w:t>
      </w:r>
      <w:bookmarkEnd w:id="34"/>
      <w:bookmarkEnd w:id="35"/>
    </w:p>
    <w:p w14:paraId="0615BBF6">
      <w:pPr>
        <w:pStyle w:val="10"/>
      </w:pPr>
      <w:bookmarkStart w:id="36" w:name="_Toc36234632"/>
      <w:bookmarkStart w:id="37" w:name="_Toc166572230"/>
      <w:r>
        <w:t>1.1</w:t>
      </w:r>
      <w:bookmarkEnd w:id="36"/>
      <w:r>
        <w:t>建设项目特点</w:t>
      </w:r>
      <w:bookmarkEnd w:id="37"/>
    </w:p>
    <w:p w14:paraId="48FAE15B">
      <w:pPr>
        <w:pStyle w:val="104"/>
      </w:pPr>
      <w:r>
        <w:t>改革开放以来，我国大力推进规模化养殖，养殖规模、生产水平极大提高，有效解决了我国城乡居民鸡</w:t>
      </w:r>
      <w:r>
        <w:rPr>
          <w:rFonts w:hint="eastAsia"/>
        </w:rPr>
        <w:t>蛋</w:t>
      </w:r>
      <w:r>
        <w:t>产品供应，其中我国鸡蛋产量也连续三十年位居世界第一。</w:t>
      </w:r>
    </w:p>
    <w:p w14:paraId="5C904EA7">
      <w:pPr>
        <w:pStyle w:val="104"/>
      </w:pPr>
      <w:r>
        <w:t>但是，在内蒙古地区，尤其是蒙西地区，规模化鸡蛋生产企业仍然较少，也间接造成当地鸡蛋价格偏高。为解决这一问题，在鄂托克旗政府支持下，内蒙古华翔农林牧科技发展有限公司与北京德青源农业科技股份有限公司合作，以德青源公司的“生态养殖－食品加工－有机肥料－订单农业－有机种植”于一体的循环经济模式为技术范本。在鄂托克旗建设存栏120万只规模的蛋鸡场，带动当地发展绿色高效农业项目，同时每年可解决当地玉米销售难题。</w:t>
      </w:r>
    </w:p>
    <w:bookmarkEnd w:id="1"/>
    <w:p w14:paraId="17FFB494">
      <w:pPr>
        <w:pStyle w:val="104"/>
      </w:pPr>
      <w:r>
        <w:t>为保证建设项目与环境保护的协调发展，根据《中华人民共和国环境影响评价法》和国家《建设项目环境保护管理条例》等有关规定，本项目应当进行环境影响评价</w:t>
      </w:r>
      <w:r>
        <w:rPr>
          <w:rFonts w:hint="eastAsia"/>
        </w:rPr>
        <w:t>。</w:t>
      </w:r>
      <w:r>
        <w:t>根据《建设项目环境影响评价分类管理名录》（生态环境部部令第16号）“二、畜牧业-3牲畜饲养031；家禽饲养032；其他畜牧业039-年出栏生猪5000头（其他畜禽种类折合猪的养殖量）及以上的规模化畜禽养殖；存栏生猪2500头（其他畜禽种类折合猪的养殖规模）及以上无出栏量的规模化畜禽养殖；涉及环境敏感区的规模化畜禽养殖”，本项目蛋鸡最大存栏120万只，根据《畜禽养殖业污染物排放标准》（GB18596-2001）中的相关规定，30只蛋鸡折算一头猪）则本项目折合</w:t>
      </w:r>
      <w:r>
        <w:rPr>
          <w:rFonts w:hint="eastAsia"/>
        </w:rPr>
        <w:t>为存栏</w:t>
      </w:r>
      <w:r>
        <w:t>生猪40000头，按名录规定，应编制环境影响报告书。</w:t>
      </w:r>
    </w:p>
    <w:p w14:paraId="4E613C0E">
      <w:pPr>
        <w:pStyle w:val="104"/>
      </w:pPr>
      <w:bookmarkStart w:id="38" w:name="_Toc36234633"/>
      <w:bookmarkStart w:id="39" w:name="_Toc469499819"/>
      <w:bookmarkStart w:id="40" w:name="_Toc455411759"/>
      <w:r>
        <w:t>内蒙古华翔农林牧科技发展有限公司成立于2018年1月，</w:t>
      </w:r>
      <w:r>
        <w:rPr>
          <w:rFonts w:hint="eastAsia"/>
        </w:rPr>
        <w:t>位于内蒙古自治区鄂尔多斯市鄂托克旗蒙西镇高新技术工业园区内，公司主要经营范围有牲畜饲养、销售；饲料加工、销售；食品加工及销售；苗木、林木种植、培育、研发、管理、销售；谷物、中药材种植、销售；普通道路货物运输的民营企业</w:t>
      </w:r>
      <w:r>
        <w:t>。</w:t>
      </w:r>
    </w:p>
    <w:p w14:paraId="3825A225">
      <w:pPr>
        <w:pStyle w:val="104"/>
      </w:pPr>
      <w:r>
        <w:rPr>
          <w:szCs w:val="24"/>
        </w:rPr>
        <w:t>本</w:t>
      </w:r>
      <w:r>
        <w:t>项目总占地面积</w:t>
      </w:r>
      <w:r>
        <w:rPr>
          <w:rFonts w:hint="eastAsia"/>
          <w:szCs w:val="22"/>
        </w:rPr>
        <w:t>28.02</w:t>
      </w:r>
      <w:r>
        <w:rPr>
          <w:szCs w:val="22"/>
        </w:rPr>
        <w:t>hm</w:t>
      </w:r>
      <w:r>
        <w:rPr>
          <w:szCs w:val="22"/>
          <w:vertAlign w:val="superscript"/>
        </w:rPr>
        <w:t>2</w:t>
      </w:r>
      <w:r>
        <w:t>。建设标准化育雏育成养殖区1 个，</w:t>
      </w:r>
      <w:r>
        <w:rPr>
          <w:rFonts w:hint="eastAsia"/>
        </w:rPr>
        <w:t>设置</w:t>
      </w:r>
      <w:r>
        <w:t>6 栋青年鸡舍</w:t>
      </w:r>
      <w:r>
        <w:rPr>
          <w:rFonts w:hint="eastAsia"/>
        </w:rPr>
        <w:t>，可</w:t>
      </w:r>
      <w:r>
        <w:t>存栏30 万只；建设标准化蛋鸡养殖小区3 个，每个小区</w:t>
      </w:r>
      <w:r>
        <w:rPr>
          <w:rFonts w:hint="eastAsia"/>
        </w:rPr>
        <w:t>分别布设</w:t>
      </w:r>
      <w:r>
        <w:t>3栋蛋鸡鸡舍，共9栋</w:t>
      </w:r>
      <w:r>
        <w:rPr>
          <w:rFonts w:hint="eastAsia"/>
        </w:rPr>
        <w:t>，可存栏9</w:t>
      </w:r>
      <w:r>
        <w:t>0</w:t>
      </w:r>
      <w:r>
        <w:rPr>
          <w:rFonts w:hint="eastAsia"/>
        </w:rPr>
        <w:t>万只</w:t>
      </w:r>
      <w:r>
        <w:t>；建设饲料加工区1处；蛋品加工中心1处；废弃物无害化处理中心1处</w:t>
      </w:r>
      <w:r>
        <w:rPr>
          <w:rFonts w:hint="eastAsia"/>
        </w:rPr>
        <w:t>；以及其他相关辅助、储运工程</w:t>
      </w:r>
      <w:r>
        <w:t>。</w:t>
      </w:r>
    </w:p>
    <w:p w14:paraId="50C4BC0E">
      <w:pPr>
        <w:pStyle w:val="104"/>
      </w:pPr>
      <w:r>
        <w:t>项目建成后，存栏蛋鸡120万只（产蛋鸡90万只和育成鸡30万只），年产包装壳蛋25200万枚，</w:t>
      </w:r>
      <w:r>
        <w:rPr>
          <w:rFonts w:hint="eastAsia"/>
        </w:rPr>
        <w:t>年出栏育成鸡9</w:t>
      </w:r>
      <w:r>
        <w:t>0</w:t>
      </w:r>
      <w:r>
        <w:rPr>
          <w:rFonts w:hint="eastAsia"/>
        </w:rPr>
        <w:t>万只，分3批次，年产淘汰鸡86.4</w:t>
      </w:r>
      <w:r>
        <w:t>万只。</w:t>
      </w:r>
    </w:p>
    <w:p w14:paraId="57BC8D9A">
      <w:pPr>
        <w:pStyle w:val="104"/>
      </w:pPr>
      <w:r>
        <w:t>本项目首要评价重点为大气环境、水环境，着重分析运营期间产生的空气环境和水环境影响，论述可能使周边空气环境和水环境受到的污染。根据项目对周边环境的影响程度，结合相似工程的类比调查，对项目提出合理有效的污染防治措施，减缓项目对周边环境保护敏感目标的影响。</w:t>
      </w:r>
    </w:p>
    <w:p w14:paraId="1FBF1F03">
      <w:pPr>
        <w:pStyle w:val="10"/>
      </w:pPr>
      <w:bookmarkStart w:id="41" w:name="_Toc2113"/>
      <w:bookmarkStart w:id="42" w:name="_Toc166572231"/>
      <w:bookmarkStart w:id="43" w:name="_Toc11532"/>
      <w:bookmarkStart w:id="44" w:name="_Toc527421176"/>
      <w:r>
        <w:t>1.2环境影响评价的工作过程</w:t>
      </w:r>
      <w:bookmarkEnd w:id="41"/>
      <w:bookmarkEnd w:id="42"/>
      <w:bookmarkEnd w:id="43"/>
      <w:bookmarkEnd w:id="44"/>
    </w:p>
    <w:p w14:paraId="77389B43">
      <w:pPr>
        <w:pStyle w:val="104"/>
      </w:pPr>
      <w:r>
        <w:t>根据《中华人民共和国环境影响评价法》和《建设项目环境保护管理条例》的有关规定，内蒙古华翔农林牧科技发展有限公司</w:t>
      </w:r>
      <w:r>
        <w:rPr>
          <w:rFonts w:hint="eastAsia"/>
        </w:rPr>
        <w:t>于2023年7月20日</w:t>
      </w:r>
      <w:r>
        <w:t>委托鄂尔多斯市智联明泰工程咨询有限责任公司承担该项目的环境影响评价工作。接受委托后，项目组立即组织人员到建设项目所在地进行了现场踏勘与实地调查，收集有关项目基础资料并制定监测计划，委托内蒙古金玥检测技术有限公司对区域环境进行了现状监测。在以上工作的基础上编制完成了《内蒙古华翔农林牧科技发展有限公司120万只蛋鸡养殖项目环境影响报告书》。</w:t>
      </w:r>
    </w:p>
    <w:bookmarkEnd w:id="38"/>
    <w:bookmarkEnd w:id="39"/>
    <w:p w14:paraId="03918DDC">
      <w:pPr>
        <w:pStyle w:val="104"/>
      </w:pPr>
      <w:r>
        <w:t>为科学评估项目建设对周围环境的不良影响，华翔公</w:t>
      </w:r>
      <w:r>
        <w:rPr>
          <w:szCs w:val="22"/>
        </w:rPr>
        <w:t>司委托我公司对项目进行环</w:t>
      </w:r>
      <w:r>
        <w:t>境影响评价。接受委托后，我公司经过现状踏勘和对工程有关资料的分析，并参照有关技术导则，在现状调查、环境监测、资料分析和专家咨询等工作的基础上，编制完成了《内蒙古华翔农林牧科技发展有限公司120万只蛋鸡项目环境影响报告书》，现呈报鄂尔多斯市生态环境局</w:t>
      </w:r>
      <w:r>
        <w:rPr>
          <w:rFonts w:hint="eastAsia"/>
        </w:rPr>
        <w:t>鄂托克旗分局进行</w:t>
      </w:r>
      <w:r>
        <w:t>审批。</w:t>
      </w:r>
    </w:p>
    <w:p w14:paraId="2923759D">
      <w:pPr>
        <w:pStyle w:val="10"/>
      </w:pPr>
      <w:bookmarkStart w:id="45" w:name="_Toc36234635"/>
      <w:bookmarkStart w:id="46" w:name="_Toc166572232"/>
      <w:bookmarkStart w:id="47" w:name="_Toc36234634"/>
      <w:r>
        <w:t>1.</w:t>
      </w:r>
      <w:bookmarkEnd w:id="45"/>
      <w:r>
        <w:t>3分析判定的相关情况</w:t>
      </w:r>
      <w:bookmarkEnd w:id="46"/>
    </w:p>
    <w:p w14:paraId="39DD2743">
      <w:pPr>
        <w:pStyle w:val="11"/>
      </w:pPr>
      <w:bookmarkStart w:id="48" w:name="_Toc166572233"/>
      <w:r>
        <w:t>1.3.1与产业政策符合性</w:t>
      </w:r>
      <w:bookmarkEnd w:id="48"/>
    </w:p>
    <w:p w14:paraId="3F9FCA57">
      <w:pPr>
        <w:pStyle w:val="105"/>
        <w:ind w:firstLine="480"/>
      </w:pPr>
      <w:r>
        <w:t>根据《产业结构调整指导目录（20</w:t>
      </w:r>
      <w:r>
        <w:rPr>
          <w:rFonts w:hint="eastAsia"/>
        </w:rPr>
        <w:t>24</w:t>
      </w:r>
      <w:r>
        <w:t>年本）》，本项目属于第一类“鼓励类”中第一项“</w:t>
      </w:r>
      <w:r>
        <w:rPr>
          <w:rFonts w:hint="eastAsia"/>
        </w:rPr>
        <w:t>农林牧渔业</w:t>
      </w:r>
      <w:r>
        <w:t>”中第</w:t>
      </w:r>
      <w:r>
        <w:rPr>
          <w:rFonts w:hint="eastAsia"/>
        </w:rPr>
        <w:t>1</w:t>
      </w:r>
      <w:r>
        <w:t>4条“</w:t>
      </w:r>
      <w:r>
        <w:rPr>
          <w:rFonts w:hint="eastAsia"/>
        </w:rPr>
        <w:t>现代畜牧业及水产品生态健康养殖-畜禽标准化规模养殖技术开发与应用</w:t>
      </w:r>
      <w:r>
        <w:t>”，符合国家产业政策。</w:t>
      </w:r>
    </w:p>
    <w:p w14:paraId="6EF893F4">
      <w:pPr>
        <w:pStyle w:val="105"/>
        <w:ind w:firstLine="480"/>
      </w:pPr>
      <w:r>
        <w:t>同时本项目已取得鄂托克旗农牧业局对内蒙古华翔农林牧科技发展有限公司120万只蛋鸡养殖项目《项目备案告知书》（见附件2</w:t>
      </w:r>
      <w:r>
        <w:rPr>
          <w:rFonts w:hint="eastAsia"/>
        </w:rPr>
        <w:t>，备案号：2210-150624-20-01-228103</w:t>
      </w:r>
      <w:r>
        <w:t>），说明本项目也符合当地的产业政策。</w:t>
      </w:r>
    </w:p>
    <w:p w14:paraId="6F942180">
      <w:pPr>
        <w:pStyle w:val="11"/>
      </w:pPr>
      <w:bookmarkStart w:id="49" w:name="_Toc166572234"/>
      <w:r>
        <w:t>1.3.2与</w:t>
      </w:r>
      <w:r>
        <w:rPr>
          <w:szCs w:val="28"/>
        </w:rPr>
        <w:t>相关规划、政策符合性</w:t>
      </w:r>
      <w:bookmarkEnd w:id="49"/>
    </w:p>
    <w:p w14:paraId="43D1CA78">
      <w:pPr>
        <w:pStyle w:val="105"/>
        <w:ind w:firstLine="482"/>
        <w:rPr>
          <w:b/>
        </w:rPr>
      </w:pPr>
      <w:r>
        <w:rPr>
          <w:rFonts w:hint="eastAsia" w:ascii="宋体" w:hAnsi="宋体" w:cs="宋体"/>
          <w:b/>
        </w:rPr>
        <w:t>①</w:t>
      </w:r>
      <w:r>
        <w:rPr>
          <w:b/>
        </w:rPr>
        <w:t>与《中华人民共和国国民经济和社会发展第十四个五年规划和2035年远景目标纲要》相符性分析</w:t>
      </w:r>
    </w:p>
    <w:p w14:paraId="0EC7524F">
      <w:pPr>
        <w:pStyle w:val="105"/>
        <w:ind w:firstLine="480"/>
      </w:pPr>
      <w:r>
        <w:t>根据《中华人民共和国国民经济和社会发展第十四个五年规划和2035年远景目标纲要》关提高农业质量效益和竞争力的要求“农林牧渔协调，优化种植业结构，大力发展现代畜牧业，促进水产生态健康养殖。”本项目为120万只蛋鸡项目，符合《中华人民共和国国民经济和社会发展第十四个五年规划和2035年远景目标纲要》构建现代农牧业经营体系的要求。</w:t>
      </w:r>
    </w:p>
    <w:p w14:paraId="3DC4884E">
      <w:pPr>
        <w:pStyle w:val="105"/>
        <w:ind w:firstLine="482"/>
        <w:rPr>
          <w:b/>
        </w:rPr>
      </w:pPr>
      <w:r>
        <w:rPr>
          <w:b/>
        </w:rPr>
        <w:fldChar w:fldCharType="begin"/>
      </w:r>
      <w:r>
        <w:rPr>
          <w:b/>
        </w:rPr>
        <w:instrText xml:space="preserve"> = 2 \* GB3 </w:instrText>
      </w:r>
      <w:r>
        <w:rPr>
          <w:b/>
        </w:rPr>
        <w:fldChar w:fldCharType="separate"/>
      </w:r>
      <w:r>
        <w:rPr>
          <w:rFonts w:hint="eastAsia" w:ascii="宋体" w:hAnsi="宋体" w:cs="宋体"/>
          <w:b/>
        </w:rPr>
        <w:t>②</w:t>
      </w:r>
      <w:r>
        <w:rPr>
          <w:b/>
        </w:rPr>
        <w:fldChar w:fldCharType="end"/>
      </w:r>
      <w:r>
        <w:rPr>
          <w:b/>
        </w:rPr>
        <w:t>与《内蒙古自治区农牧业现代化第十四个五年发展规划》相符性分析</w:t>
      </w:r>
    </w:p>
    <w:p w14:paraId="596824C7">
      <w:pPr>
        <w:pStyle w:val="105"/>
        <w:ind w:firstLine="480"/>
      </w:pPr>
      <w:r>
        <w:t>调整优化畜牧业结构。坚持农牧结合，以草定畜、以牧促草、草畜一体化发展。增加肉牛、奶牛数量，在中东部扩大西门塔尔牛、西部扩大安格斯牛养殖，做大做强屠宰加工龙头企业，提升畜产品冷链物流配送能力；建设呼和浩特市、巴彦淖尔市等高产奶牛核心集群，加快奶业一体化发展；抓好三河牛、蒙古牛和双峰驼等种质资源保护，满足多用途特色需求。稳定肉羊数量，引导草原牧区精养少养，提质增效；推动肉羊养殖增量布局向西辽河平原、河套平原等玉米主产区转移，支持规模化、标准化养殖；优化绒山羊种群结构，实施内蒙古白绒山羊保种工程，促进羊绒优质优价；加快奶山羊发展。支持双峰驼、马等特色产业发展。扩大黄河、西辽河和嫩江流域草产业优势区优质饲草种植面积，促进优质饲草生产、加工流通和营销协调发展。稳定呼和浩特市、包头市、兴安盟、通辽市、赤峰市等优势区生猪产能。到2025年，力争畜牧业占农牧业产值比重稳定在50%左右。</w:t>
      </w:r>
    </w:p>
    <w:p w14:paraId="76E3C5A4">
      <w:pPr>
        <w:pStyle w:val="105"/>
        <w:ind w:firstLine="480"/>
      </w:pPr>
      <w:r>
        <w:t>本项目属于规模化、标准化蛋鸡养殖项目。因此，本项目的开展符合《内蒙古自治区农牧业现代化第十四个五年发展规划》要求。</w:t>
      </w:r>
    </w:p>
    <w:p w14:paraId="2E18A776">
      <w:pPr>
        <w:pStyle w:val="105"/>
        <w:ind w:firstLine="482"/>
        <w:rPr>
          <w:b/>
          <w:bCs/>
        </w:rPr>
      </w:pPr>
      <w:r>
        <w:rPr>
          <w:b/>
          <w:bCs/>
        </w:rPr>
        <w:fldChar w:fldCharType="begin"/>
      </w:r>
      <w:r>
        <w:rPr>
          <w:b/>
          <w:bCs/>
        </w:rPr>
        <w:instrText xml:space="preserve"> = 3 \* GB3 </w:instrText>
      </w:r>
      <w:r>
        <w:rPr>
          <w:b/>
          <w:bCs/>
        </w:rPr>
        <w:fldChar w:fldCharType="separate"/>
      </w:r>
      <w:r>
        <w:rPr>
          <w:rFonts w:hint="eastAsia" w:ascii="宋体" w:hAnsi="宋体" w:cs="宋体"/>
          <w:b/>
          <w:bCs/>
        </w:rPr>
        <w:t>③</w:t>
      </w:r>
      <w:r>
        <w:rPr>
          <w:b/>
          <w:bCs/>
        </w:rPr>
        <w:fldChar w:fldCharType="end"/>
      </w:r>
      <w:r>
        <w:rPr>
          <w:b/>
          <w:bCs/>
        </w:rPr>
        <w:t>与《鄂尔多斯市国民经济和社会发展第十四个五年规划和2035年远景目标纲要》相符性分析</w:t>
      </w:r>
    </w:p>
    <w:p w14:paraId="20A9DE77">
      <w:pPr>
        <w:pStyle w:val="105"/>
        <w:ind w:firstLine="480"/>
      </w:pPr>
      <w:r>
        <w:t>根据《鄂尔多斯市国民经济和社会发展第十四个五年规划和2035年远景目标纲要》第五篇：全面推进乡村振兴，加快农牧业农村牧区现代化，第一章第二节：构建现代农牧业产业体系提到：加快发展农畜产品加工业。加快特色农畜产品优势区创建，在一定区域范围内，形成特色鲜明、优势集聚、市场竞争力强的特色农畜产品优势区，支持特色农畜产品优势区建设标准化生产基地、加工基地、仓储物流基地，完善科技支撑体系、品牌与市场营销体系、质量控制体系，建立利益联结紧密的建设运行机制，形成特色农牧业产业集群。支持发展低碳、低耗、循环、高效加工体系，逐步形成农畜产品初级加工、精深加工、主食加工副产品和综合利用加工“四位一体”协调发展的加工体系，不断提高农畜产品加工转化率，延长产业链，提高产品附加值。进一步完善农畜产品烘干、预冷、储存、运输、配送、信息等设施建设和配套功能，提高流通效率。抓住“一带一路”、中蒙俄经济走廊、呼包鄂榆协同发展契机，构建满足本地市场需求，并向国内外市场拓展的农畜产品营销网络和现代物流体系。</w:t>
      </w:r>
    </w:p>
    <w:p w14:paraId="600F4864">
      <w:pPr>
        <w:pStyle w:val="105"/>
        <w:ind w:firstLine="480"/>
      </w:pPr>
      <w:r>
        <w:t>本项目为蛋鸡规模化养殖项目，主要产品为鸡蛋，符合规划要求。</w:t>
      </w:r>
    </w:p>
    <w:p w14:paraId="628482F5">
      <w:pPr>
        <w:pStyle w:val="105"/>
        <w:ind w:firstLine="480"/>
      </w:pPr>
      <w:r>
        <w:rPr>
          <w:kern w:val="0"/>
          <w:szCs w:val="24"/>
        </w:rPr>
        <w:t>综上所述，本项目符合国家和地方现行产业政策。</w:t>
      </w:r>
    </w:p>
    <w:p w14:paraId="629C0D79">
      <w:pPr>
        <w:pStyle w:val="105"/>
        <w:ind w:firstLine="482"/>
        <w:rPr>
          <w:b/>
        </w:rPr>
      </w:pPr>
      <w:r>
        <w:rPr>
          <w:b/>
        </w:rPr>
        <w:fldChar w:fldCharType="begin"/>
      </w:r>
      <w:r>
        <w:rPr>
          <w:b/>
        </w:rPr>
        <w:instrText xml:space="preserve"> = 4 \* GB3 </w:instrText>
      </w:r>
      <w:r>
        <w:rPr>
          <w:b/>
        </w:rPr>
        <w:fldChar w:fldCharType="separate"/>
      </w:r>
      <w:r>
        <w:rPr>
          <w:rFonts w:hint="eastAsia" w:ascii="宋体" w:hAnsi="宋体" w:cs="宋体"/>
          <w:b/>
        </w:rPr>
        <w:t>④</w:t>
      </w:r>
      <w:r>
        <w:rPr>
          <w:b/>
        </w:rPr>
        <w:fldChar w:fldCharType="end"/>
      </w:r>
      <w:r>
        <w:rPr>
          <w:b/>
        </w:rPr>
        <w:t>项目与《畜禽规模养殖污染防治条例》相符性分析</w:t>
      </w:r>
    </w:p>
    <w:p w14:paraId="67A347F5">
      <w:pPr>
        <w:pStyle w:val="105"/>
        <w:ind w:firstLine="480"/>
      </w:pPr>
      <w:r>
        <w:t>A、禁养区规定</w:t>
      </w:r>
    </w:p>
    <w:p w14:paraId="7C4D6142">
      <w:pPr>
        <w:pStyle w:val="105"/>
        <w:ind w:firstLine="480"/>
      </w:pPr>
      <w:r>
        <w:t>本项目为蛋鸡标准化养殖项目，从年均风频的统计结果可知，该地区年主导风向为SSE风，其出现频率为10.9%，SE风的出现频率也较高，为7.6%，静风的年出现频率为15.0%。本项目SSE～SE风向的下风向1km无敏感点。</w:t>
      </w:r>
    </w:p>
    <w:p w14:paraId="315D9D08">
      <w:pPr>
        <w:pStyle w:val="105"/>
        <w:ind w:firstLine="480"/>
      </w:pPr>
      <w:r>
        <w:t>所以本项目养殖区不在该条例第十一条规定的“禁止在下列区域内建设畜禽养殖场、养殖小区：</w:t>
      </w:r>
    </w:p>
    <w:p w14:paraId="29C4B9F4">
      <w:pPr>
        <w:pStyle w:val="105"/>
        <w:ind w:firstLine="480"/>
      </w:pPr>
      <w:r>
        <w:t>（一）饮用水水源保护区，风景名胜区；</w:t>
      </w:r>
    </w:p>
    <w:p w14:paraId="4AEB0B1F">
      <w:pPr>
        <w:pStyle w:val="105"/>
        <w:ind w:firstLine="480"/>
      </w:pPr>
      <w:r>
        <w:t>（二）自然保护区的核心区和缓冲区；</w:t>
      </w:r>
    </w:p>
    <w:p w14:paraId="70AB612B">
      <w:pPr>
        <w:pStyle w:val="105"/>
        <w:ind w:firstLine="480"/>
      </w:pPr>
      <w:r>
        <w:t>（三）城镇居民区、文化教育科学研究区等人口集中区域；</w:t>
      </w:r>
    </w:p>
    <w:p w14:paraId="4211A7E1">
      <w:pPr>
        <w:pStyle w:val="105"/>
        <w:ind w:firstLine="480"/>
      </w:pPr>
      <w:r>
        <w:t>（四）法律、法规规定的其他禁止养殖区域”</w:t>
      </w:r>
    </w:p>
    <w:p w14:paraId="6A6ED660">
      <w:pPr>
        <w:pStyle w:val="105"/>
        <w:ind w:firstLine="480"/>
      </w:pPr>
      <w:r>
        <w:t>综上本项目场址符合《畜禽规模养殖污染防治条例》选址规定，项目符合防治条例要求。</w:t>
      </w:r>
    </w:p>
    <w:p w14:paraId="1C82F34F">
      <w:pPr>
        <w:pStyle w:val="105"/>
        <w:ind w:firstLine="480"/>
      </w:pPr>
      <w:r>
        <w:t>B、资源综合利用规定</w:t>
      </w:r>
    </w:p>
    <w:p w14:paraId="07A75C14">
      <w:pPr>
        <w:pStyle w:val="105"/>
        <w:ind w:firstLine="480"/>
      </w:pPr>
      <w:r>
        <w:t>《畜禽规模养殖污染防治条例》规定的资源综合利用方面：</w:t>
      </w:r>
    </w:p>
    <w:p w14:paraId="634C5662">
      <w:pPr>
        <w:pStyle w:val="105"/>
        <w:ind w:firstLine="480"/>
      </w:pPr>
      <w:r>
        <w:t>第十九条从事畜禽养殖活动和畜禽养殖废弃物处理活动，应当及时对畜禽粪便、畜禽尸体、污水等进行收集、贮存、清运，防止恶臭和畜禽养殖废弃物渗出、泄漏。</w:t>
      </w:r>
    </w:p>
    <w:p w14:paraId="27E2817A">
      <w:pPr>
        <w:pStyle w:val="105"/>
        <w:ind w:firstLine="480"/>
      </w:pPr>
      <w:r>
        <w:t>本项目鸡粪</w:t>
      </w:r>
      <w:r>
        <w:rPr>
          <w:rFonts w:hint="eastAsia"/>
        </w:rPr>
        <w:t>、</w:t>
      </w:r>
      <w:r>
        <w:rPr>
          <w:szCs w:val="21"/>
        </w:rPr>
        <w:t>饲料残渣、鸡毛</w:t>
      </w:r>
      <w:r>
        <w:rPr>
          <w:rFonts w:hint="eastAsia"/>
          <w:szCs w:val="21"/>
        </w:rPr>
        <w:t>、废水处理污泥、储水池污泥</w:t>
      </w:r>
      <w:r>
        <w:rPr>
          <w:rFonts w:hint="eastAsia"/>
        </w:rPr>
        <w:t>送至有机肥加工车间制肥</w:t>
      </w:r>
      <w:r>
        <w:t>，病死鸡暂存于</w:t>
      </w:r>
      <w:r>
        <w:rPr>
          <w:rFonts w:hint="eastAsia"/>
        </w:rPr>
        <w:t>冷柜</w:t>
      </w:r>
      <w:r>
        <w:t>委托有资质单位处置，项目区重点防渗区、一般防渗区、简单防渗区做好相关防渗措施；厂区恶臭通过植物液除臭剂与兽用高锰酸钾消毒后，减小恶臭污染。</w:t>
      </w:r>
    </w:p>
    <w:p w14:paraId="3ED0AED3">
      <w:pPr>
        <w:pStyle w:val="105"/>
        <w:ind w:firstLine="480"/>
      </w:pPr>
      <w:r>
        <w:t>第二十条向环境排放经过处理的畜禽养殖废弃物，应当符合国家和地方规定的污染物排放标准和总量控制指标。畜禽养殖废弃物未经处理，不得直接向环境排放。</w:t>
      </w:r>
    </w:p>
    <w:p w14:paraId="46FF5B1C">
      <w:pPr>
        <w:pStyle w:val="105"/>
        <w:ind w:firstLine="480"/>
      </w:pPr>
      <w:r>
        <w:t>本项目产的各项污染物均得到有效控制和处置措施，不向外环境排放。</w:t>
      </w:r>
    </w:p>
    <w:p w14:paraId="02505AF3">
      <w:pPr>
        <w:pStyle w:val="105"/>
        <w:ind w:firstLine="480"/>
      </w:pPr>
      <w:r>
        <w:t>第二十一条染疫畜禽以及染疫畜禽排泄物、染疫畜禽产品、病死或者死因不明的畜禽尸体等病害畜禽养殖废弃物，应当按照有关法律、法规和国务院农牧主管部门的规定，进行深埋、化制、焚烧等无害化处理，不得随意处置。</w:t>
      </w:r>
    </w:p>
    <w:p w14:paraId="38E231A6">
      <w:pPr>
        <w:pStyle w:val="105"/>
        <w:ind w:firstLine="480"/>
      </w:pPr>
      <w:r>
        <w:t>本项目病死鸡暂存于</w:t>
      </w:r>
      <w:r>
        <w:rPr>
          <w:rFonts w:hint="eastAsia"/>
        </w:rPr>
        <w:t>冷柜</w:t>
      </w:r>
      <w:r>
        <w:t>委托有资质单位处置。本项目采用干清粪工艺，鸡粪经传送带收集后清运至</w:t>
      </w:r>
      <w:r>
        <w:rPr>
          <w:rFonts w:hint="eastAsia"/>
        </w:rPr>
        <w:t>有机肥加工车间制肥</w:t>
      </w:r>
      <w:r>
        <w:t>。符合《内蒙古自治区畜禽养殖主要污染物减排项目建设技术指南》（试行）要求均使用干清粪工艺。</w:t>
      </w:r>
    </w:p>
    <w:p w14:paraId="7AC0C4BA">
      <w:pPr>
        <w:pStyle w:val="105"/>
        <w:ind w:firstLine="480"/>
      </w:pPr>
      <w:r>
        <w:t>因此，本项目符合《畜禽规模养殖污染防治条例》（中华人民共和国国务院令第643号）。</w:t>
      </w:r>
    </w:p>
    <w:p w14:paraId="74039BED">
      <w:pPr>
        <w:pStyle w:val="105"/>
        <w:ind w:firstLine="482"/>
        <w:rPr>
          <w:b/>
          <w:bCs/>
        </w:rPr>
      </w:pPr>
      <w:r>
        <w:rPr>
          <w:b/>
          <w:bCs/>
        </w:rPr>
        <w:t>⑤</w:t>
      </w:r>
      <w:r>
        <w:rPr>
          <w:rFonts w:hint="eastAsia"/>
          <w:b/>
          <w:bCs/>
        </w:rPr>
        <w:t>项目与《中华人民共和国黄河保护法》</w:t>
      </w:r>
      <w:r>
        <w:rPr>
          <w:rFonts w:hint="eastAsia" w:hAnsi="宋体"/>
          <w:b/>
          <w:bCs/>
        </w:rPr>
        <w:t>符合性分析</w:t>
      </w:r>
    </w:p>
    <w:p w14:paraId="06E754A0">
      <w:pPr>
        <w:pStyle w:val="105"/>
        <w:ind w:firstLine="480"/>
      </w:pPr>
      <w:r>
        <w:t>2022年10月30日第十三届全国人民代表大会常务委员会第三十七次会议通过《中华人民共和国黄河保护法》，本项目与其符合性如下。</w:t>
      </w:r>
    </w:p>
    <w:p w14:paraId="79D4AF56">
      <w:pPr>
        <w:pStyle w:val="105"/>
        <w:spacing w:line="240" w:lineRule="auto"/>
        <w:ind w:firstLine="0" w:firstLineChars="0"/>
        <w:jc w:val="center"/>
      </w:pPr>
      <w:r>
        <w:rPr>
          <w:rFonts w:hint="eastAsia"/>
          <w:b/>
          <w:bCs/>
        </w:rPr>
        <w:t>表1.3-1 本项目与《中华人民共和国黄河保护法》符合性分析一览表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5352"/>
        <w:gridCol w:w="840"/>
      </w:tblGrid>
      <w:tr w14:paraId="547B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vAlign w:val="center"/>
          </w:tcPr>
          <w:p w14:paraId="3D6BD89A">
            <w:pPr>
              <w:pStyle w:val="105"/>
              <w:spacing w:line="240" w:lineRule="auto"/>
              <w:ind w:firstLine="0" w:firstLineChars="0"/>
              <w:jc w:val="center"/>
              <w:rPr>
                <w:sz w:val="21"/>
                <w:szCs w:val="21"/>
              </w:rPr>
            </w:pPr>
            <w:r>
              <w:rPr>
                <w:rFonts w:hint="eastAsia"/>
                <w:sz w:val="21"/>
                <w:szCs w:val="21"/>
              </w:rPr>
              <w:t>《中华人民共和国黄河保护法》</w:t>
            </w:r>
          </w:p>
        </w:tc>
        <w:tc>
          <w:tcPr>
            <w:tcW w:w="5352" w:type="dxa"/>
            <w:vAlign w:val="center"/>
          </w:tcPr>
          <w:p w14:paraId="4914BAAE">
            <w:pPr>
              <w:pStyle w:val="105"/>
              <w:spacing w:line="240" w:lineRule="auto"/>
              <w:ind w:firstLine="0" w:firstLineChars="0"/>
              <w:jc w:val="center"/>
              <w:rPr>
                <w:sz w:val="21"/>
                <w:szCs w:val="21"/>
              </w:rPr>
            </w:pPr>
            <w:r>
              <w:rPr>
                <w:rFonts w:hint="eastAsia"/>
                <w:sz w:val="21"/>
                <w:szCs w:val="21"/>
              </w:rPr>
              <w:t>本项目</w:t>
            </w:r>
          </w:p>
        </w:tc>
        <w:tc>
          <w:tcPr>
            <w:tcW w:w="840" w:type="dxa"/>
            <w:vAlign w:val="center"/>
          </w:tcPr>
          <w:p w14:paraId="4A8F1F65">
            <w:pPr>
              <w:pStyle w:val="105"/>
              <w:spacing w:line="240" w:lineRule="auto"/>
              <w:ind w:firstLine="0" w:firstLineChars="0"/>
              <w:jc w:val="center"/>
              <w:rPr>
                <w:sz w:val="21"/>
                <w:szCs w:val="21"/>
              </w:rPr>
            </w:pPr>
            <w:r>
              <w:rPr>
                <w:rFonts w:hint="eastAsia"/>
                <w:sz w:val="21"/>
                <w:szCs w:val="21"/>
              </w:rPr>
              <w:t>符合性</w:t>
            </w:r>
          </w:p>
        </w:tc>
      </w:tr>
      <w:tr w14:paraId="1DD7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vAlign w:val="center"/>
          </w:tcPr>
          <w:p w14:paraId="60CD9524">
            <w:pPr>
              <w:pStyle w:val="105"/>
              <w:spacing w:line="240" w:lineRule="auto"/>
              <w:ind w:firstLine="0" w:firstLineChars="0"/>
              <w:jc w:val="both"/>
              <w:rPr>
                <w:sz w:val="21"/>
                <w:szCs w:val="21"/>
              </w:rPr>
            </w:pPr>
            <w:r>
              <w:rPr>
                <w:rFonts w:hint="eastAsia"/>
                <w:sz w:val="21"/>
                <w:szCs w:val="21"/>
              </w:rPr>
              <w:t>第二章、规划与管控</w:t>
            </w:r>
          </w:p>
          <w:p w14:paraId="2DB90123">
            <w:pPr>
              <w:pStyle w:val="105"/>
              <w:spacing w:line="240" w:lineRule="auto"/>
              <w:ind w:firstLine="0" w:firstLineChars="0"/>
              <w:jc w:val="both"/>
              <w:rPr>
                <w:sz w:val="21"/>
                <w:szCs w:val="21"/>
              </w:rPr>
            </w:pPr>
            <w:r>
              <w:rPr>
                <w:rFonts w:hint="eastAsia"/>
                <w:sz w:val="21"/>
                <w:szCs w:val="21"/>
              </w:rPr>
              <w:t>第二十五条 禁止违反国家有关规定、未经国务院批准，占用永久基本农田。</w:t>
            </w:r>
          </w:p>
        </w:tc>
        <w:tc>
          <w:tcPr>
            <w:tcW w:w="5352" w:type="dxa"/>
            <w:vAlign w:val="center"/>
          </w:tcPr>
          <w:p w14:paraId="591FDF66">
            <w:pPr>
              <w:pStyle w:val="105"/>
              <w:spacing w:line="240" w:lineRule="auto"/>
              <w:ind w:firstLine="0" w:firstLineChars="0"/>
              <w:jc w:val="both"/>
              <w:rPr>
                <w:sz w:val="21"/>
                <w:szCs w:val="21"/>
              </w:rPr>
            </w:pPr>
            <w:r>
              <w:rPr>
                <w:rFonts w:hint="eastAsia"/>
                <w:sz w:val="21"/>
                <w:szCs w:val="21"/>
              </w:rPr>
              <w:t>根据《鄂托克旗自然资源局关于内蒙古华翔农林牧科技发展有限公司120万只蛋鸡养殖项目生态红线占用情况的说明》，本项目不涉及基本农田。</w:t>
            </w:r>
          </w:p>
        </w:tc>
        <w:tc>
          <w:tcPr>
            <w:tcW w:w="840" w:type="dxa"/>
            <w:vAlign w:val="center"/>
          </w:tcPr>
          <w:p w14:paraId="5C203D05">
            <w:pPr>
              <w:pStyle w:val="105"/>
              <w:spacing w:line="240" w:lineRule="auto"/>
              <w:ind w:firstLine="0" w:firstLineChars="0"/>
              <w:jc w:val="center"/>
              <w:rPr>
                <w:sz w:val="21"/>
                <w:szCs w:val="21"/>
              </w:rPr>
            </w:pPr>
            <w:r>
              <w:rPr>
                <w:rFonts w:hint="eastAsia"/>
                <w:sz w:val="21"/>
                <w:szCs w:val="21"/>
              </w:rPr>
              <w:t>符合</w:t>
            </w:r>
          </w:p>
        </w:tc>
      </w:tr>
      <w:tr w14:paraId="1BD4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vAlign w:val="center"/>
          </w:tcPr>
          <w:p w14:paraId="08123EE6">
            <w:pPr>
              <w:pStyle w:val="105"/>
              <w:spacing w:line="240" w:lineRule="auto"/>
              <w:ind w:firstLine="0" w:firstLineChars="0"/>
              <w:jc w:val="both"/>
              <w:rPr>
                <w:sz w:val="21"/>
                <w:szCs w:val="21"/>
              </w:rPr>
            </w:pPr>
            <w:r>
              <w:rPr>
                <w:rFonts w:hint="eastAsia"/>
                <w:sz w:val="21"/>
                <w:szCs w:val="21"/>
              </w:rPr>
              <w:t>第二章、规划与管控</w:t>
            </w:r>
          </w:p>
          <w:p w14:paraId="608F4D22">
            <w:pPr>
              <w:pStyle w:val="105"/>
              <w:spacing w:line="240" w:lineRule="auto"/>
              <w:ind w:firstLine="0" w:firstLineChars="0"/>
              <w:jc w:val="both"/>
              <w:rPr>
                <w:sz w:val="21"/>
                <w:szCs w:val="21"/>
              </w:rPr>
            </w:pPr>
            <w:r>
              <w:rPr>
                <w:rFonts w:hint="eastAsia"/>
                <w:sz w:val="21"/>
                <w:szCs w:val="21"/>
              </w:rPr>
              <w:t>第二十六条 禁止在黄河干支流岸线管控范围内新建、扩建化工园区和化工项目。禁止在黄河干流岸线和重要支流岸线管控范围内新建、改建、扩建尾矿库；但是以提升安全水平、生态环境保护水平为目的的改建除外。</w:t>
            </w:r>
          </w:p>
        </w:tc>
        <w:tc>
          <w:tcPr>
            <w:tcW w:w="5352" w:type="dxa"/>
            <w:vAlign w:val="center"/>
          </w:tcPr>
          <w:p w14:paraId="46BF2F4F">
            <w:pPr>
              <w:pStyle w:val="105"/>
              <w:spacing w:line="240" w:lineRule="auto"/>
              <w:ind w:firstLine="0" w:firstLineChars="0"/>
              <w:jc w:val="both"/>
              <w:rPr>
                <w:sz w:val="21"/>
                <w:szCs w:val="21"/>
              </w:rPr>
            </w:pPr>
            <w:r>
              <w:rPr>
                <w:rFonts w:hint="eastAsia"/>
                <w:sz w:val="21"/>
                <w:szCs w:val="21"/>
              </w:rPr>
              <w:t>本项目距离最近黄河干流岸线5.8km，根据鄂政水函〔2023〕608号文本项目占地范围不在已划定河道管理范围内；且本项目为蛋鸡养殖及鸡蛋产品加工项目，不属于化工和尾矿库项目。</w:t>
            </w:r>
          </w:p>
        </w:tc>
        <w:tc>
          <w:tcPr>
            <w:tcW w:w="840" w:type="dxa"/>
            <w:vAlign w:val="center"/>
          </w:tcPr>
          <w:p w14:paraId="6162E52F">
            <w:pPr>
              <w:pStyle w:val="105"/>
              <w:spacing w:line="240" w:lineRule="auto"/>
              <w:ind w:firstLine="0" w:firstLineChars="0"/>
              <w:jc w:val="center"/>
              <w:rPr>
                <w:sz w:val="21"/>
                <w:szCs w:val="21"/>
              </w:rPr>
            </w:pPr>
            <w:r>
              <w:rPr>
                <w:rFonts w:hint="eastAsia"/>
                <w:sz w:val="21"/>
                <w:szCs w:val="21"/>
              </w:rPr>
              <w:t>符合</w:t>
            </w:r>
          </w:p>
        </w:tc>
      </w:tr>
      <w:tr w14:paraId="063B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vAlign w:val="center"/>
          </w:tcPr>
          <w:p w14:paraId="63B0E542">
            <w:pPr>
              <w:pStyle w:val="105"/>
              <w:spacing w:line="240" w:lineRule="auto"/>
              <w:ind w:firstLine="0" w:firstLineChars="0"/>
              <w:jc w:val="both"/>
              <w:rPr>
                <w:sz w:val="21"/>
                <w:szCs w:val="21"/>
              </w:rPr>
            </w:pPr>
            <w:r>
              <w:rPr>
                <w:rFonts w:hint="eastAsia"/>
                <w:sz w:val="21"/>
                <w:szCs w:val="21"/>
              </w:rPr>
              <w:t>第六章、污染防治</w:t>
            </w:r>
          </w:p>
          <w:p w14:paraId="1209ADEE">
            <w:pPr>
              <w:pStyle w:val="105"/>
              <w:spacing w:line="240" w:lineRule="auto"/>
              <w:ind w:firstLine="0" w:firstLineChars="0"/>
              <w:jc w:val="both"/>
              <w:rPr>
                <w:sz w:val="21"/>
                <w:szCs w:val="21"/>
              </w:rPr>
            </w:pPr>
            <w:r>
              <w:rPr>
                <w:rFonts w:hint="eastAsia"/>
                <w:sz w:val="21"/>
                <w:szCs w:val="21"/>
              </w:rPr>
              <w:t>第八十一条 黄河流域农业生产经营者应当科学合理使用农药、化肥、兽药等农业投入品，科学处理、处置农业投入品包装废弃物、农用薄膜等农业废弃物，综合利用农作物秸秆，加强畜禽、水产养殖污染防治。</w:t>
            </w:r>
          </w:p>
        </w:tc>
        <w:tc>
          <w:tcPr>
            <w:tcW w:w="5352" w:type="dxa"/>
            <w:vAlign w:val="center"/>
          </w:tcPr>
          <w:p w14:paraId="3044F294">
            <w:pPr>
              <w:pStyle w:val="105"/>
              <w:spacing w:line="240" w:lineRule="auto"/>
              <w:ind w:firstLine="0" w:firstLineChars="0"/>
              <w:jc w:val="both"/>
              <w:rPr>
                <w:sz w:val="21"/>
                <w:szCs w:val="21"/>
              </w:rPr>
            </w:pPr>
            <w:r>
              <w:rPr>
                <w:rFonts w:hint="eastAsia"/>
                <w:sz w:val="21"/>
                <w:szCs w:val="21"/>
              </w:rPr>
              <w:t>本项目蛋鸡养殖产生的医疗废弃物设置诊疗废弃物暂存间，按医疗废物管理，最终交由有资质单位进行拉运处置；解剖鸡、病死鸡装入专用密封袋暂存于冷哭，最终交由有资质单位拉运处置；鸡粪、饲料残渣、鸡毛、废水处理污泥、储水池污泥送入有机肥加工车间发酵制肥；饲料仓除尘器除尘灰回收用于饲料加工。</w:t>
            </w:r>
          </w:p>
        </w:tc>
        <w:tc>
          <w:tcPr>
            <w:tcW w:w="840" w:type="dxa"/>
            <w:vAlign w:val="center"/>
          </w:tcPr>
          <w:p w14:paraId="2D039E77">
            <w:pPr>
              <w:pStyle w:val="105"/>
              <w:spacing w:line="240" w:lineRule="auto"/>
              <w:ind w:firstLine="0" w:firstLineChars="0"/>
              <w:jc w:val="center"/>
              <w:rPr>
                <w:sz w:val="21"/>
                <w:szCs w:val="21"/>
              </w:rPr>
            </w:pPr>
            <w:r>
              <w:rPr>
                <w:rFonts w:hint="eastAsia"/>
                <w:sz w:val="21"/>
                <w:szCs w:val="21"/>
              </w:rPr>
              <w:t>符合</w:t>
            </w:r>
          </w:p>
        </w:tc>
      </w:tr>
    </w:tbl>
    <w:p w14:paraId="69B7640A">
      <w:pPr>
        <w:pStyle w:val="105"/>
        <w:ind w:firstLine="480"/>
      </w:pPr>
      <w:r>
        <w:t>由上表可知，本项目符合《中华人民共和国黄河保护法》相关要求。</w:t>
      </w:r>
    </w:p>
    <w:p w14:paraId="4B270858">
      <w:pPr>
        <w:pStyle w:val="105"/>
        <w:ind w:firstLine="482"/>
        <w:rPr>
          <w:b/>
          <w:bCs/>
        </w:rPr>
      </w:pPr>
      <w:r>
        <w:rPr>
          <w:b/>
          <w:bCs/>
        </w:rPr>
        <w:t>⑥</w:t>
      </w:r>
      <w:r>
        <w:rPr>
          <w:rFonts w:hint="eastAsia"/>
          <w:b/>
          <w:bCs/>
        </w:rPr>
        <w:t>项目与《中华人民共和国河道管理条例》符合性分析</w:t>
      </w:r>
    </w:p>
    <w:p w14:paraId="5FAD1F5B">
      <w:pPr>
        <w:pStyle w:val="105"/>
        <w:ind w:firstLine="480"/>
      </w:pPr>
      <w:r>
        <w:rPr>
          <w:rFonts w:hint="eastAsia"/>
        </w:rPr>
        <w:t>本项目与《中华人民共和国河道管理条例》中相关内容符合性分析如下。</w:t>
      </w:r>
    </w:p>
    <w:p w14:paraId="7B6B82AF">
      <w:pPr>
        <w:pStyle w:val="105"/>
        <w:spacing w:line="240" w:lineRule="auto"/>
        <w:ind w:firstLine="0" w:firstLineChars="0"/>
        <w:jc w:val="center"/>
        <w:rPr>
          <w:b/>
          <w:bCs/>
        </w:rPr>
      </w:pPr>
      <w:r>
        <w:rPr>
          <w:rFonts w:hint="eastAsia"/>
          <w:b/>
          <w:bCs/>
        </w:rPr>
        <w:t>表1.3-2 本项目与《中华人民共和国河道管理条例》符合性分析一览表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5"/>
        <w:gridCol w:w="3889"/>
        <w:gridCol w:w="1063"/>
      </w:tblGrid>
      <w:tr w14:paraId="0A4A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5" w:type="dxa"/>
            <w:vAlign w:val="center"/>
          </w:tcPr>
          <w:p w14:paraId="7F49CDE3">
            <w:pPr>
              <w:pStyle w:val="105"/>
              <w:spacing w:line="240" w:lineRule="auto"/>
              <w:ind w:firstLine="0" w:firstLineChars="0"/>
              <w:jc w:val="center"/>
              <w:rPr>
                <w:sz w:val="21"/>
                <w:szCs w:val="21"/>
              </w:rPr>
            </w:pPr>
            <w:r>
              <w:rPr>
                <w:sz w:val="21"/>
                <w:szCs w:val="21"/>
              </w:rPr>
              <w:t>《中华人民共和国河道管理条例》</w:t>
            </w:r>
          </w:p>
        </w:tc>
        <w:tc>
          <w:tcPr>
            <w:tcW w:w="3889" w:type="dxa"/>
            <w:vAlign w:val="center"/>
          </w:tcPr>
          <w:p w14:paraId="125A62BB">
            <w:pPr>
              <w:pStyle w:val="105"/>
              <w:spacing w:line="240" w:lineRule="auto"/>
              <w:ind w:firstLine="0" w:firstLineChars="0"/>
              <w:jc w:val="center"/>
              <w:rPr>
                <w:sz w:val="21"/>
                <w:szCs w:val="21"/>
              </w:rPr>
            </w:pPr>
            <w:r>
              <w:rPr>
                <w:rFonts w:hint="eastAsia"/>
                <w:sz w:val="21"/>
                <w:szCs w:val="21"/>
              </w:rPr>
              <w:t>本项目</w:t>
            </w:r>
          </w:p>
        </w:tc>
        <w:tc>
          <w:tcPr>
            <w:tcW w:w="1063" w:type="dxa"/>
            <w:vAlign w:val="center"/>
          </w:tcPr>
          <w:p w14:paraId="736E2C4C">
            <w:pPr>
              <w:pStyle w:val="105"/>
              <w:spacing w:line="240" w:lineRule="auto"/>
              <w:ind w:firstLine="0" w:firstLineChars="0"/>
              <w:jc w:val="center"/>
              <w:rPr>
                <w:sz w:val="21"/>
                <w:szCs w:val="21"/>
              </w:rPr>
            </w:pPr>
            <w:r>
              <w:rPr>
                <w:rFonts w:hint="eastAsia"/>
                <w:sz w:val="21"/>
                <w:szCs w:val="21"/>
              </w:rPr>
              <w:t>符合性</w:t>
            </w:r>
          </w:p>
        </w:tc>
      </w:tr>
      <w:tr w14:paraId="030E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5" w:type="dxa"/>
            <w:vAlign w:val="center"/>
          </w:tcPr>
          <w:p w14:paraId="0DE903E3">
            <w:pPr>
              <w:pStyle w:val="105"/>
              <w:spacing w:line="240" w:lineRule="auto"/>
              <w:ind w:firstLine="0" w:firstLineChars="0"/>
              <w:jc w:val="both"/>
              <w:rPr>
                <w:sz w:val="21"/>
                <w:szCs w:val="21"/>
              </w:rPr>
            </w:pPr>
            <w:r>
              <w:rPr>
                <w:sz w:val="21"/>
                <w:szCs w:val="21"/>
              </w:rPr>
              <w:t>第二十四条 在河道管理范围内，禁止修建围堤、阻水渠道、阻水道路；种植高</w:t>
            </w:r>
            <w:r>
              <w:rPr>
                <w:rFonts w:hint="eastAsia"/>
                <w:sz w:val="21"/>
                <w:szCs w:val="21"/>
                <w:lang w:val="en-US" w:eastAsia="zh-CN"/>
              </w:rPr>
              <w:t>秆</w:t>
            </w:r>
            <w:r>
              <w:rPr>
                <w:sz w:val="21"/>
                <w:szCs w:val="21"/>
              </w:rPr>
              <w:t>农作物、芦苇、杞柳、荻柴和树木(堤防防护林除外)；设置拦河渔具；弃置矿渣、石渣、煤灰、泥土、垃圾等。</w:t>
            </w:r>
          </w:p>
          <w:p w14:paraId="49E7B090">
            <w:pPr>
              <w:pStyle w:val="105"/>
              <w:spacing w:line="240" w:lineRule="auto"/>
              <w:ind w:firstLine="0" w:firstLineChars="0"/>
              <w:jc w:val="both"/>
              <w:rPr>
                <w:sz w:val="21"/>
                <w:szCs w:val="21"/>
              </w:rPr>
            </w:pPr>
            <w:r>
              <w:rPr>
                <w:sz w:val="21"/>
                <w:szCs w:val="21"/>
              </w:rPr>
              <w:t>在堤防和护堤地，禁止建房、放牧、开渠、打井、挖窖、葬坟、晒粮、存放物料、开采地下资源、进行考古发掘以及开展集市贸易活动。</w:t>
            </w:r>
          </w:p>
        </w:tc>
        <w:tc>
          <w:tcPr>
            <w:tcW w:w="3889" w:type="dxa"/>
            <w:vAlign w:val="center"/>
          </w:tcPr>
          <w:p w14:paraId="5378A3B2">
            <w:pPr>
              <w:pStyle w:val="105"/>
              <w:spacing w:line="240" w:lineRule="auto"/>
              <w:ind w:firstLine="0" w:firstLineChars="0"/>
              <w:jc w:val="both"/>
              <w:rPr>
                <w:sz w:val="21"/>
                <w:szCs w:val="21"/>
              </w:rPr>
            </w:pPr>
            <w:r>
              <w:rPr>
                <w:rFonts w:hint="eastAsia"/>
                <w:sz w:val="21"/>
                <w:szCs w:val="21"/>
              </w:rPr>
              <w:t>本项目距离黄河岸线距离5.8km，根据鄂政水函〔2023〕608号文本项目占地范围不在已划定河道管理范围内；且本项目为蛋鸡养殖和鸡蛋产品加工项目，不涉及本条要求内容。</w:t>
            </w:r>
          </w:p>
        </w:tc>
        <w:tc>
          <w:tcPr>
            <w:tcW w:w="1063" w:type="dxa"/>
            <w:vAlign w:val="center"/>
          </w:tcPr>
          <w:p w14:paraId="3E537AA0">
            <w:pPr>
              <w:pStyle w:val="105"/>
              <w:spacing w:line="240" w:lineRule="auto"/>
              <w:ind w:firstLine="0" w:firstLineChars="0"/>
              <w:jc w:val="center"/>
              <w:rPr>
                <w:sz w:val="21"/>
                <w:szCs w:val="21"/>
              </w:rPr>
            </w:pPr>
            <w:r>
              <w:rPr>
                <w:rFonts w:hint="eastAsia"/>
                <w:sz w:val="21"/>
                <w:szCs w:val="21"/>
              </w:rPr>
              <w:t>符合</w:t>
            </w:r>
          </w:p>
        </w:tc>
      </w:tr>
      <w:tr w14:paraId="30B6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5" w:type="dxa"/>
            <w:vAlign w:val="center"/>
          </w:tcPr>
          <w:p w14:paraId="0CA0AAEE">
            <w:pPr>
              <w:pStyle w:val="105"/>
              <w:spacing w:line="240" w:lineRule="auto"/>
              <w:ind w:firstLine="0" w:firstLineChars="0"/>
              <w:jc w:val="both"/>
              <w:rPr>
                <w:sz w:val="21"/>
                <w:szCs w:val="21"/>
              </w:rPr>
            </w:pPr>
            <w:r>
              <w:rPr>
                <w:sz w:val="21"/>
                <w:szCs w:val="21"/>
              </w:rPr>
              <w:t xml:space="preserve">第二十五条 在河道管理范围内进行下列活动，必须报经河道主管机关批准；涉及其他部门的，由河道主管机关会同有关部门批准： </w:t>
            </w:r>
          </w:p>
          <w:p w14:paraId="65E34521">
            <w:pPr>
              <w:pStyle w:val="105"/>
              <w:spacing w:line="240" w:lineRule="auto"/>
              <w:ind w:firstLine="0" w:firstLineChars="0"/>
              <w:jc w:val="both"/>
              <w:rPr>
                <w:sz w:val="21"/>
                <w:szCs w:val="21"/>
              </w:rPr>
            </w:pPr>
            <w:r>
              <w:rPr>
                <w:sz w:val="21"/>
                <w:szCs w:val="21"/>
              </w:rPr>
              <w:t>(一)采砂、取土、淘金、弃置砂石或者淤泥；</w:t>
            </w:r>
          </w:p>
          <w:p w14:paraId="783F6D91">
            <w:pPr>
              <w:pStyle w:val="105"/>
              <w:spacing w:line="240" w:lineRule="auto"/>
              <w:ind w:firstLine="0" w:firstLineChars="0"/>
              <w:jc w:val="both"/>
              <w:rPr>
                <w:sz w:val="21"/>
                <w:szCs w:val="21"/>
              </w:rPr>
            </w:pPr>
            <w:r>
              <w:rPr>
                <w:sz w:val="21"/>
                <w:szCs w:val="21"/>
              </w:rPr>
              <w:t>(二)爆破、钻探、挖筑鱼塘；</w:t>
            </w:r>
          </w:p>
          <w:p w14:paraId="5F6B903E">
            <w:pPr>
              <w:pStyle w:val="105"/>
              <w:spacing w:line="240" w:lineRule="auto"/>
              <w:ind w:firstLine="0" w:firstLineChars="0"/>
              <w:jc w:val="both"/>
              <w:rPr>
                <w:sz w:val="21"/>
                <w:szCs w:val="21"/>
              </w:rPr>
            </w:pPr>
            <w:r>
              <w:rPr>
                <w:sz w:val="21"/>
                <w:szCs w:val="21"/>
              </w:rPr>
              <w:t xml:space="preserve">(三)在河道滩地存放物料、修建厂房或者其他建筑设施； </w:t>
            </w:r>
          </w:p>
          <w:p w14:paraId="6DCC7624">
            <w:pPr>
              <w:pStyle w:val="105"/>
              <w:spacing w:line="240" w:lineRule="auto"/>
              <w:ind w:firstLine="0" w:firstLineChars="0"/>
              <w:jc w:val="both"/>
              <w:rPr>
                <w:sz w:val="21"/>
                <w:szCs w:val="21"/>
              </w:rPr>
            </w:pPr>
            <w:r>
              <w:rPr>
                <w:sz w:val="21"/>
                <w:szCs w:val="21"/>
              </w:rPr>
              <w:t>(四)在河道滩地开采地下资源及进行考古发掘。</w:t>
            </w:r>
          </w:p>
        </w:tc>
        <w:tc>
          <w:tcPr>
            <w:tcW w:w="3889" w:type="dxa"/>
            <w:vAlign w:val="center"/>
          </w:tcPr>
          <w:p w14:paraId="54B14D97">
            <w:pPr>
              <w:pStyle w:val="105"/>
              <w:spacing w:line="240" w:lineRule="auto"/>
              <w:ind w:firstLine="0" w:firstLineChars="0"/>
              <w:jc w:val="both"/>
              <w:rPr>
                <w:sz w:val="21"/>
                <w:szCs w:val="21"/>
              </w:rPr>
            </w:pPr>
            <w:r>
              <w:rPr>
                <w:rFonts w:hint="eastAsia"/>
                <w:sz w:val="21"/>
                <w:szCs w:val="21"/>
              </w:rPr>
              <w:t>本项目距离黄河岸线5.8km，根据鄂政水函〔2023〕608号文本项目占地范围不在已划定河道管理范围内；属于蛋鸡养殖和鸡蛋产品加工过项目，不涉及本条要求内容。</w:t>
            </w:r>
          </w:p>
        </w:tc>
        <w:tc>
          <w:tcPr>
            <w:tcW w:w="1063" w:type="dxa"/>
            <w:vAlign w:val="center"/>
          </w:tcPr>
          <w:p w14:paraId="7DB9A397">
            <w:pPr>
              <w:pStyle w:val="105"/>
              <w:spacing w:line="240" w:lineRule="auto"/>
              <w:ind w:firstLine="0" w:firstLineChars="0"/>
              <w:jc w:val="center"/>
              <w:rPr>
                <w:sz w:val="21"/>
                <w:szCs w:val="21"/>
              </w:rPr>
            </w:pPr>
            <w:r>
              <w:rPr>
                <w:rFonts w:hint="eastAsia"/>
                <w:sz w:val="21"/>
                <w:szCs w:val="21"/>
              </w:rPr>
              <w:t>符合</w:t>
            </w:r>
          </w:p>
        </w:tc>
      </w:tr>
      <w:tr w14:paraId="1279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5" w:type="dxa"/>
            <w:vAlign w:val="center"/>
          </w:tcPr>
          <w:p w14:paraId="68125E89">
            <w:pPr>
              <w:pStyle w:val="105"/>
              <w:spacing w:line="240" w:lineRule="auto"/>
              <w:ind w:firstLine="0" w:firstLineChars="0"/>
              <w:jc w:val="both"/>
              <w:rPr>
                <w:sz w:val="21"/>
                <w:szCs w:val="21"/>
              </w:rPr>
            </w:pPr>
            <w:r>
              <w:rPr>
                <w:sz w:val="21"/>
                <w:szCs w:val="21"/>
              </w:rPr>
              <w:t>第二十九条 江河的故道、旧堤、原有工程设施等，不得擅自填堵、占用或者拆毁。</w:t>
            </w:r>
          </w:p>
        </w:tc>
        <w:tc>
          <w:tcPr>
            <w:tcW w:w="3889" w:type="dxa"/>
            <w:vAlign w:val="center"/>
          </w:tcPr>
          <w:p w14:paraId="2924ADA1">
            <w:pPr>
              <w:pStyle w:val="105"/>
              <w:spacing w:line="240" w:lineRule="auto"/>
              <w:ind w:firstLine="0" w:firstLineChars="0"/>
              <w:jc w:val="both"/>
              <w:rPr>
                <w:sz w:val="21"/>
                <w:szCs w:val="21"/>
              </w:rPr>
            </w:pPr>
            <w:r>
              <w:rPr>
                <w:rFonts w:hint="eastAsia"/>
                <w:sz w:val="21"/>
                <w:szCs w:val="21"/>
              </w:rPr>
              <w:t>本项目距离黄河岸线5.8km，属于蛋鸡养殖和鸡蛋产品加工项目，不涉及江河故道、旧堤等工程。</w:t>
            </w:r>
          </w:p>
        </w:tc>
        <w:tc>
          <w:tcPr>
            <w:tcW w:w="1063" w:type="dxa"/>
            <w:vAlign w:val="center"/>
          </w:tcPr>
          <w:p w14:paraId="6778651C">
            <w:pPr>
              <w:pStyle w:val="105"/>
              <w:spacing w:line="240" w:lineRule="auto"/>
              <w:ind w:firstLine="0" w:firstLineChars="0"/>
              <w:jc w:val="center"/>
              <w:rPr>
                <w:sz w:val="21"/>
                <w:szCs w:val="21"/>
              </w:rPr>
            </w:pPr>
            <w:r>
              <w:rPr>
                <w:rFonts w:hint="eastAsia"/>
                <w:sz w:val="21"/>
                <w:szCs w:val="21"/>
              </w:rPr>
              <w:t>符合</w:t>
            </w:r>
          </w:p>
        </w:tc>
      </w:tr>
      <w:tr w14:paraId="5CF3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5" w:type="dxa"/>
            <w:vAlign w:val="center"/>
          </w:tcPr>
          <w:p w14:paraId="7BBE8EF7">
            <w:pPr>
              <w:pStyle w:val="105"/>
              <w:spacing w:line="240" w:lineRule="auto"/>
              <w:ind w:firstLine="0" w:firstLineChars="0"/>
              <w:jc w:val="both"/>
              <w:rPr>
                <w:sz w:val="21"/>
                <w:szCs w:val="21"/>
              </w:rPr>
            </w:pPr>
            <w:r>
              <w:rPr>
                <w:sz w:val="21"/>
                <w:szCs w:val="21"/>
              </w:rPr>
              <w:t>第三十五条 在河道管理范围内，禁止堆放、倾倒、掩埋、排放污染水体的物体。禁止在河道内清洗装贮过油类或者有毒污染物的车辆、容器。</w:t>
            </w:r>
          </w:p>
        </w:tc>
        <w:tc>
          <w:tcPr>
            <w:tcW w:w="3889" w:type="dxa"/>
            <w:vAlign w:val="center"/>
          </w:tcPr>
          <w:p w14:paraId="44416EBC">
            <w:pPr>
              <w:pStyle w:val="105"/>
              <w:spacing w:line="240" w:lineRule="auto"/>
              <w:ind w:firstLine="0" w:firstLineChars="0"/>
              <w:jc w:val="both"/>
              <w:rPr>
                <w:sz w:val="21"/>
                <w:szCs w:val="21"/>
              </w:rPr>
            </w:pPr>
            <w:r>
              <w:rPr>
                <w:rFonts w:hint="eastAsia"/>
                <w:sz w:val="21"/>
                <w:szCs w:val="21"/>
              </w:rPr>
              <w:t>根据鄂政水函〔2023〕608号文本项目占地范围不在已划定河道管理范围内；项目蛋鸡养殖产生的医疗废弃物设置诊疗废弃物暂存间，按医疗废物管理，最终交由有资质单位进行拉运处置；解剖鸡、病死鸡装入专用密封袋暂存于冷柜，最终交由有资质单位拉运处置；鸡粪、饲料残渣、鸡毛、废水处理污泥、储水池污泥送入有机肥加工车间发酵制肥；饲料仓除尘器除尘灰回收用于饲料加工。本项目污废水经污水处理站处理达标后用于厂区绿化和农田灌溉。</w:t>
            </w:r>
          </w:p>
        </w:tc>
        <w:tc>
          <w:tcPr>
            <w:tcW w:w="1063" w:type="dxa"/>
            <w:vAlign w:val="center"/>
          </w:tcPr>
          <w:p w14:paraId="584B6974">
            <w:pPr>
              <w:pStyle w:val="105"/>
              <w:spacing w:line="240" w:lineRule="auto"/>
              <w:ind w:firstLine="0" w:firstLineChars="0"/>
              <w:jc w:val="center"/>
              <w:rPr>
                <w:sz w:val="21"/>
                <w:szCs w:val="21"/>
              </w:rPr>
            </w:pPr>
            <w:r>
              <w:rPr>
                <w:rFonts w:hint="eastAsia"/>
                <w:sz w:val="21"/>
                <w:szCs w:val="21"/>
              </w:rPr>
              <w:t>符合</w:t>
            </w:r>
          </w:p>
        </w:tc>
      </w:tr>
    </w:tbl>
    <w:p w14:paraId="37F690D1">
      <w:pPr>
        <w:pStyle w:val="105"/>
        <w:ind w:firstLine="480"/>
      </w:pPr>
      <w:r>
        <w:t>由上表可知，本项目符合</w:t>
      </w:r>
      <w:r>
        <w:rPr>
          <w:rFonts w:hint="eastAsia"/>
        </w:rPr>
        <w:t>《中华人民共和国河道管理条例》</w:t>
      </w:r>
      <w:r>
        <w:t>相关要求。</w:t>
      </w:r>
    </w:p>
    <w:p w14:paraId="778947E1">
      <w:pPr>
        <w:pStyle w:val="105"/>
        <w:ind w:firstLine="482"/>
        <w:rPr>
          <w:b/>
          <w:bCs/>
        </w:rPr>
      </w:pPr>
      <w:r>
        <w:rPr>
          <w:b/>
          <w:bCs/>
        </w:rPr>
        <w:t>⑦</w:t>
      </w:r>
      <w:r>
        <w:rPr>
          <w:rFonts w:hint="eastAsia"/>
          <w:b/>
          <w:bCs/>
        </w:rPr>
        <w:t>本项目与《鄂尔多斯市黄河河道管理条例》符合性分析</w:t>
      </w:r>
    </w:p>
    <w:p w14:paraId="289C53D3">
      <w:pPr>
        <w:pStyle w:val="105"/>
        <w:ind w:firstLine="480"/>
        <w:rPr>
          <w:b/>
          <w:bCs/>
        </w:rPr>
      </w:pPr>
      <w:r>
        <w:rPr>
          <w:rFonts w:hint="eastAsia"/>
        </w:rPr>
        <w:t>本项目与《鄂尔多斯市黄河河道管理条例》中相关内容符合性分析如下。</w:t>
      </w:r>
    </w:p>
    <w:p w14:paraId="738A53EB">
      <w:pPr>
        <w:pStyle w:val="105"/>
        <w:spacing w:line="240" w:lineRule="auto"/>
        <w:ind w:firstLine="0" w:firstLineChars="0"/>
        <w:jc w:val="center"/>
        <w:rPr>
          <w:b/>
          <w:bCs/>
        </w:rPr>
      </w:pPr>
      <w:r>
        <w:rPr>
          <w:rFonts w:hint="eastAsia"/>
          <w:b/>
          <w:bCs/>
        </w:rPr>
        <w:t>表1.3-3 本项目与《鄂尔多斯市黄河河道管理条例》符合性分析一览表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2"/>
        <w:gridCol w:w="2889"/>
        <w:gridCol w:w="1096"/>
      </w:tblGrid>
      <w:tr w14:paraId="3882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2" w:type="dxa"/>
            <w:vAlign w:val="center"/>
          </w:tcPr>
          <w:p w14:paraId="505FAF1D">
            <w:pPr>
              <w:pStyle w:val="105"/>
              <w:spacing w:line="240" w:lineRule="auto"/>
              <w:ind w:firstLine="0" w:firstLineChars="0"/>
              <w:jc w:val="center"/>
              <w:rPr>
                <w:sz w:val="21"/>
                <w:szCs w:val="21"/>
              </w:rPr>
            </w:pPr>
            <w:r>
              <w:rPr>
                <w:rFonts w:hint="eastAsia"/>
                <w:sz w:val="21"/>
                <w:szCs w:val="21"/>
              </w:rPr>
              <w:t>《鄂尔多斯市黄河河道管理条例》</w:t>
            </w:r>
          </w:p>
        </w:tc>
        <w:tc>
          <w:tcPr>
            <w:tcW w:w="2889" w:type="dxa"/>
            <w:vAlign w:val="center"/>
          </w:tcPr>
          <w:p w14:paraId="13F82B71">
            <w:pPr>
              <w:pStyle w:val="105"/>
              <w:spacing w:line="240" w:lineRule="auto"/>
              <w:ind w:firstLine="0" w:firstLineChars="0"/>
              <w:jc w:val="center"/>
              <w:rPr>
                <w:sz w:val="21"/>
                <w:szCs w:val="21"/>
              </w:rPr>
            </w:pPr>
            <w:r>
              <w:rPr>
                <w:rFonts w:hint="eastAsia"/>
                <w:sz w:val="21"/>
                <w:szCs w:val="21"/>
              </w:rPr>
              <w:t>本项目</w:t>
            </w:r>
          </w:p>
        </w:tc>
        <w:tc>
          <w:tcPr>
            <w:tcW w:w="1096" w:type="dxa"/>
            <w:vAlign w:val="center"/>
          </w:tcPr>
          <w:p w14:paraId="1954BA02">
            <w:pPr>
              <w:pStyle w:val="105"/>
              <w:spacing w:line="240" w:lineRule="auto"/>
              <w:ind w:firstLine="0" w:firstLineChars="0"/>
              <w:jc w:val="center"/>
              <w:rPr>
                <w:sz w:val="21"/>
                <w:szCs w:val="21"/>
              </w:rPr>
            </w:pPr>
            <w:r>
              <w:rPr>
                <w:rFonts w:hint="eastAsia"/>
                <w:sz w:val="21"/>
                <w:szCs w:val="21"/>
              </w:rPr>
              <w:t>符合性</w:t>
            </w:r>
          </w:p>
        </w:tc>
      </w:tr>
      <w:tr w14:paraId="0A60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2" w:type="dxa"/>
            <w:vAlign w:val="center"/>
          </w:tcPr>
          <w:p w14:paraId="5B6B0A4F">
            <w:pPr>
              <w:pStyle w:val="105"/>
              <w:spacing w:line="240" w:lineRule="auto"/>
              <w:ind w:firstLine="0" w:firstLineChars="0"/>
              <w:jc w:val="both"/>
              <w:rPr>
                <w:sz w:val="21"/>
                <w:szCs w:val="21"/>
              </w:rPr>
            </w:pPr>
            <w:r>
              <w:rPr>
                <w:rFonts w:hint="eastAsia"/>
                <w:sz w:val="21"/>
                <w:szCs w:val="21"/>
              </w:rPr>
              <w:t>第十七条 黄河河道管理范围内禁止下列行为：</w:t>
            </w:r>
          </w:p>
          <w:p w14:paraId="39C59182">
            <w:pPr>
              <w:pStyle w:val="105"/>
              <w:spacing w:line="240" w:lineRule="auto"/>
              <w:ind w:firstLine="0" w:firstLineChars="0"/>
              <w:jc w:val="both"/>
              <w:rPr>
                <w:sz w:val="21"/>
                <w:szCs w:val="21"/>
              </w:rPr>
            </w:pPr>
            <w:r>
              <w:rPr>
                <w:rFonts w:hint="eastAsia"/>
                <w:sz w:val="21"/>
                <w:szCs w:val="21"/>
              </w:rPr>
              <w:t>（一）修建围提、阻水渠道、阻水道路；</w:t>
            </w:r>
          </w:p>
          <w:p w14:paraId="63439816">
            <w:pPr>
              <w:pStyle w:val="105"/>
              <w:spacing w:line="240" w:lineRule="auto"/>
              <w:ind w:firstLine="0" w:firstLineChars="0"/>
              <w:jc w:val="both"/>
              <w:rPr>
                <w:sz w:val="21"/>
                <w:szCs w:val="21"/>
              </w:rPr>
            </w:pPr>
            <w:r>
              <w:rPr>
                <w:rFonts w:hint="eastAsia"/>
                <w:sz w:val="21"/>
                <w:szCs w:val="21"/>
              </w:rPr>
              <w:t>（二）建设妨碍行洪的建筑物、构筑物或其他设施；</w:t>
            </w:r>
          </w:p>
          <w:p w14:paraId="2F3D5EC6">
            <w:pPr>
              <w:pStyle w:val="105"/>
              <w:spacing w:line="240" w:lineRule="auto"/>
              <w:ind w:firstLine="0" w:firstLineChars="0"/>
              <w:jc w:val="both"/>
              <w:rPr>
                <w:sz w:val="21"/>
                <w:szCs w:val="21"/>
              </w:rPr>
            </w:pPr>
            <w:r>
              <w:rPr>
                <w:rFonts w:hint="eastAsia"/>
                <w:sz w:val="21"/>
                <w:szCs w:val="21"/>
              </w:rPr>
              <w:t>（三）弃置、倾倒、堆放矿渣、石渣、煤炭、泥土、垃圾等废弃物、固体废物；</w:t>
            </w:r>
          </w:p>
          <w:p w14:paraId="0896A3BB">
            <w:pPr>
              <w:pStyle w:val="105"/>
              <w:spacing w:line="240" w:lineRule="auto"/>
              <w:ind w:firstLine="0" w:firstLineChars="0"/>
              <w:jc w:val="both"/>
              <w:rPr>
                <w:sz w:val="21"/>
                <w:szCs w:val="21"/>
              </w:rPr>
            </w:pPr>
            <w:r>
              <w:rPr>
                <w:rFonts w:hint="eastAsia"/>
                <w:sz w:val="21"/>
                <w:szCs w:val="21"/>
              </w:rPr>
              <w:t>（四）种植阻碍行洪的高</w:t>
            </w:r>
            <w:r>
              <w:rPr>
                <w:rFonts w:hint="eastAsia"/>
                <w:sz w:val="21"/>
                <w:szCs w:val="21"/>
                <w:lang w:val="en-US" w:eastAsia="zh-CN"/>
              </w:rPr>
              <w:t>秆</w:t>
            </w:r>
            <w:r>
              <w:rPr>
                <w:rFonts w:hint="eastAsia"/>
                <w:sz w:val="21"/>
                <w:szCs w:val="21"/>
              </w:rPr>
              <w:t>作物、芦苇、杞柳、荻柴和林木（堤防护林除外）；</w:t>
            </w:r>
          </w:p>
          <w:p w14:paraId="4E525F0B">
            <w:pPr>
              <w:pStyle w:val="105"/>
              <w:spacing w:line="240" w:lineRule="auto"/>
              <w:ind w:firstLine="0" w:firstLineChars="0"/>
              <w:jc w:val="both"/>
              <w:rPr>
                <w:sz w:val="21"/>
                <w:szCs w:val="21"/>
              </w:rPr>
            </w:pPr>
            <w:r>
              <w:rPr>
                <w:rFonts w:hint="eastAsia"/>
                <w:sz w:val="21"/>
                <w:szCs w:val="21"/>
              </w:rPr>
              <w:t>（五）堆放未经处理或者经处理未达到规定标准的污水；</w:t>
            </w:r>
          </w:p>
          <w:p w14:paraId="09C4DB45">
            <w:pPr>
              <w:pStyle w:val="105"/>
              <w:spacing w:line="240" w:lineRule="auto"/>
              <w:ind w:firstLine="0" w:firstLineChars="0"/>
              <w:jc w:val="both"/>
              <w:rPr>
                <w:sz w:val="21"/>
                <w:szCs w:val="21"/>
              </w:rPr>
            </w:pPr>
            <w:r>
              <w:rPr>
                <w:rFonts w:hint="eastAsia"/>
                <w:sz w:val="21"/>
                <w:szCs w:val="21"/>
              </w:rPr>
              <w:t>（六）堆放、倾倒、填埋、弃置、排放污染水体的物体，清洗装贮过油类或者有毒、有污染的车辆、容器；</w:t>
            </w:r>
          </w:p>
          <w:p w14:paraId="0936627B">
            <w:pPr>
              <w:pStyle w:val="105"/>
              <w:spacing w:line="240" w:lineRule="auto"/>
              <w:ind w:firstLine="0" w:firstLineChars="0"/>
              <w:jc w:val="both"/>
              <w:rPr>
                <w:sz w:val="21"/>
                <w:szCs w:val="21"/>
              </w:rPr>
            </w:pPr>
            <w:r>
              <w:rPr>
                <w:rFonts w:hint="eastAsia"/>
                <w:sz w:val="21"/>
                <w:szCs w:val="21"/>
              </w:rPr>
              <w:t>（七）弃置病死动物；</w:t>
            </w:r>
          </w:p>
          <w:p w14:paraId="31EF09C2">
            <w:pPr>
              <w:pStyle w:val="105"/>
              <w:spacing w:line="240" w:lineRule="auto"/>
              <w:ind w:firstLine="0" w:firstLineChars="0"/>
              <w:jc w:val="both"/>
              <w:rPr>
                <w:sz w:val="21"/>
                <w:szCs w:val="21"/>
              </w:rPr>
            </w:pPr>
            <w:r>
              <w:rPr>
                <w:rFonts w:hint="eastAsia"/>
                <w:sz w:val="21"/>
                <w:szCs w:val="21"/>
              </w:rPr>
              <w:t>（八）法律、法规规定的其他禁止行为。</w:t>
            </w:r>
          </w:p>
        </w:tc>
        <w:tc>
          <w:tcPr>
            <w:tcW w:w="2889" w:type="dxa"/>
            <w:vAlign w:val="center"/>
          </w:tcPr>
          <w:p w14:paraId="0CD8FC18">
            <w:pPr>
              <w:pStyle w:val="105"/>
              <w:spacing w:line="240" w:lineRule="auto"/>
              <w:ind w:firstLine="0" w:firstLineChars="0"/>
              <w:jc w:val="both"/>
              <w:rPr>
                <w:sz w:val="21"/>
                <w:szCs w:val="21"/>
              </w:rPr>
            </w:pPr>
            <w:r>
              <w:rPr>
                <w:rFonts w:hint="eastAsia"/>
                <w:sz w:val="21"/>
                <w:szCs w:val="21"/>
              </w:rPr>
              <w:t>本项目距离黄河岸线距离为5.8km；根据鄂政水函〔2023〕608号文本项目占地范围不在已划定河道管理范围内；项目解剖鸡、病死鸡装入专用密封袋暂存于冷柜，最终交由有资质单位拉运处置。</w:t>
            </w:r>
          </w:p>
        </w:tc>
        <w:tc>
          <w:tcPr>
            <w:tcW w:w="1096" w:type="dxa"/>
            <w:vAlign w:val="center"/>
          </w:tcPr>
          <w:p w14:paraId="6C2B2EAB">
            <w:pPr>
              <w:pStyle w:val="105"/>
              <w:spacing w:line="240" w:lineRule="auto"/>
              <w:ind w:firstLine="0" w:firstLineChars="0"/>
              <w:jc w:val="center"/>
              <w:rPr>
                <w:sz w:val="21"/>
                <w:szCs w:val="21"/>
              </w:rPr>
            </w:pPr>
            <w:r>
              <w:rPr>
                <w:rFonts w:hint="eastAsia"/>
                <w:sz w:val="21"/>
                <w:szCs w:val="21"/>
              </w:rPr>
              <w:t>符合</w:t>
            </w:r>
          </w:p>
        </w:tc>
      </w:tr>
      <w:tr w14:paraId="11B1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2" w:type="dxa"/>
            <w:vAlign w:val="center"/>
          </w:tcPr>
          <w:p w14:paraId="6102A744">
            <w:pPr>
              <w:pStyle w:val="105"/>
              <w:spacing w:line="240" w:lineRule="auto"/>
              <w:ind w:firstLine="0" w:firstLineChars="0"/>
              <w:jc w:val="both"/>
              <w:rPr>
                <w:sz w:val="21"/>
                <w:szCs w:val="21"/>
              </w:rPr>
            </w:pPr>
            <w:r>
              <w:rPr>
                <w:rFonts w:hint="eastAsia"/>
                <w:sz w:val="21"/>
                <w:szCs w:val="21"/>
              </w:rPr>
              <w:t>第二十六条 农业生产经营者也能够当科学合理使用农药、化肥、兽药等农业投入品，科学处理、处置农业投入品包装废弃物、农用薄膜等农业废弃物，综合利用农作物秸秆，加强畜禽、水产养殖污染防治。</w:t>
            </w:r>
          </w:p>
        </w:tc>
        <w:tc>
          <w:tcPr>
            <w:tcW w:w="2889" w:type="dxa"/>
            <w:vAlign w:val="center"/>
          </w:tcPr>
          <w:p w14:paraId="6937F315">
            <w:pPr>
              <w:pStyle w:val="105"/>
              <w:spacing w:line="240" w:lineRule="auto"/>
              <w:ind w:firstLine="0" w:firstLineChars="0"/>
              <w:jc w:val="both"/>
              <w:rPr>
                <w:sz w:val="21"/>
                <w:szCs w:val="21"/>
              </w:rPr>
            </w:pPr>
            <w:r>
              <w:rPr>
                <w:rFonts w:hint="eastAsia"/>
                <w:sz w:val="21"/>
                <w:szCs w:val="21"/>
              </w:rPr>
              <w:t>本项目蛋鸡养殖产生的医疗废弃物设置诊疗废弃物暂存间，按医疗废物管理，最终交由有资质单位进行拉运处置；解剖鸡、病死鸡装入专用密封袋暂存于冷柜，最终交由有资质单位拉运处置；鸡粪、饲料残渣、鸡毛、废水处理污泥、储水池污泥送入有机肥加工车间发酵制肥；饲料仓除尘器除尘灰回收用于饲料加工。本项目污废水经污水处理站处理达标后用于厂区绿化和农田灌溉。</w:t>
            </w:r>
          </w:p>
        </w:tc>
        <w:tc>
          <w:tcPr>
            <w:tcW w:w="1096" w:type="dxa"/>
            <w:vAlign w:val="center"/>
          </w:tcPr>
          <w:p w14:paraId="7B8DA9AD">
            <w:pPr>
              <w:pStyle w:val="105"/>
              <w:spacing w:line="240" w:lineRule="auto"/>
              <w:ind w:firstLine="0" w:firstLineChars="0"/>
              <w:jc w:val="center"/>
              <w:rPr>
                <w:sz w:val="21"/>
                <w:szCs w:val="21"/>
              </w:rPr>
            </w:pPr>
            <w:r>
              <w:rPr>
                <w:rFonts w:hint="eastAsia"/>
                <w:sz w:val="21"/>
                <w:szCs w:val="21"/>
              </w:rPr>
              <w:t>符合</w:t>
            </w:r>
          </w:p>
        </w:tc>
      </w:tr>
      <w:tr w14:paraId="1F71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2" w:type="dxa"/>
            <w:vAlign w:val="center"/>
          </w:tcPr>
          <w:p w14:paraId="68E3A365">
            <w:pPr>
              <w:pStyle w:val="105"/>
              <w:spacing w:line="240" w:lineRule="auto"/>
              <w:ind w:firstLine="0" w:firstLineChars="0"/>
              <w:jc w:val="both"/>
              <w:rPr>
                <w:sz w:val="21"/>
                <w:szCs w:val="21"/>
              </w:rPr>
            </w:pPr>
            <w:r>
              <w:rPr>
                <w:rFonts w:hint="eastAsia"/>
                <w:sz w:val="21"/>
                <w:szCs w:val="21"/>
              </w:rPr>
              <w:t>第二十八条 黄河河道管理范围内，取用水资源的组织和个人，应当按照取水许可制度和水资源有偿使用制度的规定，想水行政主管部门或者流域管理机构申领取水许可证。</w:t>
            </w:r>
          </w:p>
        </w:tc>
        <w:tc>
          <w:tcPr>
            <w:tcW w:w="2889" w:type="dxa"/>
            <w:vAlign w:val="center"/>
          </w:tcPr>
          <w:p w14:paraId="4613166A">
            <w:pPr>
              <w:pStyle w:val="105"/>
              <w:spacing w:line="240" w:lineRule="auto"/>
              <w:ind w:firstLine="0" w:firstLineChars="0"/>
              <w:jc w:val="both"/>
              <w:rPr>
                <w:sz w:val="21"/>
                <w:szCs w:val="21"/>
              </w:rPr>
            </w:pPr>
            <w:r>
              <w:rPr>
                <w:rFonts w:hint="eastAsia"/>
                <w:sz w:val="21"/>
                <w:szCs w:val="21"/>
              </w:rPr>
              <w:t>根据鄂政水函〔2023〕608号文本项目占地范围不在已划定河道管理范围内；根据鄂政水审发〔2020〕44号文，已准予本项目办理取水许可手续。</w:t>
            </w:r>
          </w:p>
        </w:tc>
        <w:tc>
          <w:tcPr>
            <w:tcW w:w="1096" w:type="dxa"/>
            <w:vAlign w:val="center"/>
          </w:tcPr>
          <w:p w14:paraId="5EE92A9B">
            <w:pPr>
              <w:pStyle w:val="105"/>
              <w:spacing w:line="240" w:lineRule="auto"/>
              <w:ind w:firstLine="0" w:firstLineChars="0"/>
              <w:jc w:val="center"/>
              <w:rPr>
                <w:sz w:val="21"/>
                <w:szCs w:val="21"/>
              </w:rPr>
            </w:pPr>
            <w:r>
              <w:rPr>
                <w:rFonts w:hint="eastAsia"/>
                <w:sz w:val="21"/>
                <w:szCs w:val="21"/>
              </w:rPr>
              <w:t>符合</w:t>
            </w:r>
          </w:p>
        </w:tc>
      </w:tr>
    </w:tbl>
    <w:p w14:paraId="06EF8962">
      <w:pPr>
        <w:pStyle w:val="105"/>
        <w:ind w:firstLine="480"/>
      </w:pPr>
      <w:r>
        <w:t>由上表可知，本项目符合</w:t>
      </w:r>
      <w:r>
        <w:rPr>
          <w:rFonts w:hint="eastAsia"/>
        </w:rPr>
        <w:t>《鄂尔多斯市黄河河道管理条例》</w:t>
      </w:r>
      <w:r>
        <w:t>相关要求。</w:t>
      </w:r>
    </w:p>
    <w:p w14:paraId="55F7E94F">
      <w:pPr>
        <w:pStyle w:val="105"/>
        <w:ind w:firstLine="482"/>
        <w:rPr>
          <w:b/>
          <w:bCs/>
        </w:rPr>
      </w:pPr>
      <w:r>
        <w:rPr>
          <w:b/>
          <w:bCs/>
        </w:rPr>
        <w:t>⑧</w:t>
      </w:r>
      <w:r>
        <w:rPr>
          <w:rFonts w:hint="eastAsia"/>
          <w:b/>
          <w:bCs/>
        </w:rPr>
        <w:t>本项目与鄂托克旗禁（限）养区划定方案符合性分析</w:t>
      </w:r>
    </w:p>
    <w:p w14:paraId="48DD4135">
      <w:pPr>
        <w:pStyle w:val="105"/>
        <w:ind w:firstLine="480"/>
      </w:pPr>
      <w:r>
        <w:rPr>
          <w:rFonts w:hint="eastAsia"/>
        </w:rPr>
        <w:t>本项目与鄂托克旗禁（限）样区划定方案中相关内容符合性分析如下。</w:t>
      </w:r>
    </w:p>
    <w:p w14:paraId="53CA5393">
      <w:pPr>
        <w:pStyle w:val="105"/>
        <w:spacing w:line="240" w:lineRule="auto"/>
        <w:ind w:firstLine="0" w:firstLineChars="0"/>
        <w:jc w:val="center"/>
      </w:pPr>
      <w:r>
        <w:rPr>
          <w:rFonts w:hint="eastAsia"/>
          <w:b/>
          <w:bCs/>
        </w:rPr>
        <w:t>表1.3-4 本项目与鄂托克旗禁（限）样区划定方案符合性分析一览表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91"/>
        <w:gridCol w:w="4322"/>
        <w:gridCol w:w="1374"/>
      </w:tblGrid>
      <w:tr w14:paraId="19BC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1" w:type="dxa"/>
            <w:vAlign w:val="center"/>
          </w:tcPr>
          <w:p w14:paraId="373147DB">
            <w:pPr>
              <w:pStyle w:val="105"/>
              <w:spacing w:line="240" w:lineRule="auto"/>
              <w:ind w:firstLine="0" w:firstLineChars="0"/>
              <w:jc w:val="center"/>
              <w:rPr>
                <w:sz w:val="21"/>
                <w:szCs w:val="21"/>
              </w:rPr>
            </w:pPr>
            <w:r>
              <w:rPr>
                <w:rFonts w:hint="eastAsia"/>
                <w:sz w:val="21"/>
                <w:szCs w:val="21"/>
              </w:rPr>
              <w:t>鄂托克旗禁（限）样区划定方案</w:t>
            </w:r>
          </w:p>
        </w:tc>
        <w:tc>
          <w:tcPr>
            <w:tcW w:w="4322" w:type="dxa"/>
            <w:vAlign w:val="center"/>
          </w:tcPr>
          <w:p w14:paraId="331E1C08">
            <w:pPr>
              <w:pStyle w:val="105"/>
              <w:spacing w:line="240" w:lineRule="auto"/>
              <w:ind w:firstLine="0" w:firstLineChars="0"/>
              <w:jc w:val="center"/>
              <w:rPr>
                <w:sz w:val="21"/>
                <w:szCs w:val="21"/>
              </w:rPr>
            </w:pPr>
            <w:r>
              <w:rPr>
                <w:rFonts w:hint="eastAsia"/>
                <w:sz w:val="21"/>
                <w:szCs w:val="21"/>
              </w:rPr>
              <w:t>本项目</w:t>
            </w:r>
          </w:p>
        </w:tc>
        <w:tc>
          <w:tcPr>
            <w:tcW w:w="1374" w:type="dxa"/>
            <w:vAlign w:val="center"/>
          </w:tcPr>
          <w:p w14:paraId="0C9CFBE7">
            <w:pPr>
              <w:pStyle w:val="105"/>
              <w:spacing w:line="240" w:lineRule="auto"/>
              <w:ind w:firstLine="0" w:firstLineChars="0"/>
              <w:jc w:val="center"/>
              <w:rPr>
                <w:sz w:val="21"/>
                <w:szCs w:val="21"/>
              </w:rPr>
            </w:pPr>
            <w:r>
              <w:rPr>
                <w:rFonts w:hint="eastAsia"/>
                <w:sz w:val="21"/>
                <w:szCs w:val="21"/>
              </w:rPr>
              <w:t>符合性</w:t>
            </w:r>
          </w:p>
        </w:tc>
      </w:tr>
      <w:tr w14:paraId="2BD5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3591" w:type="dxa"/>
            <w:vAlign w:val="center"/>
          </w:tcPr>
          <w:p w14:paraId="78CF2749">
            <w:pPr>
              <w:pStyle w:val="105"/>
              <w:spacing w:line="240" w:lineRule="auto"/>
              <w:ind w:firstLine="0" w:firstLineChars="0"/>
              <w:jc w:val="both"/>
              <w:rPr>
                <w:sz w:val="21"/>
                <w:szCs w:val="21"/>
              </w:rPr>
            </w:pPr>
            <w:r>
              <w:rPr>
                <w:rFonts w:hint="eastAsia"/>
                <w:sz w:val="21"/>
                <w:szCs w:val="21"/>
              </w:rPr>
              <w:t>自然保护区禁养区将核心区、缓冲区划为禁养区</w:t>
            </w:r>
          </w:p>
        </w:tc>
        <w:tc>
          <w:tcPr>
            <w:tcW w:w="4322" w:type="dxa"/>
            <w:vAlign w:val="center"/>
          </w:tcPr>
          <w:p w14:paraId="163C7414">
            <w:pPr>
              <w:pStyle w:val="105"/>
              <w:spacing w:line="240" w:lineRule="auto"/>
              <w:ind w:firstLine="0" w:firstLineChars="0"/>
              <w:jc w:val="both"/>
              <w:rPr>
                <w:sz w:val="21"/>
                <w:szCs w:val="21"/>
              </w:rPr>
            </w:pPr>
            <w:r>
              <w:rPr>
                <w:rFonts w:hint="eastAsia"/>
                <w:sz w:val="21"/>
                <w:szCs w:val="21"/>
              </w:rPr>
              <w:t>根据西资函〔2023〕92号文，本项目距离西鄂尔多斯国家级自然保护区试验区0.57km，距离保护区缓冲区1.39km，距离保护区核心区2.39km；本项目距离鄂托克恐龙遗迹化石国家级自然保护区直线距离118.32km；本项目不涉及自然保护区核心区和缓冲区。</w:t>
            </w:r>
          </w:p>
        </w:tc>
        <w:tc>
          <w:tcPr>
            <w:tcW w:w="1374" w:type="dxa"/>
            <w:vAlign w:val="center"/>
          </w:tcPr>
          <w:p w14:paraId="5F84BFE0">
            <w:pPr>
              <w:pStyle w:val="105"/>
              <w:spacing w:line="240" w:lineRule="auto"/>
              <w:ind w:firstLine="0" w:firstLineChars="0"/>
              <w:jc w:val="center"/>
              <w:rPr>
                <w:sz w:val="21"/>
                <w:szCs w:val="21"/>
              </w:rPr>
            </w:pPr>
            <w:r>
              <w:rPr>
                <w:rFonts w:hint="eastAsia"/>
                <w:sz w:val="21"/>
                <w:szCs w:val="21"/>
              </w:rPr>
              <w:t>符合</w:t>
            </w:r>
          </w:p>
        </w:tc>
      </w:tr>
      <w:tr w14:paraId="16CD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1" w:type="dxa"/>
            <w:vAlign w:val="center"/>
          </w:tcPr>
          <w:p w14:paraId="6D31BCDA">
            <w:pPr>
              <w:pStyle w:val="105"/>
              <w:spacing w:line="240" w:lineRule="auto"/>
              <w:ind w:firstLine="0" w:firstLineChars="0"/>
              <w:jc w:val="both"/>
              <w:rPr>
                <w:sz w:val="21"/>
                <w:szCs w:val="21"/>
              </w:rPr>
            </w:pPr>
            <w:r>
              <w:rPr>
                <w:sz w:val="21"/>
                <w:szCs w:val="21"/>
              </w:rPr>
              <w:t>水源地一级保护区和二级保护</w:t>
            </w:r>
            <w:r>
              <w:rPr>
                <w:rFonts w:hint="eastAsia"/>
                <w:sz w:val="21"/>
                <w:szCs w:val="21"/>
              </w:rPr>
              <w:t>划为禁养区</w:t>
            </w:r>
          </w:p>
        </w:tc>
        <w:tc>
          <w:tcPr>
            <w:tcW w:w="4322" w:type="dxa"/>
            <w:vAlign w:val="center"/>
          </w:tcPr>
          <w:p w14:paraId="0635D4FF">
            <w:pPr>
              <w:pStyle w:val="105"/>
              <w:spacing w:line="240" w:lineRule="auto"/>
              <w:ind w:firstLine="0" w:firstLineChars="0"/>
              <w:jc w:val="both"/>
              <w:rPr>
                <w:sz w:val="21"/>
                <w:szCs w:val="21"/>
              </w:rPr>
            </w:pPr>
            <w:r>
              <w:rPr>
                <w:rFonts w:hint="eastAsia"/>
                <w:sz w:val="21"/>
                <w:szCs w:val="21"/>
              </w:rPr>
              <w:t>根据《鄂尔多斯市生态环境局鄂托克旗分局关于</w:t>
            </w:r>
            <w:r>
              <w:rPr>
                <w:rFonts w:hint="eastAsia" w:ascii="宋体" w:hAnsi="宋体"/>
                <w:sz w:val="21"/>
                <w:szCs w:val="21"/>
              </w:rPr>
              <w:t>内蒙古华翔农林牧科技发展有限公司120万只蛋鸡养殖项目与鄂托克旗集中式饮用水水源保护区位置关系的函》，本项目占地范围不在水源保护区范围内。</w:t>
            </w:r>
          </w:p>
        </w:tc>
        <w:tc>
          <w:tcPr>
            <w:tcW w:w="1374" w:type="dxa"/>
            <w:vAlign w:val="center"/>
          </w:tcPr>
          <w:p w14:paraId="0712644D">
            <w:pPr>
              <w:pStyle w:val="105"/>
              <w:spacing w:line="240" w:lineRule="auto"/>
              <w:ind w:firstLine="0" w:firstLineChars="0"/>
              <w:jc w:val="center"/>
              <w:rPr>
                <w:sz w:val="21"/>
                <w:szCs w:val="21"/>
              </w:rPr>
            </w:pPr>
            <w:r>
              <w:rPr>
                <w:rFonts w:hint="eastAsia"/>
                <w:sz w:val="21"/>
                <w:szCs w:val="21"/>
              </w:rPr>
              <w:t>符合</w:t>
            </w:r>
          </w:p>
        </w:tc>
      </w:tr>
      <w:tr w14:paraId="46AD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1" w:type="dxa"/>
            <w:vAlign w:val="center"/>
          </w:tcPr>
          <w:p w14:paraId="15F2152F">
            <w:pPr>
              <w:pStyle w:val="105"/>
              <w:spacing w:line="240" w:lineRule="auto"/>
              <w:ind w:firstLine="0" w:firstLineChars="0"/>
              <w:jc w:val="center"/>
              <w:rPr>
                <w:sz w:val="21"/>
                <w:szCs w:val="21"/>
              </w:rPr>
            </w:pPr>
            <w:r>
              <w:rPr>
                <w:sz w:val="21"/>
                <w:szCs w:val="21"/>
              </w:rPr>
              <w:t>3个城镇居民区</w:t>
            </w:r>
            <w:r>
              <w:rPr>
                <w:rFonts w:hint="eastAsia"/>
                <w:sz w:val="21"/>
                <w:szCs w:val="21"/>
              </w:rPr>
              <w:t>划为禁养区</w:t>
            </w:r>
          </w:p>
        </w:tc>
        <w:tc>
          <w:tcPr>
            <w:tcW w:w="4322" w:type="dxa"/>
            <w:vAlign w:val="center"/>
          </w:tcPr>
          <w:p w14:paraId="05390AD1">
            <w:pPr>
              <w:pStyle w:val="105"/>
              <w:spacing w:line="240" w:lineRule="auto"/>
              <w:ind w:firstLine="0" w:firstLineChars="0"/>
              <w:jc w:val="center"/>
              <w:rPr>
                <w:sz w:val="21"/>
                <w:szCs w:val="21"/>
              </w:rPr>
            </w:pPr>
            <w:r>
              <w:rPr>
                <w:rFonts w:hint="eastAsia"/>
                <w:sz w:val="21"/>
                <w:szCs w:val="21"/>
              </w:rPr>
              <w:t>本项目占地范围不属于城镇居民区</w:t>
            </w:r>
          </w:p>
        </w:tc>
        <w:tc>
          <w:tcPr>
            <w:tcW w:w="1374" w:type="dxa"/>
            <w:vAlign w:val="center"/>
          </w:tcPr>
          <w:p w14:paraId="22262976">
            <w:pPr>
              <w:pStyle w:val="105"/>
              <w:spacing w:line="240" w:lineRule="auto"/>
              <w:ind w:firstLine="0" w:firstLineChars="0"/>
              <w:jc w:val="center"/>
              <w:rPr>
                <w:sz w:val="21"/>
                <w:szCs w:val="21"/>
              </w:rPr>
            </w:pPr>
            <w:r>
              <w:rPr>
                <w:rFonts w:hint="eastAsia"/>
                <w:sz w:val="21"/>
                <w:szCs w:val="21"/>
              </w:rPr>
              <w:t>符合</w:t>
            </w:r>
          </w:p>
        </w:tc>
      </w:tr>
      <w:tr w14:paraId="0A03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1" w:type="dxa"/>
            <w:vAlign w:val="center"/>
          </w:tcPr>
          <w:p w14:paraId="636D1945">
            <w:pPr>
              <w:pStyle w:val="105"/>
              <w:spacing w:line="240" w:lineRule="auto"/>
              <w:ind w:firstLine="0" w:firstLineChars="0"/>
              <w:jc w:val="center"/>
              <w:rPr>
                <w:sz w:val="21"/>
                <w:szCs w:val="21"/>
              </w:rPr>
            </w:pPr>
            <w:r>
              <w:rPr>
                <w:sz w:val="21"/>
                <w:szCs w:val="21"/>
              </w:rPr>
              <w:t>2个工业园区</w:t>
            </w:r>
            <w:r>
              <w:rPr>
                <w:rFonts w:hint="eastAsia"/>
                <w:sz w:val="21"/>
                <w:szCs w:val="21"/>
              </w:rPr>
              <w:t>划为禁养区</w:t>
            </w:r>
          </w:p>
        </w:tc>
        <w:tc>
          <w:tcPr>
            <w:tcW w:w="4322" w:type="dxa"/>
            <w:vAlign w:val="center"/>
          </w:tcPr>
          <w:p w14:paraId="2C0F19FB">
            <w:pPr>
              <w:pStyle w:val="105"/>
              <w:spacing w:line="240" w:lineRule="auto"/>
              <w:ind w:firstLine="0" w:firstLineChars="0"/>
              <w:jc w:val="center"/>
              <w:rPr>
                <w:sz w:val="21"/>
                <w:szCs w:val="21"/>
              </w:rPr>
            </w:pPr>
            <w:r>
              <w:rPr>
                <w:rFonts w:hint="eastAsia"/>
                <w:sz w:val="21"/>
                <w:szCs w:val="21"/>
              </w:rPr>
              <w:t>本项目占地范围不属于工业园区</w:t>
            </w:r>
          </w:p>
        </w:tc>
        <w:tc>
          <w:tcPr>
            <w:tcW w:w="1374" w:type="dxa"/>
            <w:vAlign w:val="center"/>
          </w:tcPr>
          <w:p w14:paraId="066F8594">
            <w:pPr>
              <w:pStyle w:val="105"/>
              <w:spacing w:line="240" w:lineRule="auto"/>
              <w:ind w:firstLine="0" w:firstLineChars="0"/>
              <w:jc w:val="center"/>
              <w:rPr>
                <w:sz w:val="21"/>
                <w:szCs w:val="21"/>
              </w:rPr>
            </w:pPr>
            <w:r>
              <w:rPr>
                <w:rFonts w:hint="eastAsia"/>
                <w:sz w:val="21"/>
                <w:szCs w:val="21"/>
              </w:rPr>
              <w:t>符合</w:t>
            </w:r>
          </w:p>
        </w:tc>
      </w:tr>
    </w:tbl>
    <w:p w14:paraId="4BF7C376">
      <w:pPr>
        <w:pStyle w:val="105"/>
        <w:ind w:firstLine="480"/>
      </w:pPr>
      <w:r>
        <w:t>由上表可知，本项目符合</w:t>
      </w:r>
      <w:r>
        <w:rPr>
          <w:rFonts w:hint="eastAsia"/>
        </w:rPr>
        <w:t>鄂托克旗禁（限）样区划定方案</w:t>
      </w:r>
      <w:r>
        <w:t>相关要求。</w:t>
      </w:r>
    </w:p>
    <w:p w14:paraId="1E864E5C">
      <w:pPr>
        <w:pStyle w:val="105"/>
        <w:ind w:firstLine="482"/>
        <w:rPr>
          <w:b/>
          <w:bCs/>
        </w:rPr>
      </w:pPr>
      <w:r>
        <w:rPr>
          <w:b/>
          <w:bCs/>
        </w:rPr>
        <w:t>⑨</w:t>
      </w:r>
      <w:r>
        <w:rPr>
          <w:rFonts w:hint="eastAsia"/>
          <w:b/>
          <w:bCs/>
        </w:rPr>
        <w:t>本项目与《畜禽养殖场（户）粪污处理设施建设技术指南》符合性分析</w:t>
      </w:r>
    </w:p>
    <w:p w14:paraId="1BF7B670">
      <w:pPr>
        <w:pStyle w:val="105"/>
        <w:ind w:firstLine="480"/>
        <w:rPr>
          <w:b/>
          <w:bCs/>
        </w:rPr>
      </w:pPr>
      <w:r>
        <w:rPr>
          <w:rFonts w:hint="eastAsia"/>
        </w:rPr>
        <w:t>本项目与《畜禽养殖场（户）粪污处理设施建设技术指南》中相关内容符合性分析如下。</w:t>
      </w:r>
    </w:p>
    <w:p w14:paraId="73687712">
      <w:pPr>
        <w:pStyle w:val="105"/>
        <w:spacing w:line="240" w:lineRule="auto"/>
        <w:ind w:firstLine="0" w:firstLineChars="0"/>
        <w:jc w:val="center"/>
        <w:rPr>
          <w:b/>
          <w:bCs/>
        </w:rPr>
      </w:pPr>
      <w:r>
        <w:rPr>
          <w:rFonts w:hint="eastAsia"/>
          <w:b/>
          <w:bCs/>
        </w:rPr>
        <w:t>表1.3-5 本项目与《畜禽养殖场（户）粪污处理设施建设技术指南》符合性分析一览表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9"/>
        <w:gridCol w:w="4033"/>
        <w:gridCol w:w="1085"/>
      </w:tblGrid>
      <w:tr w14:paraId="0FFA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9" w:type="dxa"/>
            <w:vAlign w:val="center"/>
          </w:tcPr>
          <w:p w14:paraId="1488E1D8">
            <w:pPr>
              <w:pStyle w:val="105"/>
              <w:spacing w:line="240" w:lineRule="auto"/>
              <w:ind w:firstLine="0" w:firstLineChars="0"/>
              <w:jc w:val="center"/>
              <w:rPr>
                <w:sz w:val="21"/>
                <w:szCs w:val="21"/>
              </w:rPr>
            </w:pPr>
            <w:r>
              <w:rPr>
                <w:sz w:val="21"/>
                <w:szCs w:val="21"/>
              </w:rPr>
              <w:t>《畜禽养殖场（户）粪污处理设施建设技术指南》</w:t>
            </w:r>
          </w:p>
        </w:tc>
        <w:tc>
          <w:tcPr>
            <w:tcW w:w="4033" w:type="dxa"/>
            <w:vAlign w:val="center"/>
          </w:tcPr>
          <w:p w14:paraId="24CC9E59">
            <w:pPr>
              <w:pStyle w:val="105"/>
              <w:spacing w:line="240" w:lineRule="auto"/>
              <w:ind w:firstLine="0" w:firstLineChars="0"/>
              <w:jc w:val="center"/>
              <w:rPr>
                <w:sz w:val="21"/>
                <w:szCs w:val="21"/>
              </w:rPr>
            </w:pPr>
            <w:r>
              <w:rPr>
                <w:rFonts w:hint="eastAsia"/>
                <w:sz w:val="21"/>
                <w:szCs w:val="21"/>
              </w:rPr>
              <w:t>本项目</w:t>
            </w:r>
          </w:p>
        </w:tc>
        <w:tc>
          <w:tcPr>
            <w:tcW w:w="1085" w:type="dxa"/>
            <w:vAlign w:val="center"/>
          </w:tcPr>
          <w:p w14:paraId="1A9B3B17">
            <w:pPr>
              <w:pStyle w:val="105"/>
              <w:spacing w:line="240" w:lineRule="auto"/>
              <w:ind w:firstLine="0" w:firstLineChars="0"/>
              <w:jc w:val="center"/>
              <w:rPr>
                <w:sz w:val="21"/>
                <w:szCs w:val="21"/>
              </w:rPr>
            </w:pPr>
          </w:p>
        </w:tc>
      </w:tr>
      <w:tr w14:paraId="5358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9" w:type="dxa"/>
            <w:vAlign w:val="center"/>
          </w:tcPr>
          <w:p w14:paraId="392CACA2">
            <w:pPr>
              <w:pStyle w:val="105"/>
              <w:spacing w:line="240" w:lineRule="auto"/>
              <w:ind w:firstLine="0" w:firstLineChars="0"/>
              <w:jc w:val="both"/>
              <w:rPr>
                <w:sz w:val="21"/>
                <w:szCs w:val="21"/>
              </w:rPr>
            </w:pPr>
            <w:r>
              <w:rPr>
                <w:sz w:val="21"/>
                <w:szCs w:val="21"/>
              </w:rPr>
              <w:t>畜禽养殖场（户）宜采用干清粪、水泡粪、地面垫料、床（网）下垫料等清粪工艺，逐步淘汰水冲粪工艺，合理控制清粪环节用水量。新建养殖场采用干清粪工艺的，鼓励进行机械干清粪。鼓励畜禽养殖场采用碗式或液位控制等防溢漏饮水器，减少饮水漏水。新建猪、鸡等养殖场宜采取圈舍封闭半封闭管理，鼓励有条件的现有畜禽养殖场开展圈舍封闭改造，对恶臭气体进行收集处理。</w:t>
            </w:r>
          </w:p>
          <w:p w14:paraId="02C0686F">
            <w:pPr>
              <w:pStyle w:val="105"/>
              <w:spacing w:line="240" w:lineRule="auto"/>
              <w:ind w:firstLine="0" w:firstLineChars="0"/>
              <w:jc w:val="both"/>
              <w:rPr>
                <w:sz w:val="21"/>
                <w:szCs w:val="21"/>
              </w:rPr>
            </w:pPr>
            <w:r>
              <w:rPr>
                <w:sz w:val="21"/>
                <w:szCs w:val="21"/>
              </w:rPr>
              <w:t>畜禽养殖场（户）应保持合理的清粪频次，及时收集圈舍和运动场的粪污。鼓励畜禽养殖场做好运动场的防雨、防渗和防溢流，降低环境污染风险。</w:t>
            </w:r>
          </w:p>
        </w:tc>
        <w:tc>
          <w:tcPr>
            <w:tcW w:w="4033" w:type="dxa"/>
            <w:vAlign w:val="center"/>
          </w:tcPr>
          <w:p w14:paraId="5CAA710D">
            <w:pPr>
              <w:pStyle w:val="105"/>
              <w:spacing w:line="240" w:lineRule="auto"/>
              <w:ind w:firstLine="0" w:firstLineChars="0"/>
              <w:jc w:val="both"/>
              <w:rPr>
                <w:sz w:val="21"/>
                <w:szCs w:val="21"/>
              </w:rPr>
            </w:pPr>
            <w:r>
              <w:rPr>
                <w:rFonts w:hint="eastAsia"/>
                <w:sz w:val="21"/>
                <w:szCs w:val="21"/>
              </w:rPr>
              <w:t>本项目为蛋鸡养殖及鸡蛋产品加工项目，蛋鸡养殖采用标准化笼式养殖方式，采用输送带和刮板式清粪设备，不适用水冲粪工艺；本项目饮水采用进口乳头式饮水器，减少用水量的同时也保证了畜禽用水水质；项目蛋鸡产生的粪便日产日清。</w:t>
            </w:r>
          </w:p>
        </w:tc>
        <w:tc>
          <w:tcPr>
            <w:tcW w:w="1085" w:type="dxa"/>
            <w:vAlign w:val="center"/>
          </w:tcPr>
          <w:p w14:paraId="400D0868">
            <w:pPr>
              <w:pStyle w:val="105"/>
              <w:spacing w:line="240" w:lineRule="auto"/>
              <w:ind w:firstLine="0" w:firstLineChars="0"/>
              <w:jc w:val="center"/>
              <w:rPr>
                <w:sz w:val="21"/>
                <w:szCs w:val="21"/>
              </w:rPr>
            </w:pPr>
            <w:r>
              <w:rPr>
                <w:rFonts w:hint="eastAsia"/>
                <w:sz w:val="21"/>
                <w:szCs w:val="21"/>
              </w:rPr>
              <w:t>符合</w:t>
            </w:r>
          </w:p>
        </w:tc>
      </w:tr>
      <w:tr w14:paraId="48BF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9" w:type="dxa"/>
            <w:vAlign w:val="center"/>
          </w:tcPr>
          <w:p w14:paraId="61519B05">
            <w:pPr>
              <w:pStyle w:val="105"/>
              <w:spacing w:line="240" w:lineRule="auto"/>
              <w:ind w:firstLine="0" w:firstLineChars="0"/>
              <w:jc w:val="both"/>
              <w:rPr>
                <w:sz w:val="21"/>
                <w:szCs w:val="21"/>
              </w:rPr>
            </w:pPr>
            <w:r>
              <w:rPr>
                <w:sz w:val="21"/>
                <w:szCs w:val="21"/>
              </w:rPr>
              <w:t>畜禽养殖场（户）应建设雨污分流设施，液体粪污应采用暗沟或管道输送，采取密闭措施，做好安全防护，输送管路要合理设置检查口，检查口应加盖且一般高于地面5厘米以上，防止雨水倒灌。</w:t>
            </w:r>
          </w:p>
        </w:tc>
        <w:tc>
          <w:tcPr>
            <w:tcW w:w="4033" w:type="dxa"/>
            <w:vAlign w:val="center"/>
          </w:tcPr>
          <w:p w14:paraId="50BBF14B">
            <w:pPr>
              <w:pStyle w:val="105"/>
              <w:spacing w:line="240" w:lineRule="auto"/>
              <w:ind w:firstLine="0" w:firstLineChars="0"/>
              <w:jc w:val="both"/>
              <w:rPr>
                <w:sz w:val="21"/>
                <w:szCs w:val="21"/>
              </w:rPr>
            </w:pPr>
            <w:r>
              <w:rPr>
                <w:rFonts w:hint="eastAsia"/>
                <w:sz w:val="21"/>
                <w:szCs w:val="21"/>
              </w:rPr>
              <w:t>本项目采用雨污分流制，生产污水经配套污水处理系统处理达标后用于厂区绿化用水或周边农田灌溉用水；雨水经雨水收集池收集后用于厂区绿化。</w:t>
            </w:r>
          </w:p>
        </w:tc>
        <w:tc>
          <w:tcPr>
            <w:tcW w:w="1085" w:type="dxa"/>
            <w:vAlign w:val="center"/>
          </w:tcPr>
          <w:p w14:paraId="64DF4E43">
            <w:pPr>
              <w:pStyle w:val="105"/>
              <w:spacing w:line="240" w:lineRule="auto"/>
              <w:ind w:firstLine="0" w:firstLineChars="0"/>
              <w:jc w:val="center"/>
              <w:rPr>
                <w:sz w:val="21"/>
                <w:szCs w:val="21"/>
              </w:rPr>
            </w:pPr>
            <w:r>
              <w:rPr>
                <w:rFonts w:hint="eastAsia"/>
                <w:sz w:val="21"/>
                <w:szCs w:val="21"/>
              </w:rPr>
              <w:t>符合</w:t>
            </w:r>
          </w:p>
        </w:tc>
      </w:tr>
      <w:tr w14:paraId="3D43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9" w:type="dxa"/>
            <w:vAlign w:val="center"/>
          </w:tcPr>
          <w:p w14:paraId="496A2C6B">
            <w:pPr>
              <w:pStyle w:val="105"/>
              <w:spacing w:line="240" w:lineRule="auto"/>
              <w:ind w:firstLine="0" w:firstLineChars="0"/>
              <w:jc w:val="both"/>
              <w:rPr>
                <w:sz w:val="21"/>
                <w:szCs w:val="21"/>
              </w:rPr>
            </w:pPr>
            <w:r>
              <w:rPr>
                <w:sz w:val="21"/>
                <w:szCs w:val="21"/>
              </w:rPr>
              <w:t>畜禽养殖场（户）建设畜禽粪污暂存池（场）的，液体粪污暂存池容积不小于单位畜禽液体粪污日产生量（立方米／天·头、只、羽）×暂存周期（天）×设计存栏量（头、只、羽），固体粪污暂存场容积不小于单位畜禽固体粪污日产生量（立方米／天·头、只、羽）×暂存周期（天）×设计存栏量（头、只、羽），暂存周期按转运处理最大时间间隔确定。鼓励采取加盖等措施，减少恶臭气体排放和雨水进入</w:t>
            </w:r>
            <w:r>
              <w:rPr>
                <w:rFonts w:hint="eastAsia"/>
                <w:sz w:val="21"/>
                <w:szCs w:val="21"/>
              </w:rPr>
              <w:t>。</w:t>
            </w:r>
          </w:p>
        </w:tc>
        <w:tc>
          <w:tcPr>
            <w:tcW w:w="4033" w:type="dxa"/>
            <w:vAlign w:val="center"/>
          </w:tcPr>
          <w:p w14:paraId="539E71C4">
            <w:pPr>
              <w:pStyle w:val="105"/>
              <w:spacing w:line="240" w:lineRule="auto"/>
              <w:ind w:firstLine="0" w:firstLineChars="0"/>
              <w:jc w:val="both"/>
              <w:rPr>
                <w:sz w:val="21"/>
                <w:szCs w:val="21"/>
              </w:rPr>
            </w:pPr>
            <w:r>
              <w:rPr>
                <w:rFonts w:hint="eastAsia"/>
                <w:sz w:val="21"/>
                <w:szCs w:val="21"/>
              </w:rPr>
              <w:t>本项目生产废水配套建设污水处理系统1套，满足本项目污水处理量需求；本项目产生的固体粪污全部送至配套的有机肥发酵车间生产有机肥。</w:t>
            </w:r>
          </w:p>
        </w:tc>
        <w:tc>
          <w:tcPr>
            <w:tcW w:w="1085" w:type="dxa"/>
            <w:vAlign w:val="center"/>
          </w:tcPr>
          <w:p w14:paraId="3D37D838">
            <w:pPr>
              <w:pStyle w:val="105"/>
              <w:spacing w:line="240" w:lineRule="auto"/>
              <w:ind w:firstLine="0" w:firstLineChars="0"/>
              <w:jc w:val="center"/>
              <w:rPr>
                <w:sz w:val="21"/>
                <w:szCs w:val="21"/>
              </w:rPr>
            </w:pPr>
            <w:r>
              <w:rPr>
                <w:rFonts w:hint="eastAsia"/>
                <w:sz w:val="21"/>
                <w:szCs w:val="21"/>
              </w:rPr>
              <w:t>符合</w:t>
            </w:r>
          </w:p>
        </w:tc>
      </w:tr>
    </w:tbl>
    <w:p w14:paraId="142D0050">
      <w:pPr>
        <w:pStyle w:val="105"/>
        <w:ind w:firstLine="480"/>
      </w:pPr>
      <w:r>
        <w:t>由上表可知，本项目符合</w:t>
      </w:r>
      <w:r>
        <w:rPr>
          <w:rFonts w:hint="eastAsia"/>
        </w:rPr>
        <w:t>《畜禽养殖场（户）粪污处理设施建设技术指南》</w:t>
      </w:r>
      <w:r>
        <w:t>相关要求。</w:t>
      </w:r>
    </w:p>
    <w:p w14:paraId="2747D28D">
      <w:pPr>
        <w:pStyle w:val="105"/>
        <w:ind w:firstLine="482"/>
        <w:rPr>
          <w:rFonts w:ascii="宋体" w:hAnsi="宋体" w:cs="宋体"/>
        </w:rPr>
      </w:pPr>
      <w:r>
        <w:rPr>
          <w:b/>
          <w:bCs/>
        </w:rPr>
        <w:t>⑩</w:t>
      </w:r>
      <w:r>
        <w:rPr>
          <w:rFonts w:hint="eastAsia"/>
          <w:b/>
          <w:bCs/>
        </w:rPr>
        <w:t>本项目与《规模化畜禽场良好生态环境 第1部分 场地要求》符合性分析</w:t>
      </w:r>
    </w:p>
    <w:p w14:paraId="70E5D7B1">
      <w:pPr>
        <w:pStyle w:val="105"/>
        <w:ind w:firstLine="480"/>
        <w:rPr>
          <w:b/>
          <w:bCs/>
        </w:rPr>
      </w:pPr>
      <w:r>
        <w:rPr>
          <w:rFonts w:hint="eastAsia"/>
        </w:rPr>
        <w:t>本项目与《规模化畜禽场良好生态环境 第1部分 场地要求》中相关内容符合性分析如下。</w:t>
      </w:r>
    </w:p>
    <w:p w14:paraId="0D325F1F">
      <w:pPr>
        <w:pStyle w:val="105"/>
        <w:spacing w:line="240" w:lineRule="auto"/>
        <w:ind w:firstLine="0" w:firstLineChars="0"/>
        <w:jc w:val="center"/>
        <w:rPr>
          <w:b/>
          <w:bCs/>
        </w:rPr>
      </w:pPr>
      <w:r>
        <w:rPr>
          <w:rFonts w:hint="eastAsia"/>
          <w:b/>
          <w:bCs/>
          <w:w w:val="95"/>
        </w:rPr>
        <w:t>表1.3-6 本项目与《规模化畜禽场良好生态环境 第1部分 场地要求》符合性分析一览表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2"/>
        <w:gridCol w:w="4822"/>
        <w:gridCol w:w="1163"/>
      </w:tblGrid>
      <w:tr w14:paraId="2407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2" w:type="dxa"/>
            <w:vAlign w:val="center"/>
          </w:tcPr>
          <w:p w14:paraId="4D397862">
            <w:pPr>
              <w:pStyle w:val="105"/>
              <w:spacing w:line="240" w:lineRule="auto"/>
              <w:ind w:firstLine="0" w:firstLineChars="0"/>
              <w:jc w:val="center"/>
              <w:rPr>
                <w:sz w:val="21"/>
                <w:szCs w:val="21"/>
              </w:rPr>
            </w:pPr>
            <w:r>
              <w:rPr>
                <w:rFonts w:hint="eastAsia"/>
                <w:sz w:val="21"/>
                <w:szCs w:val="21"/>
              </w:rPr>
              <w:t>《规模化畜禽场良好生态环境 第1部分 场地要求》</w:t>
            </w:r>
          </w:p>
        </w:tc>
        <w:tc>
          <w:tcPr>
            <w:tcW w:w="4822" w:type="dxa"/>
            <w:vAlign w:val="center"/>
          </w:tcPr>
          <w:p w14:paraId="7B3EA980">
            <w:pPr>
              <w:pStyle w:val="105"/>
              <w:spacing w:line="240" w:lineRule="auto"/>
              <w:ind w:firstLine="0" w:firstLineChars="0"/>
              <w:jc w:val="center"/>
              <w:rPr>
                <w:sz w:val="21"/>
                <w:szCs w:val="21"/>
              </w:rPr>
            </w:pPr>
            <w:r>
              <w:rPr>
                <w:rFonts w:hint="eastAsia"/>
                <w:sz w:val="21"/>
                <w:szCs w:val="21"/>
              </w:rPr>
              <w:t>本项目</w:t>
            </w:r>
          </w:p>
        </w:tc>
        <w:tc>
          <w:tcPr>
            <w:tcW w:w="1163" w:type="dxa"/>
            <w:vAlign w:val="center"/>
          </w:tcPr>
          <w:p w14:paraId="58DAD08A">
            <w:pPr>
              <w:pStyle w:val="105"/>
              <w:spacing w:line="240" w:lineRule="auto"/>
              <w:ind w:firstLine="0" w:firstLineChars="0"/>
              <w:jc w:val="center"/>
              <w:rPr>
                <w:sz w:val="21"/>
                <w:szCs w:val="21"/>
              </w:rPr>
            </w:pPr>
            <w:r>
              <w:rPr>
                <w:rFonts w:hint="eastAsia"/>
                <w:sz w:val="21"/>
                <w:szCs w:val="21"/>
              </w:rPr>
              <w:t>符合性</w:t>
            </w:r>
          </w:p>
        </w:tc>
      </w:tr>
      <w:tr w14:paraId="280A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2" w:type="dxa"/>
            <w:vAlign w:val="center"/>
          </w:tcPr>
          <w:p w14:paraId="4D6CDD6E">
            <w:pPr>
              <w:pStyle w:val="105"/>
              <w:spacing w:line="240" w:lineRule="auto"/>
              <w:ind w:firstLine="0" w:firstLineChars="0"/>
              <w:jc w:val="both"/>
              <w:rPr>
                <w:sz w:val="21"/>
                <w:szCs w:val="21"/>
              </w:rPr>
            </w:pPr>
            <w:r>
              <w:rPr>
                <w:rFonts w:hint="eastAsia"/>
                <w:sz w:val="21"/>
                <w:szCs w:val="21"/>
              </w:rPr>
              <w:t>基本要求：</w:t>
            </w:r>
          </w:p>
          <w:p w14:paraId="64E02433">
            <w:pPr>
              <w:pStyle w:val="105"/>
              <w:spacing w:line="240" w:lineRule="auto"/>
              <w:ind w:firstLine="0" w:firstLineChars="0"/>
              <w:jc w:val="both"/>
              <w:rPr>
                <w:sz w:val="21"/>
                <w:szCs w:val="21"/>
              </w:rPr>
            </w:pPr>
            <w:r>
              <w:rPr>
                <w:rFonts w:hint="eastAsia"/>
                <w:sz w:val="21"/>
                <w:szCs w:val="21"/>
              </w:rPr>
              <w:t>1、应符合当地土地利用总体规划、城乡发展规划和环境保护规划；</w:t>
            </w:r>
          </w:p>
          <w:p w14:paraId="21D3F3F4">
            <w:pPr>
              <w:pStyle w:val="105"/>
              <w:spacing w:line="240" w:lineRule="auto"/>
              <w:ind w:firstLine="0" w:firstLineChars="0"/>
              <w:jc w:val="both"/>
              <w:rPr>
                <w:sz w:val="21"/>
                <w:szCs w:val="21"/>
              </w:rPr>
            </w:pPr>
            <w:r>
              <w:rPr>
                <w:rFonts w:hint="eastAsia"/>
                <w:sz w:val="21"/>
                <w:szCs w:val="21"/>
              </w:rPr>
              <w:t>2、应符合当地畜牧业发展规划；</w:t>
            </w:r>
          </w:p>
          <w:p w14:paraId="06A4B425">
            <w:pPr>
              <w:pStyle w:val="105"/>
              <w:spacing w:line="240" w:lineRule="auto"/>
              <w:ind w:firstLine="0" w:firstLineChars="0"/>
              <w:jc w:val="both"/>
              <w:rPr>
                <w:sz w:val="21"/>
                <w:szCs w:val="21"/>
              </w:rPr>
            </w:pPr>
            <w:r>
              <w:rPr>
                <w:rFonts w:hint="eastAsia"/>
                <w:sz w:val="21"/>
                <w:szCs w:val="21"/>
              </w:rPr>
              <w:t>3、不应占用基本农田；</w:t>
            </w:r>
          </w:p>
          <w:p w14:paraId="40742EEB">
            <w:pPr>
              <w:pStyle w:val="105"/>
              <w:spacing w:line="240" w:lineRule="auto"/>
              <w:ind w:firstLine="0" w:firstLineChars="0"/>
              <w:jc w:val="both"/>
              <w:rPr>
                <w:sz w:val="21"/>
                <w:szCs w:val="21"/>
              </w:rPr>
            </w:pPr>
            <w:r>
              <w:rPr>
                <w:rFonts w:hint="eastAsia"/>
                <w:sz w:val="21"/>
                <w:szCs w:val="21"/>
              </w:rPr>
              <w:t>4、应与种植业结合，对畜禽粪便进行资源利用；</w:t>
            </w:r>
          </w:p>
          <w:p w14:paraId="38DE57D7">
            <w:pPr>
              <w:pStyle w:val="105"/>
              <w:spacing w:line="240" w:lineRule="auto"/>
              <w:ind w:firstLine="0" w:firstLineChars="0"/>
              <w:jc w:val="both"/>
              <w:rPr>
                <w:sz w:val="21"/>
                <w:szCs w:val="21"/>
              </w:rPr>
            </w:pPr>
            <w:r>
              <w:rPr>
                <w:rFonts w:hint="eastAsia"/>
                <w:sz w:val="21"/>
                <w:szCs w:val="21"/>
              </w:rPr>
              <w:t>5、不应在下列区域内建设畜禽养殖场</w:t>
            </w:r>
          </w:p>
          <w:p w14:paraId="17CFFB84">
            <w:pPr>
              <w:pStyle w:val="105"/>
              <w:spacing w:line="240" w:lineRule="auto"/>
              <w:ind w:firstLine="0" w:firstLineChars="0"/>
              <w:jc w:val="both"/>
              <w:rPr>
                <w:sz w:val="21"/>
                <w:szCs w:val="21"/>
              </w:rPr>
            </w:pPr>
            <w:r>
              <w:rPr>
                <w:rFonts w:hint="eastAsia"/>
                <w:sz w:val="21"/>
                <w:szCs w:val="21"/>
              </w:rPr>
              <w:t>（1）生活饮用水的水源地保护区、风景名胜区以及自然保护区的核心区和缓冲区；</w:t>
            </w:r>
          </w:p>
          <w:p w14:paraId="5F8FF8A9">
            <w:pPr>
              <w:pStyle w:val="105"/>
              <w:spacing w:line="240" w:lineRule="auto"/>
              <w:ind w:firstLine="0" w:firstLineChars="0"/>
              <w:jc w:val="both"/>
              <w:rPr>
                <w:sz w:val="21"/>
                <w:szCs w:val="21"/>
              </w:rPr>
            </w:pPr>
            <w:r>
              <w:rPr>
                <w:rFonts w:hint="eastAsia"/>
                <w:sz w:val="21"/>
                <w:szCs w:val="21"/>
              </w:rPr>
              <w:t>（2）城镇居民区、文化教育科学研究区等人口集中区域。</w:t>
            </w:r>
          </w:p>
          <w:p w14:paraId="69BEB904">
            <w:pPr>
              <w:pStyle w:val="105"/>
              <w:spacing w:line="240" w:lineRule="auto"/>
              <w:ind w:firstLine="0" w:firstLineChars="0"/>
              <w:jc w:val="both"/>
              <w:rPr>
                <w:sz w:val="21"/>
                <w:szCs w:val="21"/>
              </w:rPr>
            </w:pPr>
            <w:r>
              <w:rPr>
                <w:rFonts w:hint="eastAsia"/>
                <w:sz w:val="21"/>
                <w:szCs w:val="21"/>
              </w:rPr>
              <w:t>6、应距离铁路、高速公路、主要交通干线500m以上，与其他养殖场、养殖小区的距离在500m以上，距离功能地表水提400m以上；</w:t>
            </w:r>
          </w:p>
        </w:tc>
        <w:tc>
          <w:tcPr>
            <w:tcW w:w="4822" w:type="dxa"/>
            <w:vAlign w:val="center"/>
          </w:tcPr>
          <w:p w14:paraId="6B842901">
            <w:pPr>
              <w:pStyle w:val="105"/>
              <w:spacing w:line="240" w:lineRule="auto"/>
              <w:ind w:firstLine="0" w:firstLineChars="0"/>
              <w:jc w:val="both"/>
              <w:rPr>
                <w:sz w:val="21"/>
                <w:szCs w:val="21"/>
              </w:rPr>
            </w:pPr>
            <w:r>
              <w:rPr>
                <w:rFonts w:hint="eastAsia"/>
                <w:sz w:val="21"/>
                <w:szCs w:val="21"/>
              </w:rPr>
              <w:t>本项目已在鄂托克旗农牧局备案，备案号为2210-150624-20-01-228103；</w:t>
            </w:r>
          </w:p>
          <w:p w14:paraId="1D4C2E95">
            <w:pPr>
              <w:pStyle w:val="105"/>
              <w:spacing w:line="240" w:lineRule="auto"/>
              <w:ind w:firstLine="0" w:firstLineChars="0"/>
              <w:jc w:val="both"/>
              <w:rPr>
                <w:sz w:val="21"/>
                <w:szCs w:val="21"/>
              </w:rPr>
            </w:pPr>
            <w:r>
              <w:rPr>
                <w:rFonts w:hint="eastAsia"/>
                <w:sz w:val="21"/>
                <w:szCs w:val="21"/>
              </w:rPr>
              <w:t>根据《鄂托克旗自然资源局关于内蒙古华翔农林牧科技发展有限公司120万只蛋鸡养殖项目生态红线占用情况的说明》，本项目不涉及基本农田；本项目畜禽粪便全部用于发酵生产有机肥；</w:t>
            </w:r>
          </w:p>
          <w:p w14:paraId="1B160473">
            <w:pPr>
              <w:pStyle w:val="105"/>
              <w:spacing w:line="240" w:lineRule="auto"/>
              <w:ind w:firstLine="0" w:firstLineChars="0"/>
              <w:jc w:val="both"/>
              <w:rPr>
                <w:sz w:val="21"/>
                <w:szCs w:val="21"/>
              </w:rPr>
            </w:pPr>
            <w:r>
              <w:rPr>
                <w:rFonts w:hint="eastAsia"/>
                <w:sz w:val="21"/>
                <w:szCs w:val="21"/>
              </w:rPr>
              <w:t>根据《关于内蒙古华翔农林科技发展有限公司120万只蛋鸡养殖项目用地范围是否占用天然林和公益林情况的函》（鄂旗林草函〔2023〕236号）文，本项目占地范围不涉及基本农田。</w:t>
            </w:r>
          </w:p>
          <w:p w14:paraId="61591602">
            <w:pPr>
              <w:pStyle w:val="105"/>
              <w:spacing w:line="240" w:lineRule="auto"/>
              <w:ind w:firstLine="0" w:firstLineChars="0"/>
              <w:jc w:val="both"/>
              <w:rPr>
                <w:rFonts w:ascii="宋体" w:hAnsi="宋体"/>
                <w:sz w:val="21"/>
                <w:szCs w:val="21"/>
              </w:rPr>
            </w:pPr>
            <w:r>
              <w:rPr>
                <w:rFonts w:hint="eastAsia"/>
                <w:sz w:val="21"/>
                <w:szCs w:val="21"/>
              </w:rPr>
              <w:t>根据《鄂尔多斯市生态环境局鄂托克旗分局关于</w:t>
            </w:r>
            <w:r>
              <w:rPr>
                <w:rFonts w:hint="eastAsia" w:ascii="宋体" w:hAnsi="宋体"/>
                <w:sz w:val="21"/>
                <w:szCs w:val="21"/>
              </w:rPr>
              <w:t>内蒙古华翔农林牧科技发展有限公司120万只蛋鸡养殖项目与鄂托克旗集中式饮用水水源保护区位置关系的函》，本项目占地范围不在水源保护区范围内。</w:t>
            </w:r>
          </w:p>
          <w:p w14:paraId="364314E4">
            <w:pPr>
              <w:pStyle w:val="105"/>
              <w:spacing w:line="240" w:lineRule="auto"/>
              <w:ind w:firstLine="0" w:firstLineChars="0"/>
              <w:jc w:val="both"/>
              <w:rPr>
                <w:sz w:val="21"/>
                <w:szCs w:val="21"/>
              </w:rPr>
            </w:pPr>
            <w:r>
              <w:rPr>
                <w:rFonts w:hint="eastAsia"/>
                <w:sz w:val="21"/>
                <w:szCs w:val="21"/>
              </w:rPr>
              <w:t>根据西资函〔2023〕92号文，本项目距离西鄂尔多斯国家级自然保护区试验区0.57km，距离保护区缓冲区1.39km，距离保护区核心区2.39km；本项目距离鄂托克恐龙遗迹化石国家级自然保护区直线距离118.32km；本项目不设计自然保护区核心区和缓冲区。</w:t>
            </w:r>
          </w:p>
          <w:p w14:paraId="4D3EC941">
            <w:pPr>
              <w:pStyle w:val="105"/>
              <w:spacing w:line="240" w:lineRule="auto"/>
              <w:ind w:firstLine="0" w:firstLineChars="0"/>
              <w:jc w:val="both"/>
              <w:rPr>
                <w:sz w:val="21"/>
                <w:szCs w:val="21"/>
              </w:rPr>
            </w:pPr>
            <w:r>
              <w:rPr>
                <w:rFonts w:hint="eastAsia"/>
                <w:sz w:val="21"/>
                <w:szCs w:val="21"/>
              </w:rPr>
              <w:t>本项目不涉及城镇居民区、文化教育科学研究区等人口集中区域。</w:t>
            </w:r>
          </w:p>
          <w:p w14:paraId="4924C79E">
            <w:pPr>
              <w:pStyle w:val="105"/>
              <w:spacing w:line="240" w:lineRule="auto"/>
              <w:ind w:firstLine="0" w:firstLineChars="0"/>
              <w:jc w:val="both"/>
              <w:rPr>
                <w:sz w:val="21"/>
                <w:szCs w:val="21"/>
              </w:rPr>
            </w:pPr>
            <w:r>
              <w:rPr>
                <w:rFonts w:hint="eastAsia"/>
                <w:sz w:val="21"/>
                <w:szCs w:val="21"/>
              </w:rPr>
              <w:t>本项目周边无铁路、距离最近京藏高速大于1km；项目周边无其他养殖场和养殖小区。</w:t>
            </w:r>
          </w:p>
        </w:tc>
        <w:tc>
          <w:tcPr>
            <w:tcW w:w="1163" w:type="dxa"/>
            <w:vAlign w:val="center"/>
          </w:tcPr>
          <w:p w14:paraId="76CD66E8">
            <w:pPr>
              <w:pStyle w:val="105"/>
              <w:spacing w:line="240" w:lineRule="auto"/>
              <w:ind w:firstLine="0" w:firstLineChars="0"/>
              <w:jc w:val="center"/>
              <w:rPr>
                <w:sz w:val="21"/>
                <w:szCs w:val="21"/>
              </w:rPr>
            </w:pPr>
            <w:r>
              <w:rPr>
                <w:rFonts w:hint="eastAsia"/>
                <w:sz w:val="21"/>
                <w:szCs w:val="21"/>
              </w:rPr>
              <w:t>符合</w:t>
            </w:r>
          </w:p>
        </w:tc>
      </w:tr>
      <w:tr w14:paraId="294E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2" w:type="dxa"/>
            <w:vAlign w:val="center"/>
          </w:tcPr>
          <w:p w14:paraId="3A83B493">
            <w:pPr>
              <w:pStyle w:val="105"/>
              <w:spacing w:line="240" w:lineRule="auto"/>
              <w:ind w:firstLine="0" w:firstLineChars="0"/>
              <w:jc w:val="both"/>
              <w:rPr>
                <w:sz w:val="21"/>
                <w:szCs w:val="21"/>
              </w:rPr>
            </w:pPr>
            <w:r>
              <w:rPr>
                <w:rFonts w:hint="eastAsia"/>
                <w:sz w:val="21"/>
                <w:szCs w:val="21"/>
              </w:rPr>
              <w:t>鸡场的场区面积以每只鸡0.4m</w:t>
            </w:r>
            <w:r>
              <w:rPr>
                <w:rFonts w:hint="eastAsia"/>
                <w:sz w:val="21"/>
                <w:szCs w:val="21"/>
                <w:vertAlign w:val="superscript"/>
              </w:rPr>
              <w:t>2</w:t>
            </w:r>
            <w:r>
              <w:rPr>
                <w:rFonts w:hint="eastAsia"/>
                <w:sz w:val="21"/>
                <w:szCs w:val="21"/>
              </w:rPr>
              <w:t>~0.6m</w:t>
            </w:r>
            <w:r>
              <w:rPr>
                <w:rFonts w:hint="eastAsia"/>
                <w:sz w:val="21"/>
                <w:szCs w:val="21"/>
                <w:vertAlign w:val="superscript"/>
              </w:rPr>
              <w:t>2</w:t>
            </w:r>
            <w:r>
              <w:rPr>
                <w:rFonts w:hint="eastAsia"/>
                <w:sz w:val="21"/>
                <w:szCs w:val="21"/>
              </w:rPr>
              <w:t>（笼养）或0.25m</w:t>
            </w:r>
            <w:r>
              <w:rPr>
                <w:rFonts w:hint="eastAsia"/>
                <w:sz w:val="21"/>
                <w:szCs w:val="21"/>
                <w:vertAlign w:val="superscript"/>
              </w:rPr>
              <w:t>2</w:t>
            </w:r>
            <w:r>
              <w:rPr>
                <w:rFonts w:hint="eastAsia"/>
                <w:sz w:val="21"/>
                <w:szCs w:val="21"/>
              </w:rPr>
              <w:t>~0.3m</w:t>
            </w:r>
            <w:r>
              <w:rPr>
                <w:rFonts w:hint="eastAsia"/>
                <w:sz w:val="21"/>
                <w:szCs w:val="21"/>
                <w:vertAlign w:val="superscript"/>
              </w:rPr>
              <w:t>2</w:t>
            </w:r>
            <w:r>
              <w:rPr>
                <w:rFonts w:hint="eastAsia"/>
                <w:sz w:val="21"/>
                <w:szCs w:val="21"/>
              </w:rPr>
              <w:t>（地面/网上平养）为宜；</w:t>
            </w:r>
          </w:p>
        </w:tc>
        <w:tc>
          <w:tcPr>
            <w:tcW w:w="4822" w:type="dxa"/>
            <w:vAlign w:val="center"/>
          </w:tcPr>
          <w:p w14:paraId="345F2028">
            <w:pPr>
              <w:pStyle w:val="105"/>
              <w:spacing w:line="240" w:lineRule="auto"/>
              <w:ind w:firstLine="0" w:firstLineChars="0"/>
              <w:jc w:val="both"/>
              <w:rPr>
                <w:sz w:val="21"/>
                <w:szCs w:val="21"/>
              </w:rPr>
            </w:pPr>
            <w:r>
              <w:rPr>
                <w:rFonts w:hint="eastAsia"/>
                <w:sz w:val="21"/>
                <w:szCs w:val="21"/>
              </w:rPr>
              <w:t>本项目蛋鸡养殖采用小区全进全出模式，8层全叠层笼养殖工艺，单人单栋饲养10万只，本项目共建设12栋鸡舍，可满足120万只存栏鸡养殖需求。</w:t>
            </w:r>
          </w:p>
        </w:tc>
        <w:tc>
          <w:tcPr>
            <w:tcW w:w="1163" w:type="dxa"/>
            <w:vAlign w:val="center"/>
          </w:tcPr>
          <w:p w14:paraId="6F514D4C">
            <w:pPr>
              <w:pStyle w:val="105"/>
              <w:spacing w:line="240" w:lineRule="auto"/>
              <w:ind w:firstLine="0" w:firstLineChars="0"/>
              <w:jc w:val="center"/>
              <w:rPr>
                <w:sz w:val="21"/>
                <w:szCs w:val="21"/>
              </w:rPr>
            </w:pPr>
            <w:r>
              <w:rPr>
                <w:rFonts w:hint="eastAsia"/>
                <w:sz w:val="21"/>
                <w:szCs w:val="21"/>
              </w:rPr>
              <w:t>符合</w:t>
            </w:r>
          </w:p>
        </w:tc>
      </w:tr>
    </w:tbl>
    <w:p w14:paraId="2161D8A7">
      <w:pPr>
        <w:pStyle w:val="105"/>
        <w:ind w:firstLine="480"/>
      </w:pPr>
      <w:r>
        <w:t>由上表可知，本项目符合</w:t>
      </w:r>
      <w:r>
        <w:rPr>
          <w:rFonts w:hint="eastAsia"/>
          <w:sz w:val="21"/>
          <w:szCs w:val="21"/>
        </w:rPr>
        <w:t>《规模化畜禽场良好生态环境 第1部分 场地要求》</w:t>
      </w:r>
      <w:r>
        <w:t>相关要求。</w:t>
      </w:r>
    </w:p>
    <w:p w14:paraId="2835CA53">
      <w:pPr>
        <w:pStyle w:val="105"/>
        <w:ind w:firstLine="482"/>
        <w:rPr>
          <w:b/>
          <w:bCs/>
        </w:rPr>
      </w:pPr>
      <w:r>
        <w:rPr>
          <w:b/>
          <w:bCs/>
        </w:rPr>
        <w:t>⑪</w:t>
      </w:r>
      <w:r>
        <w:rPr>
          <w:rFonts w:hint="eastAsia"/>
          <w:b/>
          <w:bCs/>
        </w:rPr>
        <w:t>本项目与《畜禽场区设计技术规范》（NY/T682-2023）符合性分析</w:t>
      </w:r>
    </w:p>
    <w:p w14:paraId="26852AAB">
      <w:pPr>
        <w:pStyle w:val="105"/>
        <w:ind w:firstLine="480"/>
        <w:rPr>
          <w:b/>
          <w:bCs/>
        </w:rPr>
      </w:pPr>
      <w:r>
        <w:rPr>
          <w:rFonts w:hint="eastAsia"/>
        </w:rPr>
        <w:t>本项目与《畜禽场区设计技术规范》（NY/T682-2023）中相关内容符合性分析如下。</w:t>
      </w:r>
    </w:p>
    <w:p w14:paraId="7DF2FF25">
      <w:pPr>
        <w:pStyle w:val="105"/>
        <w:spacing w:line="240" w:lineRule="auto"/>
        <w:ind w:firstLine="0" w:firstLineChars="0"/>
        <w:jc w:val="center"/>
      </w:pPr>
      <w:r>
        <w:rPr>
          <w:rFonts w:hint="eastAsia"/>
          <w:b/>
          <w:bCs/>
        </w:rPr>
        <w:t>表1.3-7 本项目与《畜禽场区设计技术规范》（NY/T682-2023）符合性分析一览表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0"/>
        <w:gridCol w:w="3633"/>
        <w:gridCol w:w="1374"/>
      </w:tblGrid>
      <w:tr w14:paraId="68A0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80" w:type="dxa"/>
            <w:vAlign w:val="center"/>
          </w:tcPr>
          <w:p w14:paraId="0CF265FD">
            <w:pPr>
              <w:pStyle w:val="105"/>
              <w:spacing w:line="240" w:lineRule="auto"/>
              <w:ind w:firstLine="0" w:firstLineChars="0"/>
              <w:jc w:val="both"/>
              <w:rPr>
                <w:sz w:val="21"/>
                <w:szCs w:val="21"/>
              </w:rPr>
            </w:pPr>
            <w:r>
              <w:rPr>
                <w:rFonts w:hint="eastAsia"/>
                <w:sz w:val="21"/>
                <w:szCs w:val="21"/>
              </w:rPr>
              <w:t>《畜禽场区设计技术规范》</w:t>
            </w:r>
          </w:p>
        </w:tc>
        <w:tc>
          <w:tcPr>
            <w:tcW w:w="3633" w:type="dxa"/>
            <w:vAlign w:val="center"/>
          </w:tcPr>
          <w:p w14:paraId="47A763B5">
            <w:pPr>
              <w:pStyle w:val="105"/>
              <w:spacing w:line="240" w:lineRule="auto"/>
              <w:ind w:firstLine="0" w:firstLineChars="0"/>
              <w:jc w:val="center"/>
              <w:rPr>
                <w:sz w:val="21"/>
                <w:szCs w:val="21"/>
              </w:rPr>
            </w:pPr>
            <w:r>
              <w:rPr>
                <w:rFonts w:hint="eastAsia"/>
                <w:sz w:val="21"/>
                <w:szCs w:val="21"/>
              </w:rPr>
              <w:t>本项目</w:t>
            </w:r>
          </w:p>
        </w:tc>
        <w:tc>
          <w:tcPr>
            <w:tcW w:w="1374" w:type="dxa"/>
            <w:vAlign w:val="center"/>
          </w:tcPr>
          <w:p w14:paraId="5E2A440F">
            <w:pPr>
              <w:pStyle w:val="105"/>
              <w:spacing w:line="240" w:lineRule="auto"/>
              <w:ind w:firstLine="0" w:firstLineChars="0"/>
              <w:jc w:val="center"/>
              <w:rPr>
                <w:sz w:val="21"/>
                <w:szCs w:val="21"/>
              </w:rPr>
            </w:pPr>
            <w:r>
              <w:rPr>
                <w:rFonts w:hint="eastAsia"/>
                <w:sz w:val="21"/>
                <w:szCs w:val="21"/>
              </w:rPr>
              <w:t>符合性</w:t>
            </w:r>
          </w:p>
        </w:tc>
      </w:tr>
      <w:tr w14:paraId="1F37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vAlign w:val="center"/>
          </w:tcPr>
          <w:p w14:paraId="2A9B54C1">
            <w:pPr>
              <w:pStyle w:val="105"/>
              <w:spacing w:line="240" w:lineRule="auto"/>
              <w:ind w:firstLine="0" w:firstLineChars="0"/>
              <w:jc w:val="both"/>
              <w:rPr>
                <w:sz w:val="21"/>
                <w:szCs w:val="21"/>
              </w:rPr>
            </w:pPr>
            <w:r>
              <w:rPr>
                <w:rFonts w:hint="eastAsia"/>
                <w:sz w:val="21"/>
                <w:szCs w:val="21"/>
              </w:rPr>
              <w:t>选址要求，以下地区或地段不应建场：</w:t>
            </w:r>
          </w:p>
          <w:p w14:paraId="101447C8">
            <w:pPr>
              <w:pStyle w:val="105"/>
              <w:spacing w:line="240" w:lineRule="auto"/>
              <w:ind w:firstLine="0" w:firstLineChars="0"/>
              <w:jc w:val="both"/>
              <w:rPr>
                <w:sz w:val="21"/>
                <w:szCs w:val="21"/>
              </w:rPr>
            </w:pPr>
            <w:r>
              <w:rPr>
                <w:rFonts w:hint="eastAsia"/>
                <w:sz w:val="21"/>
                <w:szCs w:val="21"/>
              </w:rPr>
              <w:t>1、生活饮用水的水源保护区、风景名胜区、自然保护区的核心区和缓冲区；</w:t>
            </w:r>
          </w:p>
          <w:p w14:paraId="7FA9CF37">
            <w:pPr>
              <w:pStyle w:val="105"/>
              <w:spacing w:line="240" w:lineRule="auto"/>
              <w:ind w:firstLine="0" w:firstLineChars="0"/>
              <w:jc w:val="both"/>
              <w:rPr>
                <w:sz w:val="21"/>
                <w:szCs w:val="21"/>
              </w:rPr>
            </w:pPr>
            <w:r>
              <w:rPr>
                <w:rFonts w:hint="eastAsia"/>
                <w:sz w:val="21"/>
                <w:szCs w:val="21"/>
              </w:rPr>
              <w:t>2、城镇居民区、文化教育科学研究区等人口集中区域；</w:t>
            </w:r>
          </w:p>
          <w:p w14:paraId="09CD2B3F">
            <w:pPr>
              <w:pStyle w:val="105"/>
              <w:spacing w:line="240" w:lineRule="auto"/>
              <w:ind w:firstLine="0" w:firstLineChars="0"/>
              <w:jc w:val="both"/>
              <w:rPr>
                <w:sz w:val="21"/>
                <w:szCs w:val="21"/>
              </w:rPr>
            </w:pPr>
            <w:r>
              <w:rPr>
                <w:rFonts w:hint="eastAsia"/>
                <w:sz w:val="21"/>
                <w:szCs w:val="21"/>
              </w:rPr>
              <w:t>3、收洪水或山洪威胁及泥石流、滑坡等自然灾害多发地带；</w:t>
            </w:r>
          </w:p>
          <w:p w14:paraId="36F89E3D">
            <w:pPr>
              <w:pStyle w:val="105"/>
              <w:spacing w:line="240" w:lineRule="auto"/>
              <w:ind w:firstLine="0" w:firstLineChars="0"/>
              <w:jc w:val="both"/>
              <w:rPr>
                <w:sz w:val="21"/>
                <w:szCs w:val="21"/>
              </w:rPr>
            </w:pPr>
            <w:r>
              <w:rPr>
                <w:rFonts w:hint="eastAsia"/>
                <w:sz w:val="21"/>
                <w:szCs w:val="21"/>
              </w:rPr>
              <w:t>4、法律法规规定的其他禁养区域。</w:t>
            </w:r>
          </w:p>
        </w:tc>
        <w:tc>
          <w:tcPr>
            <w:tcW w:w="3633" w:type="dxa"/>
            <w:vAlign w:val="center"/>
          </w:tcPr>
          <w:p w14:paraId="405A4CB9">
            <w:pPr>
              <w:pStyle w:val="105"/>
              <w:spacing w:line="240" w:lineRule="auto"/>
              <w:ind w:firstLine="0" w:firstLineChars="0"/>
              <w:jc w:val="both"/>
              <w:rPr>
                <w:sz w:val="21"/>
                <w:szCs w:val="21"/>
              </w:rPr>
            </w:pPr>
            <w:r>
              <w:rPr>
                <w:rFonts w:hint="eastAsia"/>
                <w:sz w:val="21"/>
                <w:szCs w:val="21"/>
              </w:rPr>
              <w:t>根据《关于内蒙古华翔农林科技发展有限公司120万只蛋鸡养殖项目用地范围是否占用天然林和公益林情况的函》（鄂旗林草函〔2023〕236号）文，本项目占地范围不涉及基本农田。</w:t>
            </w:r>
          </w:p>
          <w:p w14:paraId="7F90174C">
            <w:pPr>
              <w:pStyle w:val="105"/>
              <w:spacing w:line="240" w:lineRule="auto"/>
              <w:ind w:firstLine="0" w:firstLineChars="0"/>
              <w:jc w:val="both"/>
              <w:rPr>
                <w:rFonts w:ascii="宋体" w:hAnsi="宋体"/>
                <w:sz w:val="21"/>
                <w:szCs w:val="21"/>
              </w:rPr>
            </w:pPr>
            <w:r>
              <w:rPr>
                <w:rFonts w:hint="eastAsia"/>
                <w:sz w:val="21"/>
                <w:szCs w:val="21"/>
              </w:rPr>
              <w:t>根据《鄂尔多斯市生态环境局鄂托克旗分局关于</w:t>
            </w:r>
            <w:r>
              <w:rPr>
                <w:rFonts w:hint="eastAsia" w:ascii="宋体" w:hAnsi="宋体"/>
                <w:sz w:val="21"/>
                <w:szCs w:val="21"/>
              </w:rPr>
              <w:t>内蒙古华翔农林牧科技发展有限公司120万只蛋鸡养殖项目与鄂托克旗集中式饮用水水源保护区位置关系的函》，本项目占地范围不在水源保护区范围内。</w:t>
            </w:r>
          </w:p>
          <w:p w14:paraId="05BA3858">
            <w:pPr>
              <w:pStyle w:val="105"/>
              <w:spacing w:line="240" w:lineRule="auto"/>
              <w:ind w:firstLine="0" w:firstLineChars="0"/>
              <w:jc w:val="both"/>
              <w:rPr>
                <w:sz w:val="21"/>
                <w:szCs w:val="21"/>
              </w:rPr>
            </w:pPr>
            <w:r>
              <w:rPr>
                <w:rFonts w:hint="eastAsia"/>
                <w:sz w:val="21"/>
                <w:szCs w:val="21"/>
              </w:rPr>
              <w:t>根据西资函〔2023〕92号文，本项目距离西鄂尔多斯国家级自然保护区试验区0.57km，距离保护区缓冲区1.39km，距离保护区核心区2.39km；本项目距离鄂托克恐龙遗迹化石国家级自然保护区直线距离118.32km；本项目不设计自然保护区核心区和缓冲区。</w:t>
            </w:r>
          </w:p>
          <w:p w14:paraId="427A257B">
            <w:pPr>
              <w:pStyle w:val="105"/>
              <w:spacing w:line="240" w:lineRule="auto"/>
              <w:ind w:firstLine="0" w:firstLineChars="0"/>
              <w:jc w:val="both"/>
              <w:rPr>
                <w:sz w:val="21"/>
                <w:szCs w:val="21"/>
              </w:rPr>
            </w:pPr>
            <w:r>
              <w:rPr>
                <w:rFonts w:hint="eastAsia"/>
                <w:sz w:val="21"/>
                <w:szCs w:val="21"/>
              </w:rPr>
              <w:t>本项目不涉及城镇居民区、文化教育科学研究区等人口集中区域。</w:t>
            </w:r>
          </w:p>
        </w:tc>
        <w:tc>
          <w:tcPr>
            <w:tcW w:w="1374" w:type="dxa"/>
            <w:vAlign w:val="center"/>
          </w:tcPr>
          <w:p w14:paraId="5CC3D482">
            <w:pPr>
              <w:pStyle w:val="105"/>
              <w:spacing w:line="240" w:lineRule="auto"/>
              <w:ind w:firstLine="0" w:firstLineChars="0"/>
              <w:jc w:val="center"/>
              <w:rPr>
                <w:sz w:val="21"/>
                <w:szCs w:val="21"/>
              </w:rPr>
            </w:pPr>
            <w:r>
              <w:rPr>
                <w:rFonts w:hint="eastAsia"/>
                <w:sz w:val="21"/>
                <w:szCs w:val="21"/>
              </w:rPr>
              <w:t>符合</w:t>
            </w:r>
          </w:p>
        </w:tc>
      </w:tr>
      <w:tr w14:paraId="1D9D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vAlign w:val="center"/>
          </w:tcPr>
          <w:p w14:paraId="7F14CEB0">
            <w:pPr>
              <w:pStyle w:val="105"/>
              <w:spacing w:line="240" w:lineRule="auto"/>
              <w:ind w:firstLine="0" w:firstLineChars="0"/>
              <w:jc w:val="both"/>
              <w:rPr>
                <w:sz w:val="21"/>
                <w:szCs w:val="21"/>
              </w:rPr>
            </w:pPr>
            <w:r>
              <w:rPr>
                <w:rFonts w:hint="eastAsia"/>
                <w:sz w:val="21"/>
                <w:szCs w:val="21"/>
              </w:rPr>
              <w:t>平面布置：根据畜禽场生产工艺要求，按功能分区布置各建（构）筑物位置，畜禽场一般划分为生活管理区、辅助生产区、生产区、无害化处理去和隔离区。</w:t>
            </w:r>
          </w:p>
        </w:tc>
        <w:tc>
          <w:tcPr>
            <w:tcW w:w="3633" w:type="dxa"/>
            <w:vAlign w:val="center"/>
          </w:tcPr>
          <w:p w14:paraId="7B506837">
            <w:pPr>
              <w:pStyle w:val="105"/>
              <w:spacing w:line="240" w:lineRule="auto"/>
              <w:ind w:firstLine="0" w:firstLineChars="0"/>
              <w:jc w:val="center"/>
              <w:rPr>
                <w:sz w:val="21"/>
                <w:szCs w:val="21"/>
              </w:rPr>
            </w:pPr>
            <w:r>
              <w:rPr>
                <w:rFonts w:hint="eastAsia"/>
                <w:sz w:val="21"/>
                <w:szCs w:val="21"/>
              </w:rPr>
              <w:t>本项目平面布置按照相关规定要求进行标准化建设。</w:t>
            </w:r>
          </w:p>
        </w:tc>
        <w:tc>
          <w:tcPr>
            <w:tcW w:w="1374" w:type="dxa"/>
            <w:vAlign w:val="center"/>
          </w:tcPr>
          <w:p w14:paraId="7CC94906">
            <w:pPr>
              <w:pStyle w:val="105"/>
              <w:spacing w:line="240" w:lineRule="auto"/>
              <w:ind w:firstLine="0" w:firstLineChars="0"/>
              <w:jc w:val="center"/>
              <w:rPr>
                <w:sz w:val="21"/>
                <w:szCs w:val="21"/>
              </w:rPr>
            </w:pPr>
            <w:r>
              <w:rPr>
                <w:rFonts w:hint="eastAsia"/>
                <w:sz w:val="21"/>
                <w:szCs w:val="21"/>
              </w:rPr>
              <w:t>符合</w:t>
            </w:r>
          </w:p>
        </w:tc>
      </w:tr>
    </w:tbl>
    <w:p w14:paraId="0CF88462">
      <w:pPr>
        <w:pStyle w:val="105"/>
        <w:ind w:firstLine="480"/>
      </w:pPr>
      <w:r>
        <w:t>由上表可知，本项目符合</w:t>
      </w:r>
      <w:r>
        <w:rPr>
          <w:rFonts w:hint="eastAsia"/>
        </w:rPr>
        <w:t>《畜禽场区设计技术规范》（NY/T682-2023）相</w:t>
      </w:r>
      <w:r>
        <w:t>关要求。</w:t>
      </w:r>
    </w:p>
    <w:p w14:paraId="14FB8DB3">
      <w:pPr>
        <w:pStyle w:val="11"/>
        <w:rPr>
          <w:kern w:val="2"/>
          <w:szCs w:val="20"/>
        </w:rPr>
      </w:pPr>
      <w:bookmarkStart w:id="50" w:name="_Toc166572235"/>
      <w:r>
        <w:t>1.3.3与相关法律、法规的符合性</w:t>
      </w:r>
      <w:bookmarkEnd w:id="50"/>
    </w:p>
    <w:p w14:paraId="4428FF9D">
      <w:pPr>
        <w:pStyle w:val="105"/>
        <w:ind w:firstLine="480"/>
      </w:pPr>
      <w:r>
        <w:t>本项目的建设与目前我国有关畜禽养殖污染物防治的法律法规符合性分析见表1.3-</w:t>
      </w:r>
      <w:r>
        <w:rPr>
          <w:rFonts w:hint="eastAsia"/>
        </w:rPr>
        <w:t>8</w:t>
      </w:r>
      <w:r>
        <w:t>。</w:t>
      </w:r>
    </w:p>
    <w:p w14:paraId="64B047F1">
      <w:pPr>
        <w:pStyle w:val="749"/>
        <w:rPr>
          <w:color w:val="auto"/>
        </w:rPr>
      </w:pPr>
      <w:r>
        <w:rPr>
          <w:color w:val="auto"/>
        </w:rPr>
        <w:t>表1.3-</w:t>
      </w:r>
      <w:r>
        <w:rPr>
          <w:rFonts w:hint="eastAsia"/>
          <w:color w:val="auto"/>
        </w:rPr>
        <w:t>8</w:t>
      </w:r>
      <w:r>
        <w:rPr>
          <w:color w:val="auto"/>
        </w:rPr>
        <w:t>项目与畜禽养殖污染防治的法律法规符合性分析</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3266"/>
        <w:gridCol w:w="3140"/>
        <w:gridCol w:w="663"/>
      </w:tblGrid>
      <w:tr w14:paraId="4B93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1CD788CD">
            <w:pPr>
              <w:pStyle w:val="357"/>
              <w:widowControl w:val="0"/>
              <w:rPr>
                <w:szCs w:val="21"/>
                <w:lang w:eastAsia="zh-CN"/>
              </w:rPr>
            </w:pPr>
            <w:r>
              <w:rPr>
                <w:szCs w:val="21"/>
                <w:lang w:eastAsia="zh-CN"/>
              </w:rPr>
              <w:t>相关法律、法规</w:t>
            </w:r>
          </w:p>
        </w:tc>
        <w:tc>
          <w:tcPr>
            <w:tcW w:w="1759" w:type="pct"/>
            <w:vAlign w:val="center"/>
          </w:tcPr>
          <w:p w14:paraId="1A3A3DB9">
            <w:pPr>
              <w:pStyle w:val="751"/>
              <w:rPr>
                <w:color w:val="auto"/>
              </w:rPr>
            </w:pPr>
            <w:r>
              <w:rPr>
                <w:color w:val="auto"/>
              </w:rPr>
              <w:t>相关条款及规定</w:t>
            </w:r>
          </w:p>
        </w:tc>
        <w:tc>
          <w:tcPr>
            <w:tcW w:w="1691" w:type="pct"/>
            <w:vAlign w:val="center"/>
          </w:tcPr>
          <w:p w14:paraId="2827E30F">
            <w:pPr>
              <w:pStyle w:val="413"/>
              <w:tabs>
                <w:tab w:val="left" w:pos="0"/>
              </w:tabs>
              <w:adjustRightInd w:val="0"/>
              <w:snapToGrid w:val="0"/>
              <w:spacing w:line="240" w:lineRule="auto"/>
              <w:ind w:firstLine="0"/>
              <w:jc w:val="center"/>
              <w:rPr>
                <w:rFonts w:ascii="Times New Roman" w:hAnsi="Times New Roman" w:cs="Times New Roman"/>
                <w:color w:val="auto"/>
                <w:kern w:val="0"/>
                <w:sz w:val="21"/>
                <w:szCs w:val="21"/>
              </w:rPr>
            </w:pPr>
            <w:r>
              <w:rPr>
                <w:rFonts w:ascii="Times New Roman" w:hAnsi="Times New Roman" w:cs="Times New Roman"/>
                <w:color w:val="auto"/>
                <w:kern w:val="0"/>
                <w:sz w:val="21"/>
                <w:szCs w:val="21"/>
              </w:rPr>
              <w:t>符合性分析</w:t>
            </w:r>
          </w:p>
        </w:tc>
        <w:tc>
          <w:tcPr>
            <w:tcW w:w="357" w:type="pct"/>
            <w:vAlign w:val="center"/>
          </w:tcPr>
          <w:p w14:paraId="47E52A0C">
            <w:pPr>
              <w:pStyle w:val="413"/>
              <w:tabs>
                <w:tab w:val="left" w:pos="0"/>
              </w:tabs>
              <w:adjustRightInd w:val="0"/>
              <w:snapToGrid w:val="0"/>
              <w:spacing w:line="240" w:lineRule="auto"/>
              <w:ind w:firstLine="0"/>
              <w:jc w:val="center"/>
              <w:rPr>
                <w:rFonts w:ascii="Times New Roman" w:hAnsi="Times New Roman" w:cs="Times New Roman"/>
                <w:color w:val="auto"/>
                <w:kern w:val="0"/>
                <w:sz w:val="21"/>
                <w:szCs w:val="21"/>
              </w:rPr>
            </w:pPr>
            <w:r>
              <w:rPr>
                <w:rFonts w:ascii="Times New Roman" w:hAnsi="Times New Roman" w:cs="Times New Roman"/>
                <w:color w:val="auto"/>
                <w:kern w:val="0"/>
                <w:sz w:val="21"/>
                <w:szCs w:val="21"/>
              </w:rPr>
              <w:t>符合情况</w:t>
            </w:r>
          </w:p>
        </w:tc>
      </w:tr>
      <w:tr w14:paraId="2140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04BDAADA">
            <w:pPr>
              <w:pStyle w:val="357"/>
              <w:widowControl w:val="0"/>
              <w:rPr>
                <w:szCs w:val="21"/>
                <w:lang w:eastAsia="zh-CN"/>
              </w:rPr>
            </w:pPr>
            <w:r>
              <w:rPr>
                <w:szCs w:val="21"/>
                <w:lang w:eastAsia="zh-CN"/>
              </w:rPr>
              <w:t>《中华人民共和国水污染防治法》（2018）</w:t>
            </w:r>
          </w:p>
        </w:tc>
        <w:tc>
          <w:tcPr>
            <w:tcW w:w="1759" w:type="pct"/>
            <w:vAlign w:val="center"/>
          </w:tcPr>
          <w:p w14:paraId="22B6D798">
            <w:pPr>
              <w:pStyle w:val="357"/>
              <w:widowControl w:val="0"/>
              <w:jc w:val="both"/>
              <w:rPr>
                <w:szCs w:val="21"/>
                <w:lang w:eastAsia="zh-CN"/>
              </w:rPr>
            </w:pPr>
            <w:r>
              <w:rPr>
                <w:szCs w:val="21"/>
                <w:lang w:eastAsia="zh-CN"/>
              </w:rPr>
              <w:t>国家支持畜禽养殖场、养殖小区建设畜禽粪便、废水的综合利用或者无害化处理设施。</w:t>
            </w:r>
          </w:p>
          <w:p w14:paraId="0F71F90B">
            <w:pPr>
              <w:pStyle w:val="357"/>
              <w:widowControl w:val="0"/>
              <w:jc w:val="both"/>
              <w:rPr>
                <w:szCs w:val="21"/>
                <w:lang w:eastAsia="zh-CN"/>
              </w:rPr>
            </w:pPr>
            <w:r>
              <w:rPr>
                <w:szCs w:val="21"/>
                <w:lang w:eastAsia="zh-CN"/>
              </w:rPr>
              <w:t>畜禽养殖场、养殖小区应当保证其畜禽粪便、废水的综合利用或者无害化处理设施正常运转，保证污水达标排放，防止污染水环境。</w:t>
            </w:r>
          </w:p>
        </w:tc>
        <w:tc>
          <w:tcPr>
            <w:tcW w:w="1691" w:type="pct"/>
            <w:vAlign w:val="center"/>
          </w:tcPr>
          <w:p w14:paraId="5258609E">
            <w:pPr>
              <w:pStyle w:val="357"/>
              <w:widowControl w:val="0"/>
              <w:jc w:val="both"/>
              <w:rPr>
                <w:szCs w:val="21"/>
                <w:lang w:eastAsia="zh-CN"/>
              </w:rPr>
            </w:pPr>
            <w:r>
              <w:rPr>
                <w:szCs w:val="21"/>
                <w:lang w:eastAsia="zh-CN"/>
              </w:rPr>
              <w:t>本项目产生鸡粪经</w:t>
            </w:r>
            <w:r>
              <w:rPr>
                <w:kern w:val="2"/>
                <w:szCs w:val="21"/>
                <w:lang w:eastAsia="zh-CN"/>
              </w:rPr>
              <w:t>传送带收集后清运至</w:t>
            </w:r>
            <w:r>
              <w:rPr>
                <w:rFonts w:hint="eastAsia" w:eastAsiaTheme="minorEastAsia"/>
                <w:szCs w:val="21"/>
                <w:lang w:eastAsia="zh-CN"/>
              </w:rPr>
              <w:t>有机肥加工车间发酵制肥</w:t>
            </w:r>
            <w:r>
              <w:rPr>
                <w:szCs w:val="21"/>
                <w:lang w:eastAsia="zh-CN"/>
              </w:rPr>
              <w:t>；生活废水、鸡舍冲洗水等废水排入污水处理池，经</w:t>
            </w:r>
            <w:r>
              <w:rPr>
                <w:rFonts w:hint="eastAsia"/>
                <w:szCs w:val="21"/>
                <w:lang w:eastAsia="zh-CN"/>
              </w:rPr>
              <w:t>污水处理站</w:t>
            </w:r>
            <w:r>
              <w:rPr>
                <w:szCs w:val="21"/>
                <w:lang w:eastAsia="zh-CN"/>
              </w:rPr>
              <w:t>处理后用于绿化及周边农灌。</w:t>
            </w:r>
          </w:p>
        </w:tc>
        <w:tc>
          <w:tcPr>
            <w:tcW w:w="357" w:type="pct"/>
            <w:vAlign w:val="center"/>
          </w:tcPr>
          <w:p w14:paraId="7A1D2902">
            <w:pPr>
              <w:pStyle w:val="357"/>
              <w:widowControl w:val="0"/>
              <w:rPr>
                <w:szCs w:val="21"/>
                <w:lang w:eastAsia="zh-CN"/>
              </w:rPr>
            </w:pPr>
            <w:r>
              <w:rPr>
                <w:szCs w:val="21"/>
                <w:lang w:eastAsia="zh-CN"/>
              </w:rPr>
              <w:t>符合</w:t>
            </w:r>
          </w:p>
        </w:tc>
      </w:tr>
      <w:tr w14:paraId="430F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148600D3">
            <w:pPr>
              <w:pStyle w:val="357"/>
              <w:widowControl w:val="0"/>
              <w:rPr>
                <w:szCs w:val="21"/>
                <w:lang w:eastAsia="zh-CN"/>
              </w:rPr>
            </w:pPr>
            <w:r>
              <w:rPr>
                <w:szCs w:val="21"/>
                <w:lang w:eastAsia="zh-CN"/>
              </w:rPr>
              <w:t>《中华人民共和国固体废物污染环境防治法》（2020）</w:t>
            </w:r>
          </w:p>
        </w:tc>
        <w:tc>
          <w:tcPr>
            <w:tcW w:w="1759" w:type="pct"/>
            <w:vAlign w:val="center"/>
          </w:tcPr>
          <w:p w14:paraId="55384C2B">
            <w:pPr>
              <w:pStyle w:val="357"/>
              <w:widowControl w:val="0"/>
              <w:jc w:val="both"/>
              <w:rPr>
                <w:szCs w:val="21"/>
                <w:lang w:eastAsia="zh-CN"/>
              </w:rPr>
            </w:pPr>
            <w:r>
              <w:rPr>
                <w:szCs w:val="21"/>
                <w:lang w:eastAsia="zh-CN"/>
              </w:rPr>
              <w:t>从事畜禽规模养殖应按照国家有关规定收集、贮存、利用或者处理养殖过程中产生的粪便，防止污染环境。</w:t>
            </w:r>
          </w:p>
        </w:tc>
        <w:tc>
          <w:tcPr>
            <w:tcW w:w="1691" w:type="pct"/>
            <w:vAlign w:val="center"/>
          </w:tcPr>
          <w:p w14:paraId="7362D818">
            <w:pPr>
              <w:pStyle w:val="357"/>
              <w:widowControl w:val="0"/>
              <w:jc w:val="both"/>
              <w:rPr>
                <w:szCs w:val="21"/>
                <w:lang w:eastAsia="zh-CN"/>
              </w:rPr>
            </w:pPr>
            <w:r>
              <w:rPr>
                <w:szCs w:val="21"/>
                <w:lang w:eastAsia="zh-CN"/>
              </w:rPr>
              <w:t>本项目产生鸡粪经</w:t>
            </w:r>
            <w:r>
              <w:rPr>
                <w:kern w:val="2"/>
                <w:szCs w:val="21"/>
                <w:lang w:eastAsia="zh-CN"/>
              </w:rPr>
              <w:t>传送带收集后清运至</w:t>
            </w:r>
            <w:r>
              <w:rPr>
                <w:rFonts w:hint="eastAsia" w:eastAsiaTheme="minorEastAsia"/>
                <w:szCs w:val="21"/>
                <w:lang w:eastAsia="zh-CN"/>
              </w:rPr>
              <w:t>有机肥加工车间发酵制肥</w:t>
            </w:r>
            <w:r>
              <w:rPr>
                <w:szCs w:val="21"/>
                <w:lang w:eastAsia="zh-CN"/>
              </w:rPr>
              <w:t>。</w:t>
            </w:r>
          </w:p>
        </w:tc>
        <w:tc>
          <w:tcPr>
            <w:tcW w:w="357" w:type="pct"/>
            <w:vAlign w:val="center"/>
          </w:tcPr>
          <w:p w14:paraId="6B8D3907">
            <w:pPr>
              <w:pStyle w:val="357"/>
              <w:widowControl w:val="0"/>
              <w:rPr>
                <w:szCs w:val="21"/>
                <w:lang w:eastAsia="zh-CN"/>
              </w:rPr>
            </w:pPr>
            <w:r>
              <w:rPr>
                <w:szCs w:val="21"/>
                <w:lang w:eastAsia="zh-CN"/>
              </w:rPr>
              <w:t>符合</w:t>
            </w:r>
          </w:p>
        </w:tc>
      </w:tr>
      <w:tr w14:paraId="1852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1EF792A1">
            <w:pPr>
              <w:pStyle w:val="357"/>
              <w:widowControl w:val="0"/>
              <w:rPr>
                <w:szCs w:val="21"/>
                <w:lang w:eastAsia="zh-CN"/>
              </w:rPr>
            </w:pPr>
            <w:r>
              <w:rPr>
                <w:szCs w:val="21"/>
                <w:lang w:eastAsia="zh-CN"/>
              </w:rPr>
              <w:t>《中华人民共和国畜牧法》（2015）</w:t>
            </w:r>
          </w:p>
        </w:tc>
        <w:tc>
          <w:tcPr>
            <w:tcW w:w="1759" w:type="pct"/>
            <w:vAlign w:val="center"/>
          </w:tcPr>
          <w:p w14:paraId="23E38853">
            <w:pPr>
              <w:pStyle w:val="357"/>
              <w:widowControl w:val="0"/>
              <w:jc w:val="both"/>
              <w:rPr>
                <w:szCs w:val="21"/>
                <w:lang w:eastAsia="zh-CN"/>
              </w:rPr>
            </w:pPr>
            <w:r>
              <w:rPr>
                <w:szCs w:val="21"/>
                <w:lang w:eastAsia="zh-CN"/>
              </w:rPr>
              <w:t>畜禽养殖场、养殖小区应当保证畜禽粪便、废水及其他固体废弃物综合利用或者无害化处理设施的正常运转，保证污染物达标排放，防止污染环境。</w:t>
            </w:r>
          </w:p>
          <w:p w14:paraId="6F59E50F">
            <w:pPr>
              <w:pStyle w:val="357"/>
              <w:widowControl w:val="0"/>
              <w:jc w:val="both"/>
              <w:rPr>
                <w:szCs w:val="21"/>
                <w:lang w:eastAsia="zh-CN"/>
              </w:rPr>
            </w:pPr>
            <w:r>
              <w:rPr>
                <w:szCs w:val="21"/>
                <w:lang w:eastAsia="zh-CN"/>
              </w:rPr>
              <w:t>禁止在生活饮用水的水源保护区，风景名胜区，以及自然保护区的核心区和缓冲区；城镇居民区、文化教育科学研究区等人口集中区域；法律法规规定的其他禁养区域内建设畜禽养殖场、养殖小区。</w:t>
            </w:r>
          </w:p>
        </w:tc>
        <w:tc>
          <w:tcPr>
            <w:tcW w:w="1691" w:type="pct"/>
            <w:vAlign w:val="center"/>
          </w:tcPr>
          <w:p w14:paraId="371F0650">
            <w:pPr>
              <w:pStyle w:val="357"/>
              <w:widowControl w:val="0"/>
              <w:jc w:val="both"/>
              <w:rPr>
                <w:szCs w:val="21"/>
                <w:lang w:eastAsia="zh-CN"/>
              </w:rPr>
            </w:pPr>
            <w:r>
              <w:rPr>
                <w:szCs w:val="21"/>
                <w:lang w:eastAsia="zh-CN"/>
              </w:rPr>
              <w:t>项目建成后应确保本项目畜禽粪便、废水及其他固体废弃物综合利用或者无害化处理设施的正常运转；本项目选址不在生活饮用水的水源保护区、风景名胜区、自然保护区、城镇居民区、文化教育科学研究区等人口集中区域以及法律法规规定的其他禁养区域内</w:t>
            </w:r>
          </w:p>
        </w:tc>
        <w:tc>
          <w:tcPr>
            <w:tcW w:w="357" w:type="pct"/>
            <w:vAlign w:val="center"/>
          </w:tcPr>
          <w:p w14:paraId="34028FD8">
            <w:pPr>
              <w:pStyle w:val="357"/>
              <w:widowControl w:val="0"/>
              <w:rPr>
                <w:szCs w:val="21"/>
                <w:lang w:eastAsia="zh-CN"/>
              </w:rPr>
            </w:pPr>
            <w:r>
              <w:rPr>
                <w:szCs w:val="21"/>
                <w:lang w:eastAsia="zh-CN"/>
              </w:rPr>
              <w:t>符合</w:t>
            </w:r>
          </w:p>
        </w:tc>
      </w:tr>
      <w:tr w14:paraId="798B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5C0BCC85">
            <w:pPr>
              <w:pStyle w:val="357"/>
              <w:widowControl w:val="0"/>
              <w:rPr>
                <w:szCs w:val="21"/>
                <w:lang w:eastAsia="zh-CN"/>
              </w:rPr>
            </w:pPr>
            <w:r>
              <w:rPr>
                <w:szCs w:val="21"/>
                <w:lang w:eastAsia="zh-CN"/>
              </w:rPr>
              <w:t>《畜禽养殖污染防治管理办法》（原国家环境保护总局第9号令，2001）</w:t>
            </w:r>
          </w:p>
        </w:tc>
        <w:tc>
          <w:tcPr>
            <w:tcW w:w="1759" w:type="pct"/>
            <w:vAlign w:val="center"/>
          </w:tcPr>
          <w:p w14:paraId="44B215E7">
            <w:pPr>
              <w:pStyle w:val="357"/>
              <w:widowControl w:val="0"/>
              <w:jc w:val="both"/>
              <w:rPr>
                <w:szCs w:val="21"/>
                <w:lang w:eastAsia="zh-CN"/>
              </w:rPr>
            </w:pPr>
            <w:r>
              <w:rPr>
                <w:szCs w:val="21"/>
                <w:lang w:eastAsia="zh-CN"/>
              </w:rPr>
              <w:t>畜禽养殖场应当保持环境整洁，采取清污分流和粪尿的干湿分离等措施，实现清洁养殖</w:t>
            </w:r>
          </w:p>
        </w:tc>
        <w:tc>
          <w:tcPr>
            <w:tcW w:w="1691" w:type="pct"/>
            <w:vAlign w:val="center"/>
          </w:tcPr>
          <w:p w14:paraId="62D12B8F">
            <w:pPr>
              <w:pStyle w:val="357"/>
              <w:widowControl w:val="0"/>
              <w:jc w:val="both"/>
              <w:rPr>
                <w:szCs w:val="21"/>
                <w:lang w:eastAsia="zh-CN"/>
              </w:rPr>
            </w:pPr>
            <w:r>
              <w:rPr>
                <w:szCs w:val="21"/>
                <w:lang w:eastAsia="zh-CN"/>
              </w:rPr>
              <w:t>本项目设雨污分流排水系统；采用干清粪工艺。鸡舍冲洗水</w:t>
            </w:r>
            <w:r>
              <w:rPr>
                <w:rFonts w:hint="eastAsia"/>
                <w:szCs w:val="21"/>
                <w:lang w:eastAsia="zh-CN"/>
              </w:rPr>
              <w:t>进入</w:t>
            </w:r>
            <w:r>
              <w:rPr>
                <w:szCs w:val="21"/>
                <w:lang w:eastAsia="zh-CN"/>
              </w:rPr>
              <w:t>污水处理池，经</w:t>
            </w:r>
            <w:r>
              <w:rPr>
                <w:rFonts w:hint="eastAsia"/>
                <w:szCs w:val="21"/>
                <w:lang w:eastAsia="zh-CN"/>
              </w:rPr>
              <w:t>污水处理站</w:t>
            </w:r>
            <w:r>
              <w:rPr>
                <w:szCs w:val="21"/>
                <w:lang w:eastAsia="zh-CN"/>
              </w:rPr>
              <w:t>处理后用于绿化及周边农灌。</w:t>
            </w:r>
          </w:p>
        </w:tc>
        <w:tc>
          <w:tcPr>
            <w:tcW w:w="357" w:type="pct"/>
            <w:vAlign w:val="center"/>
          </w:tcPr>
          <w:p w14:paraId="23A3365E">
            <w:pPr>
              <w:pStyle w:val="357"/>
              <w:widowControl w:val="0"/>
              <w:rPr>
                <w:szCs w:val="21"/>
                <w:lang w:eastAsia="zh-CN"/>
              </w:rPr>
            </w:pPr>
          </w:p>
        </w:tc>
      </w:tr>
      <w:tr w14:paraId="6A87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5232C361">
            <w:pPr>
              <w:pStyle w:val="357"/>
              <w:widowControl w:val="0"/>
              <w:rPr>
                <w:szCs w:val="21"/>
                <w:lang w:eastAsia="zh-CN"/>
              </w:rPr>
            </w:pPr>
            <w:r>
              <w:rPr>
                <w:szCs w:val="21"/>
                <w:lang w:eastAsia="zh-CN"/>
              </w:rPr>
              <w:t>《畜禽养殖业污染防治技术规范》（HJ/T81-2001）</w:t>
            </w:r>
          </w:p>
        </w:tc>
        <w:tc>
          <w:tcPr>
            <w:tcW w:w="1759" w:type="pct"/>
            <w:vAlign w:val="center"/>
          </w:tcPr>
          <w:p w14:paraId="6322B7E2">
            <w:pPr>
              <w:pStyle w:val="357"/>
              <w:widowControl w:val="0"/>
              <w:jc w:val="both"/>
              <w:rPr>
                <w:szCs w:val="21"/>
                <w:lang w:eastAsia="zh-CN"/>
              </w:rPr>
            </w:pPr>
            <w:r>
              <w:rPr>
                <w:szCs w:val="21"/>
                <w:lang w:eastAsia="zh-CN"/>
              </w:rPr>
              <w:t>养殖场的排水系统应实行雨水和污水收集输送系统分离，在场区内外设置污水收集输送系统，不得采取明沟布设。</w:t>
            </w:r>
          </w:p>
          <w:p w14:paraId="1E57B82F">
            <w:pPr>
              <w:pStyle w:val="357"/>
              <w:widowControl w:val="0"/>
              <w:jc w:val="both"/>
              <w:rPr>
                <w:szCs w:val="21"/>
                <w:lang w:eastAsia="zh-CN"/>
              </w:rPr>
            </w:pPr>
            <w:r>
              <w:rPr>
                <w:szCs w:val="21"/>
                <w:lang w:eastAsia="zh-CN"/>
              </w:rPr>
              <w:t>新、改、扩建的畜禽养殖场应采取干法清粪工艺，采取有效措施将粪及时、单独清出，不可与尿、污水混合出；采用水冲粪、水泡粪湿法清粪工艺的养殖场，要逐步改为干法清粪工艺。</w:t>
            </w:r>
          </w:p>
          <w:p w14:paraId="325C5143">
            <w:pPr>
              <w:pStyle w:val="357"/>
              <w:widowControl w:val="0"/>
              <w:jc w:val="both"/>
              <w:rPr>
                <w:szCs w:val="21"/>
                <w:lang w:eastAsia="zh-CN"/>
              </w:rPr>
            </w:pPr>
            <w:r>
              <w:rPr>
                <w:szCs w:val="21"/>
                <w:lang w:eastAsia="zh-CN"/>
              </w:rPr>
              <w:t>畜禽养殖过程中产生的污水应坚持种养结合的原则，经无害化处理后尽量充分还田，实现污水资源化管理。</w:t>
            </w:r>
          </w:p>
          <w:p w14:paraId="0B72469C">
            <w:pPr>
              <w:pStyle w:val="357"/>
              <w:widowControl w:val="0"/>
              <w:jc w:val="both"/>
              <w:rPr>
                <w:szCs w:val="21"/>
                <w:lang w:eastAsia="zh-CN"/>
              </w:rPr>
            </w:pPr>
            <w:r>
              <w:rPr>
                <w:szCs w:val="21"/>
                <w:lang w:eastAsia="zh-CN"/>
              </w:rPr>
              <w:t>污水的消毒处理提倡采用非氯化的消毒措施，要注意防止产生二次污染物。</w:t>
            </w:r>
          </w:p>
        </w:tc>
        <w:tc>
          <w:tcPr>
            <w:tcW w:w="1691" w:type="pct"/>
            <w:vAlign w:val="center"/>
          </w:tcPr>
          <w:p w14:paraId="70338C0D">
            <w:pPr>
              <w:widowControl w:val="0"/>
              <w:autoSpaceDE w:val="0"/>
              <w:autoSpaceDN w:val="0"/>
              <w:adjustRightInd w:val="0"/>
              <w:spacing w:line="240" w:lineRule="auto"/>
              <w:ind w:firstLine="0" w:firstLineChars="0"/>
              <w:jc w:val="both"/>
              <w:rPr>
                <w:sz w:val="21"/>
                <w:szCs w:val="21"/>
              </w:rPr>
            </w:pPr>
            <w:r>
              <w:rPr>
                <w:kern w:val="0"/>
                <w:sz w:val="21"/>
                <w:szCs w:val="21"/>
              </w:rPr>
              <w:t>本项目设雨污分流；采用干清粪工艺</w:t>
            </w:r>
            <w:r>
              <w:rPr>
                <w:rFonts w:eastAsiaTheme="minorEastAsia"/>
                <w:kern w:val="0"/>
                <w:sz w:val="21"/>
                <w:szCs w:val="21"/>
              </w:rPr>
              <w:t>，鸡粪经传送带收集后清运至</w:t>
            </w:r>
            <w:r>
              <w:rPr>
                <w:rFonts w:hint="eastAsia" w:eastAsiaTheme="minorEastAsia"/>
                <w:sz w:val="21"/>
                <w:szCs w:val="21"/>
              </w:rPr>
              <w:t>有机肥加工车间</w:t>
            </w:r>
            <w:r>
              <w:rPr>
                <w:rFonts w:hint="eastAsia"/>
                <w:kern w:val="0"/>
                <w:sz w:val="21"/>
                <w:szCs w:val="21"/>
              </w:rPr>
              <w:t>发酵制肥</w:t>
            </w:r>
            <w:r>
              <w:rPr>
                <w:kern w:val="0"/>
                <w:sz w:val="21"/>
                <w:szCs w:val="21"/>
              </w:rPr>
              <w:t>。项目产生的污水</w:t>
            </w:r>
            <w:r>
              <w:rPr>
                <w:rFonts w:hint="eastAsia"/>
                <w:kern w:val="0"/>
                <w:sz w:val="21"/>
                <w:szCs w:val="21"/>
              </w:rPr>
              <w:t>进入</w:t>
            </w:r>
            <w:r>
              <w:rPr>
                <w:kern w:val="0"/>
                <w:sz w:val="21"/>
                <w:szCs w:val="21"/>
              </w:rPr>
              <w:t>污水处理池，经</w:t>
            </w:r>
            <w:r>
              <w:rPr>
                <w:rFonts w:hint="eastAsia"/>
                <w:szCs w:val="21"/>
              </w:rPr>
              <w:t>污水处理站</w:t>
            </w:r>
            <w:r>
              <w:rPr>
                <w:kern w:val="0"/>
                <w:sz w:val="21"/>
                <w:szCs w:val="21"/>
              </w:rPr>
              <w:t>处理后用于绿化及周边农灌。</w:t>
            </w:r>
          </w:p>
        </w:tc>
        <w:tc>
          <w:tcPr>
            <w:tcW w:w="357" w:type="pct"/>
            <w:vAlign w:val="center"/>
          </w:tcPr>
          <w:p w14:paraId="6EE2F26C">
            <w:pPr>
              <w:pStyle w:val="357"/>
              <w:widowControl w:val="0"/>
              <w:rPr>
                <w:szCs w:val="21"/>
                <w:lang w:eastAsia="zh-CN"/>
              </w:rPr>
            </w:pPr>
            <w:r>
              <w:rPr>
                <w:szCs w:val="21"/>
                <w:lang w:eastAsia="zh-CN"/>
              </w:rPr>
              <w:t>符合</w:t>
            </w:r>
          </w:p>
        </w:tc>
      </w:tr>
      <w:tr w14:paraId="52A4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2D68F646">
            <w:pPr>
              <w:pStyle w:val="357"/>
              <w:widowControl w:val="0"/>
              <w:rPr>
                <w:szCs w:val="21"/>
                <w:lang w:eastAsia="zh-CN"/>
              </w:rPr>
            </w:pPr>
            <w:r>
              <w:rPr>
                <w:szCs w:val="21"/>
                <w:lang w:eastAsia="zh-CN"/>
              </w:rPr>
              <w:t>《畜禽养殖业污染物治理工程技术规范》（HJ497-2009）</w:t>
            </w:r>
          </w:p>
        </w:tc>
        <w:tc>
          <w:tcPr>
            <w:tcW w:w="1759" w:type="pct"/>
            <w:vAlign w:val="center"/>
          </w:tcPr>
          <w:p w14:paraId="5A835B32">
            <w:pPr>
              <w:pStyle w:val="357"/>
              <w:widowControl w:val="0"/>
              <w:jc w:val="both"/>
              <w:rPr>
                <w:szCs w:val="21"/>
                <w:lang w:eastAsia="zh-CN"/>
              </w:rPr>
            </w:pPr>
            <w:r>
              <w:rPr>
                <w:szCs w:val="21"/>
                <w:lang w:eastAsia="zh-CN"/>
              </w:rPr>
              <w:t>本标准集约化畜禽养殖场指存栏数为300头以上的养猪场、50头以上的奶牛场、100头以上的肉牛场、4000羽以上的养鸡场、2000羽以上养鸭和养鹅场。新、改、扩建的畜禽养殖场应采取干法清粪工艺；采用水冲粪、水泡粪湿法清粪工艺的养殖场，应逐步改为干法清粪工艺；畜禽粪污应日产日清。</w:t>
            </w:r>
          </w:p>
        </w:tc>
        <w:tc>
          <w:tcPr>
            <w:tcW w:w="1691" w:type="pct"/>
            <w:vAlign w:val="center"/>
          </w:tcPr>
          <w:p w14:paraId="5EDE032D">
            <w:pPr>
              <w:widowControl w:val="0"/>
              <w:autoSpaceDE w:val="0"/>
              <w:autoSpaceDN w:val="0"/>
              <w:adjustRightInd w:val="0"/>
              <w:spacing w:line="240" w:lineRule="auto"/>
              <w:ind w:firstLine="0" w:firstLineChars="0"/>
              <w:jc w:val="both"/>
              <w:rPr>
                <w:kern w:val="0"/>
                <w:sz w:val="21"/>
                <w:szCs w:val="21"/>
              </w:rPr>
            </w:pPr>
            <w:r>
              <w:rPr>
                <w:kern w:val="0"/>
                <w:sz w:val="21"/>
                <w:szCs w:val="21"/>
              </w:rPr>
              <w:t>本项目养殖规模年存栏数远大于其规定规模；采用干清粪工艺，</w:t>
            </w:r>
            <w:r>
              <w:rPr>
                <w:rFonts w:eastAsiaTheme="minorEastAsia"/>
                <w:kern w:val="0"/>
                <w:sz w:val="21"/>
                <w:szCs w:val="21"/>
              </w:rPr>
              <w:t>鸡粪经传送带收集后清运至</w:t>
            </w:r>
            <w:r>
              <w:rPr>
                <w:rFonts w:hint="eastAsia" w:eastAsiaTheme="minorEastAsia"/>
                <w:szCs w:val="21"/>
              </w:rPr>
              <w:t>有机肥加工车间</w:t>
            </w:r>
            <w:r>
              <w:rPr>
                <w:rFonts w:hint="eastAsia" w:eastAsiaTheme="minorEastAsia"/>
                <w:sz w:val="21"/>
                <w:szCs w:val="21"/>
              </w:rPr>
              <w:t>发酵制肥</w:t>
            </w:r>
            <w:r>
              <w:rPr>
                <w:kern w:val="0"/>
                <w:sz w:val="21"/>
                <w:szCs w:val="21"/>
              </w:rPr>
              <w:t>。</w:t>
            </w:r>
          </w:p>
        </w:tc>
        <w:tc>
          <w:tcPr>
            <w:tcW w:w="357" w:type="pct"/>
            <w:vAlign w:val="center"/>
          </w:tcPr>
          <w:p w14:paraId="5A48B026">
            <w:pPr>
              <w:pStyle w:val="357"/>
              <w:widowControl w:val="0"/>
              <w:rPr>
                <w:szCs w:val="21"/>
                <w:lang w:eastAsia="zh-CN"/>
              </w:rPr>
            </w:pPr>
            <w:r>
              <w:rPr>
                <w:szCs w:val="21"/>
                <w:lang w:eastAsia="zh-CN"/>
              </w:rPr>
              <w:t>符合</w:t>
            </w:r>
          </w:p>
        </w:tc>
      </w:tr>
      <w:tr w14:paraId="4682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518FB3BC">
            <w:pPr>
              <w:pStyle w:val="357"/>
              <w:widowControl w:val="0"/>
              <w:rPr>
                <w:szCs w:val="21"/>
                <w:lang w:eastAsia="zh-CN"/>
              </w:rPr>
            </w:pPr>
            <w:r>
              <w:rPr>
                <w:szCs w:val="21"/>
                <w:lang w:eastAsia="zh-CN"/>
              </w:rPr>
              <w:t>《畜禽养殖业污染防治技术政策》环发[2010]151号</w:t>
            </w:r>
          </w:p>
        </w:tc>
        <w:tc>
          <w:tcPr>
            <w:tcW w:w="1759" w:type="pct"/>
            <w:vAlign w:val="center"/>
          </w:tcPr>
          <w:p w14:paraId="42796612">
            <w:pPr>
              <w:pStyle w:val="357"/>
              <w:widowControl w:val="0"/>
              <w:jc w:val="both"/>
              <w:rPr>
                <w:szCs w:val="21"/>
                <w:lang w:eastAsia="zh-CN"/>
              </w:rPr>
            </w:pPr>
            <w:r>
              <w:rPr>
                <w:szCs w:val="21"/>
                <w:lang w:eastAsia="zh-CN"/>
              </w:rPr>
              <w:t>畜禽养殖污染防治应遵循发展循环经济、低碳经济、生态农业与资源化综合利用的总体发展战略，促进畜禽养殖业向集约化、规模化发展，重视畜禽养殖的温室气体减排，逐步提高畜禽养殖污染防治技术水平，因地制宜地开展综合整治。</w:t>
            </w:r>
          </w:p>
          <w:p w14:paraId="156B9B13">
            <w:pPr>
              <w:pStyle w:val="357"/>
              <w:widowControl w:val="0"/>
              <w:jc w:val="both"/>
              <w:rPr>
                <w:szCs w:val="21"/>
                <w:lang w:eastAsia="zh-CN"/>
              </w:rPr>
            </w:pPr>
            <w:r>
              <w:rPr>
                <w:szCs w:val="21"/>
                <w:lang w:eastAsia="zh-CN"/>
              </w:rPr>
              <w:t>畜禽养殖污染防治应贯彻“预防为主、防治结合，经济性和实用性相结合，管理措施和技术措施相结合，有效利用和全面处理相结合”的技术方针，实行“源头削减、清洁生产、资源化综合利用，防止二次污染”的技术路线。</w:t>
            </w:r>
          </w:p>
        </w:tc>
        <w:tc>
          <w:tcPr>
            <w:tcW w:w="1691" w:type="pct"/>
            <w:vAlign w:val="center"/>
          </w:tcPr>
          <w:p w14:paraId="0D91A8E5">
            <w:pPr>
              <w:pStyle w:val="357"/>
              <w:widowControl w:val="0"/>
              <w:jc w:val="both"/>
              <w:rPr>
                <w:szCs w:val="21"/>
                <w:lang w:eastAsia="zh-CN"/>
              </w:rPr>
            </w:pPr>
            <w:r>
              <w:rPr>
                <w:szCs w:val="21"/>
                <w:lang w:eastAsia="zh-CN"/>
              </w:rPr>
              <w:t>本项目属于规模化养殖场，鸡粪清理采用干清粪工艺，产生鸡粪</w:t>
            </w:r>
            <w:r>
              <w:rPr>
                <w:rFonts w:eastAsiaTheme="minorEastAsia"/>
                <w:szCs w:val="21"/>
                <w:lang w:eastAsia="zh-CN"/>
              </w:rPr>
              <w:t>经传送带收集后清运至</w:t>
            </w:r>
            <w:r>
              <w:rPr>
                <w:rFonts w:hint="eastAsia" w:eastAsiaTheme="minorEastAsia"/>
                <w:szCs w:val="21"/>
                <w:lang w:eastAsia="zh-CN"/>
              </w:rPr>
              <w:t>有机肥加工车间发酵制肥</w:t>
            </w:r>
            <w:r>
              <w:rPr>
                <w:szCs w:val="21"/>
                <w:lang w:eastAsia="zh-CN"/>
              </w:rPr>
              <w:t>。生活污水、鸡舍冲洗废水等废水</w:t>
            </w:r>
            <w:r>
              <w:rPr>
                <w:rFonts w:hint="eastAsia"/>
                <w:szCs w:val="21"/>
                <w:lang w:eastAsia="zh-CN"/>
              </w:rPr>
              <w:t>进入</w:t>
            </w:r>
            <w:r>
              <w:rPr>
                <w:szCs w:val="21"/>
                <w:lang w:eastAsia="zh-CN"/>
              </w:rPr>
              <w:t>污水处理池，经</w:t>
            </w:r>
            <w:r>
              <w:rPr>
                <w:rFonts w:hint="eastAsia"/>
                <w:szCs w:val="21"/>
                <w:lang w:eastAsia="zh-CN"/>
              </w:rPr>
              <w:t>污水处理站</w:t>
            </w:r>
            <w:r>
              <w:rPr>
                <w:szCs w:val="21"/>
                <w:lang w:eastAsia="zh-CN"/>
              </w:rPr>
              <w:t>无害化处理</w:t>
            </w:r>
            <w:r>
              <w:rPr>
                <w:rFonts w:hint="eastAsia"/>
                <w:szCs w:val="21"/>
                <w:lang w:eastAsia="zh-CN"/>
              </w:rPr>
              <w:t>绿化及还田</w:t>
            </w:r>
            <w:r>
              <w:rPr>
                <w:szCs w:val="21"/>
                <w:lang w:eastAsia="zh-CN"/>
              </w:rPr>
              <w:t>。</w:t>
            </w:r>
          </w:p>
        </w:tc>
        <w:tc>
          <w:tcPr>
            <w:tcW w:w="357" w:type="pct"/>
            <w:vAlign w:val="center"/>
          </w:tcPr>
          <w:p w14:paraId="0AB930DD">
            <w:pPr>
              <w:pStyle w:val="357"/>
              <w:widowControl w:val="0"/>
              <w:rPr>
                <w:szCs w:val="21"/>
                <w:lang w:eastAsia="zh-CN"/>
              </w:rPr>
            </w:pPr>
            <w:r>
              <w:rPr>
                <w:szCs w:val="21"/>
                <w:lang w:eastAsia="zh-CN"/>
              </w:rPr>
              <w:t>符合</w:t>
            </w:r>
          </w:p>
        </w:tc>
      </w:tr>
      <w:tr w14:paraId="2A01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133B6E3D">
            <w:pPr>
              <w:pStyle w:val="357"/>
              <w:widowControl w:val="0"/>
              <w:rPr>
                <w:szCs w:val="21"/>
                <w:lang w:eastAsia="zh-CN"/>
              </w:rPr>
            </w:pPr>
            <w:r>
              <w:rPr>
                <w:szCs w:val="21"/>
                <w:lang w:eastAsia="zh-CN"/>
              </w:rPr>
              <w:t>关于做好畜禽规模养殖项目环境影响评价管理工作的通知（环办环评[2018]31号）</w:t>
            </w:r>
          </w:p>
        </w:tc>
        <w:tc>
          <w:tcPr>
            <w:tcW w:w="1759" w:type="pct"/>
            <w:vAlign w:val="center"/>
          </w:tcPr>
          <w:p w14:paraId="4E8FA5EC">
            <w:pPr>
              <w:pStyle w:val="357"/>
              <w:widowControl w:val="0"/>
              <w:jc w:val="both"/>
              <w:rPr>
                <w:szCs w:val="21"/>
                <w:lang w:eastAsia="zh-CN"/>
              </w:rPr>
            </w:pPr>
            <w:r>
              <w:rPr>
                <w:szCs w:val="21"/>
                <w:lang w:eastAsia="zh-CN"/>
              </w:rPr>
              <w:t>二、加强粪污减量控制，促进畜禽养殖粪污资源化利用项目环评应结合地域、畜种、规模等特点以及地方相关部门制定的畜禽粪污综合利用目标等要求，加强畜禽养殖粪污资源化利用，因地制宜选择经济高效适用的处理模式，采取粪污全量收集还田利用、污水肥料化利用、粪便垫料回用、异位发酵床、粪污专业化能源利用等模式处理利用畜禽粪污，促进畜禽规模养殖项目“种养结合”绿色发展</w:t>
            </w:r>
          </w:p>
        </w:tc>
        <w:tc>
          <w:tcPr>
            <w:tcW w:w="1691" w:type="pct"/>
            <w:vAlign w:val="center"/>
          </w:tcPr>
          <w:p w14:paraId="0C7591AB">
            <w:pPr>
              <w:pStyle w:val="357"/>
              <w:widowControl w:val="0"/>
              <w:jc w:val="both"/>
              <w:rPr>
                <w:szCs w:val="21"/>
                <w:lang w:eastAsia="zh-CN"/>
              </w:rPr>
            </w:pPr>
            <w:r>
              <w:rPr>
                <w:szCs w:val="21"/>
                <w:lang w:eastAsia="zh-CN"/>
              </w:rPr>
              <w:t>产生鸡粪作为有机肥原料加工处置进行无害化处理，生活污水、鸡舍冲洗废水等废水</w:t>
            </w:r>
            <w:r>
              <w:rPr>
                <w:rFonts w:hint="eastAsia"/>
                <w:szCs w:val="21"/>
                <w:lang w:eastAsia="zh-CN"/>
              </w:rPr>
              <w:t>进入</w:t>
            </w:r>
            <w:r>
              <w:rPr>
                <w:szCs w:val="21"/>
                <w:lang w:eastAsia="zh-CN"/>
              </w:rPr>
              <w:t>污水处理池，经</w:t>
            </w:r>
            <w:r>
              <w:rPr>
                <w:rFonts w:hint="eastAsia"/>
                <w:szCs w:val="21"/>
                <w:lang w:eastAsia="zh-CN"/>
              </w:rPr>
              <w:t>污水处理站</w:t>
            </w:r>
            <w:r>
              <w:rPr>
                <w:szCs w:val="21"/>
                <w:lang w:eastAsia="zh-CN"/>
              </w:rPr>
              <w:t>无害化处理</w:t>
            </w:r>
            <w:r>
              <w:rPr>
                <w:rFonts w:hint="eastAsia"/>
                <w:szCs w:val="21"/>
                <w:lang w:eastAsia="zh-CN"/>
              </w:rPr>
              <w:t>绿化及还田</w:t>
            </w:r>
            <w:r>
              <w:rPr>
                <w:szCs w:val="21"/>
                <w:lang w:eastAsia="zh-CN"/>
              </w:rPr>
              <w:t>。</w:t>
            </w:r>
          </w:p>
        </w:tc>
        <w:tc>
          <w:tcPr>
            <w:tcW w:w="357" w:type="pct"/>
            <w:vAlign w:val="center"/>
          </w:tcPr>
          <w:p w14:paraId="2F671B91">
            <w:pPr>
              <w:pStyle w:val="357"/>
              <w:widowControl w:val="0"/>
              <w:rPr>
                <w:szCs w:val="21"/>
                <w:lang w:eastAsia="zh-CN"/>
              </w:rPr>
            </w:pPr>
            <w:r>
              <w:rPr>
                <w:szCs w:val="21"/>
                <w:lang w:eastAsia="zh-CN"/>
              </w:rPr>
              <w:t>符合</w:t>
            </w:r>
          </w:p>
        </w:tc>
      </w:tr>
      <w:tr w14:paraId="72BE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3" w:type="pct"/>
            <w:vAlign w:val="center"/>
          </w:tcPr>
          <w:p w14:paraId="3F485417">
            <w:pPr>
              <w:pStyle w:val="357"/>
              <w:widowControl w:val="0"/>
              <w:rPr>
                <w:szCs w:val="21"/>
                <w:lang w:eastAsia="zh-CN"/>
              </w:rPr>
            </w:pPr>
            <w:r>
              <w:rPr>
                <w:szCs w:val="21"/>
                <w:lang w:eastAsia="zh-CN"/>
              </w:rPr>
              <w:t>《内蒙古自治区畜禽养殖主要污染物减排项目建设技术指南》（试行）</w:t>
            </w:r>
          </w:p>
        </w:tc>
        <w:tc>
          <w:tcPr>
            <w:tcW w:w="1759" w:type="pct"/>
            <w:vAlign w:val="center"/>
          </w:tcPr>
          <w:p w14:paraId="1C631E61">
            <w:pPr>
              <w:pStyle w:val="357"/>
              <w:widowControl w:val="0"/>
              <w:jc w:val="both"/>
              <w:rPr>
                <w:szCs w:val="21"/>
                <w:lang w:eastAsia="zh-CN"/>
              </w:rPr>
            </w:pPr>
            <w:r>
              <w:rPr>
                <w:szCs w:val="21"/>
                <w:lang w:eastAsia="zh-CN"/>
              </w:rPr>
              <w:t>四、蛋鸡、肉鸡养殖主要污染物减排项目建设技术要求：均使用干清粪工艺</w:t>
            </w:r>
          </w:p>
        </w:tc>
        <w:tc>
          <w:tcPr>
            <w:tcW w:w="1691" w:type="pct"/>
            <w:vAlign w:val="center"/>
          </w:tcPr>
          <w:p w14:paraId="65BDC7C6">
            <w:pPr>
              <w:pStyle w:val="357"/>
              <w:widowControl w:val="0"/>
              <w:jc w:val="both"/>
              <w:rPr>
                <w:szCs w:val="21"/>
                <w:lang w:eastAsia="zh-CN"/>
              </w:rPr>
            </w:pPr>
            <w:r>
              <w:rPr>
                <w:szCs w:val="21"/>
                <w:lang w:eastAsia="zh-CN"/>
              </w:rPr>
              <w:t>本项目采用干清粪工艺，</w:t>
            </w:r>
            <w:r>
              <w:rPr>
                <w:rFonts w:eastAsiaTheme="minorEastAsia"/>
                <w:szCs w:val="21"/>
                <w:lang w:eastAsia="zh-CN"/>
              </w:rPr>
              <w:t>鸡粪经传送带收集后清运至</w:t>
            </w:r>
            <w:bookmarkStart w:id="51" w:name="_Hlk153881681"/>
            <w:r>
              <w:rPr>
                <w:rFonts w:hint="eastAsia" w:eastAsiaTheme="minorEastAsia"/>
                <w:szCs w:val="21"/>
                <w:lang w:eastAsia="zh-CN"/>
              </w:rPr>
              <w:t>有机肥加工车间</w:t>
            </w:r>
            <w:bookmarkEnd w:id="51"/>
            <w:r>
              <w:rPr>
                <w:rFonts w:hint="eastAsia" w:eastAsiaTheme="minorEastAsia"/>
                <w:szCs w:val="21"/>
                <w:lang w:eastAsia="zh-CN"/>
              </w:rPr>
              <w:t>发酵制肥</w:t>
            </w:r>
            <w:r>
              <w:rPr>
                <w:szCs w:val="21"/>
                <w:lang w:eastAsia="zh-CN"/>
              </w:rPr>
              <w:t>。</w:t>
            </w:r>
          </w:p>
        </w:tc>
        <w:tc>
          <w:tcPr>
            <w:tcW w:w="357" w:type="pct"/>
            <w:vAlign w:val="center"/>
          </w:tcPr>
          <w:p w14:paraId="63BD9BB7">
            <w:pPr>
              <w:pStyle w:val="357"/>
              <w:widowControl w:val="0"/>
              <w:rPr>
                <w:szCs w:val="21"/>
                <w:lang w:eastAsia="zh-CN"/>
              </w:rPr>
            </w:pPr>
            <w:r>
              <w:rPr>
                <w:szCs w:val="21"/>
                <w:lang w:eastAsia="zh-CN"/>
              </w:rPr>
              <w:t>符合</w:t>
            </w:r>
          </w:p>
        </w:tc>
      </w:tr>
    </w:tbl>
    <w:p w14:paraId="09AE744B">
      <w:pPr>
        <w:pStyle w:val="104"/>
      </w:pPr>
      <w:r>
        <w:t>根据上表的分析可知，本项目的建设可满足养殖类相关法律、法规及相关政策的要求。</w:t>
      </w:r>
    </w:p>
    <w:p w14:paraId="4F5317AF">
      <w:pPr>
        <w:pStyle w:val="11"/>
      </w:pPr>
      <w:bookmarkStart w:id="52" w:name="_Toc166572236"/>
      <w:r>
        <w:t>1.3.4 选址合理性分析</w:t>
      </w:r>
      <w:bookmarkEnd w:id="52"/>
    </w:p>
    <w:p w14:paraId="46FDC7F7">
      <w:pPr>
        <w:pStyle w:val="105"/>
        <w:ind w:firstLine="480"/>
      </w:pPr>
      <w:r>
        <w:t>（1）用地符合性分析</w:t>
      </w:r>
    </w:p>
    <w:p w14:paraId="1BF56CD2">
      <w:pPr>
        <w:pStyle w:val="105"/>
        <w:ind w:firstLine="480"/>
      </w:pPr>
      <w: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14:paraId="3E6F0661">
      <w:pPr>
        <w:pStyle w:val="105"/>
        <w:ind w:firstLine="480"/>
      </w:pPr>
      <w:r>
        <w:rPr>
          <w:rFonts w:hint="eastAsia"/>
        </w:rPr>
        <w:t>本项目位于鄂尔多斯市鄂托克旗蒙西镇，距离伊克布拉格水源地1.227km，项目位于水源地侧方位，距离水源地保护区较远，采取相应的防治措施后，不会对水源地造成污染。本项目周边无聚居区，项目东北方向900m有一处散户、西北方向3100m有一处散户，项目地区主导风向为东南风，下风向处散户距离项目较远，受项目废气污染物影响较小，通过采取相应的污染防治措施后废气污染物对散户的几乎无影响。</w:t>
      </w:r>
    </w:p>
    <w:p w14:paraId="316EE81A">
      <w:pPr>
        <w:pStyle w:val="105"/>
        <w:ind w:firstLine="480"/>
      </w:pPr>
      <w:r>
        <w:t>本项目用地为未利用地</w:t>
      </w:r>
      <w:r>
        <w:rPr>
          <w:rFonts w:hint="eastAsia"/>
        </w:rPr>
        <w:t>，项目占地范围内不涉及生态保护红线、不占用耕地、基本农田、天然林、公益林和基本草原，不在已划定河道管理范围</w:t>
      </w:r>
      <w:r>
        <w:t>，总占地面积为</w:t>
      </w:r>
      <w:r>
        <w:rPr>
          <w:rFonts w:hint="eastAsia"/>
        </w:rPr>
        <w:t>28.08</w:t>
      </w:r>
      <w:r>
        <w:t>hm</w:t>
      </w:r>
      <w:r>
        <w:rPr>
          <w:vertAlign w:val="superscript"/>
        </w:rPr>
        <w:t>2</w:t>
      </w:r>
      <w:r>
        <w:t>，符合占地要求。</w:t>
      </w:r>
    </w:p>
    <w:p w14:paraId="4BCA7F1F">
      <w:pPr>
        <w:pStyle w:val="105"/>
        <w:ind w:firstLine="480"/>
      </w:pPr>
      <w:r>
        <w:t>（2）场址选择合理性分析</w:t>
      </w:r>
    </w:p>
    <w:p w14:paraId="36E5C610">
      <w:pPr>
        <w:pStyle w:val="105"/>
        <w:ind w:firstLine="480"/>
      </w:pPr>
      <w:r>
        <w:t>项目选址与《畜禽养殖业污染防治条例》、《畜禽养殖业污染防治技术规范》（HJ/T81-2001）、《畜禽场场区设计技术规范》（NY/T682-2003）、《动物防疫条件审查办法》（中华人民共和国农业部，2010年第7号令）等法律法规和行业规范要求中规定符合性分析见表1.3-</w:t>
      </w:r>
      <w:r>
        <w:rPr>
          <w:rFonts w:hint="eastAsia"/>
        </w:rPr>
        <w:t>9</w:t>
      </w:r>
      <w:r>
        <w:t>。</w:t>
      </w:r>
    </w:p>
    <w:p w14:paraId="4780A59C">
      <w:pPr>
        <w:pStyle w:val="749"/>
        <w:rPr>
          <w:color w:val="auto"/>
        </w:rPr>
      </w:pPr>
      <w:r>
        <w:rPr>
          <w:color w:val="auto"/>
        </w:rPr>
        <w:t>表1.3-</w:t>
      </w:r>
      <w:r>
        <w:rPr>
          <w:rFonts w:hint="eastAsia"/>
          <w:color w:val="auto"/>
        </w:rPr>
        <w:t>9</w:t>
      </w:r>
      <w:r>
        <w:rPr>
          <w:color w:val="auto"/>
        </w:rPr>
        <w:t xml:space="preserve">  项目选址合理性对照表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6"/>
        <w:gridCol w:w="3041"/>
        <w:gridCol w:w="3223"/>
        <w:gridCol w:w="467"/>
      </w:tblGrid>
      <w:tr w14:paraId="5C35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E47601D">
            <w:pPr>
              <w:pStyle w:val="749"/>
              <w:rPr>
                <w:b w:val="0"/>
                <w:color w:val="auto"/>
                <w:sz w:val="21"/>
                <w:szCs w:val="21"/>
              </w:rPr>
            </w:pPr>
            <w:r>
              <w:rPr>
                <w:b w:val="0"/>
                <w:color w:val="auto"/>
                <w:kern w:val="0"/>
                <w:sz w:val="21"/>
                <w:szCs w:val="21"/>
              </w:rPr>
              <w:t>名称</w:t>
            </w:r>
          </w:p>
        </w:tc>
        <w:tc>
          <w:tcPr>
            <w:tcW w:w="0" w:type="auto"/>
            <w:vAlign w:val="center"/>
          </w:tcPr>
          <w:p w14:paraId="6245B6DE">
            <w:pPr>
              <w:pStyle w:val="749"/>
              <w:rPr>
                <w:b w:val="0"/>
                <w:color w:val="auto"/>
                <w:sz w:val="21"/>
                <w:szCs w:val="21"/>
              </w:rPr>
            </w:pPr>
            <w:r>
              <w:rPr>
                <w:b w:val="0"/>
                <w:color w:val="auto"/>
                <w:kern w:val="0"/>
                <w:sz w:val="21"/>
                <w:szCs w:val="21"/>
              </w:rPr>
              <w:t>相关条文</w:t>
            </w:r>
          </w:p>
        </w:tc>
        <w:tc>
          <w:tcPr>
            <w:tcW w:w="0" w:type="auto"/>
            <w:vAlign w:val="center"/>
          </w:tcPr>
          <w:p w14:paraId="2C8AC819">
            <w:pPr>
              <w:pStyle w:val="749"/>
              <w:rPr>
                <w:b w:val="0"/>
                <w:color w:val="auto"/>
                <w:sz w:val="21"/>
                <w:szCs w:val="21"/>
              </w:rPr>
            </w:pPr>
            <w:r>
              <w:rPr>
                <w:b w:val="0"/>
                <w:color w:val="auto"/>
                <w:kern w:val="0"/>
                <w:sz w:val="21"/>
                <w:szCs w:val="21"/>
              </w:rPr>
              <w:t>项目情况</w:t>
            </w:r>
          </w:p>
        </w:tc>
        <w:tc>
          <w:tcPr>
            <w:tcW w:w="0" w:type="auto"/>
            <w:vAlign w:val="center"/>
          </w:tcPr>
          <w:p w14:paraId="422AE7C0">
            <w:pPr>
              <w:pStyle w:val="749"/>
              <w:rPr>
                <w:b w:val="0"/>
                <w:color w:val="auto"/>
                <w:sz w:val="21"/>
                <w:szCs w:val="21"/>
              </w:rPr>
            </w:pPr>
            <w:r>
              <w:rPr>
                <w:b w:val="0"/>
                <w:color w:val="auto"/>
                <w:sz w:val="21"/>
                <w:szCs w:val="21"/>
              </w:rPr>
              <w:t>符合情况</w:t>
            </w:r>
          </w:p>
        </w:tc>
      </w:tr>
      <w:tr w14:paraId="0FF6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61B0C78">
            <w:pPr>
              <w:pStyle w:val="749"/>
              <w:rPr>
                <w:b w:val="0"/>
                <w:color w:val="auto"/>
                <w:sz w:val="21"/>
                <w:szCs w:val="21"/>
              </w:rPr>
            </w:pPr>
            <w:r>
              <w:rPr>
                <w:b w:val="0"/>
                <w:color w:val="auto"/>
                <w:sz w:val="21"/>
                <w:szCs w:val="21"/>
              </w:rPr>
              <w:t>《畜禽规模养殖污染防治条例》（国务院令第643号，2014年1月1日施行）</w:t>
            </w:r>
          </w:p>
        </w:tc>
        <w:tc>
          <w:tcPr>
            <w:tcW w:w="0" w:type="auto"/>
            <w:vAlign w:val="center"/>
          </w:tcPr>
          <w:p w14:paraId="39522ECE">
            <w:pPr>
              <w:pStyle w:val="749"/>
              <w:jc w:val="both"/>
              <w:rPr>
                <w:b w:val="0"/>
                <w:color w:val="auto"/>
                <w:sz w:val="21"/>
                <w:szCs w:val="21"/>
              </w:rPr>
            </w:pPr>
            <w:r>
              <w:rPr>
                <w:b w:val="0"/>
                <w:color w:val="auto"/>
                <w:sz w:val="21"/>
                <w:szCs w:val="21"/>
              </w:rPr>
              <w:t>第十一条 禁止在下列区域内建设畜禽养殖场、养殖小区：（一）饮用水水源保护区、风景名胜区；</w:t>
            </w:r>
          </w:p>
          <w:p w14:paraId="293FE7EB">
            <w:pPr>
              <w:pStyle w:val="749"/>
              <w:jc w:val="both"/>
              <w:rPr>
                <w:b w:val="0"/>
                <w:color w:val="auto"/>
                <w:sz w:val="21"/>
                <w:szCs w:val="21"/>
              </w:rPr>
            </w:pPr>
            <w:r>
              <w:rPr>
                <w:b w:val="0"/>
                <w:color w:val="auto"/>
                <w:sz w:val="21"/>
                <w:szCs w:val="21"/>
              </w:rPr>
              <w:t>（二）自然保护区的核心区和缓冲区；</w:t>
            </w:r>
          </w:p>
          <w:p w14:paraId="38C537FF">
            <w:pPr>
              <w:pStyle w:val="749"/>
              <w:jc w:val="both"/>
              <w:rPr>
                <w:b w:val="0"/>
                <w:color w:val="auto"/>
                <w:sz w:val="21"/>
                <w:szCs w:val="21"/>
              </w:rPr>
            </w:pPr>
            <w:r>
              <w:rPr>
                <w:b w:val="0"/>
                <w:color w:val="auto"/>
                <w:sz w:val="21"/>
                <w:szCs w:val="21"/>
              </w:rPr>
              <w:t>（三）城镇居民区、文化教育科学研究区等人口集中区域；（四）法律、法规规定的其他禁止养殖区域。</w:t>
            </w:r>
          </w:p>
        </w:tc>
        <w:tc>
          <w:tcPr>
            <w:tcW w:w="0" w:type="auto"/>
            <w:vAlign w:val="center"/>
          </w:tcPr>
          <w:p w14:paraId="3CB6DF74">
            <w:pPr>
              <w:pStyle w:val="749"/>
              <w:jc w:val="both"/>
              <w:rPr>
                <w:b w:val="0"/>
                <w:color w:val="auto"/>
                <w:sz w:val="21"/>
                <w:szCs w:val="21"/>
              </w:rPr>
            </w:pPr>
            <w:r>
              <w:rPr>
                <w:b w:val="0"/>
                <w:color w:val="auto"/>
                <w:sz w:val="21"/>
                <w:szCs w:val="21"/>
              </w:rPr>
              <w:t>本项目不在饮用水水源保护区、风景名胜区、自然保护区的核心区和缓冲区，不在城镇居民区、文化教育科学研究区等人口集中区域，不在法律、法规规定的其他禁止养殖区域。</w:t>
            </w:r>
          </w:p>
        </w:tc>
        <w:tc>
          <w:tcPr>
            <w:tcW w:w="0" w:type="auto"/>
            <w:vAlign w:val="center"/>
          </w:tcPr>
          <w:p w14:paraId="6598758D">
            <w:pPr>
              <w:pStyle w:val="749"/>
              <w:rPr>
                <w:b w:val="0"/>
                <w:color w:val="auto"/>
                <w:sz w:val="21"/>
                <w:szCs w:val="21"/>
              </w:rPr>
            </w:pPr>
            <w:r>
              <w:rPr>
                <w:b w:val="0"/>
                <w:color w:val="auto"/>
                <w:sz w:val="21"/>
                <w:szCs w:val="21"/>
              </w:rPr>
              <w:t>符合</w:t>
            </w:r>
          </w:p>
        </w:tc>
      </w:tr>
      <w:tr w14:paraId="2038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A732EE6">
            <w:pPr>
              <w:pStyle w:val="749"/>
              <w:rPr>
                <w:b w:val="0"/>
                <w:color w:val="auto"/>
                <w:sz w:val="21"/>
                <w:szCs w:val="21"/>
              </w:rPr>
            </w:pPr>
            <w:r>
              <w:rPr>
                <w:b w:val="0"/>
                <w:color w:val="auto"/>
                <w:sz w:val="21"/>
                <w:szCs w:val="21"/>
              </w:rPr>
              <w:t>《畜禽养殖业污染防治技术规范》（HJ/T81-2001）</w:t>
            </w:r>
          </w:p>
        </w:tc>
        <w:tc>
          <w:tcPr>
            <w:tcW w:w="0" w:type="auto"/>
            <w:vAlign w:val="center"/>
          </w:tcPr>
          <w:p w14:paraId="53CE25F6">
            <w:pPr>
              <w:widowControl w:val="0"/>
              <w:autoSpaceDE w:val="0"/>
              <w:autoSpaceDN w:val="0"/>
              <w:adjustRightInd w:val="0"/>
              <w:spacing w:line="240" w:lineRule="auto"/>
              <w:ind w:firstLine="0" w:firstLineChars="0"/>
              <w:jc w:val="both"/>
              <w:rPr>
                <w:kern w:val="0"/>
                <w:sz w:val="21"/>
                <w:szCs w:val="21"/>
              </w:rPr>
            </w:pPr>
            <w:r>
              <w:rPr>
                <w:kern w:val="0"/>
                <w:sz w:val="21"/>
                <w:szCs w:val="21"/>
              </w:rPr>
              <w:t>3</w:t>
            </w:r>
            <w:r>
              <w:rPr>
                <w:rFonts w:hint="eastAsia"/>
                <w:kern w:val="0"/>
                <w:sz w:val="21"/>
                <w:szCs w:val="21"/>
              </w:rPr>
              <w:t>.</w:t>
            </w:r>
            <w:r>
              <w:rPr>
                <w:kern w:val="0"/>
                <w:sz w:val="21"/>
                <w:szCs w:val="21"/>
              </w:rPr>
              <w:t>选址要求</w:t>
            </w:r>
          </w:p>
          <w:p w14:paraId="2281A6D9">
            <w:pPr>
              <w:widowControl w:val="0"/>
              <w:autoSpaceDE w:val="0"/>
              <w:autoSpaceDN w:val="0"/>
              <w:adjustRightInd w:val="0"/>
              <w:spacing w:line="240" w:lineRule="auto"/>
              <w:ind w:firstLine="0" w:firstLineChars="0"/>
              <w:jc w:val="both"/>
              <w:rPr>
                <w:kern w:val="0"/>
                <w:sz w:val="21"/>
                <w:szCs w:val="21"/>
              </w:rPr>
            </w:pPr>
            <w:r>
              <w:rPr>
                <w:kern w:val="0"/>
                <w:sz w:val="21"/>
                <w:szCs w:val="21"/>
              </w:rPr>
              <w:t>3.1禁止在下列区域内建设畜禽养殖场：</w:t>
            </w:r>
          </w:p>
          <w:p w14:paraId="42F64ECD">
            <w:pPr>
              <w:widowControl w:val="0"/>
              <w:autoSpaceDE w:val="0"/>
              <w:autoSpaceDN w:val="0"/>
              <w:adjustRightInd w:val="0"/>
              <w:spacing w:line="240" w:lineRule="auto"/>
              <w:ind w:firstLine="0" w:firstLineChars="0"/>
              <w:jc w:val="both"/>
              <w:rPr>
                <w:kern w:val="0"/>
                <w:sz w:val="21"/>
                <w:szCs w:val="21"/>
              </w:rPr>
            </w:pPr>
            <w:r>
              <w:rPr>
                <w:kern w:val="0"/>
                <w:sz w:val="21"/>
                <w:szCs w:val="21"/>
              </w:rPr>
              <w:t>3.1.1生活饮用水水源保护区、风景名胜区、自然保护区的核心区及缓冲区；</w:t>
            </w:r>
          </w:p>
          <w:p w14:paraId="792DA927">
            <w:pPr>
              <w:widowControl w:val="0"/>
              <w:autoSpaceDE w:val="0"/>
              <w:autoSpaceDN w:val="0"/>
              <w:adjustRightInd w:val="0"/>
              <w:spacing w:line="240" w:lineRule="auto"/>
              <w:ind w:firstLine="0" w:firstLineChars="0"/>
              <w:jc w:val="both"/>
              <w:rPr>
                <w:kern w:val="0"/>
                <w:sz w:val="21"/>
                <w:szCs w:val="21"/>
              </w:rPr>
            </w:pPr>
            <w:r>
              <w:rPr>
                <w:kern w:val="0"/>
                <w:sz w:val="21"/>
                <w:szCs w:val="21"/>
              </w:rPr>
              <w:t>3.1.2城市和城镇居民区，包括文教科研区、医疗区、商业区、工业区、游览区等人口集中地区；</w:t>
            </w:r>
          </w:p>
          <w:p w14:paraId="7737A06B">
            <w:pPr>
              <w:widowControl w:val="0"/>
              <w:autoSpaceDE w:val="0"/>
              <w:autoSpaceDN w:val="0"/>
              <w:adjustRightInd w:val="0"/>
              <w:spacing w:line="240" w:lineRule="auto"/>
              <w:ind w:firstLine="0" w:firstLineChars="0"/>
              <w:jc w:val="both"/>
              <w:rPr>
                <w:kern w:val="0"/>
                <w:sz w:val="21"/>
                <w:szCs w:val="21"/>
              </w:rPr>
            </w:pPr>
            <w:r>
              <w:rPr>
                <w:kern w:val="0"/>
                <w:sz w:val="21"/>
                <w:szCs w:val="21"/>
              </w:rPr>
              <w:t>3.1.3县级人民政府划定的禁养区域；</w:t>
            </w:r>
          </w:p>
          <w:p w14:paraId="3885D5F4">
            <w:pPr>
              <w:widowControl w:val="0"/>
              <w:autoSpaceDE w:val="0"/>
              <w:autoSpaceDN w:val="0"/>
              <w:adjustRightInd w:val="0"/>
              <w:spacing w:line="240" w:lineRule="auto"/>
              <w:ind w:firstLine="0" w:firstLineChars="0"/>
              <w:jc w:val="both"/>
              <w:rPr>
                <w:sz w:val="21"/>
                <w:szCs w:val="21"/>
              </w:rPr>
            </w:pPr>
            <w:r>
              <w:rPr>
                <w:kern w:val="0"/>
                <w:sz w:val="21"/>
                <w:szCs w:val="21"/>
              </w:rPr>
              <w:t>3.1.4国家或地方法律、法规规定需特殊保护的其他区域。3.2新建、扩建、改建的畜禽养殖场应避开3.1规定的禁建区域，在禁建区域附近建设的，应设在3.1规定的禁建区域常年主导风向的下风向或侧风向处，场界与禁建区域边界的最小距离不得小于500m。</w:t>
            </w:r>
          </w:p>
        </w:tc>
        <w:tc>
          <w:tcPr>
            <w:tcW w:w="0" w:type="auto"/>
            <w:vAlign w:val="center"/>
          </w:tcPr>
          <w:p w14:paraId="1AFEACD5">
            <w:pPr>
              <w:pStyle w:val="749"/>
              <w:jc w:val="both"/>
              <w:rPr>
                <w:b w:val="0"/>
                <w:color w:val="auto"/>
                <w:sz w:val="21"/>
                <w:szCs w:val="21"/>
              </w:rPr>
            </w:pPr>
            <w:r>
              <w:rPr>
                <w:rFonts w:hint="eastAsia" w:ascii="宋体" w:hAnsi="宋体" w:cs="宋体"/>
                <w:b w:val="0"/>
                <w:color w:val="auto"/>
                <w:sz w:val="21"/>
                <w:szCs w:val="21"/>
              </w:rPr>
              <w:t>①</w:t>
            </w:r>
            <w:r>
              <w:rPr>
                <w:b w:val="0"/>
                <w:color w:val="auto"/>
                <w:sz w:val="21"/>
                <w:szCs w:val="21"/>
              </w:rPr>
              <w:t>项目不在生活饮用水水源保护区、风景名胜区、自然保护区的核心区及缓冲区；</w:t>
            </w:r>
          </w:p>
          <w:p w14:paraId="05085763">
            <w:pPr>
              <w:pStyle w:val="749"/>
              <w:jc w:val="both"/>
              <w:rPr>
                <w:b w:val="0"/>
                <w:color w:val="auto"/>
                <w:sz w:val="21"/>
                <w:szCs w:val="21"/>
              </w:rPr>
            </w:pPr>
            <w:r>
              <w:rPr>
                <w:rFonts w:hint="eastAsia" w:ascii="宋体" w:hAnsi="宋体" w:cs="宋体"/>
                <w:b w:val="0"/>
                <w:color w:val="auto"/>
                <w:sz w:val="21"/>
                <w:szCs w:val="21"/>
              </w:rPr>
              <w:t>②</w:t>
            </w:r>
            <w:r>
              <w:rPr>
                <w:b w:val="0"/>
                <w:color w:val="auto"/>
                <w:sz w:val="21"/>
                <w:szCs w:val="21"/>
              </w:rPr>
              <w:t>项目位于农村地区，不在城市和城镇居民区，包括文教科研区、医疗区、商业区、工业区等人口集中地区；</w:t>
            </w:r>
          </w:p>
          <w:p w14:paraId="6E06F6B5">
            <w:pPr>
              <w:pStyle w:val="749"/>
              <w:jc w:val="both"/>
              <w:rPr>
                <w:b w:val="0"/>
                <w:color w:val="auto"/>
                <w:sz w:val="21"/>
                <w:szCs w:val="21"/>
              </w:rPr>
            </w:pPr>
            <w:r>
              <w:rPr>
                <w:rFonts w:hint="eastAsia" w:ascii="宋体" w:hAnsi="宋体" w:cs="宋体"/>
                <w:b w:val="0"/>
                <w:color w:val="auto"/>
                <w:sz w:val="21"/>
                <w:szCs w:val="21"/>
              </w:rPr>
              <w:t>③根据《鄂托克旗农牧局 鄂尔多斯市生态环境局鄂托克旗分局关于调整畜禽养殖禁养区划定方案的报告》，本</w:t>
            </w:r>
            <w:r>
              <w:rPr>
                <w:b w:val="0"/>
                <w:color w:val="auto"/>
                <w:sz w:val="21"/>
                <w:szCs w:val="21"/>
              </w:rPr>
              <w:t>项目不在畜禽养殖禁养区限养区域；</w:t>
            </w:r>
          </w:p>
          <w:p w14:paraId="3959C434">
            <w:pPr>
              <w:pStyle w:val="749"/>
              <w:jc w:val="both"/>
              <w:rPr>
                <w:b w:val="0"/>
                <w:color w:val="auto"/>
                <w:sz w:val="21"/>
                <w:szCs w:val="21"/>
              </w:rPr>
            </w:pPr>
            <w:r>
              <w:rPr>
                <w:rFonts w:hint="eastAsia" w:ascii="宋体" w:hAnsi="宋体" w:cs="宋体"/>
                <w:b w:val="0"/>
                <w:color w:val="auto"/>
                <w:sz w:val="21"/>
                <w:szCs w:val="21"/>
              </w:rPr>
              <w:t>④</w:t>
            </w:r>
            <w:r>
              <w:rPr>
                <w:b w:val="0"/>
                <w:color w:val="auto"/>
                <w:sz w:val="21"/>
                <w:szCs w:val="21"/>
              </w:rPr>
              <w:t>项目所在区域无国家或地方法律、法规规定需特殊保护的其它区域。</w:t>
            </w:r>
          </w:p>
          <w:p w14:paraId="45FB80E7">
            <w:pPr>
              <w:pStyle w:val="749"/>
              <w:jc w:val="both"/>
              <w:rPr>
                <w:b w:val="0"/>
                <w:color w:val="auto"/>
                <w:sz w:val="21"/>
                <w:szCs w:val="21"/>
              </w:rPr>
            </w:pPr>
            <w:r>
              <w:rPr>
                <w:rFonts w:hint="eastAsia" w:ascii="宋体" w:hAnsi="宋体" w:cs="宋体"/>
                <w:b w:val="0"/>
                <w:color w:val="auto"/>
                <w:sz w:val="21"/>
                <w:szCs w:val="21"/>
              </w:rPr>
              <w:t>⑤本项目选址不在禁建区内。</w:t>
            </w:r>
          </w:p>
        </w:tc>
        <w:tc>
          <w:tcPr>
            <w:tcW w:w="0" w:type="auto"/>
            <w:vAlign w:val="center"/>
          </w:tcPr>
          <w:p w14:paraId="5C2B95FA">
            <w:pPr>
              <w:pStyle w:val="749"/>
              <w:rPr>
                <w:b w:val="0"/>
                <w:color w:val="auto"/>
                <w:sz w:val="21"/>
                <w:szCs w:val="21"/>
              </w:rPr>
            </w:pPr>
            <w:r>
              <w:rPr>
                <w:b w:val="0"/>
                <w:color w:val="auto"/>
                <w:sz w:val="21"/>
                <w:szCs w:val="21"/>
              </w:rPr>
              <w:t>符合</w:t>
            </w:r>
          </w:p>
        </w:tc>
      </w:tr>
      <w:tr w14:paraId="52C9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B01189B">
            <w:pPr>
              <w:pStyle w:val="749"/>
              <w:rPr>
                <w:b w:val="0"/>
                <w:color w:val="auto"/>
                <w:sz w:val="21"/>
                <w:szCs w:val="21"/>
              </w:rPr>
            </w:pPr>
            <w:r>
              <w:rPr>
                <w:b w:val="0"/>
                <w:color w:val="auto"/>
                <w:sz w:val="21"/>
                <w:szCs w:val="21"/>
              </w:rPr>
              <w:t>《畜禽场区设计技术规范》（NY/T682-2003）</w:t>
            </w:r>
          </w:p>
        </w:tc>
        <w:tc>
          <w:tcPr>
            <w:tcW w:w="0" w:type="auto"/>
            <w:vAlign w:val="center"/>
          </w:tcPr>
          <w:p w14:paraId="3DCF7ADA">
            <w:pPr>
              <w:pStyle w:val="749"/>
              <w:jc w:val="both"/>
              <w:rPr>
                <w:b w:val="0"/>
                <w:color w:val="auto"/>
                <w:sz w:val="21"/>
                <w:szCs w:val="21"/>
              </w:rPr>
            </w:pPr>
            <w:r>
              <w:rPr>
                <w:b w:val="0"/>
                <w:color w:val="auto"/>
                <w:sz w:val="21"/>
                <w:szCs w:val="21"/>
              </w:rPr>
              <w:t>4.1场址选择</w:t>
            </w:r>
          </w:p>
          <w:p w14:paraId="12464BBF">
            <w:pPr>
              <w:pStyle w:val="749"/>
              <w:jc w:val="both"/>
              <w:rPr>
                <w:b w:val="0"/>
                <w:color w:val="auto"/>
                <w:sz w:val="21"/>
                <w:szCs w:val="21"/>
              </w:rPr>
            </w:pPr>
            <w:r>
              <w:rPr>
                <w:b w:val="0"/>
                <w:color w:val="auto"/>
                <w:sz w:val="21"/>
                <w:szCs w:val="21"/>
              </w:rPr>
              <w:t>4.1.1选择场址应符合本地区农牧业生产发展总体规划、土地利用发展规划、城乡建设发展规划和环境保护规划的要求。</w:t>
            </w:r>
          </w:p>
          <w:p w14:paraId="3619B042">
            <w:pPr>
              <w:pStyle w:val="749"/>
              <w:jc w:val="both"/>
              <w:rPr>
                <w:b w:val="0"/>
                <w:color w:val="auto"/>
                <w:sz w:val="21"/>
                <w:szCs w:val="21"/>
              </w:rPr>
            </w:pPr>
            <w:r>
              <w:rPr>
                <w:b w:val="0"/>
                <w:color w:val="auto"/>
                <w:sz w:val="21"/>
                <w:szCs w:val="21"/>
              </w:rPr>
              <w:t>4.1.2新建场址周围应具备就地无害化处理粪尿、污水的足够场地和排污条件，并通过畜禽场建设环境影响评价。</w:t>
            </w:r>
          </w:p>
          <w:p w14:paraId="67CC7C13">
            <w:pPr>
              <w:pStyle w:val="749"/>
              <w:jc w:val="both"/>
              <w:rPr>
                <w:b w:val="0"/>
                <w:color w:val="auto"/>
                <w:sz w:val="21"/>
                <w:szCs w:val="21"/>
              </w:rPr>
            </w:pPr>
            <w:r>
              <w:rPr>
                <w:b w:val="0"/>
                <w:color w:val="auto"/>
                <w:sz w:val="21"/>
                <w:szCs w:val="21"/>
              </w:rPr>
              <w:t>4.1.3选择场址应遵守十分珍惜和合理利用土地的原则，不应占用基本农田，尽量利用荒地建场，分期建设时，选址应按总体规划需要次完成，土地随用随征，预留远期工程建设用地。</w:t>
            </w:r>
          </w:p>
          <w:p w14:paraId="5037E9D4">
            <w:pPr>
              <w:pStyle w:val="749"/>
              <w:jc w:val="both"/>
              <w:rPr>
                <w:b w:val="0"/>
                <w:color w:val="auto"/>
                <w:sz w:val="21"/>
                <w:szCs w:val="21"/>
              </w:rPr>
            </w:pPr>
            <w:r>
              <w:rPr>
                <w:b w:val="0"/>
                <w:color w:val="auto"/>
                <w:sz w:val="21"/>
                <w:szCs w:val="21"/>
              </w:rPr>
              <w:t>4.1.4场址应水源充足，水质应符合NY5027要求，排水通畅，供电可靠，交通便利，地质条件能满足工程建设要求。</w:t>
            </w:r>
          </w:p>
          <w:p w14:paraId="057F5ED9">
            <w:pPr>
              <w:pStyle w:val="749"/>
              <w:jc w:val="both"/>
              <w:rPr>
                <w:b w:val="0"/>
                <w:color w:val="auto"/>
                <w:sz w:val="21"/>
                <w:szCs w:val="21"/>
              </w:rPr>
            </w:pPr>
            <w:r>
              <w:rPr>
                <w:b w:val="0"/>
                <w:color w:val="auto"/>
                <w:sz w:val="21"/>
                <w:szCs w:val="21"/>
              </w:rPr>
              <w:t>4.1.5以下地区或地段不应建场。</w:t>
            </w:r>
          </w:p>
          <w:p w14:paraId="56656FAD">
            <w:pPr>
              <w:pStyle w:val="749"/>
              <w:jc w:val="both"/>
              <w:rPr>
                <w:b w:val="0"/>
                <w:color w:val="auto"/>
                <w:sz w:val="21"/>
                <w:szCs w:val="21"/>
              </w:rPr>
            </w:pPr>
            <w:r>
              <w:rPr>
                <w:b w:val="0"/>
                <w:color w:val="auto"/>
                <w:sz w:val="21"/>
                <w:szCs w:val="21"/>
              </w:rPr>
              <w:t>4.1.1规定的自然保护区、水源保护区、风景旅游区。</w:t>
            </w:r>
          </w:p>
          <w:p w14:paraId="3E4A44A6">
            <w:pPr>
              <w:pStyle w:val="749"/>
              <w:jc w:val="both"/>
              <w:rPr>
                <w:b w:val="0"/>
                <w:color w:val="auto"/>
                <w:sz w:val="21"/>
                <w:szCs w:val="21"/>
              </w:rPr>
            </w:pPr>
            <w:r>
              <w:rPr>
                <w:b w:val="0"/>
                <w:color w:val="auto"/>
                <w:sz w:val="21"/>
                <w:szCs w:val="21"/>
              </w:rPr>
              <w:t>4.1.5.2受洪水或山洪威胁及泥石流、滑坡等自然灾害多发地带。</w:t>
            </w:r>
          </w:p>
          <w:p w14:paraId="713045D4">
            <w:pPr>
              <w:pStyle w:val="749"/>
              <w:jc w:val="both"/>
              <w:rPr>
                <w:b w:val="0"/>
                <w:color w:val="auto"/>
                <w:sz w:val="21"/>
                <w:szCs w:val="21"/>
              </w:rPr>
            </w:pPr>
            <w:r>
              <w:rPr>
                <w:b w:val="0"/>
                <w:color w:val="auto"/>
                <w:sz w:val="21"/>
                <w:szCs w:val="21"/>
              </w:rPr>
              <w:t>4.1.5.3自然环境污染严重的地区。</w:t>
            </w:r>
          </w:p>
        </w:tc>
        <w:tc>
          <w:tcPr>
            <w:tcW w:w="0" w:type="auto"/>
            <w:vAlign w:val="center"/>
          </w:tcPr>
          <w:p w14:paraId="22341D12">
            <w:pPr>
              <w:pStyle w:val="749"/>
              <w:jc w:val="both"/>
              <w:rPr>
                <w:b w:val="0"/>
                <w:color w:val="auto"/>
                <w:sz w:val="21"/>
                <w:szCs w:val="21"/>
              </w:rPr>
            </w:pPr>
            <w:r>
              <w:rPr>
                <w:rFonts w:hint="eastAsia" w:ascii="宋体" w:hAnsi="宋体" w:cs="宋体"/>
                <w:b w:val="0"/>
                <w:color w:val="auto"/>
                <w:sz w:val="21"/>
                <w:szCs w:val="21"/>
              </w:rPr>
              <w:t>①</w:t>
            </w:r>
            <w:r>
              <w:rPr>
                <w:b w:val="0"/>
                <w:color w:val="auto"/>
                <w:sz w:val="21"/>
                <w:szCs w:val="21"/>
              </w:rPr>
              <w:t>项目不在生活饮用水水源保护区、风景名胜区、自然保护区的核心区及缓冲区；</w:t>
            </w:r>
          </w:p>
          <w:p w14:paraId="653DBC4A">
            <w:pPr>
              <w:pStyle w:val="749"/>
              <w:jc w:val="both"/>
              <w:rPr>
                <w:b w:val="0"/>
                <w:color w:val="auto"/>
                <w:sz w:val="21"/>
                <w:szCs w:val="21"/>
              </w:rPr>
            </w:pPr>
            <w:r>
              <w:rPr>
                <w:rFonts w:hint="eastAsia" w:ascii="宋体" w:hAnsi="宋体" w:cs="宋体"/>
                <w:b w:val="0"/>
                <w:color w:val="auto"/>
                <w:sz w:val="21"/>
                <w:szCs w:val="21"/>
              </w:rPr>
              <w:t>②</w:t>
            </w:r>
            <w:r>
              <w:rPr>
                <w:b w:val="0"/>
                <w:color w:val="auto"/>
                <w:sz w:val="21"/>
                <w:szCs w:val="21"/>
              </w:rPr>
              <w:t>项目位于农村地区，不在城市和城镇居民区，包括文教科研区、医疗区、商业区、工业区等人口集中地区；</w:t>
            </w:r>
          </w:p>
          <w:p w14:paraId="3BB5802E">
            <w:pPr>
              <w:pStyle w:val="749"/>
              <w:jc w:val="both"/>
              <w:rPr>
                <w:b w:val="0"/>
                <w:color w:val="auto"/>
                <w:sz w:val="21"/>
                <w:szCs w:val="21"/>
              </w:rPr>
            </w:pPr>
            <w:r>
              <w:rPr>
                <w:rFonts w:hint="eastAsia" w:ascii="宋体" w:hAnsi="宋体" w:cs="宋体"/>
                <w:b w:val="0"/>
                <w:color w:val="auto"/>
                <w:sz w:val="21"/>
                <w:szCs w:val="21"/>
              </w:rPr>
              <w:t>③根据《鄂托克旗农牧局 鄂尔多斯市生态环境局鄂托克旗分局关于调整畜禽养殖禁养区划定方案的报告》，本</w:t>
            </w:r>
            <w:r>
              <w:rPr>
                <w:b w:val="0"/>
                <w:color w:val="auto"/>
                <w:sz w:val="21"/>
                <w:szCs w:val="21"/>
              </w:rPr>
              <w:t>项目不在畜禽养殖禁养区限养区域；</w:t>
            </w:r>
          </w:p>
          <w:p w14:paraId="295671E9">
            <w:pPr>
              <w:pStyle w:val="749"/>
              <w:jc w:val="both"/>
              <w:rPr>
                <w:b w:val="0"/>
                <w:color w:val="auto"/>
                <w:sz w:val="21"/>
                <w:szCs w:val="21"/>
              </w:rPr>
            </w:pPr>
            <w:r>
              <w:rPr>
                <w:rFonts w:hint="eastAsia" w:ascii="宋体" w:hAnsi="宋体" w:cs="宋体"/>
                <w:b w:val="0"/>
                <w:color w:val="auto"/>
                <w:sz w:val="21"/>
                <w:szCs w:val="21"/>
              </w:rPr>
              <w:t>④</w:t>
            </w:r>
            <w:r>
              <w:rPr>
                <w:b w:val="0"/>
                <w:color w:val="auto"/>
                <w:sz w:val="21"/>
                <w:szCs w:val="21"/>
              </w:rPr>
              <w:t>项目所在区域无国家或地方法律、法规规定需特殊保护的其它区域。</w:t>
            </w:r>
          </w:p>
          <w:p w14:paraId="692B4ADC">
            <w:pPr>
              <w:pStyle w:val="749"/>
              <w:jc w:val="both"/>
              <w:rPr>
                <w:b w:val="0"/>
                <w:color w:val="auto"/>
                <w:sz w:val="21"/>
                <w:szCs w:val="21"/>
              </w:rPr>
            </w:pPr>
            <w:r>
              <w:rPr>
                <w:rFonts w:hint="eastAsia" w:ascii="宋体" w:hAnsi="宋体" w:cs="宋体"/>
                <w:b w:val="0"/>
                <w:color w:val="auto"/>
                <w:sz w:val="21"/>
                <w:szCs w:val="21"/>
              </w:rPr>
              <w:t>⑤</w:t>
            </w:r>
            <w:r>
              <w:rPr>
                <w:rFonts w:hint="eastAsia"/>
                <w:b w:val="0"/>
                <w:color w:val="auto"/>
                <w:sz w:val="21"/>
                <w:szCs w:val="21"/>
              </w:rPr>
              <w:t>根据鄂政水函</w:t>
            </w:r>
            <w:r>
              <w:rPr>
                <w:rFonts w:hint="eastAsia" w:ascii="宋体" w:hAnsi="宋体" w:cs="宋体"/>
                <w:b w:val="0"/>
                <w:color w:val="auto"/>
                <w:sz w:val="21"/>
                <w:szCs w:val="21"/>
              </w:rPr>
              <w:t>〔</w:t>
            </w:r>
            <w:r>
              <w:rPr>
                <w:rFonts w:hint="eastAsia"/>
                <w:b w:val="0"/>
                <w:color w:val="auto"/>
                <w:sz w:val="21"/>
                <w:szCs w:val="21"/>
              </w:rPr>
              <w:t>2023</w:t>
            </w:r>
            <w:r>
              <w:rPr>
                <w:rFonts w:hint="eastAsia" w:ascii="宋体" w:hAnsi="宋体" w:cs="宋体"/>
                <w:b w:val="0"/>
                <w:color w:val="auto"/>
                <w:sz w:val="21"/>
                <w:szCs w:val="21"/>
              </w:rPr>
              <w:t>〕</w:t>
            </w:r>
            <w:r>
              <w:rPr>
                <w:rFonts w:hint="eastAsia"/>
                <w:b w:val="0"/>
                <w:color w:val="auto"/>
                <w:sz w:val="21"/>
                <w:szCs w:val="21"/>
              </w:rPr>
              <w:t>608号文，本项目不在已划定河道管理范围。</w:t>
            </w:r>
          </w:p>
        </w:tc>
        <w:tc>
          <w:tcPr>
            <w:tcW w:w="0" w:type="auto"/>
            <w:vAlign w:val="center"/>
          </w:tcPr>
          <w:p w14:paraId="094C3DE4">
            <w:pPr>
              <w:pStyle w:val="749"/>
              <w:rPr>
                <w:b w:val="0"/>
                <w:color w:val="auto"/>
                <w:sz w:val="21"/>
                <w:szCs w:val="21"/>
              </w:rPr>
            </w:pPr>
            <w:r>
              <w:rPr>
                <w:b w:val="0"/>
                <w:color w:val="auto"/>
                <w:sz w:val="21"/>
                <w:szCs w:val="21"/>
              </w:rPr>
              <w:t>符合</w:t>
            </w:r>
          </w:p>
        </w:tc>
      </w:tr>
      <w:tr w14:paraId="0E05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223E37B">
            <w:pPr>
              <w:pStyle w:val="749"/>
              <w:rPr>
                <w:b w:val="0"/>
                <w:color w:val="auto"/>
                <w:sz w:val="21"/>
                <w:szCs w:val="21"/>
              </w:rPr>
            </w:pPr>
            <w:r>
              <w:rPr>
                <w:b w:val="0"/>
                <w:color w:val="auto"/>
                <w:sz w:val="21"/>
                <w:szCs w:val="21"/>
              </w:rPr>
              <w:t>《动物防疫条件审查办法》</w:t>
            </w:r>
          </w:p>
          <w:p w14:paraId="5207AB09">
            <w:pPr>
              <w:pStyle w:val="749"/>
              <w:rPr>
                <w:b w:val="0"/>
                <w:color w:val="auto"/>
                <w:sz w:val="21"/>
                <w:szCs w:val="21"/>
              </w:rPr>
            </w:pPr>
            <w:r>
              <w:rPr>
                <w:b w:val="0"/>
                <w:color w:val="auto"/>
                <w:sz w:val="21"/>
                <w:szCs w:val="21"/>
              </w:rPr>
              <w:t>（中华人民共和国农业部，2010年第7号</w:t>
            </w:r>
          </w:p>
          <w:p w14:paraId="6D49E2A6">
            <w:pPr>
              <w:pStyle w:val="749"/>
              <w:rPr>
                <w:b w:val="0"/>
                <w:color w:val="auto"/>
                <w:sz w:val="21"/>
                <w:szCs w:val="21"/>
              </w:rPr>
            </w:pPr>
            <w:r>
              <w:rPr>
                <w:b w:val="0"/>
                <w:color w:val="auto"/>
                <w:sz w:val="21"/>
                <w:szCs w:val="21"/>
              </w:rPr>
              <w:t>令）</w:t>
            </w:r>
          </w:p>
        </w:tc>
        <w:tc>
          <w:tcPr>
            <w:tcW w:w="0" w:type="auto"/>
            <w:vAlign w:val="center"/>
          </w:tcPr>
          <w:p w14:paraId="2C85F20D">
            <w:pPr>
              <w:pStyle w:val="749"/>
              <w:jc w:val="both"/>
              <w:rPr>
                <w:b w:val="0"/>
                <w:color w:val="auto"/>
                <w:sz w:val="21"/>
                <w:szCs w:val="21"/>
              </w:rPr>
            </w:pPr>
            <w:r>
              <w:rPr>
                <w:b w:val="0"/>
                <w:color w:val="auto"/>
                <w:sz w:val="21"/>
                <w:szCs w:val="21"/>
              </w:rPr>
              <w:t>第五条动物饲养场、养殖小区选址应当符合下列条件：</w:t>
            </w:r>
          </w:p>
          <w:p w14:paraId="79E659B8">
            <w:pPr>
              <w:pStyle w:val="749"/>
              <w:jc w:val="both"/>
              <w:rPr>
                <w:b w:val="0"/>
                <w:color w:val="auto"/>
                <w:sz w:val="21"/>
                <w:szCs w:val="21"/>
              </w:rPr>
            </w:pPr>
            <w:r>
              <w:rPr>
                <w:b w:val="0"/>
                <w:color w:val="auto"/>
                <w:sz w:val="21"/>
                <w:szCs w:val="21"/>
              </w:rPr>
              <w:t>（一）距离生活饮用水源地、动物屠宰加工场所、动物和动物产品集贸市场500米以上；距离种畜禽场1000米以上；距离动物诊疗场所200米以上；动物饲养场（养殖小区）之间距离不少于500米</w:t>
            </w:r>
          </w:p>
          <w:p w14:paraId="07133A2C">
            <w:pPr>
              <w:pStyle w:val="749"/>
              <w:jc w:val="both"/>
              <w:rPr>
                <w:b w:val="0"/>
                <w:color w:val="auto"/>
                <w:sz w:val="21"/>
                <w:szCs w:val="21"/>
              </w:rPr>
            </w:pPr>
            <w:r>
              <w:rPr>
                <w:b w:val="0"/>
                <w:color w:val="auto"/>
                <w:sz w:val="21"/>
                <w:szCs w:val="21"/>
              </w:rPr>
              <w:t>（二）距离动物隔离场所、无害化处理场所3000米以上；</w:t>
            </w:r>
          </w:p>
          <w:p w14:paraId="21BFF120">
            <w:pPr>
              <w:pStyle w:val="749"/>
              <w:jc w:val="both"/>
              <w:rPr>
                <w:b w:val="0"/>
                <w:color w:val="auto"/>
                <w:sz w:val="21"/>
                <w:szCs w:val="21"/>
              </w:rPr>
            </w:pPr>
            <w:r>
              <w:rPr>
                <w:b w:val="0"/>
                <w:color w:val="auto"/>
                <w:sz w:val="21"/>
                <w:szCs w:val="21"/>
              </w:rPr>
              <w:t>（三）距离城镇居民区、文化教育科研等人口集中区域及公路、铁路等主要交通干线500米以上。</w:t>
            </w:r>
          </w:p>
        </w:tc>
        <w:tc>
          <w:tcPr>
            <w:tcW w:w="0" w:type="auto"/>
            <w:vAlign w:val="center"/>
          </w:tcPr>
          <w:p w14:paraId="384DFFFA">
            <w:pPr>
              <w:pStyle w:val="749"/>
              <w:jc w:val="both"/>
              <w:rPr>
                <w:b w:val="0"/>
                <w:color w:val="auto"/>
                <w:sz w:val="21"/>
                <w:szCs w:val="21"/>
              </w:rPr>
            </w:pPr>
            <w:r>
              <w:rPr>
                <w:b w:val="0"/>
                <w:color w:val="auto"/>
                <w:sz w:val="21"/>
                <w:szCs w:val="21"/>
              </w:rPr>
              <w:t>根据《农业农村部关于调整动物防疫条件审查有关规定的通知》（农牧发〔2019〕42号，2019 年12月18日），为优化动物防疫条件审查工作，促进生猪等畜禽养殖业健康发展，按照“放管服”改革要求，现就有关要求通知如下：自本通知印发之日起，暂停执行关于兴办动物饲养场、养殖小区、动物隔离场所、动物屠宰加符合工场所以及动物和动物产品无害化处理场所的选址距离规定</w:t>
            </w:r>
            <w:r>
              <w:rPr>
                <w:rFonts w:hint="eastAsia"/>
                <w:b w:val="0"/>
                <w:color w:val="auto"/>
                <w:sz w:val="21"/>
                <w:szCs w:val="21"/>
              </w:rPr>
              <w:t>。</w:t>
            </w:r>
          </w:p>
          <w:p w14:paraId="0E2C7EA4">
            <w:pPr>
              <w:pStyle w:val="749"/>
              <w:jc w:val="both"/>
              <w:rPr>
                <w:b w:val="0"/>
                <w:color w:val="auto"/>
                <w:sz w:val="21"/>
                <w:szCs w:val="21"/>
              </w:rPr>
            </w:pPr>
            <w:r>
              <w:rPr>
                <w:rFonts w:hint="eastAsia"/>
                <w:b w:val="0"/>
                <w:color w:val="auto"/>
                <w:sz w:val="21"/>
                <w:szCs w:val="21"/>
              </w:rPr>
              <w:t>本项目周边无动物屠宰加工场、集贸市场、诊疗场所、养殖场、养殖小区、动物隔离场所和无害化处理场所；距离本项目最近水源地大于1km；项目周边500m范围内无城镇居民区、文化教育科研等人口集中区域；项目周边无铁路线，距离最近京藏公路距离大于1km。</w:t>
            </w:r>
          </w:p>
        </w:tc>
        <w:tc>
          <w:tcPr>
            <w:tcW w:w="0" w:type="auto"/>
            <w:vAlign w:val="center"/>
          </w:tcPr>
          <w:p w14:paraId="3D4BD02C">
            <w:pPr>
              <w:pStyle w:val="749"/>
              <w:rPr>
                <w:b w:val="0"/>
                <w:color w:val="auto"/>
                <w:sz w:val="21"/>
                <w:szCs w:val="21"/>
              </w:rPr>
            </w:pPr>
            <w:r>
              <w:rPr>
                <w:b w:val="0"/>
                <w:color w:val="auto"/>
                <w:sz w:val="21"/>
                <w:szCs w:val="21"/>
              </w:rPr>
              <w:t>符合</w:t>
            </w:r>
          </w:p>
        </w:tc>
      </w:tr>
      <w:tr w14:paraId="79A2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5466FCD">
            <w:pPr>
              <w:pStyle w:val="749"/>
              <w:rPr>
                <w:b w:val="0"/>
                <w:color w:val="auto"/>
                <w:sz w:val="21"/>
                <w:szCs w:val="21"/>
              </w:rPr>
            </w:pPr>
            <w:r>
              <w:rPr>
                <w:b w:val="0"/>
                <w:color w:val="auto"/>
                <w:sz w:val="21"/>
                <w:szCs w:val="21"/>
              </w:rPr>
              <w:t>《鄂尔多斯市人民政府关于批转鄂尔多斯市农牧局关于畜禽禁养区划定工作方案的通知》（鄂府发[2016]239号）</w:t>
            </w:r>
          </w:p>
        </w:tc>
        <w:tc>
          <w:tcPr>
            <w:tcW w:w="0" w:type="auto"/>
            <w:vAlign w:val="center"/>
          </w:tcPr>
          <w:p w14:paraId="65A31228">
            <w:pPr>
              <w:pStyle w:val="749"/>
              <w:jc w:val="both"/>
              <w:rPr>
                <w:b w:val="0"/>
                <w:color w:val="auto"/>
                <w:sz w:val="21"/>
                <w:szCs w:val="21"/>
              </w:rPr>
            </w:pPr>
            <w:r>
              <w:rPr>
                <w:b w:val="0"/>
                <w:color w:val="auto"/>
                <w:sz w:val="21"/>
                <w:szCs w:val="21"/>
              </w:rPr>
              <w:t>Ⅰ禁止在下列区域内建设畜禽养殖场、养殖小区：</w:t>
            </w:r>
          </w:p>
          <w:p w14:paraId="7A67B65A">
            <w:pPr>
              <w:pStyle w:val="749"/>
              <w:jc w:val="both"/>
              <w:rPr>
                <w:b w:val="0"/>
                <w:color w:val="auto"/>
                <w:sz w:val="21"/>
                <w:szCs w:val="21"/>
              </w:rPr>
            </w:pPr>
            <w:r>
              <w:rPr>
                <w:b w:val="0"/>
                <w:color w:val="auto"/>
                <w:sz w:val="21"/>
                <w:szCs w:val="21"/>
              </w:rPr>
              <w:t>饮用水水源保护区，风景名胜区；</w:t>
            </w:r>
          </w:p>
          <w:p w14:paraId="5EBDE4C9">
            <w:pPr>
              <w:pStyle w:val="749"/>
              <w:jc w:val="both"/>
              <w:rPr>
                <w:b w:val="0"/>
                <w:color w:val="auto"/>
                <w:sz w:val="21"/>
                <w:szCs w:val="21"/>
              </w:rPr>
            </w:pPr>
            <w:r>
              <w:rPr>
                <w:b w:val="0"/>
                <w:color w:val="auto"/>
                <w:sz w:val="21"/>
                <w:szCs w:val="21"/>
              </w:rPr>
              <w:t>自然保护区的核心区和缓冲区；</w:t>
            </w:r>
          </w:p>
          <w:p w14:paraId="33045229">
            <w:pPr>
              <w:pStyle w:val="749"/>
              <w:jc w:val="both"/>
              <w:rPr>
                <w:b w:val="0"/>
                <w:color w:val="auto"/>
                <w:sz w:val="21"/>
                <w:szCs w:val="21"/>
              </w:rPr>
            </w:pPr>
            <w:r>
              <w:rPr>
                <w:b w:val="0"/>
                <w:color w:val="auto"/>
                <w:sz w:val="21"/>
                <w:szCs w:val="21"/>
              </w:rPr>
              <w:t>城镇居民区、文化教育科学研究区等人口集中区域；</w:t>
            </w:r>
          </w:p>
          <w:p w14:paraId="1DD1E78F">
            <w:pPr>
              <w:pStyle w:val="749"/>
              <w:jc w:val="both"/>
              <w:rPr>
                <w:b w:val="0"/>
                <w:color w:val="auto"/>
                <w:sz w:val="21"/>
                <w:szCs w:val="21"/>
              </w:rPr>
            </w:pPr>
            <w:r>
              <w:rPr>
                <w:b w:val="0"/>
                <w:color w:val="auto"/>
                <w:sz w:val="21"/>
                <w:szCs w:val="21"/>
              </w:rPr>
              <w:t>法律、法规规定的其他禁止养殖区域。</w:t>
            </w:r>
          </w:p>
          <w:p w14:paraId="0E77F7CB">
            <w:pPr>
              <w:pStyle w:val="749"/>
              <w:jc w:val="both"/>
              <w:rPr>
                <w:b w:val="0"/>
                <w:color w:val="auto"/>
                <w:sz w:val="21"/>
                <w:szCs w:val="21"/>
              </w:rPr>
            </w:pPr>
            <w:r>
              <w:rPr>
                <w:b w:val="0"/>
                <w:color w:val="auto"/>
                <w:sz w:val="21"/>
                <w:szCs w:val="21"/>
              </w:rPr>
              <w:t>Ⅱ《畜禽养殖业无案防止技术规范》（HJ/T81-2001)中关于畜禽养殖场选址要求，规定在禁建区域附近建设的规模养殖场（小区）和养殖专业户，场界与禁建区域边界的最小距离不得小于500米。</w:t>
            </w:r>
          </w:p>
          <w:p w14:paraId="5AAF3C0B">
            <w:pPr>
              <w:pStyle w:val="749"/>
              <w:jc w:val="both"/>
              <w:rPr>
                <w:b w:val="0"/>
                <w:color w:val="auto"/>
                <w:sz w:val="21"/>
                <w:szCs w:val="21"/>
              </w:rPr>
            </w:pPr>
            <w:r>
              <w:rPr>
                <w:b w:val="0"/>
                <w:color w:val="auto"/>
                <w:sz w:val="21"/>
                <w:szCs w:val="21"/>
              </w:rPr>
              <w:t>Ⅲ《动物防疫条件审查办法》选址应当符合下列条件：</w:t>
            </w:r>
          </w:p>
          <w:p w14:paraId="430AADA5">
            <w:pPr>
              <w:pStyle w:val="749"/>
              <w:jc w:val="both"/>
              <w:rPr>
                <w:b w:val="0"/>
                <w:color w:val="auto"/>
                <w:sz w:val="21"/>
                <w:szCs w:val="21"/>
              </w:rPr>
            </w:pPr>
            <w:r>
              <w:rPr>
                <w:b w:val="0"/>
                <w:color w:val="auto"/>
                <w:sz w:val="21"/>
                <w:szCs w:val="21"/>
              </w:rPr>
              <w:t>距离生活饮用水源地500米以上</w:t>
            </w:r>
          </w:p>
          <w:p w14:paraId="1C5DF455">
            <w:pPr>
              <w:pStyle w:val="749"/>
              <w:jc w:val="both"/>
              <w:rPr>
                <w:b w:val="0"/>
                <w:color w:val="auto"/>
                <w:sz w:val="21"/>
                <w:szCs w:val="21"/>
              </w:rPr>
            </w:pPr>
            <w:r>
              <w:rPr>
                <w:b w:val="0"/>
                <w:color w:val="auto"/>
                <w:sz w:val="21"/>
                <w:szCs w:val="21"/>
              </w:rPr>
              <w:t>距离城市和城镇居民区、文化教育科研研究区等人口集中区域500米以上。</w:t>
            </w:r>
          </w:p>
        </w:tc>
        <w:tc>
          <w:tcPr>
            <w:tcW w:w="0" w:type="auto"/>
            <w:vAlign w:val="center"/>
          </w:tcPr>
          <w:p w14:paraId="3BA39C11">
            <w:pPr>
              <w:pStyle w:val="749"/>
              <w:jc w:val="both"/>
              <w:rPr>
                <w:b w:val="0"/>
                <w:color w:val="auto"/>
                <w:sz w:val="21"/>
                <w:szCs w:val="21"/>
              </w:rPr>
            </w:pPr>
            <w:r>
              <w:rPr>
                <w:b w:val="0"/>
                <w:color w:val="auto"/>
                <w:sz w:val="21"/>
                <w:szCs w:val="21"/>
              </w:rPr>
              <w:t>本项目位于内蒙古鄂尔多斯市鄂托克旗蒙西镇，本项目建设不涉及饮用水源地的保护和安全，项目不在西鄂尔多斯国家级自然保护区内，根据鄂尔多斯市西鄂尔多斯国家级自然保护区管理局出具的《关于内蒙古华翔农林牧科技发展有限公司120万只蛋鸡养殖项目与西鄂尔多斯国家级自然保护区位置关系的函》，距离最近保护区实验区570m，距离最近保护区缓冲区1.39公里，距离最近保护区核心区2.39公里，</w:t>
            </w:r>
            <w:r>
              <w:rPr>
                <w:rFonts w:hint="eastAsia"/>
                <w:b w:val="0"/>
                <w:color w:val="auto"/>
                <w:sz w:val="21"/>
                <w:szCs w:val="21"/>
              </w:rPr>
              <w:t>与本项目最近水源地保护区距离大于1km，</w:t>
            </w:r>
            <w:r>
              <w:rPr>
                <w:b w:val="0"/>
                <w:color w:val="auto"/>
                <w:sz w:val="21"/>
                <w:szCs w:val="21"/>
              </w:rPr>
              <w:t>本项目配套建设废水、固废等处理设施，项目符合《鄂尔多斯市人民政府关于批转鄂尔多斯市农牧局关于畜禽禁养区划定工作方案的通知》（鄂府发[2016]239号）的相关要求。</w:t>
            </w:r>
          </w:p>
          <w:p w14:paraId="2425C2AD">
            <w:pPr>
              <w:pStyle w:val="749"/>
              <w:jc w:val="both"/>
              <w:rPr>
                <w:b w:val="0"/>
                <w:color w:val="auto"/>
                <w:sz w:val="21"/>
                <w:szCs w:val="21"/>
              </w:rPr>
            </w:pPr>
            <w:r>
              <w:rPr>
                <w:rFonts w:hint="eastAsia"/>
                <w:b w:val="0"/>
                <w:color w:val="auto"/>
                <w:sz w:val="21"/>
                <w:szCs w:val="21"/>
              </w:rPr>
              <w:t>本项目周边无其他养殖场和养殖小区；根据《鄂托克旗农牧局 鄂尔多斯市生态环境局鄂托克旗分局关于调整畜禽养殖禁养区划定方案的报告》，本项目不在畜禽养殖禁养区限养区域；项目周边无</w:t>
            </w:r>
            <w:r>
              <w:rPr>
                <w:b w:val="0"/>
                <w:color w:val="auto"/>
                <w:sz w:val="21"/>
                <w:szCs w:val="21"/>
              </w:rPr>
              <w:t>城市和城镇居民区、文化教育科研研究区等人口集中区域</w:t>
            </w:r>
            <w:r>
              <w:rPr>
                <w:rFonts w:hint="eastAsia"/>
                <w:b w:val="0"/>
                <w:color w:val="auto"/>
                <w:sz w:val="21"/>
                <w:szCs w:val="21"/>
              </w:rPr>
              <w:t>。</w:t>
            </w:r>
          </w:p>
        </w:tc>
        <w:tc>
          <w:tcPr>
            <w:tcW w:w="0" w:type="auto"/>
            <w:vAlign w:val="center"/>
          </w:tcPr>
          <w:p w14:paraId="0F3906ED">
            <w:pPr>
              <w:pStyle w:val="749"/>
              <w:rPr>
                <w:b w:val="0"/>
                <w:color w:val="auto"/>
                <w:sz w:val="21"/>
                <w:szCs w:val="21"/>
              </w:rPr>
            </w:pPr>
          </w:p>
        </w:tc>
      </w:tr>
      <w:tr w14:paraId="5E22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ABF8F5E">
            <w:pPr>
              <w:pStyle w:val="749"/>
              <w:rPr>
                <w:b w:val="0"/>
                <w:color w:val="auto"/>
                <w:sz w:val="21"/>
                <w:szCs w:val="21"/>
              </w:rPr>
            </w:pPr>
            <w:r>
              <w:rPr>
                <w:rFonts w:hint="eastAsia"/>
                <w:b w:val="0"/>
                <w:color w:val="auto"/>
                <w:sz w:val="21"/>
                <w:szCs w:val="21"/>
              </w:rPr>
              <w:t>《鄂托克旗农牧局 鄂尔多斯市生态环境局鄂托克旗分局关于调整畜禽养殖禁养区划定方案的报告》(鄂农牧字〔2020〕14号)</w:t>
            </w:r>
          </w:p>
        </w:tc>
        <w:tc>
          <w:tcPr>
            <w:tcW w:w="0" w:type="auto"/>
            <w:vAlign w:val="center"/>
          </w:tcPr>
          <w:p w14:paraId="1CF7B7F6">
            <w:pPr>
              <w:pStyle w:val="749"/>
              <w:jc w:val="both"/>
              <w:rPr>
                <w:b w:val="0"/>
                <w:color w:val="auto"/>
                <w:sz w:val="21"/>
                <w:szCs w:val="21"/>
              </w:rPr>
            </w:pPr>
            <w:r>
              <w:rPr>
                <w:rFonts w:hint="eastAsia"/>
                <w:b w:val="0"/>
                <w:color w:val="auto"/>
                <w:sz w:val="21"/>
                <w:szCs w:val="21"/>
              </w:rPr>
              <w:t>自然保护区禁养区将核心区、缓冲区划为禁养区；</w:t>
            </w:r>
          </w:p>
          <w:p w14:paraId="389D47D7">
            <w:pPr>
              <w:pStyle w:val="749"/>
              <w:jc w:val="both"/>
              <w:rPr>
                <w:b w:val="0"/>
                <w:color w:val="auto"/>
                <w:sz w:val="21"/>
                <w:szCs w:val="21"/>
              </w:rPr>
            </w:pPr>
            <w:r>
              <w:rPr>
                <w:b w:val="0"/>
                <w:color w:val="auto"/>
                <w:sz w:val="21"/>
                <w:szCs w:val="21"/>
              </w:rPr>
              <w:t>水源地一级保护区和二级保护</w:t>
            </w:r>
            <w:r>
              <w:rPr>
                <w:rFonts w:hint="eastAsia"/>
                <w:b w:val="0"/>
                <w:color w:val="auto"/>
                <w:sz w:val="21"/>
                <w:szCs w:val="21"/>
              </w:rPr>
              <w:t>划为禁养区；</w:t>
            </w:r>
          </w:p>
          <w:p w14:paraId="65050BE5">
            <w:pPr>
              <w:pStyle w:val="749"/>
              <w:jc w:val="both"/>
              <w:rPr>
                <w:b w:val="0"/>
                <w:color w:val="auto"/>
                <w:sz w:val="21"/>
                <w:szCs w:val="21"/>
              </w:rPr>
            </w:pPr>
            <w:r>
              <w:rPr>
                <w:b w:val="0"/>
                <w:color w:val="auto"/>
                <w:sz w:val="21"/>
                <w:szCs w:val="21"/>
              </w:rPr>
              <w:t>3个城镇居民区</w:t>
            </w:r>
            <w:r>
              <w:rPr>
                <w:rFonts w:hint="eastAsia"/>
                <w:b w:val="0"/>
                <w:color w:val="auto"/>
                <w:sz w:val="21"/>
                <w:szCs w:val="21"/>
              </w:rPr>
              <w:t>划为禁养区；</w:t>
            </w:r>
          </w:p>
          <w:p w14:paraId="4AD92A5D">
            <w:pPr>
              <w:pStyle w:val="749"/>
              <w:jc w:val="both"/>
              <w:rPr>
                <w:b w:val="0"/>
                <w:color w:val="auto"/>
                <w:sz w:val="21"/>
                <w:szCs w:val="21"/>
              </w:rPr>
            </w:pPr>
            <w:r>
              <w:rPr>
                <w:b w:val="0"/>
                <w:color w:val="auto"/>
                <w:sz w:val="21"/>
                <w:szCs w:val="21"/>
              </w:rPr>
              <w:t>2个工业园区</w:t>
            </w:r>
            <w:r>
              <w:rPr>
                <w:rFonts w:hint="eastAsia"/>
                <w:b w:val="0"/>
                <w:color w:val="auto"/>
                <w:sz w:val="21"/>
                <w:szCs w:val="21"/>
              </w:rPr>
              <w:t>划为禁养区。</w:t>
            </w:r>
          </w:p>
        </w:tc>
        <w:tc>
          <w:tcPr>
            <w:tcW w:w="0" w:type="auto"/>
            <w:vAlign w:val="center"/>
          </w:tcPr>
          <w:p w14:paraId="2E7AB47C">
            <w:pPr>
              <w:pStyle w:val="749"/>
              <w:jc w:val="both"/>
              <w:rPr>
                <w:b w:val="0"/>
                <w:color w:val="auto"/>
                <w:sz w:val="21"/>
                <w:szCs w:val="21"/>
              </w:rPr>
            </w:pPr>
            <w:r>
              <w:rPr>
                <w:rFonts w:hint="eastAsia"/>
                <w:b w:val="0"/>
                <w:color w:val="auto"/>
                <w:sz w:val="21"/>
                <w:szCs w:val="21"/>
              </w:rPr>
              <w:t>根据西资函〔2023〕92号文，本项目距离西鄂尔多斯国家级自然保护区试验区0.57km，距离保护区缓冲区1.39km，距离保护区核心区2.39km；本项目距离鄂托克恐龙遗迹化石国家级自然保护区直线距离118.32km；本项目不设计自然保护区核心区和缓冲区。</w:t>
            </w:r>
          </w:p>
          <w:p w14:paraId="2BA818A3">
            <w:pPr>
              <w:pStyle w:val="749"/>
              <w:jc w:val="both"/>
              <w:rPr>
                <w:rFonts w:ascii="宋体" w:hAnsi="宋体"/>
                <w:b w:val="0"/>
                <w:color w:val="auto"/>
                <w:sz w:val="21"/>
                <w:szCs w:val="21"/>
              </w:rPr>
            </w:pPr>
            <w:r>
              <w:rPr>
                <w:rFonts w:hint="eastAsia"/>
                <w:b w:val="0"/>
                <w:color w:val="auto"/>
                <w:sz w:val="21"/>
                <w:szCs w:val="21"/>
              </w:rPr>
              <w:t>根据《鄂尔多斯市生态环境局鄂托克旗分局关于</w:t>
            </w:r>
            <w:r>
              <w:rPr>
                <w:rFonts w:hint="eastAsia" w:ascii="宋体" w:hAnsi="宋体"/>
                <w:b w:val="0"/>
                <w:color w:val="auto"/>
                <w:sz w:val="21"/>
                <w:szCs w:val="21"/>
              </w:rPr>
              <w:t>内蒙古华翔农林牧科技发展有限公司120万只蛋鸡养殖项目与鄂托克旗集中式饮用水水源保护区位置关系的函》，本项目占地范围不在水源保护区范围内。</w:t>
            </w:r>
          </w:p>
          <w:p w14:paraId="396A54FB">
            <w:pPr>
              <w:pStyle w:val="749"/>
              <w:jc w:val="both"/>
              <w:rPr>
                <w:rFonts w:ascii="宋体" w:hAnsi="宋体"/>
                <w:color w:val="auto"/>
                <w:sz w:val="21"/>
                <w:szCs w:val="21"/>
              </w:rPr>
            </w:pPr>
            <w:r>
              <w:rPr>
                <w:rFonts w:hint="eastAsia" w:ascii="宋体" w:hAnsi="宋体"/>
                <w:b w:val="0"/>
                <w:color w:val="auto"/>
                <w:sz w:val="21"/>
                <w:szCs w:val="21"/>
              </w:rPr>
              <w:t>本项目占地范围不属于城镇居民区和工业园区。</w:t>
            </w:r>
          </w:p>
        </w:tc>
        <w:tc>
          <w:tcPr>
            <w:tcW w:w="0" w:type="auto"/>
            <w:vAlign w:val="center"/>
          </w:tcPr>
          <w:p w14:paraId="1DDC7B68">
            <w:pPr>
              <w:pStyle w:val="749"/>
              <w:rPr>
                <w:b w:val="0"/>
                <w:color w:val="auto"/>
                <w:sz w:val="21"/>
                <w:szCs w:val="21"/>
              </w:rPr>
            </w:pPr>
            <w:r>
              <w:rPr>
                <w:rFonts w:hint="eastAsia"/>
                <w:b w:val="0"/>
                <w:color w:val="auto"/>
                <w:sz w:val="21"/>
                <w:szCs w:val="21"/>
              </w:rPr>
              <w:t>符合</w:t>
            </w:r>
          </w:p>
        </w:tc>
      </w:tr>
    </w:tbl>
    <w:p w14:paraId="42E39145">
      <w:pPr>
        <w:pStyle w:val="105"/>
        <w:ind w:firstLine="480"/>
      </w:pPr>
      <w:r>
        <w:t>综上，本项目选址符合相关法律、法规及相关行业规范要求，项目选址合理。</w:t>
      </w:r>
    </w:p>
    <w:p w14:paraId="36A355F6">
      <w:pPr>
        <w:pStyle w:val="11"/>
      </w:pPr>
      <w:bookmarkStart w:id="53" w:name="_Toc166572237"/>
      <w:r>
        <w:t>1.3.5“三线一单”符合性分析</w:t>
      </w:r>
      <w:bookmarkEnd w:id="53"/>
    </w:p>
    <w:p w14:paraId="1A22C244">
      <w:pPr>
        <w:ind w:firstLine="480"/>
        <w:rPr>
          <w:szCs w:val="24"/>
        </w:rPr>
      </w:pPr>
      <w:r>
        <w:rPr>
          <w:szCs w:val="24"/>
        </w:rPr>
        <w:t>根据内蒙古自治区人民政府《关于实施“三线一单”生态环境分区管控的意见》（内政发〔2020〕24号）和《鄂尔多斯市人民政府关于实施“三线一单”生态环境分区管控的实施意见》（鄂府发[2021]218号），其中提到应落实“生态保护红线、环境质量底线、资源利用上线和生态环境准入清单”。</w:t>
      </w:r>
    </w:p>
    <w:p w14:paraId="2DAE53B3">
      <w:pPr>
        <w:ind w:firstLine="480"/>
        <w:rPr>
          <w:szCs w:val="24"/>
        </w:rPr>
      </w:pPr>
      <w:r>
        <w:rPr>
          <w:szCs w:val="24"/>
        </w:rPr>
        <w:t xml:space="preserve">（1）生态保护红线 </w:t>
      </w:r>
    </w:p>
    <w:p w14:paraId="570019FF">
      <w:pPr>
        <w:ind w:firstLine="480"/>
        <w:rPr>
          <w:szCs w:val="24"/>
        </w:rPr>
      </w:pPr>
      <w:r>
        <w:rPr>
          <w:szCs w:val="24"/>
        </w:rPr>
        <w:t>生态空间范围内具有特殊重要生态功能必须实行强制性严格保护的区域。相关规划环评应将生态空间管控作为重要内容，规划区域涉及生态保护红线的，在规划环评结论和审查意见中应落实生态保护红线的管理要求，提出相应对策措施。除受自然条件限制、确实无法避让的铁路、公路、航道、防洪、管道、干渠、通讯、输变电等重要基础设施项目外，在生态保护红线范围内，严控各类开发建设活动，依法不予审批新建工业项目和矿产开发项目的环评文件。</w:t>
      </w:r>
    </w:p>
    <w:p w14:paraId="20BFF403">
      <w:pPr>
        <w:ind w:firstLine="480"/>
        <w:rPr>
          <w:szCs w:val="24"/>
        </w:rPr>
      </w:pPr>
      <w:r>
        <w:rPr>
          <w:szCs w:val="24"/>
        </w:rPr>
        <w:t>根据“鄂尔多斯市人民政府关于“三线一单”生态环境分区管控的实施意见”（鄂府发〔2021〕218号）。（一）优先保护单元。共69个，面积占比为62.63%，主要包括我市生态保护红线、自然保护地、集中式饮用水水源保护区等生态功能重要区和生态环境敏感区。该区域以生态环境保护优先为原则，依法禁止或限制大规模、高强度的工业开发和城镇建设，确保生态环境功能不降低。（二）重点管控单元。共87个，面积占比为30.74%，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三）一般管控单元。共7个，面积占比为6.63%，优先保护单元、重点管控单元之外为一般管控单元。该区域主要落实生态环境保护基本要求。</w:t>
      </w:r>
    </w:p>
    <w:p w14:paraId="695D2230">
      <w:pPr>
        <w:ind w:firstLine="480"/>
        <w:sectPr>
          <w:footerReference r:id="rId14" w:type="default"/>
          <w:footerReference r:id="rId15" w:type="even"/>
          <w:pgSz w:w="11907" w:h="16840"/>
          <w:pgMar w:top="1418" w:right="1418" w:bottom="1418" w:left="1418" w:header="964" w:footer="964" w:gutter="0"/>
          <w:pgNumType w:start="1"/>
          <w:cols w:space="720" w:num="1"/>
          <w:docGrid w:linePitch="312" w:charSpace="0"/>
        </w:sectPr>
      </w:pPr>
      <w:r>
        <w:rPr>
          <w:szCs w:val="24"/>
        </w:rPr>
        <w:t>本项目建设地点位于内蒙古鄂尔多斯市鄂托克旗蒙西镇，</w:t>
      </w:r>
      <w:r>
        <w:rPr>
          <w:rFonts w:hint="eastAsia"/>
          <w:szCs w:val="24"/>
        </w:rPr>
        <w:t>位于鄂托克旗一般管控单元，管控单元编码为ZH15062430001。</w:t>
      </w:r>
      <w:r>
        <w:rPr>
          <w:szCs w:val="24"/>
        </w:rPr>
        <w:t>项目不在饮用水水源地、自然保护区、风景名胜区等特殊环境敏感区保护区内，</w:t>
      </w:r>
      <w:r>
        <w:rPr>
          <w:rFonts w:hint="eastAsia"/>
          <w:szCs w:val="24"/>
        </w:rPr>
        <w:t>根据《鄂托克旗自然资源局关于内蒙古华翔农林牧科技发展有限公司120万只蛋鸡养殖项目生态红线占用情况的说明》，本项目占地范围不在生态保护红线范围内，</w:t>
      </w:r>
      <w:r>
        <w:rPr>
          <w:szCs w:val="24"/>
        </w:rPr>
        <w:t>符合生态保护红线要求。</w:t>
      </w:r>
    </w:p>
    <w:p w14:paraId="04911CB4">
      <w:pPr>
        <w:pStyle w:val="105"/>
        <w:ind w:firstLine="0" w:firstLineChars="0"/>
        <w:jc w:val="center"/>
      </w:pPr>
      <w:r>
        <w:rPr>
          <w:rFonts w:hint="eastAsia"/>
        </w:rPr>
        <w:drawing>
          <wp:inline distT="0" distB="0" distL="114300" distR="114300">
            <wp:extent cx="8936355" cy="5422265"/>
            <wp:effectExtent l="0" t="0" r="0" b="0"/>
            <wp:docPr id="40" name="图片 40" descr="C:/Users/Lenovo/Desktop/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Lenovo/Desktop/图片3.png图片3"/>
                    <pic:cNvPicPr>
                      <a:picLocks noChangeAspect="1"/>
                    </pic:cNvPicPr>
                  </pic:nvPicPr>
                  <pic:blipFill>
                    <a:blip r:embed="rId23"/>
                    <a:srcRect l="16958" r="294"/>
                    <a:stretch>
                      <a:fillRect/>
                    </a:stretch>
                  </pic:blipFill>
                  <pic:spPr>
                    <a:xfrm>
                      <a:off x="0" y="0"/>
                      <a:ext cx="8936355" cy="5422265"/>
                    </a:xfrm>
                    <a:prstGeom prst="rect">
                      <a:avLst/>
                    </a:prstGeom>
                  </pic:spPr>
                </pic:pic>
              </a:graphicData>
            </a:graphic>
          </wp:inline>
        </w:drawing>
      </w:r>
    </w:p>
    <w:p w14:paraId="51BC3324">
      <w:pPr>
        <w:pStyle w:val="105"/>
        <w:ind w:firstLine="0" w:firstLineChars="0"/>
        <w:jc w:val="center"/>
        <w:rPr>
          <w:b/>
          <w:bCs/>
        </w:rPr>
        <w:sectPr>
          <w:pgSz w:w="16840" w:h="11907" w:orient="landscape"/>
          <w:pgMar w:top="1417" w:right="1418" w:bottom="1417" w:left="1418" w:header="964" w:footer="964" w:gutter="0"/>
          <w:pgNumType w:start="1"/>
          <w:cols w:space="0" w:num="1"/>
          <w:docGrid w:linePitch="312" w:charSpace="0"/>
        </w:sectPr>
      </w:pPr>
      <w:r>
        <w:rPr>
          <w:rFonts w:hint="eastAsia"/>
          <w:b/>
          <w:bCs/>
        </w:rPr>
        <w:t>图1.3-1 本项目在位于鄂尔多斯市管控单元位置图</w:t>
      </w:r>
    </w:p>
    <w:p w14:paraId="71637477">
      <w:pPr>
        <w:pStyle w:val="105"/>
        <w:ind w:firstLine="480"/>
      </w:pPr>
      <w:r>
        <w:t>（2）环境质量底线</w:t>
      </w:r>
    </w:p>
    <w:p w14:paraId="69739977">
      <w:pPr>
        <w:ind w:firstLine="480"/>
        <w:rPr>
          <w:szCs w:val="24"/>
        </w:rPr>
      </w:pPr>
      <w:r>
        <w:t>环境质量底线是</w:t>
      </w:r>
      <w:r>
        <w:rPr>
          <w:szCs w:val="24"/>
        </w:rPr>
        <w:t xml:space="preserve">国家和地方设置的大气、水和土壤环境质量目标，也是改善环境质量的基准线。有关规划环评应落实区域环境质量目标管理要求，提出区域或者行业污染物排放总量管控建议以及优化区域或行业发展布局、结构和规模的对策措施。项目环评应对照区域环境质量目标，深入分析预测项目建设对环境质量的影响，强化污染防治措施和污染物排放控制要求。根据“鄂尔多斯市人民政府关于“三线一单”生态环境分区管控的实施意见”（鄂府发〔2021〕218号）提出了在全面完成生态保护红线划定的基础上，提出了全市生态环境质量改善的主要目标。 </w:t>
      </w:r>
    </w:p>
    <w:p w14:paraId="232B56FC">
      <w:pPr>
        <w:pStyle w:val="105"/>
        <w:ind w:firstLine="480"/>
        <w:rPr>
          <w:szCs w:val="24"/>
        </w:rPr>
      </w:pPr>
      <w:r>
        <w:rPr>
          <w:szCs w:val="24"/>
        </w:rPr>
        <w:t>根据现状监测数据可知，项目评价范围内环境空气、声、土壤等现状监测指标均满足相应标准要求。</w:t>
      </w:r>
    </w:p>
    <w:p w14:paraId="44D8E53B">
      <w:pPr>
        <w:ind w:firstLine="480"/>
        <w:rPr>
          <w:szCs w:val="24"/>
        </w:rPr>
      </w:pPr>
      <w:r>
        <w:rPr>
          <w:szCs w:val="24"/>
        </w:rPr>
        <w:t>本项目实际运营过程中会产生一定的污染物，如鸡舍、饲料加工车间、锅炉产生的废气；生活废水、鸡舍冲洗废水；鸡舍鸡叫声及设备产生的噪声；养殖过程中产生的粪便、医疗废物等。项目对恶臭气体进行除臭处理，对粉尘颗粒物采取布袋除尘处理，对燃气锅炉采用低氮燃烧；生活污水、鸡舍冲洗废水经</w:t>
      </w:r>
      <w:r>
        <w:rPr>
          <w:rFonts w:hint="eastAsia"/>
          <w:szCs w:val="21"/>
        </w:rPr>
        <w:t>污水处理站</w:t>
      </w:r>
      <w:r>
        <w:rPr>
          <w:szCs w:val="24"/>
        </w:rPr>
        <w:t>处理后回用绿化，污泥经脱水后作为肥料与粪便一起通过有机肥车间发酵加工处理后出售，医疗废物存放在</w:t>
      </w:r>
      <w:r>
        <w:rPr>
          <w:rFonts w:hint="eastAsia"/>
          <w:szCs w:val="24"/>
        </w:rPr>
        <w:t>诊疗废弃物暂存间</w:t>
      </w:r>
      <w:r>
        <w:rPr>
          <w:szCs w:val="24"/>
        </w:rPr>
        <w:t>，定期交有资质单位处理。在采取相应的污染防治措施后，各类污染物均可达标排放，无废水排入周边地表水及地下水环境。不会对周边环境造成不良影响，不会降低区域环境质量。</w:t>
      </w:r>
    </w:p>
    <w:p w14:paraId="67D5F42F">
      <w:pPr>
        <w:pStyle w:val="5"/>
        <w:spacing w:after="0"/>
        <w:ind w:firstLine="480"/>
        <w:jc w:val="both"/>
        <w:rPr>
          <w:rFonts w:eastAsiaTheme="minorEastAsia"/>
          <w:sz w:val="24"/>
        </w:rPr>
      </w:pPr>
      <w:r>
        <w:rPr>
          <w:rFonts w:hint="eastAsia" w:ascii="宋体" w:hAnsi="宋体" w:cs="宋体"/>
          <w:sz w:val="24"/>
          <w:szCs w:val="24"/>
        </w:rPr>
        <w:t>③</w:t>
      </w:r>
      <w:r>
        <w:rPr>
          <w:rFonts w:eastAsiaTheme="minorEastAsia"/>
          <w:sz w:val="24"/>
        </w:rPr>
        <w:t>资源利用上线</w:t>
      </w:r>
    </w:p>
    <w:p w14:paraId="0D977D12">
      <w:pPr>
        <w:pStyle w:val="5"/>
        <w:spacing w:after="0"/>
        <w:ind w:firstLine="480"/>
        <w:jc w:val="both"/>
        <w:rPr>
          <w:rFonts w:eastAsiaTheme="minorEastAsia"/>
          <w:sz w:val="24"/>
        </w:rPr>
      </w:pPr>
      <w:r>
        <w:rPr>
          <w:rFonts w:eastAsiaTheme="minorEastAsia"/>
          <w:sz w:val="24"/>
        </w:rPr>
        <w:t>资源利用上线是</w:t>
      </w:r>
      <w:r>
        <w:rPr>
          <w:rFonts w:eastAsiaTheme="minorEastAsia"/>
          <w:spacing w:val="-3"/>
          <w:sz w:val="24"/>
        </w:rPr>
        <w:t>各地区能源、水、土地等资源消耗不得突破的“天花板”。相关规划环评应依据有关资源利用上线，对规划实施以及规划内项目的资源开发利用，区分不同行业，从能源资源开发等量或减量替代、开采方式和规模控制、利用效率和保护措施等方面提出建议，为规划编制和审批决策提供重要依据。根据《内蒙古自</w:t>
      </w:r>
      <w:r>
        <w:rPr>
          <w:rFonts w:eastAsiaTheme="minorEastAsia"/>
          <w:spacing w:val="-6"/>
          <w:sz w:val="24"/>
        </w:rPr>
        <w:t>治区人民政府关于实施“三线一单”生态环境分区管控的意见》（内政发〔2020〕</w:t>
      </w:r>
      <w:r>
        <w:rPr>
          <w:rFonts w:eastAsiaTheme="minorEastAsia"/>
          <w:sz w:val="24"/>
        </w:rPr>
        <w:t>24号）明确了自治区生态环境分区管控和五级生态环境准入清单管控体系的要求。</w:t>
      </w:r>
    </w:p>
    <w:p w14:paraId="19A4A42D">
      <w:pPr>
        <w:pStyle w:val="5"/>
        <w:spacing w:after="0"/>
        <w:ind w:firstLine="468"/>
        <w:jc w:val="both"/>
        <w:rPr>
          <w:rFonts w:eastAsiaTheme="minorEastAsia"/>
          <w:sz w:val="24"/>
        </w:rPr>
      </w:pPr>
      <w:r>
        <w:rPr>
          <w:rFonts w:eastAsiaTheme="minorEastAsia"/>
          <w:spacing w:val="-3"/>
          <w:sz w:val="24"/>
        </w:rPr>
        <w:t>本项目运营期间会消耗一定的水能、电能</w:t>
      </w:r>
      <w:r>
        <w:rPr>
          <w:rFonts w:hint="eastAsia" w:eastAsiaTheme="minorEastAsia"/>
          <w:spacing w:val="-3"/>
          <w:sz w:val="24"/>
        </w:rPr>
        <w:t>、</w:t>
      </w:r>
      <w:r>
        <w:rPr>
          <w:rFonts w:eastAsiaTheme="minorEastAsia"/>
          <w:spacing w:val="-3"/>
          <w:sz w:val="24"/>
        </w:rPr>
        <w:t>天然气</w:t>
      </w:r>
      <w:r>
        <w:rPr>
          <w:rFonts w:hint="eastAsia" w:eastAsiaTheme="minorEastAsia"/>
          <w:spacing w:val="-3"/>
          <w:sz w:val="24"/>
        </w:rPr>
        <w:t>和土地资源</w:t>
      </w:r>
      <w:r>
        <w:rPr>
          <w:rFonts w:eastAsiaTheme="minorEastAsia"/>
          <w:spacing w:val="-3"/>
          <w:sz w:val="24"/>
        </w:rPr>
        <w:t>。本项目鸡舍、办公区供暖采用天然气锅炉；项目供水由自备井提供；项目用电由附近电网接入供给，可以满足项目用水、用电需求。故本项目资源利用</w:t>
      </w:r>
      <w:r>
        <w:rPr>
          <w:rFonts w:eastAsiaTheme="minorEastAsia"/>
          <w:sz w:val="24"/>
        </w:rPr>
        <w:t>合理，不会达到资源利用上线。</w:t>
      </w:r>
    </w:p>
    <w:p w14:paraId="26B90BEA">
      <w:pPr>
        <w:pStyle w:val="5"/>
        <w:spacing w:after="0"/>
        <w:ind w:firstLine="480"/>
        <w:jc w:val="both"/>
        <w:rPr>
          <w:rFonts w:eastAsiaTheme="minorEastAsia"/>
          <w:sz w:val="24"/>
        </w:rPr>
      </w:pPr>
      <w:r>
        <w:rPr>
          <w:rFonts w:hint="eastAsia" w:ascii="宋体" w:hAnsi="宋体" w:cs="宋体"/>
          <w:sz w:val="24"/>
          <w:szCs w:val="24"/>
        </w:rPr>
        <w:t>④</w:t>
      </w:r>
      <w:r>
        <w:rPr>
          <w:sz w:val="24"/>
          <w:szCs w:val="24"/>
        </w:rPr>
        <w:t>生态</w:t>
      </w:r>
      <w:r>
        <w:rPr>
          <w:rFonts w:eastAsiaTheme="minorEastAsia"/>
          <w:sz w:val="24"/>
        </w:rPr>
        <w:t>环境准入清单</w:t>
      </w:r>
    </w:p>
    <w:p w14:paraId="5286724C">
      <w:pPr>
        <w:ind w:firstLine="480"/>
        <w:sectPr>
          <w:pgSz w:w="11907" w:h="16840"/>
          <w:pgMar w:top="1418" w:right="1418" w:bottom="1418" w:left="1418" w:header="964" w:footer="964" w:gutter="0"/>
          <w:pgNumType w:start="1"/>
          <w:cols w:space="720" w:num="1"/>
          <w:docGrid w:linePitch="312" w:charSpace="0"/>
        </w:sectPr>
      </w:pPr>
      <w:r>
        <w:t>根据《鄂尔多斯市生态环境准入清单</w:t>
      </w:r>
      <w:r>
        <w:rPr>
          <w:rFonts w:hint="eastAsia"/>
        </w:rPr>
        <w:t>（2023）</w:t>
      </w:r>
      <w:r>
        <w:t>》，本项目位于一般管控单元，环境管控单元编码为ZH15062430001。本项目与管控单元管控要求符合性分析表如下。</w:t>
      </w:r>
    </w:p>
    <w:p w14:paraId="3B248459">
      <w:pPr>
        <w:pStyle w:val="765"/>
        <w:spacing w:line="240" w:lineRule="auto"/>
        <w:ind w:left="480" w:firstLine="0" w:firstLineChars="0"/>
        <w:contextualSpacing/>
        <w:jc w:val="center"/>
        <w:rPr>
          <w:b/>
          <w:bCs/>
        </w:rPr>
      </w:pPr>
      <w:r>
        <w:rPr>
          <w:b/>
          <w:bCs/>
        </w:rPr>
        <w:t>表1</w:t>
      </w:r>
      <w:r>
        <w:rPr>
          <w:rFonts w:hint="eastAsia"/>
          <w:b/>
          <w:bCs/>
        </w:rPr>
        <w:t>.3</w:t>
      </w:r>
      <w:r>
        <w:rPr>
          <w:b/>
          <w:bCs/>
        </w:rPr>
        <w:t>-1</w:t>
      </w:r>
      <w:r>
        <w:rPr>
          <w:rFonts w:hint="eastAsia"/>
          <w:b/>
          <w:bCs/>
        </w:rPr>
        <w:t>0</w:t>
      </w:r>
      <w:r>
        <w:rPr>
          <w:b/>
          <w:bCs/>
        </w:rPr>
        <w:t xml:space="preserve">  项目与《鄂尔多斯市生态环境准入清单》</w:t>
      </w:r>
      <w:r>
        <w:rPr>
          <w:b/>
          <w:bCs/>
          <w:kern w:val="0"/>
          <w:szCs w:val="21"/>
        </w:rPr>
        <w:t>符合性分析</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483"/>
        <w:gridCol w:w="5797"/>
        <w:gridCol w:w="1765"/>
        <w:gridCol w:w="483"/>
      </w:tblGrid>
      <w:tr w14:paraId="1252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gridSpan w:val="2"/>
            <w:vAlign w:val="center"/>
          </w:tcPr>
          <w:p w14:paraId="3276DD05">
            <w:pPr>
              <w:spacing w:line="240" w:lineRule="auto"/>
              <w:ind w:firstLine="0" w:firstLineChars="0"/>
              <w:jc w:val="center"/>
              <w:rPr>
                <w:kern w:val="0"/>
                <w:sz w:val="21"/>
                <w:szCs w:val="21"/>
              </w:rPr>
            </w:pPr>
            <w:r>
              <w:rPr>
                <w:kern w:val="0"/>
                <w:sz w:val="21"/>
                <w:szCs w:val="21"/>
              </w:rPr>
              <w:t>环境管控单元编码</w:t>
            </w:r>
          </w:p>
        </w:tc>
        <w:tc>
          <w:tcPr>
            <w:tcW w:w="4331" w:type="pct"/>
            <w:gridSpan w:val="3"/>
            <w:vAlign w:val="center"/>
          </w:tcPr>
          <w:p w14:paraId="41ACA2F0">
            <w:pPr>
              <w:spacing w:line="240" w:lineRule="auto"/>
              <w:ind w:firstLine="0" w:firstLineChars="0"/>
              <w:jc w:val="center"/>
              <w:rPr>
                <w:kern w:val="0"/>
                <w:sz w:val="21"/>
                <w:szCs w:val="21"/>
              </w:rPr>
            </w:pPr>
            <w:r>
              <w:rPr>
                <w:kern w:val="0"/>
                <w:sz w:val="21"/>
                <w:szCs w:val="21"/>
              </w:rPr>
              <w:t>ZH15062430001</w:t>
            </w:r>
          </w:p>
        </w:tc>
      </w:tr>
      <w:tr w14:paraId="47CC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gridSpan w:val="2"/>
            <w:vAlign w:val="center"/>
          </w:tcPr>
          <w:p w14:paraId="1A6266EC">
            <w:pPr>
              <w:spacing w:line="240" w:lineRule="auto"/>
              <w:ind w:firstLine="0" w:firstLineChars="0"/>
              <w:jc w:val="center"/>
              <w:rPr>
                <w:kern w:val="0"/>
                <w:sz w:val="21"/>
                <w:szCs w:val="21"/>
              </w:rPr>
            </w:pPr>
            <w:r>
              <w:rPr>
                <w:kern w:val="0"/>
                <w:sz w:val="21"/>
                <w:szCs w:val="21"/>
              </w:rPr>
              <w:t>环境管控单元名称</w:t>
            </w:r>
          </w:p>
        </w:tc>
        <w:tc>
          <w:tcPr>
            <w:tcW w:w="4331" w:type="pct"/>
            <w:gridSpan w:val="3"/>
            <w:vAlign w:val="center"/>
          </w:tcPr>
          <w:p w14:paraId="26762882">
            <w:pPr>
              <w:spacing w:line="240" w:lineRule="auto"/>
              <w:ind w:firstLine="0" w:firstLineChars="0"/>
              <w:jc w:val="center"/>
              <w:rPr>
                <w:kern w:val="0"/>
                <w:sz w:val="21"/>
                <w:szCs w:val="21"/>
              </w:rPr>
            </w:pPr>
            <w:r>
              <w:rPr>
                <w:rFonts w:hint="eastAsia"/>
                <w:kern w:val="0"/>
                <w:sz w:val="21"/>
                <w:szCs w:val="21"/>
              </w:rPr>
              <w:t>鄂托克旗</w:t>
            </w:r>
            <w:r>
              <w:rPr>
                <w:kern w:val="0"/>
                <w:sz w:val="21"/>
                <w:szCs w:val="21"/>
              </w:rPr>
              <w:t>一般管控</w:t>
            </w:r>
            <w:r>
              <w:rPr>
                <w:rFonts w:hint="eastAsia"/>
                <w:kern w:val="0"/>
                <w:sz w:val="21"/>
                <w:szCs w:val="21"/>
              </w:rPr>
              <w:t>区</w:t>
            </w:r>
          </w:p>
        </w:tc>
      </w:tr>
      <w:tr w14:paraId="1158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gridSpan w:val="2"/>
            <w:vAlign w:val="center"/>
          </w:tcPr>
          <w:p w14:paraId="4856AC9E">
            <w:pPr>
              <w:spacing w:line="240" w:lineRule="auto"/>
              <w:ind w:firstLine="0" w:firstLineChars="0"/>
              <w:jc w:val="center"/>
              <w:rPr>
                <w:kern w:val="0"/>
                <w:sz w:val="21"/>
                <w:szCs w:val="21"/>
              </w:rPr>
            </w:pPr>
            <w:r>
              <w:rPr>
                <w:kern w:val="0"/>
                <w:sz w:val="21"/>
                <w:szCs w:val="21"/>
              </w:rPr>
              <w:t>管控单元类别</w:t>
            </w:r>
          </w:p>
        </w:tc>
        <w:tc>
          <w:tcPr>
            <w:tcW w:w="4331" w:type="pct"/>
            <w:gridSpan w:val="3"/>
            <w:vAlign w:val="center"/>
          </w:tcPr>
          <w:p w14:paraId="478EB83E">
            <w:pPr>
              <w:spacing w:line="240" w:lineRule="auto"/>
              <w:ind w:firstLine="0" w:firstLineChars="0"/>
              <w:jc w:val="center"/>
              <w:rPr>
                <w:bCs/>
                <w:lang w:bidi="ar"/>
              </w:rPr>
            </w:pPr>
            <w:r>
              <w:rPr>
                <w:kern w:val="0"/>
                <w:sz w:val="21"/>
                <w:szCs w:val="21"/>
              </w:rPr>
              <w:t>一般管控单元</w:t>
            </w:r>
          </w:p>
        </w:tc>
      </w:tr>
      <w:tr w14:paraId="50F1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0" w:type="pct"/>
            <w:gridSpan w:val="3"/>
            <w:vAlign w:val="center"/>
          </w:tcPr>
          <w:p w14:paraId="34DC5030">
            <w:pPr>
              <w:adjustRightInd w:val="0"/>
              <w:snapToGrid w:val="0"/>
              <w:spacing w:line="240" w:lineRule="auto"/>
              <w:ind w:firstLine="0" w:firstLineChars="0"/>
              <w:jc w:val="center"/>
              <w:rPr>
                <w:b/>
                <w:bCs/>
                <w:sz w:val="21"/>
                <w:szCs w:val="21"/>
              </w:rPr>
            </w:pPr>
            <w:r>
              <w:rPr>
                <w:b/>
                <w:bCs/>
                <w:kern w:val="0"/>
                <w:sz w:val="21"/>
                <w:szCs w:val="21"/>
                <w:lang w:bidi="ar"/>
              </w:rPr>
              <w:t>管控要求</w:t>
            </w:r>
          </w:p>
        </w:tc>
        <w:tc>
          <w:tcPr>
            <w:tcW w:w="950" w:type="pct"/>
            <w:vAlign w:val="center"/>
          </w:tcPr>
          <w:p w14:paraId="6F30AB34">
            <w:pPr>
              <w:adjustRightInd w:val="0"/>
              <w:snapToGrid w:val="0"/>
              <w:spacing w:line="240" w:lineRule="auto"/>
              <w:ind w:firstLine="0" w:firstLineChars="0"/>
              <w:jc w:val="center"/>
              <w:rPr>
                <w:b/>
                <w:bCs/>
                <w:sz w:val="21"/>
                <w:szCs w:val="21"/>
              </w:rPr>
            </w:pPr>
            <w:r>
              <w:rPr>
                <w:b/>
                <w:bCs/>
                <w:kern w:val="0"/>
                <w:sz w:val="21"/>
                <w:szCs w:val="21"/>
                <w:lang w:bidi="ar"/>
              </w:rPr>
              <w:t>本项目</w:t>
            </w:r>
          </w:p>
        </w:tc>
        <w:tc>
          <w:tcPr>
            <w:tcW w:w="260" w:type="pct"/>
            <w:vAlign w:val="center"/>
          </w:tcPr>
          <w:p w14:paraId="149F340E">
            <w:pPr>
              <w:adjustRightInd w:val="0"/>
              <w:snapToGrid w:val="0"/>
              <w:spacing w:line="240" w:lineRule="auto"/>
              <w:ind w:firstLine="0" w:firstLineChars="0"/>
              <w:jc w:val="center"/>
              <w:rPr>
                <w:b/>
                <w:bCs/>
                <w:sz w:val="21"/>
                <w:szCs w:val="21"/>
              </w:rPr>
            </w:pPr>
            <w:r>
              <w:rPr>
                <w:b/>
                <w:bCs/>
                <w:kern w:val="0"/>
                <w:sz w:val="21"/>
                <w:szCs w:val="21"/>
                <w:lang w:bidi="ar"/>
              </w:rPr>
              <w:t>备注</w:t>
            </w:r>
          </w:p>
        </w:tc>
      </w:tr>
      <w:tr w14:paraId="0EF5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14:paraId="46D8336E">
            <w:pPr>
              <w:kinsoku w:val="0"/>
              <w:overflowPunct w:val="0"/>
              <w:adjustRightInd w:val="0"/>
              <w:snapToGrid w:val="0"/>
              <w:spacing w:line="240" w:lineRule="auto"/>
              <w:ind w:firstLine="0" w:firstLineChars="0"/>
              <w:jc w:val="center"/>
              <w:rPr>
                <w:sz w:val="21"/>
                <w:szCs w:val="21"/>
              </w:rPr>
            </w:pPr>
            <w:r>
              <w:rPr>
                <w:kern w:val="0"/>
                <w:sz w:val="21"/>
                <w:szCs w:val="21"/>
              </w:rPr>
              <w:t>空间布局约束</w:t>
            </w:r>
          </w:p>
        </w:tc>
        <w:tc>
          <w:tcPr>
            <w:tcW w:w="3381" w:type="pct"/>
            <w:gridSpan w:val="2"/>
            <w:vAlign w:val="center"/>
          </w:tcPr>
          <w:p w14:paraId="4CC49E1E">
            <w:pPr>
              <w:overflowPunct w:val="0"/>
              <w:adjustRightInd w:val="0"/>
              <w:snapToGrid w:val="0"/>
              <w:spacing w:line="240" w:lineRule="auto"/>
              <w:ind w:firstLine="0" w:firstLineChars="0"/>
              <w:rPr>
                <w:kern w:val="0"/>
                <w:sz w:val="21"/>
                <w:szCs w:val="21"/>
              </w:rPr>
            </w:pPr>
            <w:r>
              <w:rPr>
                <w:kern w:val="0"/>
                <w:sz w:val="21"/>
                <w:szCs w:val="21"/>
              </w:rPr>
              <w:t>1、永久基本农田一经划定，任何单位和个人不得擅自占用或改变用途。禁止任何单位和个人破坏永久基本农田耕作层。对永久基本农田实行严格保护，确保其面积不减少、土</w:t>
            </w:r>
            <w:r>
              <w:rPr>
                <w:rFonts w:hint="eastAsia"/>
                <w:kern w:val="0"/>
                <w:sz w:val="21"/>
                <w:szCs w:val="21"/>
              </w:rPr>
              <w:t>壤环境质量不下降，除法律规定的重点建设项目选址确实无法避让外，其他任何建设不得占用。</w:t>
            </w:r>
          </w:p>
          <w:p w14:paraId="26D44213">
            <w:pPr>
              <w:overflowPunct w:val="0"/>
              <w:adjustRightInd w:val="0"/>
              <w:snapToGrid w:val="0"/>
              <w:spacing w:line="240" w:lineRule="auto"/>
              <w:ind w:firstLine="0" w:firstLineChars="0"/>
              <w:rPr>
                <w:kern w:val="0"/>
                <w:sz w:val="21"/>
                <w:szCs w:val="21"/>
              </w:rPr>
            </w:pPr>
          </w:p>
        </w:tc>
        <w:tc>
          <w:tcPr>
            <w:tcW w:w="950" w:type="pct"/>
            <w:vAlign w:val="center"/>
          </w:tcPr>
          <w:p w14:paraId="0A26DFE5">
            <w:pPr>
              <w:adjustRightInd w:val="0"/>
              <w:snapToGrid w:val="0"/>
              <w:spacing w:line="240" w:lineRule="auto"/>
              <w:ind w:firstLine="0" w:firstLineChars="0"/>
              <w:rPr>
                <w:sz w:val="21"/>
                <w:szCs w:val="21"/>
              </w:rPr>
            </w:pPr>
            <w:r>
              <w:rPr>
                <w:rFonts w:hint="eastAsia"/>
                <w:sz w:val="21"/>
                <w:szCs w:val="21"/>
              </w:rPr>
              <w:t>根据《鄂托克旗自然资源局关于内蒙古华翔农林牧科技发展有限公司120万只蛋鸡养殖项目生态红线占用情况的说明》，本项目不涉及基本农田。</w:t>
            </w:r>
          </w:p>
        </w:tc>
        <w:tc>
          <w:tcPr>
            <w:tcW w:w="260" w:type="pct"/>
            <w:vAlign w:val="center"/>
          </w:tcPr>
          <w:p w14:paraId="601F3682">
            <w:pPr>
              <w:adjustRightInd w:val="0"/>
              <w:snapToGrid w:val="0"/>
              <w:spacing w:line="240" w:lineRule="auto"/>
              <w:ind w:firstLine="0" w:firstLineChars="0"/>
              <w:jc w:val="center"/>
              <w:rPr>
                <w:sz w:val="21"/>
                <w:szCs w:val="21"/>
              </w:rPr>
            </w:pPr>
            <w:r>
              <w:rPr>
                <w:sz w:val="21"/>
                <w:szCs w:val="21"/>
              </w:rPr>
              <w:t>符合</w:t>
            </w:r>
          </w:p>
        </w:tc>
      </w:tr>
      <w:tr w14:paraId="0003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14:paraId="2F241F9C">
            <w:pPr>
              <w:kinsoku w:val="0"/>
              <w:overflowPunct w:val="0"/>
              <w:adjustRightInd w:val="0"/>
              <w:snapToGrid w:val="0"/>
              <w:spacing w:line="240" w:lineRule="auto"/>
              <w:ind w:firstLine="0" w:firstLineChars="0"/>
              <w:jc w:val="center"/>
              <w:rPr>
                <w:sz w:val="21"/>
                <w:szCs w:val="21"/>
              </w:rPr>
            </w:pPr>
            <w:r>
              <w:rPr>
                <w:kern w:val="0"/>
                <w:sz w:val="21"/>
                <w:szCs w:val="21"/>
              </w:rPr>
              <w:t>资源利用效率</w:t>
            </w:r>
          </w:p>
        </w:tc>
        <w:tc>
          <w:tcPr>
            <w:tcW w:w="3381" w:type="pct"/>
            <w:gridSpan w:val="2"/>
            <w:vAlign w:val="center"/>
          </w:tcPr>
          <w:p w14:paraId="2E431335">
            <w:pPr>
              <w:overflowPunct w:val="0"/>
              <w:adjustRightInd w:val="0"/>
              <w:snapToGrid w:val="0"/>
              <w:spacing w:line="240" w:lineRule="auto"/>
              <w:ind w:firstLine="0" w:firstLineChars="0"/>
              <w:rPr>
                <w:sz w:val="21"/>
                <w:szCs w:val="21"/>
              </w:rPr>
            </w:pPr>
            <w:r>
              <w:rPr>
                <w:sz w:val="21"/>
                <w:szCs w:val="21"/>
              </w:rPr>
              <w:t>提高农业用水水平，井灌区配套低压管道输水等措施，大力推广以浅埋滴灌为主、喷灌为辅的节水设备和技术，引进培育优良作物品种、合理调整作物种植结构等农业措施。</w:t>
            </w:r>
          </w:p>
        </w:tc>
        <w:tc>
          <w:tcPr>
            <w:tcW w:w="950" w:type="pct"/>
            <w:vAlign w:val="center"/>
          </w:tcPr>
          <w:p w14:paraId="2585169D">
            <w:pPr>
              <w:adjustRightInd w:val="0"/>
              <w:snapToGrid w:val="0"/>
              <w:spacing w:line="240" w:lineRule="auto"/>
              <w:ind w:firstLine="0" w:firstLineChars="0"/>
              <w:jc w:val="center"/>
              <w:rPr>
                <w:sz w:val="21"/>
                <w:szCs w:val="21"/>
              </w:rPr>
            </w:pPr>
            <w:r>
              <w:rPr>
                <w:sz w:val="21"/>
                <w:szCs w:val="21"/>
              </w:rPr>
              <w:t>本项目不涉及</w:t>
            </w:r>
          </w:p>
        </w:tc>
        <w:tc>
          <w:tcPr>
            <w:tcW w:w="260" w:type="pct"/>
            <w:vAlign w:val="center"/>
          </w:tcPr>
          <w:p w14:paraId="047C5019">
            <w:pPr>
              <w:adjustRightInd w:val="0"/>
              <w:snapToGrid w:val="0"/>
              <w:spacing w:line="240" w:lineRule="auto"/>
              <w:ind w:firstLine="0" w:firstLineChars="0"/>
              <w:jc w:val="center"/>
              <w:rPr>
                <w:sz w:val="21"/>
                <w:szCs w:val="21"/>
              </w:rPr>
            </w:pPr>
            <w:r>
              <w:rPr>
                <w:sz w:val="21"/>
                <w:szCs w:val="21"/>
              </w:rPr>
              <w:t>/</w:t>
            </w:r>
          </w:p>
        </w:tc>
      </w:tr>
    </w:tbl>
    <w:p w14:paraId="4FA5974A">
      <w:pPr>
        <w:spacing w:line="440" w:lineRule="exact"/>
        <w:ind w:firstLine="480"/>
      </w:pPr>
      <w:r>
        <w:t>综上分析，项目的建设符合国家及地方产业政策、相关环保政策要求，符合“三线一单”要求。</w:t>
      </w:r>
    </w:p>
    <w:p w14:paraId="24566594">
      <w:pPr>
        <w:pStyle w:val="10"/>
      </w:pPr>
      <w:bookmarkStart w:id="54" w:name="_Toc166572238"/>
      <w:r>
        <w:t>1.4关注的主要环境问题及环境影响</w:t>
      </w:r>
      <w:bookmarkEnd w:id="54"/>
    </w:p>
    <w:p w14:paraId="033773EE">
      <w:pPr>
        <w:pStyle w:val="105"/>
        <w:ind w:firstLine="480"/>
      </w:pPr>
      <w:r>
        <w:t>（1）关注的主要环境问题</w:t>
      </w:r>
    </w:p>
    <w:p w14:paraId="36997AE4">
      <w:pPr>
        <w:pStyle w:val="105"/>
        <w:ind w:firstLine="480"/>
      </w:pPr>
      <w:r>
        <w:t>针对项目建设特点，本次环境影响评价过程中重点关注的主要环境问题如下：</w:t>
      </w:r>
    </w:p>
    <w:p w14:paraId="13F15298">
      <w:pPr>
        <w:pStyle w:val="105"/>
        <w:ind w:firstLine="480"/>
      </w:pPr>
      <w:r>
        <w:rPr>
          <w:rFonts w:hint="eastAsia"/>
        </w:rPr>
        <w:t>项目区域主要为荒漠灌木植被，植被类型单一，植被覆盖度较低，生态环境脆弱。</w:t>
      </w:r>
    </w:p>
    <w:p w14:paraId="255C2CEB">
      <w:pPr>
        <w:pStyle w:val="105"/>
        <w:ind w:firstLine="480"/>
      </w:pPr>
      <w:r>
        <w:t>（2）环境影响</w:t>
      </w:r>
    </w:p>
    <w:bookmarkEnd w:id="40"/>
    <w:bookmarkEnd w:id="47"/>
    <w:p w14:paraId="5DBA890D">
      <w:pPr>
        <w:pStyle w:val="105"/>
        <w:ind w:firstLine="480"/>
      </w:pPr>
      <w:bookmarkStart w:id="55" w:name="_Toc36234636"/>
      <w:r>
        <w:t>运营期污染物排放对区域环境的影响，重点关注养殖恶臭对环境的影响，</w:t>
      </w:r>
      <w:r>
        <w:rPr>
          <w:rFonts w:hint="eastAsia"/>
        </w:rPr>
        <w:t>粪污处置，</w:t>
      </w:r>
      <w:r>
        <w:t>废水处理工艺及可行性，病死鸡集中处理方式等。</w:t>
      </w:r>
    </w:p>
    <w:p w14:paraId="65C7467B">
      <w:pPr>
        <w:pStyle w:val="105"/>
        <w:ind w:firstLine="480"/>
      </w:pPr>
      <w:r>
        <w:rPr>
          <w:rFonts w:hint="eastAsia" w:ascii="宋体" w:hAnsi="宋体" w:cs="宋体"/>
        </w:rPr>
        <w:t>①</w:t>
      </w:r>
      <w:r>
        <w:t>环境空气影响</w:t>
      </w:r>
    </w:p>
    <w:p w14:paraId="5D33FAD5">
      <w:pPr>
        <w:pStyle w:val="105"/>
        <w:ind w:firstLine="480"/>
      </w:pPr>
      <w:r>
        <w:t>鸡舍产生的恶臭气体，饲料加工过程产生的颗粒物，锅炉产生的燃烧废气以及食堂油烟废气，采用污染防治措施后，各污染物能达标排放，对周围环境的影响较小。</w:t>
      </w:r>
    </w:p>
    <w:p w14:paraId="648B3CE9">
      <w:pPr>
        <w:pStyle w:val="105"/>
        <w:ind w:firstLine="480"/>
      </w:pPr>
      <w:r>
        <w:rPr>
          <w:rFonts w:hint="eastAsia" w:ascii="宋体" w:hAnsi="宋体" w:cs="宋体"/>
        </w:rPr>
        <w:t>②</w:t>
      </w:r>
      <w:r>
        <w:t>地表水环境影响</w:t>
      </w:r>
    </w:p>
    <w:p w14:paraId="65671394">
      <w:pPr>
        <w:pStyle w:val="105"/>
        <w:ind w:firstLine="480"/>
      </w:pPr>
      <w:r>
        <w:t>本项目产生的废水主要包括生活污水、冲洗废水。生活污水、冲洗废水通过配套污水处理设施处理后，达到《畜禽养殖业污染治理工程技术规范》（HJ497-2009）、《畜禽粪便还田技术规范》（GB/T25246-2010）的无害化处理要求，并满足《农业部办公厅关于印发&lt;畜禽粪污土地承载力测算技术指南&gt;的通知》（农办牧【2018】1号）的相关要求，用于绿化以及周边农灌，对地表水环境影响较小。</w:t>
      </w:r>
    </w:p>
    <w:p w14:paraId="0476EE55">
      <w:pPr>
        <w:pStyle w:val="105"/>
        <w:ind w:firstLine="480"/>
      </w:pPr>
      <w:r>
        <w:rPr>
          <w:rFonts w:hint="eastAsia" w:ascii="宋体" w:hAnsi="宋体" w:cs="宋体"/>
        </w:rPr>
        <w:t>③</w:t>
      </w:r>
      <w:r>
        <w:t>地下水环境影响</w:t>
      </w:r>
    </w:p>
    <w:p w14:paraId="2FDF0E8C">
      <w:pPr>
        <w:pStyle w:val="105"/>
        <w:ind w:firstLine="480"/>
      </w:pPr>
      <w:r>
        <w:t>项目产生的废水不外排。场区建设时做好严格的防渗措施，有效阻挡部分污染物渗入地下。从水文地质角度分析，项目场址区适宜建设。项目建设应严格按照国家规范及相关技术要求，做好污水处理、场区防渗防漏、达标排放工作，同时加强地下水监测，采取有效保护措施，对周围地下水环境影响较小。</w:t>
      </w:r>
    </w:p>
    <w:p w14:paraId="6374E2B9">
      <w:pPr>
        <w:pStyle w:val="105"/>
        <w:ind w:firstLine="480"/>
      </w:pPr>
      <w:r>
        <w:rPr>
          <w:rFonts w:hint="eastAsia" w:ascii="宋体" w:hAnsi="宋体" w:cs="宋体"/>
        </w:rPr>
        <w:t>④</w:t>
      </w:r>
      <w:r>
        <w:t>声环境影响</w:t>
      </w:r>
    </w:p>
    <w:p w14:paraId="1FA98201">
      <w:pPr>
        <w:pStyle w:val="105"/>
        <w:ind w:firstLine="480"/>
      </w:pPr>
      <w:r>
        <w:t>项目噪声主要为源于鸡舍的风机、饲料加工设备、水泵等设备产生的噪声。通过厂界四周设置绿化带，降低噪声传播及干扰；本项目在满足生产要求的前提下尽量选用低噪声设备，以减轻引风机产生的噪声。</w:t>
      </w:r>
    </w:p>
    <w:p w14:paraId="516445FD">
      <w:pPr>
        <w:pStyle w:val="105"/>
        <w:ind w:firstLine="480"/>
      </w:pPr>
      <w:r>
        <w:t>采取以上措施后，经距离衰减，厂界噪声可满足《工业企业厂界环境噪声排放标准》（GB12348-2008）中2类标准要求，即昼间60dB（A），夜间50dB（A），对周围声环境影响较小。</w:t>
      </w:r>
    </w:p>
    <w:p w14:paraId="6EA09F67">
      <w:pPr>
        <w:pStyle w:val="105"/>
        <w:ind w:firstLine="480"/>
      </w:pPr>
      <w:r>
        <w:rPr>
          <w:rFonts w:hint="eastAsia" w:ascii="宋体" w:hAnsi="宋体" w:cs="宋体"/>
        </w:rPr>
        <w:t>⑤</w:t>
      </w:r>
      <w:r>
        <w:t>土壤环境影响</w:t>
      </w:r>
    </w:p>
    <w:p w14:paraId="65E19DBB">
      <w:pPr>
        <w:pStyle w:val="105"/>
        <w:ind w:firstLine="480"/>
      </w:pPr>
      <w:r>
        <w:t>根据现状监测结果，项目区各监测点位监测值均小于《土壤环境质量农用地土壤污染风险管控标准》（GB15618—2018）表1中农用地土壤污染风险筛选值，说明厂区及附近区域土壤现状质量较好。</w:t>
      </w:r>
    </w:p>
    <w:p w14:paraId="1C5D44D4">
      <w:pPr>
        <w:pStyle w:val="105"/>
        <w:ind w:firstLine="480"/>
      </w:pPr>
      <w:r>
        <w:t>厂区项目各类污染物均可达标排放，项目厂区分区防渗，避免生产过程中物料洒落侵入土壤，从而造成土壤污染，事故状态下废水得到妥善处置，对周围土壤环境影响较小。</w:t>
      </w:r>
    </w:p>
    <w:p w14:paraId="1BADC8CE">
      <w:pPr>
        <w:pStyle w:val="10"/>
      </w:pPr>
      <w:bookmarkStart w:id="56" w:name="_Toc166572239"/>
      <w:r>
        <w:t>1.5主要结论</w:t>
      </w:r>
      <w:bookmarkEnd w:id="55"/>
      <w:bookmarkEnd w:id="56"/>
    </w:p>
    <w:p w14:paraId="6C847CD2">
      <w:pPr>
        <w:pStyle w:val="104"/>
      </w:pPr>
      <w:r>
        <w:t>本项目建设符合国家和地方的相关产业政策；</w:t>
      </w:r>
      <w:r>
        <w:rPr>
          <w:rFonts w:hint="eastAsia"/>
        </w:rPr>
        <w:t>项目选址满足相关法律法规选址要求；</w:t>
      </w:r>
      <w:r>
        <w:t>在采取报告提出的环境保护措施后，污染物可做到达标排放；满足总量控制的要求；当地的环境质量较好，有一定的环境容量，本项目对区域产生的影响在可接受的范围内，不会改变区域内的环境功能。无公众提出反对意见；项目建成后具有较好的社会、经济和环境效益。</w:t>
      </w:r>
    </w:p>
    <w:p w14:paraId="47E998EB">
      <w:pPr>
        <w:pStyle w:val="104"/>
        <w:sectPr>
          <w:pgSz w:w="11907" w:h="16840"/>
          <w:pgMar w:top="1418" w:right="1418" w:bottom="1418" w:left="1418" w:header="964" w:footer="964" w:gutter="0"/>
          <w:cols w:space="720" w:num="1"/>
          <w:docGrid w:linePitch="312" w:charSpace="0"/>
        </w:sectPr>
      </w:pPr>
      <w:r>
        <w:t>综上所述，从环境保护角度分析，本项目的建设是可行的。</w:t>
      </w:r>
    </w:p>
    <w:p w14:paraId="4B9E8E2D">
      <w:pPr>
        <w:pStyle w:val="103"/>
      </w:pPr>
      <w:bookmarkStart w:id="57" w:name="_Toc36234637"/>
      <w:bookmarkStart w:id="58" w:name="_Toc457206599"/>
      <w:bookmarkStart w:id="59" w:name="_Toc166572240"/>
      <w:r>
        <w:t>2总</w:t>
      </w:r>
      <w:bookmarkEnd w:id="57"/>
      <w:bookmarkEnd w:id="58"/>
      <w:r>
        <w:t>则</w:t>
      </w:r>
      <w:bookmarkEnd w:id="59"/>
    </w:p>
    <w:p w14:paraId="47B9C8C8">
      <w:pPr>
        <w:pStyle w:val="10"/>
      </w:pPr>
      <w:bookmarkStart w:id="60" w:name="_Toc308707592"/>
      <w:bookmarkStart w:id="61" w:name="_Toc291689531"/>
      <w:bookmarkStart w:id="62" w:name="_Toc349830084"/>
      <w:bookmarkStart w:id="63" w:name="_Toc36234638"/>
      <w:bookmarkStart w:id="64" w:name="_Toc166572241"/>
      <w:bookmarkStart w:id="65" w:name="_Toc457206600"/>
      <w:r>
        <w:t>2.1</w:t>
      </w:r>
      <w:bookmarkEnd w:id="60"/>
      <w:bookmarkEnd w:id="61"/>
      <w:bookmarkEnd w:id="62"/>
      <w:r>
        <w:t>编制依据</w:t>
      </w:r>
      <w:bookmarkEnd w:id="63"/>
      <w:bookmarkEnd w:id="64"/>
      <w:bookmarkEnd w:id="65"/>
    </w:p>
    <w:p w14:paraId="7002AD6A">
      <w:pPr>
        <w:pStyle w:val="11"/>
      </w:pPr>
      <w:bookmarkStart w:id="66" w:name="_Toc304736310"/>
      <w:bookmarkStart w:id="67" w:name="_Toc305308321"/>
      <w:bookmarkStart w:id="68" w:name="_Toc385924313"/>
      <w:bookmarkStart w:id="69" w:name="_Toc11832599"/>
      <w:bookmarkStart w:id="70" w:name="_Toc304537798"/>
      <w:bookmarkStart w:id="71" w:name="_Toc15653"/>
      <w:bookmarkStart w:id="72" w:name="_Toc29868"/>
      <w:bookmarkStart w:id="73" w:name="_Toc307561223"/>
      <w:bookmarkStart w:id="74" w:name="_Toc305323529"/>
      <w:bookmarkStart w:id="75" w:name="_Toc303002738"/>
      <w:bookmarkStart w:id="76" w:name="_Toc307566342"/>
      <w:bookmarkStart w:id="77" w:name="_Toc347089895"/>
      <w:bookmarkStart w:id="78" w:name="_Toc11117"/>
      <w:bookmarkStart w:id="79" w:name="_Toc166572242"/>
      <w:bookmarkStart w:id="80" w:name="_Toc386096357"/>
      <w:bookmarkStart w:id="81" w:name="_Toc468099249"/>
      <w:bookmarkStart w:id="82" w:name="_Toc36234639"/>
      <w:bookmarkStart w:id="83" w:name="_Toc385925519"/>
      <w:bookmarkStart w:id="84" w:name="_Toc457206602"/>
      <w:bookmarkStart w:id="85" w:name="_Toc411352830"/>
      <w:r>
        <w:t>2.1.1法律法规</w:t>
      </w:r>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669C09F0">
      <w:pPr>
        <w:pStyle w:val="105"/>
        <w:ind w:firstLine="480"/>
      </w:pPr>
      <w:r>
        <w:t>（1）《中华人民共和国环境保护法》（主席令2014第9号，2015.1.1起实施）；</w:t>
      </w:r>
    </w:p>
    <w:p w14:paraId="47A23123">
      <w:pPr>
        <w:pStyle w:val="105"/>
        <w:ind w:firstLine="480"/>
      </w:pPr>
      <w:r>
        <w:t>（2）《中华人民共和国环境影响评价法》（2018.12.29修订并实施）；</w:t>
      </w:r>
    </w:p>
    <w:p w14:paraId="12F156A6">
      <w:pPr>
        <w:pStyle w:val="105"/>
        <w:ind w:firstLine="480"/>
      </w:pPr>
      <w:r>
        <w:t>（3）《中华人民共和国大气污染防治法》（2018.10.26修订并实施）；</w:t>
      </w:r>
    </w:p>
    <w:p w14:paraId="2A00E32C">
      <w:pPr>
        <w:pStyle w:val="105"/>
        <w:ind w:firstLine="480"/>
      </w:pPr>
      <w:r>
        <w:t>（4）《中华人民共和国水污染防治法》（2018.1.1起实施）；</w:t>
      </w:r>
    </w:p>
    <w:p w14:paraId="128EF17C">
      <w:pPr>
        <w:pStyle w:val="105"/>
        <w:ind w:firstLine="480"/>
      </w:pPr>
      <w:r>
        <w:t>（5）《中华人民共和国固体废物污染环境防治法》（主席令第43号，2020.9.1实施）；</w:t>
      </w:r>
    </w:p>
    <w:p w14:paraId="275C1CB5">
      <w:pPr>
        <w:pStyle w:val="105"/>
        <w:ind w:firstLine="480"/>
      </w:pPr>
      <w:r>
        <w:t>（6）《中华人民共和国噪声污染防治法》（2018.12.29修订并实施）；</w:t>
      </w:r>
    </w:p>
    <w:p w14:paraId="309EF679">
      <w:pPr>
        <w:pStyle w:val="105"/>
        <w:ind w:firstLine="480"/>
      </w:pPr>
      <w:r>
        <w:t>（7）《中华人民共和国土壤污染防治法》（2019.1.1起实施）；</w:t>
      </w:r>
    </w:p>
    <w:p w14:paraId="50B1C849">
      <w:pPr>
        <w:pStyle w:val="105"/>
        <w:ind w:firstLine="480"/>
      </w:pPr>
      <w:r>
        <w:t>（8）《中华人民共和国循环经济促进法》（2009.1.1日实施）；</w:t>
      </w:r>
    </w:p>
    <w:p w14:paraId="40006967">
      <w:pPr>
        <w:pStyle w:val="105"/>
        <w:ind w:firstLine="480"/>
      </w:pPr>
      <w:r>
        <w:t>（9）《中华人民共和国清洁生产促进法》（2012.07.01修订并实施）；</w:t>
      </w:r>
    </w:p>
    <w:p w14:paraId="1ACE62F1">
      <w:pPr>
        <w:pStyle w:val="105"/>
        <w:ind w:firstLine="480"/>
      </w:pPr>
      <w:r>
        <w:t>（10）《中华人民共和国节约能源法》(2018.10.26修订并实施)</w:t>
      </w:r>
    </w:p>
    <w:p w14:paraId="16C62063">
      <w:pPr>
        <w:pStyle w:val="105"/>
        <w:ind w:firstLine="480"/>
      </w:pPr>
      <w:r>
        <w:t>（11）《中华人民共和国水法》（2016.07.02修订并实施）；</w:t>
      </w:r>
    </w:p>
    <w:p w14:paraId="2B0039BB">
      <w:pPr>
        <w:pStyle w:val="105"/>
        <w:ind w:firstLine="480"/>
      </w:pPr>
      <w:r>
        <w:t>（10）《中华人民共和国畜牧法》（2023.3.1实施）；</w:t>
      </w:r>
    </w:p>
    <w:p w14:paraId="5F930567">
      <w:pPr>
        <w:pStyle w:val="105"/>
        <w:ind w:firstLine="480"/>
      </w:pPr>
      <w:r>
        <w:t>（11）《中华人民共和国动物防疫法》（2022.1.22修订并实施）；</w:t>
      </w:r>
    </w:p>
    <w:p w14:paraId="6465D279">
      <w:pPr>
        <w:pStyle w:val="105"/>
        <w:ind w:firstLine="480"/>
      </w:pPr>
      <w:r>
        <w:t>（12）《中华人民共和国传染病防治法》（2013.6.29修订并实施）。</w:t>
      </w:r>
    </w:p>
    <w:p w14:paraId="3E2B3DFE">
      <w:pPr>
        <w:pStyle w:val="11"/>
      </w:pPr>
      <w:bookmarkStart w:id="86" w:name="_Toc166572243"/>
      <w:r>
        <w:t>2.1.2相关政策及规划</w:t>
      </w:r>
      <w:bookmarkEnd w:id="86"/>
    </w:p>
    <w:p w14:paraId="4E9B2C02">
      <w:pPr>
        <w:pStyle w:val="105"/>
        <w:ind w:firstLine="480"/>
      </w:pPr>
      <w:r>
        <w:t>1、国家政策及相关法规</w:t>
      </w:r>
    </w:p>
    <w:p w14:paraId="31F4751F">
      <w:pPr>
        <w:pStyle w:val="105"/>
        <w:ind w:firstLine="480"/>
      </w:pPr>
      <w:r>
        <w:t>（1）《建设项目环境保护管理条例》，中华人民共和国国务院第682号令，2017年10月1日；</w:t>
      </w:r>
    </w:p>
    <w:p w14:paraId="559578AF">
      <w:pPr>
        <w:pStyle w:val="105"/>
        <w:ind w:firstLine="480"/>
      </w:pPr>
      <w:r>
        <w:t>（2）《建设项目环境影响评价分类管理名录》，生态环境部部令第16号，2021年1月1日；</w:t>
      </w:r>
    </w:p>
    <w:p w14:paraId="00652C10">
      <w:pPr>
        <w:pStyle w:val="105"/>
        <w:ind w:firstLine="480"/>
      </w:pPr>
      <w:r>
        <w:t>（3）《全国生态保护“十四五”规划纲要》，2021年6月27日；</w:t>
      </w:r>
    </w:p>
    <w:p w14:paraId="00B9F03C">
      <w:pPr>
        <w:pStyle w:val="105"/>
        <w:ind w:firstLine="480"/>
      </w:pPr>
      <w:r>
        <w:t>（4）《产业结构调整指导目录》（20</w:t>
      </w:r>
      <w:r>
        <w:rPr>
          <w:rFonts w:hint="eastAsia"/>
        </w:rPr>
        <w:t>24</w:t>
      </w:r>
      <w:r>
        <w:t>年版）；</w:t>
      </w:r>
    </w:p>
    <w:p w14:paraId="1929DAA2">
      <w:pPr>
        <w:pStyle w:val="105"/>
        <w:ind w:firstLine="480"/>
      </w:pPr>
      <w:r>
        <w:t>（5）《全国主体功能区规划》，国发[2010]46号；</w:t>
      </w:r>
    </w:p>
    <w:p w14:paraId="0CFC5579">
      <w:pPr>
        <w:pStyle w:val="105"/>
        <w:ind w:firstLine="480"/>
      </w:pPr>
      <w:r>
        <w:t>（6）《国务院关于印发“十四五”节能减排综合性工作方案的通知》；</w:t>
      </w:r>
    </w:p>
    <w:p w14:paraId="31EF43EF">
      <w:pPr>
        <w:pStyle w:val="105"/>
        <w:ind w:firstLine="480"/>
      </w:pPr>
      <w:r>
        <w:t>（7）《国家环境保护“十四五”规划》</w:t>
      </w:r>
    </w:p>
    <w:p w14:paraId="162F1E75">
      <w:pPr>
        <w:pStyle w:val="105"/>
        <w:ind w:firstLine="480"/>
      </w:pPr>
      <w:r>
        <w:t>（8）关于印发《突发环境事件应急预案管理暂行办法》的通知，环发[2010]113号；</w:t>
      </w:r>
    </w:p>
    <w:p w14:paraId="3EF6AC98">
      <w:pPr>
        <w:pStyle w:val="105"/>
        <w:ind w:firstLine="480"/>
      </w:pPr>
      <w:r>
        <w:t>（9）《关于进一步加强环境保护信息公开工作的通知》，环办[2012]134号；</w:t>
      </w:r>
    </w:p>
    <w:p w14:paraId="20CFC657">
      <w:pPr>
        <w:pStyle w:val="105"/>
        <w:ind w:firstLine="480"/>
      </w:pPr>
      <w:r>
        <w:t>（10）《关于进一步加强环境影响评价管理防范环境风险的通知》，环发[2012]77号；</w:t>
      </w:r>
    </w:p>
    <w:p w14:paraId="0135C178">
      <w:pPr>
        <w:pStyle w:val="105"/>
        <w:ind w:firstLine="480"/>
      </w:pPr>
      <w:r>
        <w:t>（11）《动物防疫条件审查办法》（中华人民共和国农业部令2022年第8号，2022年12月1日）；</w:t>
      </w:r>
    </w:p>
    <w:p w14:paraId="04A98EB0">
      <w:pPr>
        <w:pStyle w:val="105"/>
        <w:ind w:firstLine="480"/>
      </w:pPr>
      <w:r>
        <w:t>（12）《病死及死因不明动物处置办法（试行）》（农业部，2005年10月21日）；</w:t>
      </w:r>
    </w:p>
    <w:p w14:paraId="4B7399E8">
      <w:pPr>
        <w:pStyle w:val="105"/>
        <w:ind w:firstLine="480"/>
      </w:pPr>
      <w:r>
        <w:t>（13）《病死畜禽和病害畜禽产品无害化处理管理办法》（农业部，2022年7月1日）；</w:t>
      </w:r>
    </w:p>
    <w:p w14:paraId="34990A48">
      <w:pPr>
        <w:pStyle w:val="105"/>
        <w:ind w:firstLine="480"/>
      </w:pPr>
      <w:r>
        <w:t>（14）《畜禽养殖禁养区划定技术指南》（环办水体[2016]99号），2016年10月24日；；</w:t>
      </w:r>
    </w:p>
    <w:p w14:paraId="20C136DB">
      <w:pPr>
        <w:pStyle w:val="105"/>
        <w:ind w:firstLine="480"/>
      </w:pPr>
      <w:r>
        <w:t>（15）《关于在畜禽养殖废弃物资源化利用过程中加强环境监管的通知》（</w:t>
      </w:r>
      <w:r>
        <w:rPr>
          <w:rFonts w:hint="eastAsia"/>
          <w:lang w:val="en-US" w:eastAsia="zh-CN"/>
        </w:rPr>
        <w:t>生态环境</w:t>
      </w:r>
      <w:r>
        <w:t>部环水体［2017］120号），2017年9月6日实施；</w:t>
      </w:r>
    </w:p>
    <w:p w14:paraId="2D271C75">
      <w:pPr>
        <w:pStyle w:val="105"/>
        <w:ind w:firstLine="480"/>
      </w:pPr>
      <w:r>
        <w:t>（16）《国务院办公厅关于加快推进畜禽养殖废弃物资源化利用的意见》（国办发［2017］48号），2017年5月31日实施；</w:t>
      </w:r>
    </w:p>
    <w:p w14:paraId="5C333269">
      <w:pPr>
        <w:pStyle w:val="105"/>
        <w:ind w:firstLine="480"/>
      </w:pPr>
      <w:r>
        <w:t>（17）《畜禽养殖业污染防治技术政策》（环发［2010］151号），2002年4月1日；</w:t>
      </w:r>
    </w:p>
    <w:p w14:paraId="1C2F5331">
      <w:pPr>
        <w:pStyle w:val="105"/>
        <w:ind w:firstLine="480"/>
      </w:pPr>
      <w:r>
        <w:t>（18）《国务院办公厅关于建立病死畜禽无害化处理机制的意见》（国办发〔2014〕47号）；</w:t>
      </w:r>
    </w:p>
    <w:p w14:paraId="259FBA67">
      <w:pPr>
        <w:pStyle w:val="105"/>
        <w:ind w:firstLine="480"/>
      </w:pPr>
      <w:r>
        <w:t>（19）《国家危险废物名录（2021年版）》（环境保护令，部令</w:t>
      </w:r>
      <w:r>
        <w:rPr>
          <w:rFonts w:hint="eastAsia"/>
          <w:lang w:val="en-US" w:eastAsia="zh-CN"/>
        </w:rPr>
        <w:t>第</w:t>
      </w:r>
      <w:r>
        <w:t>15号，2021.1.1实施）。</w:t>
      </w:r>
    </w:p>
    <w:p w14:paraId="4049A9E4">
      <w:pPr>
        <w:pStyle w:val="105"/>
        <w:ind w:firstLine="480"/>
      </w:pPr>
      <w:r>
        <w:t>2、地方政策及相关法规</w:t>
      </w:r>
    </w:p>
    <w:p w14:paraId="49619E2F">
      <w:pPr>
        <w:pStyle w:val="105"/>
        <w:ind w:firstLine="480"/>
      </w:pPr>
      <w:r>
        <w:t>（1）《内蒙古自治区人民政府办公厅关于病死畜禽无害化处理工作的实施意见》（内政办发［2015］54号），2015年5月29日；</w:t>
      </w:r>
    </w:p>
    <w:p w14:paraId="7044FB31">
      <w:pPr>
        <w:pStyle w:val="105"/>
        <w:ind w:firstLine="480"/>
      </w:pPr>
      <w:r>
        <w:t>（2）《关于进一步贯彻落实&lt;畜禽规模养殖污染防治条例&gt;促进养殖废弃物综合利用加强污染防治的通知》（内农牧畜发［2016］228号），2016年7月6日；</w:t>
      </w:r>
    </w:p>
    <w:p w14:paraId="30D5F3CD">
      <w:pPr>
        <w:pStyle w:val="105"/>
        <w:ind w:firstLine="480"/>
      </w:pPr>
      <w:r>
        <w:t>（3）《内蒙古自治区“十四五”生态环境保护规划》（内政办发［2021］51号），2021年10月12日；</w:t>
      </w:r>
    </w:p>
    <w:p w14:paraId="46597913">
      <w:pPr>
        <w:pStyle w:val="105"/>
        <w:ind w:firstLine="480"/>
      </w:pPr>
      <w:r>
        <w:t>（4）《内蒙古自治区环保厅关于加强畜禽养殖项目环评管理工作的通知》（内环办［2017］398号），2017年11月6日；</w:t>
      </w:r>
    </w:p>
    <w:p w14:paraId="2FFC3683">
      <w:pPr>
        <w:pStyle w:val="105"/>
        <w:ind w:firstLine="480"/>
      </w:pPr>
      <w:r>
        <w:t>（5）《内蒙古自治区人民政府关于印发自治区国家重点生态功能区产业准入负面清单（试行）》（内政发［2018］11号），2018年3月12日；</w:t>
      </w:r>
    </w:p>
    <w:p w14:paraId="661893E3">
      <w:pPr>
        <w:pStyle w:val="105"/>
        <w:ind w:firstLine="480"/>
      </w:pPr>
      <w:r>
        <w:t>（6）《内蒙古自治区畜禽养殖主要污染物减排工程项目建设技术指南（试行）》，内环发［2014］83号），2014年3月；</w:t>
      </w:r>
    </w:p>
    <w:p w14:paraId="341AE525">
      <w:pPr>
        <w:pStyle w:val="105"/>
        <w:ind w:firstLine="480"/>
      </w:pPr>
      <w:r>
        <w:t>（7）《内蒙古自治区家畜家禽防疫实施办法》，内蒙古自治区人民政府令第80号；</w:t>
      </w:r>
    </w:p>
    <w:p w14:paraId="56228655">
      <w:pPr>
        <w:pStyle w:val="105"/>
        <w:ind w:firstLine="480"/>
      </w:pPr>
      <w:r>
        <w:t>（8）关于印发&lt;内蒙古自治区畜禽养殖主要污染物减排项目建设技术指南（试行）&gt;的通知》，内环发[2014]83号。</w:t>
      </w:r>
    </w:p>
    <w:p w14:paraId="737C9339">
      <w:pPr>
        <w:pStyle w:val="105"/>
        <w:ind w:firstLine="480"/>
      </w:pPr>
      <w:r>
        <w:t>（9）《内蒙古自治区经济和社会发展第四个五年规划和2035年远景规划纲要》，内蒙古自治区发展和改革委员会，2021年2月；</w:t>
      </w:r>
    </w:p>
    <w:p w14:paraId="5351910C">
      <w:pPr>
        <w:pStyle w:val="105"/>
        <w:ind w:firstLine="480"/>
      </w:pPr>
      <w:r>
        <w:t>（10）《鄂尔多斯市国民经济和社会发展第十四个五年规划和2035年远景目标纲要》，鄂尔多斯市人民政府，2021年3月</w:t>
      </w:r>
    </w:p>
    <w:p w14:paraId="5B530DAF">
      <w:pPr>
        <w:pStyle w:val="105"/>
        <w:ind w:firstLine="480"/>
      </w:pPr>
      <w:r>
        <w:t>（11）《鄂尔多斯市生态环境准入清单》，鄂尔多斯市生态环境局，2021年9月；</w:t>
      </w:r>
    </w:p>
    <w:p w14:paraId="7A56089B">
      <w:pPr>
        <w:pStyle w:val="11"/>
      </w:pPr>
      <w:bookmarkStart w:id="87" w:name="_Toc166572244"/>
      <w:r>
        <w:t>2.1.3技术规范性文件</w:t>
      </w:r>
      <w:bookmarkEnd w:id="87"/>
    </w:p>
    <w:p w14:paraId="32A716B8">
      <w:pPr>
        <w:pStyle w:val="105"/>
        <w:ind w:firstLine="480"/>
      </w:pPr>
      <w:r>
        <w:t>（1）《建设项目环境影响评价技术导则-总纲》（HJ2.1-2016）；</w:t>
      </w:r>
    </w:p>
    <w:p w14:paraId="68C4688D">
      <w:pPr>
        <w:pStyle w:val="105"/>
        <w:ind w:firstLine="480"/>
      </w:pPr>
      <w:r>
        <w:t>（2）《环境影响评价技术导则-大气环境》（HJ2.2-2018）；</w:t>
      </w:r>
    </w:p>
    <w:p w14:paraId="0CF4E206">
      <w:pPr>
        <w:pStyle w:val="105"/>
        <w:ind w:firstLine="480"/>
      </w:pPr>
      <w:r>
        <w:t>（3）《环境影响评价技术导则-地表水环境》（HJ2.3-2018）；</w:t>
      </w:r>
    </w:p>
    <w:p w14:paraId="0DB8D972">
      <w:pPr>
        <w:pStyle w:val="105"/>
        <w:ind w:firstLine="480"/>
      </w:pPr>
      <w:r>
        <w:t>（4）《环境影响评价技术导则-地下水环境》（HJ610-2016）；</w:t>
      </w:r>
    </w:p>
    <w:p w14:paraId="4EE69D61">
      <w:pPr>
        <w:pStyle w:val="105"/>
        <w:ind w:firstLine="480"/>
      </w:pPr>
      <w:r>
        <w:t>（5）《环境影响评价技术导则土壤环境（试行）》（HJ964-2018）；</w:t>
      </w:r>
    </w:p>
    <w:p w14:paraId="37AF5F2E">
      <w:pPr>
        <w:pStyle w:val="105"/>
        <w:ind w:firstLine="480"/>
      </w:pPr>
      <w:r>
        <w:t>（6）《环境影响评价技术导则-声环境》（HJ2.4-2021）；</w:t>
      </w:r>
    </w:p>
    <w:p w14:paraId="7EB90893">
      <w:pPr>
        <w:pStyle w:val="105"/>
        <w:ind w:firstLine="480"/>
      </w:pPr>
      <w:r>
        <w:t>（7）《环境影响评价技术导则-生态影响》（HJ 19-2022）；</w:t>
      </w:r>
    </w:p>
    <w:p w14:paraId="67B7A09D">
      <w:pPr>
        <w:pStyle w:val="105"/>
        <w:ind w:firstLine="480"/>
      </w:pPr>
      <w:r>
        <w:t>（8）《建设项目环境风险评价技术导则》（HJ169-2018）；</w:t>
      </w:r>
    </w:p>
    <w:p w14:paraId="49591BE8">
      <w:pPr>
        <w:pStyle w:val="105"/>
        <w:ind w:firstLine="480"/>
      </w:pPr>
      <w:r>
        <w:t>（9）《畜禽场环境污染控制技术规范》（NY/T1169-2006）；</w:t>
      </w:r>
    </w:p>
    <w:p w14:paraId="178071D3">
      <w:pPr>
        <w:pStyle w:val="105"/>
        <w:ind w:firstLine="480"/>
      </w:pPr>
      <w:r>
        <w:t>（10）《畜禽养殖业污染治理工程技术规范》（HJ497-2009）；</w:t>
      </w:r>
    </w:p>
    <w:p w14:paraId="475CBD6C">
      <w:pPr>
        <w:pStyle w:val="105"/>
        <w:ind w:firstLine="480"/>
      </w:pPr>
      <w:r>
        <w:t>（11）《畜禽养殖业污染防治技术规范》（HJ/T 81-2001）；</w:t>
      </w:r>
    </w:p>
    <w:p w14:paraId="228B4AEF">
      <w:pPr>
        <w:pStyle w:val="105"/>
        <w:ind w:firstLine="480"/>
      </w:pPr>
      <w:r>
        <w:t>（12）《畜禽养殖产地环境评价规范》（HJ568-2010）；</w:t>
      </w:r>
    </w:p>
    <w:p w14:paraId="29C6C864">
      <w:pPr>
        <w:pStyle w:val="105"/>
        <w:ind w:firstLine="480"/>
      </w:pPr>
      <w:r>
        <w:t>（13）《畜禽场环境质量评价准则》（GB/T19525.2-2004）；</w:t>
      </w:r>
    </w:p>
    <w:p w14:paraId="363214D7">
      <w:pPr>
        <w:pStyle w:val="105"/>
        <w:ind w:firstLine="480"/>
      </w:pPr>
      <w:r>
        <w:t>（14）《畜禽场环境质量及卫生控制规范》（NY/T1167-2006）；</w:t>
      </w:r>
    </w:p>
    <w:p w14:paraId="4C2FF4B9">
      <w:pPr>
        <w:pStyle w:val="105"/>
        <w:ind w:firstLine="480"/>
      </w:pPr>
      <w:r>
        <w:t>（15）《畜禽粪便无害化处理技术规范》（NY/T1168-2006）</w:t>
      </w:r>
    </w:p>
    <w:p w14:paraId="482A58BD">
      <w:pPr>
        <w:pStyle w:val="105"/>
        <w:ind w:firstLine="480"/>
      </w:pPr>
      <w:r>
        <w:rPr>
          <w:rFonts w:hint="eastAsia"/>
        </w:rPr>
        <w:t>（1</w:t>
      </w:r>
      <w:r>
        <w:t>6</w:t>
      </w:r>
      <w:r>
        <w:rPr>
          <w:rFonts w:hint="eastAsia"/>
        </w:rPr>
        <w:t>）《危险废物贮存污染控制标准》（GB18597-2023）</w:t>
      </w:r>
    </w:p>
    <w:p w14:paraId="0260709D">
      <w:pPr>
        <w:pStyle w:val="105"/>
        <w:ind w:firstLine="480"/>
      </w:pPr>
      <w:r>
        <w:rPr>
          <w:rFonts w:hint="eastAsia"/>
        </w:rPr>
        <w:t>（1</w:t>
      </w:r>
      <w:r>
        <w:t>7</w:t>
      </w:r>
      <w:r>
        <w:rPr>
          <w:rFonts w:hint="eastAsia"/>
        </w:rPr>
        <w:t>）《一般工业固体废物贮存和填埋污染控制标准》 (GB 18599-2020)</w:t>
      </w:r>
    </w:p>
    <w:p w14:paraId="78E79043">
      <w:pPr>
        <w:pStyle w:val="105"/>
        <w:ind w:firstLine="480"/>
      </w:pPr>
      <w:r>
        <w:rPr>
          <w:rFonts w:hint="eastAsia"/>
        </w:rPr>
        <w:t>（1</w:t>
      </w:r>
      <w:r>
        <w:t>8</w:t>
      </w:r>
      <w:r>
        <w:rPr>
          <w:rFonts w:hint="eastAsia"/>
        </w:rPr>
        <w:t>）《排污许可证申请与核发技术规范 畜禽养殖行业》（H</w:t>
      </w:r>
      <w:r>
        <w:t>J1029-2019</w:t>
      </w:r>
      <w:r>
        <w:rPr>
          <w:rFonts w:hint="eastAsia"/>
        </w:rPr>
        <w:t>）</w:t>
      </w:r>
    </w:p>
    <w:p w14:paraId="363A7B21">
      <w:pPr>
        <w:pStyle w:val="105"/>
        <w:ind w:firstLine="480"/>
      </w:pPr>
    </w:p>
    <w:p w14:paraId="5F6A1682">
      <w:pPr>
        <w:pStyle w:val="11"/>
      </w:pPr>
      <w:bookmarkStart w:id="88" w:name="_Toc166572245"/>
      <w:r>
        <w:t>2.1.4项目技术文件</w:t>
      </w:r>
      <w:bookmarkEnd w:id="88"/>
    </w:p>
    <w:p w14:paraId="6234D51A">
      <w:pPr>
        <w:pStyle w:val="105"/>
        <w:ind w:firstLine="480"/>
      </w:pPr>
      <w:r>
        <w:t>（1）《内蒙古华翔农林牧科技发展有限公司120万只蛋鸡项目可行性研究报告》；</w:t>
      </w:r>
    </w:p>
    <w:p w14:paraId="2B3DC0FC">
      <w:pPr>
        <w:pStyle w:val="105"/>
        <w:ind w:firstLine="480"/>
      </w:pPr>
      <w:r>
        <w:t>（2）建设单位提供的其他技术资料。</w:t>
      </w:r>
    </w:p>
    <w:p w14:paraId="055DCF93">
      <w:pPr>
        <w:pStyle w:val="10"/>
      </w:pPr>
      <w:bookmarkStart w:id="89" w:name="_Toc166572246"/>
      <w:r>
        <w:t>2.2评价目的</w:t>
      </w:r>
      <w:bookmarkEnd w:id="80"/>
      <w:r>
        <w:t>及原则</w:t>
      </w:r>
      <w:bookmarkEnd w:id="81"/>
      <w:bookmarkEnd w:id="82"/>
      <w:bookmarkEnd w:id="89"/>
    </w:p>
    <w:p w14:paraId="2BB63BEA">
      <w:pPr>
        <w:pStyle w:val="11"/>
      </w:pPr>
      <w:bookmarkStart w:id="90" w:name="_Toc386096358"/>
      <w:bookmarkStart w:id="91" w:name="_Toc166572247"/>
      <w:bookmarkStart w:id="92" w:name="_Toc468099250"/>
      <w:r>
        <w:t>2.2.1评价目的</w:t>
      </w:r>
      <w:bookmarkEnd w:id="90"/>
      <w:bookmarkEnd w:id="91"/>
      <w:bookmarkEnd w:id="92"/>
    </w:p>
    <w:p w14:paraId="3EACF1EC">
      <w:pPr>
        <w:pStyle w:val="105"/>
        <w:ind w:firstLine="480"/>
      </w:pPr>
      <w:bookmarkStart w:id="93" w:name="_Toc468099251"/>
      <w:bookmarkStart w:id="94" w:name="_Toc386096359"/>
      <w:r>
        <w:t>本项目属于新建项目，评价目的是通过对项目污染源、区域内自然和社会环境进行调查，对评价区内的环境质量现状进行评价；结合项目营运方式，确定项营运期对外环境存在的影响因子及污染物排放量；根据项目所在地的环境质量现状评价和工程产污特性，对项目产生的环境影响进行预测分析和评价；针对工程污染源，提出切实可行的污染防治措施、减缓措施，并进行技术、经济性论证；为项目的可靠实施、为主管部门决策和工程设计提供依据。</w:t>
      </w:r>
    </w:p>
    <w:p w14:paraId="2A197082">
      <w:pPr>
        <w:pStyle w:val="11"/>
      </w:pPr>
      <w:bookmarkStart w:id="95" w:name="_Toc166572248"/>
      <w:r>
        <w:t>2.2.2评价原则</w:t>
      </w:r>
      <w:bookmarkEnd w:id="93"/>
      <w:bookmarkEnd w:id="94"/>
      <w:bookmarkEnd w:id="95"/>
    </w:p>
    <w:p w14:paraId="34CE5AD8">
      <w:pPr>
        <w:pStyle w:val="105"/>
        <w:ind w:firstLine="480"/>
      </w:pPr>
      <w:r>
        <w:t>突出环境影响评价的源头预防作用，坚持保护和改善环境质量。</w:t>
      </w:r>
    </w:p>
    <w:p w14:paraId="2BFCDCFF">
      <w:pPr>
        <w:pStyle w:val="105"/>
        <w:ind w:firstLine="480"/>
      </w:pPr>
      <w:r>
        <w:t>（1）依法评价贯彻执行我国环境保护相关法律法规、标准、政策和规划等，优化项目建设，服务环境管理。</w:t>
      </w:r>
    </w:p>
    <w:p w14:paraId="39A90208">
      <w:pPr>
        <w:pStyle w:val="105"/>
        <w:ind w:firstLine="480"/>
      </w:pPr>
      <w:r>
        <w:t>（2）科学评价规范环境影响评价方法，科学分析项目建设对环境质量的影响。</w:t>
      </w:r>
    </w:p>
    <w:p w14:paraId="5F69C999">
      <w:pPr>
        <w:pStyle w:val="105"/>
        <w:ind w:firstLine="480"/>
      </w:pPr>
      <w:r>
        <w:t>（3）突出重点根据建设项目的工程内容及其特点，明确与环境要素间的作用效应关系，根据规划环境影响评价结论和审查意见，充分利用符合时效的数据资料及成果，对建设项目主要环境影响予以重点分析和评价。</w:t>
      </w:r>
      <w:bookmarkEnd w:id="83"/>
      <w:bookmarkEnd w:id="84"/>
      <w:bookmarkEnd w:id="85"/>
    </w:p>
    <w:p w14:paraId="1E028833">
      <w:pPr>
        <w:pStyle w:val="10"/>
      </w:pPr>
      <w:bookmarkStart w:id="96" w:name="_Toc9921"/>
      <w:bookmarkStart w:id="97" w:name="_Toc166572249"/>
      <w:bookmarkStart w:id="98" w:name="_Toc36234640"/>
      <w:r>
        <w:t>2.3</w:t>
      </w:r>
      <w:bookmarkEnd w:id="96"/>
      <w:r>
        <w:t>环境影响识别与评价因子筛选</w:t>
      </w:r>
      <w:bookmarkEnd w:id="97"/>
      <w:bookmarkEnd w:id="98"/>
    </w:p>
    <w:p w14:paraId="67FEF9C9">
      <w:pPr>
        <w:pStyle w:val="11"/>
      </w:pPr>
      <w:bookmarkStart w:id="99" w:name="_Toc331848930"/>
      <w:bookmarkStart w:id="100" w:name="_Toc336012424"/>
      <w:bookmarkStart w:id="101" w:name="_Toc331862329"/>
      <w:bookmarkStart w:id="102" w:name="_Toc166572250"/>
      <w:r>
        <w:t>2.3.1</w:t>
      </w:r>
      <w:bookmarkEnd w:id="99"/>
      <w:bookmarkEnd w:id="100"/>
      <w:bookmarkEnd w:id="101"/>
      <w:bookmarkStart w:id="103" w:name="_Toc331848931"/>
      <w:bookmarkStart w:id="104" w:name="_Toc331862330"/>
      <w:bookmarkStart w:id="105" w:name="_Toc336012425"/>
      <w:r>
        <w:t>环境影响因子识别</w:t>
      </w:r>
      <w:bookmarkEnd w:id="102"/>
      <w:bookmarkEnd w:id="103"/>
      <w:bookmarkEnd w:id="104"/>
      <w:bookmarkEnd w:id="105"/>
    </w:p>
    <w:p w14:paraId="146AF309">
      <w:pPr>
        <w:pStyle w:val="105"/>
        <w:ind w:firstLine="480"/>
      </w:pPr>
      <w:bookmarkStart w:id="106" w:name="_Toc336012426"/>
      <w:bookmarkStart w:id="107" w:name="_Toc331848932"/>
      <w:bookmarkStart w:id="108" w:name="_Toc331862331"/>
      <w:r>
        <w:t>根据生产运行期对环境影响分析及区域环境制约因素分析结果，环境影响因子识别矩阵一览表见表2.3-1所示。</w:t>
      </w:r>
    </w:p>
    <w:p w14:paraId="64293080">
      <w:pPr>
        <w:pStyle w:val="743"/>
        <w:rPr>
          <w:rFonts w:cs="Times New Roman"/>
        </w:rPr>
      </w:pPr>
      <w:r>
        <w:rPr>
          <w:rFonts w:cs="Times New Roman"/>
        </w:rPr>
        <w:t>表2.3-1本项目</w:t>
      </w:r>
      <w:r>
        <w:rPr>
          <w:rFonts w:hint="eastAsia" w:cs="Times New Roman"/>
        </w:rPr>
        <w:t>环境影响识别一览表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742"/>
        <w:gridCol w:w="758"/>
        <w:gridCol w:w="1005"/>
        <w:gridCol w:w="1005"/>
        <w:gridCol w:w="758"/>
        <w:gridCol w:w="758"/>
        <w:gridCol w:w="1250"/>
        <w:gridCol w:w="1254"/>
      </w:tblGrid>
      <w:tr w14:paraId="2348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restart"/>
            <w:vAlign w:val="center"/>
          </w:tcPr>
          <w:p w14:paraId="3375176F">
            <w:pPr>
              <w:pStyle w:val="357"/>
            </w:pPr>
            <w:r>
              <w:t>项目</w:t>
            </w:r>
          </w:p>
          <w:p w14:paraId="7C47D241">
            <w:pPr>
              <w:pStyle w:val="357"/>
            </w:pPr>
            <w:r>
              <w:t>阶段</w:t>
            </w:r>
          </w:p>
        </w:tc>
        <w:tc>
          <w:tcPr>
            <w:tcW w:w="938" w:type="pct"/>
            <w:vMerge w:val="restart"/>
            <w:vAlign w:val="center"/>
          </w:tcPr>
          <w:p w14:paraId="03440725">
            <w:pPr>
              <w:pStyle w:val="357"/>
            </w:pPr>
            <w:r>
              <w:t>污染因素</w:t>
            </w:r>
          </w:p>
        </w:tc>
        <w:tc>
          <w:tcPr>
            <w:tcW w:w="3653" w:type="pct"/>
            <w:gridSpan w:val="7"/>
            <w:vAlign w:val="center"/>
          </w:tcPr>
          <w:p w14:paraId="2F91750F">
            <w:pPr>
              <w:pStyle w:val="357"/>
            </w:pPr>
            <w:r>
              <w:t>环境要素</w:t>
            </w:r>
          </w:p>
        </w:tc>
      </w:tr>
      <w:tr w14:paraId="1421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0A75DB1F">
            <w:pPr>
              <w:pStyle w:val="357"/>
            </w:pPr>
          </w:p>
        </w:tc>
        <w:tc>
          <w:tcPr>
            <w:tcW w:w="938" w:type="pct"/>
            <w:vMerge w:val="continue"/>
            <w:vAlign w:val="center"/>
          </w:tcPr>
          <w:p w14:paraId="2EF02C2D">
            <w:pPr>
              <w:pStyle w:val="357"/>
            </w:pPr>
          </w:p>
        </w:tc>
        <w:tc>
          <w:tcPr>
            <w:tcW w:w="408" w:type="pct"/>
            <w:vAlign w:val="center"/>
          </w:tcPr>
          <w:p w14:paraId="2D662E36">
            <w:pPr>
              <w:pStyle w:val="357"/>
            </w:pPr>
            <w:r>
              <w:t>大气</w:t>
            </w:r>
          </w:p>
        </w:tc>
        <w:tc>
          <w:tcPr>
            <w:tcW w:w="541" w:type="pct"/>
            <w:vAlign w:val="center"/>
          </w:tcPr>
          <w:p w14:paraId="65A4FF6F">
            <w:pPr>
              <w:pStyle w:val="357"/>
            </w:pPr>
            <w:r>
              <w:t>地表水</w:t>
            </w:r>
          </w:p>
        </w:tc>
        <w:tc>
          <w:tcPr>
            <w:tcW w:w="541" w:type="pct"/>
            <w:vAlign w:val="center"/>
          </w:tcPr>
          <w:p w14:paraId="3F832F5B">
            <w:pPr>
              <w:pStyle w:val="357"/>
            </w:pPr>
            <w:r>
              <w:t>地下水</w:t>
            </w:r>
          </w:p>
        </w:tc>
        <w:tc>
          <w:tcPr>
            <w:tcW w:w="408" w:type="pct"/>
            <w:vAlign w:val="center"/>
          </w:tcPr>
          <w:p w14:paraId="04F31164">
            <w:pPr>
              <w:pStyle w:val="357"/>
            </w:pPr>
            <w:r>
              <w:rPr>
                <w:rFonts w:hint="eastAsia"/>
                <w:lang w:eastAsia="zh-CN"/>
              </w:rPr>
              <w:t>噪声</w:t>
            </w:r>
          </w:p>
        </w:tc>
        <w:tc>
          <w:tcPr>
            <w:tcW w:w="408" w:type="pct"/>
            <w:vAlign w:val="center"/>
          </w:tcPr>
          <w:p w14:paraId="41EB1981">
            <w:pPr>
              <w:pStyle w:val="357"/>
            </w:pPr>
            <w:r>
              <w:t>生态</w:t>
            </w:r>
          </w:p>
        </w:tc>
        <w:tc>
          <w:tcPr>
            <w:tcW w:w="673" w:type="pct"/>
            <w:vAlign w:val="center"/>
          </w:tcPr>
          <w:p w14:paraId="6C82E5B8">
            <w:pPr>
              <w:pStyle w:val="357"/>
            </w:pPr>
            <w:r>
              <w:t>水土流失</w:t>
            </w:r>
          </w:p>
        </w:tc>
        <w:tc>
          <w:tcPr>
            <w:tcW w:w="673" w:type="pct"/>
            <w:vAlign w:val="center"/>
          </w:tcPr>
          <w:p w14:paraId="59A63AA1">
            <w:pPr>
              <w:pStyle w:val="357"/>
            </w:pPr>
            <w:r>
              <w:t>居民生活</w:t>
            </w:r>
          </w:p>
        </w:tc>
      </w:tr>
      <w:tr w14:paraId="0918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restart"/>
            <w:vAlign w:val="center"/>
          </w:tcPr>
          <w:p w14:paraId="488EB73E">
            <w:pPr>
              <w:pStyle w:val="357"/>
            </w:pPr>
            <w:r>
              <w:t>施</w:t>
            </w:r>
          </w:p>
          <w:p w14:paraId="675F3108">
            <w:pPr>
              <w:pStyle w:val="357"/>
            </w:pPr>
            <w:r>
              <w:t>工</w:t>
            </w:r>
          </w:p>
          <w:p w14:paraId="667B2594">
            <w:pPr>
              <w:pStyle w:val="357"/>
            </w:pPr>
            <w:r>
              <w:t>期</w:t>
            </w:r>
          </w:p>
        </w:tc>
        <w:tc>
          <w:tcPr>
            <w:tcW w:w="938" w:type="pct"/>
            <w:vAlign w:val="center"/>
          </w:tcPr>
          <w:p w14:paraId="6917BAE4">
            <w:pPr>
              <w:pStyle w:val="357"/>
            </w:pPr>
            <w:r>
              <w:t>施工噪声</w:t>
            </w:r>
          </w:p>
        </w:tc>
        <w:tc>
          <w:tcPr>
            <w:tcW w:w="408" w:type="pct"/>
            <w:vAlign w:val="center"/>
          </w:tcPr>
          <w:p w14:paraId="26E42C3E">
            <w:pPr>
              <w:pStyle w:val="357"/>
              <w:rPr>
                <w:sz w:val="30"/>
                <w:szCs w:val="30"/>
              </w:rPr>
            </w:pPr>
            <w:r>
              <w:rPr>
                <w:sz w:val="30"/>
                <w:szCs w:val="30"/>
              </w:rPr>
              <w:t>○</w:t>
            </w:r>
          </w:p>
        </w:tc>
        <w:tc>
          <w:tcPr>
            <w:tcW w:w="541" w:type="pct"/>
            <w:vAlign w:val="center"/>
          </w:tcPr>
          <w:p w14:paraId="7BA154F5">
            <w:pPr>
              <w:pStyle w:val="357"/>
              <w:rPr>
                <w:sz w:val="30"/>
                <w:szCs w:val="30"/>
              </w:rPr>
            </w:pPr>
            <w:r>
              <w:rPr>
                <w:sz w:val="30"/>
                <w:szCs w:val="30"/>
              </w:rPr>
              <w:t>○</w:t>
            </w:r>
          </w:p>
        </w:tc>
        <w:tc>
          <w:tcPr>
            <w:tcW w:w="541" w:type="pct"/>
            <w:vAlign w:val="center"/>
          </w:tcPr>
          <w:p w14:paraId="342B03BD">
            <w:pPr>
              <w:pStyle w:val="357"/>
              <w:rPr>
                <w:sz w:val="30"/>
                <w:szCs w:val="30"/>
              </w:rPr>
            </w:pPr>
            <w:r>
              <w:rPr>
                <w:sz w:val="30"/>
                <w:szCs w:val="30"/>
              </w:rPr>
              <w:t>○</w:t>
            </w:r>
          </w:p>
        </w:tc>
        <w:tc>
          <w:tcPr>
            <w:tcW w:w="408" w:type="pct"/>
            <w:vAlign w:val="center"/>
          </w:tcPr>
          <w:p w14:paraId="5B6BBB65">
            <w:pPr>
              <w:pStyle w:val="357"/>
              <w:rPr>
                <w:szCs w:val="24"/>
              </w:rPr>
            </w:pPr>
            <w:r>
              <w:rPr>
                <w:sz w:val="30"/>
                <w:szCs w:val="30"/>
              </w:rPr>
              <w:t>♦</w:t>
            </w:r>
            <w:r>
              <w:rPr>
                <w:szCs w:val="24"/>
              </w:rPr>
              <w:t>S</w:t>
            </w:r>
          </w:p>
        </w:tc>
        <w:tc>
          <w:tcPr>
            <w:tcW w:w="408" w:type="pct"/>
            <w:vAlign w:val="center"/>
          </w:tcPr>
          <w:p w14:paraId="2EC3F0A9">
            <w:pPr>
              <w:pStyle w:val="357"/>
              <w:rPr>
                <w:szCs w:val="24"/>
              </w:rPr>
            </w:pPr>
            <w:r>
              <w:rPr>
                <w:rFonts w:hint="eastAsia" w:ascii="宋体" w:hAnsi="宋体" w:cs="宋体"/>
                <w:szCs w:val="24"/>
              </w:rPr>
              <w:t>△</w:t>
            </w:r>
            <w:r>
              <w:rPr>
                <w:szCs w:val="24"/>
              </w:rPr>
              <w:t>S</w:t>
            </w:r>
          </w:p>
        </w:tc>
        <w:tc>
          <w:tcPr>
            <w:tcW w:w="673" w:type="pct"/>
            <w:vAlign w:val="center"/>
          </w:tcPr>
          <w:p w14:paraId="1773097E">
            <w:pPr>
              <w:pStyle w:val="357"/>
              <w:rPr>
                <w:sz w:val="30"/>
                <w:szCs w:val="30"/>
              </w:rPr>
            </w:pPr>
            <w:r>
              <w:rPr>
                <w:sz w:val="30"/>
                <w:szCs w:val="30"/>
              </w:rPr>
              <w:t>○</w:t>
            </w:r>
          </w:p>
        </w:tc>
        <w:tc>
          <w:tcPr>
            <w:tcW w:w="673" w:type="pct"/>
            <w:vAlign w:val="center"/>
          </w:tcPr>
          <w:p w14:paraId="79D4E0AA">
            <w:pPr>
              <w:pStyle w:val="357"/>
              <w:rPr>
                <w:sz w:val="30"/>
                <w:szCs w:val="30"/>
              </w:rPr>
            </w:pPr>
            <w:r>
              <w:rPr>
                <w:sz w:val="30"/>
                <w:szCs w:val="30"/>
              </w:rPr>
              <w:t>○</w:t>
            </w:r>
          </w:p>
        </w:tc>
      </w:tr>
      <w:tr w14:paraId="5456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316B58D0">
            <w:pPr>
              <w:pStyle w:val="357"/>
            </w:pPr>
          </w:p>
        </w:tc>
        <w:tc>
          <w:tcPr>
            <w:tcW w:w="938" w:type="pct"/>
            <w:vAlign w:val="center"/>
          </w:tcPr>
          <w:p w14:paraId="7F785BA8">
            <w:pPr>
              <w:pStyle w:val="357"/>
            </w:pPr>
            <w:r>
              <w:t>扬尘</w:t>
            </w:r>
          </w:p>
        </w:tc>
        <w:tc>
          <w:tcPr>
            <w:tcW w:w="408" w:type="pct"/>
            <w:vAlign w:val="center"/>
          </w:tcPr>
          <w:p w14:paraId="70DC7936">
            <w:pPr>
              <w:pStyle w:val="357"/>
              <w:rPr>
                <w:szCs w:val="24"/>
              </w:rPr>
            </w:pPr>
            <w:r>
              <w:rPr>
                <w:sz w:val="30"/>
                <w:szCs w:val="30"/>
              </w:rPr>
              <w:t>♦</w:t>
            </w:r>
            <w:r>
              <w:rPr>
                <w:szCs w:val="24"/>
              </w:rPr>
              <w:t>S</w:t>
            </w:r>
          </w:p>
        </w:tc>
        <w:tc>
          <w:tcPr>
            <w:tcW w:w="541" w:type="pct"/>
            <w:vAlign w:val="center"/>
          </w:tcPr>
          <w:p w14:paraId="67AE18D6">
            <w:pPr>
              <w:pStyle w:val="357"/>
              <w:rPr>
                <w:sz w:val="30"/>
                <w:szCs w:val="30"/>
              </w:rPr>
            </w:pPr>
            <w:r>
              <w:rPr>
                <w:sz w:val="30"/>
                <w:szCs w:val="30"/>
              </w:rPr>
              <w:t>○</w:t>
            </w:r>
          </w:p>
        </w:tc>
        <w:tc>
          <w:tcPr>
            <w:tcW w:w="541" w:type="pct"/>
            <w:vAlign w:val="center"/>
          </w:tcPr>
          <w:p w14:paraId="68679E5C">
            <w:pPr>
              <w:pStyle w:val="357"/>
              <w:rPr>
                <w:sz w:val="30"/>
                <w:szCs w:val="30"/>
              </w:rPr>
            </w:pPr>
            <w:r>
              <w:rPr>
                <w:sz w:val="30"/>
                <w:szCs w:val="30"/>
              </w:rPr>
              <w:t>○</w:t>
            </w:r>
          </w:p>
        </w:tc>
        <w:tc>
          <w:tcPr>
            <w:tcW w:w="408" w:type="pct"/>
            <w:vAlign w:val="center"/>
          </w:tcPr>
          <w:p w14:paraId="00D3EF74">
            <w:pPr>
              <w:pStyle w:val="357"/>
              <w:rPr>
                <w:sz w:val="30"/>
                <w:szCs w:val="30"/>
              </w:rPr>
            </w:pPr>
            <w:r>
              <w:rPr>
                <w:sz w:val="30"/>
                <w:szCs w:val="30"/>
              </w:rPr>
              <w:t>○</w:t>
            </w:r>
          </w:p>
        </w:tc>
        <w:tc>
          <w:tcPr>
            <w:tcW w:w="408" w:type="pct"/>
            <w:vAlign w:val="center"/>
          </w:tcPr>
          <w:p w14:paraId="4B27F823">
            <w:pPr>
              <w:pStyle w:val="357"/>
              <w:rPr>
                <w:sz w:val="30"/>
                <w:szCs w:val="30"/>
              </w:rPr>
            </w:pPr>
            <w:r>
              <w:rPr>
                <w:sz w:val="30"/>
                <w:szCs w:val="30"/>
              </w:rPr>
              <w:t>○</w:t>
            </w:r>
          </w:p>
        </w:tc>
        <w:tc>
          <w:tcPr>
            <w:tcW w:w="673" w:type="pct"/>
            <w:vAlign w:val="center"/>
          </w:tcPr>
          <w:p w14:paraId="08C0F812">
            <w:pPr>
              <w:pStyle w:val="357"/>
              <w:rPr>
                <w:szCs w:val="24"/>
              </w:rPr>
            </w:pPr>
            <w:r>
              <w:rPr>
                <w:rFonts w:hint="eastAsia" w:ascii="宋体" w:hAnsi="宋体" w:cs="宋体"/>
                <w:szCs w:val="24"/>
              </w:rPr>
              <w:t>△</w:t>
            </w:r>
            <w:r>
              <w:rPr>
                <w:szCs w:val="24"/>
              </w:rPr>
              <w:t>S</w:t>
            </w:r>
          </w:p>
        </w:tc>
        <w:tc>
          <w:tcPr>
            <w:tcW w:w="673" w:type="pct"/>
            <w:vAlign w:val="center"/>
          </w:tcPr>
          <w:p w14:paraId="44150AED">
            <w:pPr>
              <w:pStyle w:val="357"/>
              <w:rPr>
                <w:sz w:val="30"/>
                <w:szCs w:val="30"/>
              </w:rPr>
            </w:pPr>
            <w:r>
              <w:rPr>
                <w:sz w:val="30"/>
                <w:szCs w:val="30"/>
              </w:rPr>
              <w:t>○</w:t>
            </w:r>
          </w:p>
        </w:tc>
      </w:tr>
      <w:tr w14:paraId="3BC3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504F0F10">
            <w:pPr>
              <w:pStyle w:val="357"/>
            </w:pPr>
          </w:p>
        </w:tc>
        <w:tc>
          <w:tcPr>
            <w:tcW w:w="938" w:type="pct"/>
            <w:vAlign w:val="center"/>
          </w:tcPr>
          <w:p w14:paraId="6A1DF3B3">
            <w:pPr>
              <w:pStyle w:val="357"/>
            </w:pPr>
            <w:r>
              <w:t>施工废水</w:t>
            </w:r>
          </w:p>
        </w:tc>
        <w:tc>
          <w:tcPr>
            <w:tcW w:w="408" w:type="pct"/>
            <w:vAlign w:val="center"/>
          </w:tcPr>
          <w:p w14:paraId="1EEDE122">
            <w:pPr>
              <w:pStyle w:val="357"/>
              <w:rPr>
                <w:szCs w:val="24"/>
              </w:rPr>
            </w:pPr>
            <w:r>
              <w:rPr>
                <w:rFonts w:hint="eastAsia" w:ascii="宋体" w:hAnsi="宋体" w:cs="宋体"/>
                <w:szCs w:val="24"/>
              </w:rPr>
              <w:t>△</w:t>
            </w:r>
            <w:r>
              <w:rPr>
                <w:szCs w:val="24"/>
              </w:rPr>
              <w:t>S</w:t>
            </w:r>
          </w:p>
        </w:tc>
        <w:tc>
          <w:tcPr>
            <w:tcW w:w="541" w:type="pct"/>
            <w:vAlign w:val="center"/>
          </w:tcPr>
          <w:p w14:paraId="4966F5AF">
            <w:pPr>
              <w:pStyle w:val="357"/>
              <w:rPr>
                <w:szCs w:val="24"/>
              </w:rPr>
            </w:pPr>
            <w:r>
              <w:rPr>
                <w:rFonts w:hint="eastAsia" w:ascii="宋体" w:hAnsi="宋体" w:cs="宋体"/>
                <w:szCs w:val="24"/>
              </w:rPr>
              <w:t>△</w:t>
            </w:r>
            <w:r>
              <w:rPr>
                <w:szCs w:val="24"/>
              </w:rPr>
              <w:t>S</w:t>
            </w:r>
          </w:p>
        </w:tc>
        <w:tc>
          <w:tcPr>
            <w:tcW w:w="541" w:type="pct"/>
            <w:vAlign w:val="center"/>
          </w:tcPr>
          <w:p w14:paraId="373C11E4">
            <w:pPr>
              <w:pStyle w:val="357"/>
              <w:rPr>
                <w:sz w:val="30"/>
                <w:szCs w:val="30"/>
              </w:rPr>
            </w:pPr>
            <w:r>
              <w:rPr>
                <w:sz w:val="30"/>
                <w:szCs w:val="30"/>
              </w:rPr>
              <w:t>○</w:t>
            </w:r>
          </w:p>
        </w:tc>
        <w:tc>
          <w:tcPr>
            <w:tcW w:w="408" w:type="pct"/>
            <w:vAlign w:val="center"/>
          </w:tcPr>
          <w:p w14:paraId="632BEF3C">
            <w:pPr>
              <w:pStyle w:val="357"/>
              <w:rPr>
                <w:sz w:val="30"/>
                <w:szCs w:val="30"/>
              </w:rPr>
            </w:pPr>
            <w:r>
              <w:rPr>
                <w:sz w:val="30"/>
                <w:szCs w:val="30"/>
              </w:rPr>
              <w:t>○</w:t>
            </w:r>
          </w:p>
        </w:tc>
        <w:tc>
          <w:tcPr>
            <w:tcW w:w="408" w:type="pct"/>
            <w:vAlign w:val="center"/>
          </w:tcPr>
          <w:p w14:paraId="07AD18FC">
            <w:pPr>
              <w:pStyle w:val="357"/>
              <w:rPr>
                <w:szCs w:val="24"/>
              </w:rPr>
            </w:pPr>
            <w:r>
              <w:rPr>
                <w:rFonts w:hint="eastAsia" w:ascii="宋体" w:hAnsi="宋体" w:cs="宋体"/>
                <w:szCs w:val="24"/>
              </w:rPr>
              <w:t>△</w:t>
            </w:r>
            <w:r>
              <w:rPr>
                <w:szCs w:val="24"/>
              </w:rPr>
              <w:t>S</w:t>
            </w:r>
          </w:p>
        </w:tc>
        <w:tc>
          <w:tcPr>
            <w:tcW w:w="673" w:type="pct"/>
            <w:vAlign w:val="center"/>
          </w:tcPr>
          <w:p w14:paraId="4837FA0B">
            <w:pPr>
              <w:pStyle w:val="357"/>
              <w:rPr>
                <w:szCs w:val="24"/>
              </w:rPr>
            </w:pPr>
            <w:r>
              <w:rPr>
                <w:rFonts w:hint="eastAsia" w:ascii="宋体" w:hAnsi="宋体" w:cs="宋体"/>
                <w:szCs w:val="24"/>
              </w:rPr>
              <w:t>△</w:t>
            </w:r>
            <w:r>
              <w:rPr>
                <w:szCs w:val="24"/>
              </w:rPr>
              <w:t>S</w:t>
            </w:r>
          </w:p>
        </w:tc>
        <w:tc>
          <w:tcPr>
            <w:tcW w:w="673" w:type="pct"/>
            <w:vAlign w:val="center"/>
          </w:tcPr>
          <w:p w14:paraId="308EB3FA">
            <w:pPr>
              <w:pStyle w:val="357"/>
              <w:rPr>
                <w:sz w:val="30"/>
                <w:szCs w:val="30"/>
              </w:rPr>
            </w:pPr>
            <w:r>
              <w:rPr>
                <w:sz w:val="30"/>
                <w:szCs w:val="30"/>
              </w:rPr>
              <w:t>○</w:t>
            </w:r>
          </w:p>
        </w:tc>
      </w:tr>
      <w:tr w14:paraId="5B08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10FD39DC">
            <w:pPr>
              <w:pStyle w:val="357"/>
            </w:pPr>
          </w:p>
        </w:tc>
        <w:tc>
          <w:tcPr>
            <w:tcW w:w="938" w:type="pct"/>
            <w:vAlign w:val="center"/>
          </w:tcPr>
          <w:p w14:paraId="1234746A">
            <w:pPr>
              <w:pStyle w:val="357"/>
            </w:pPr>
            <w:r>
              <w:t>车辆运输</w:t>
            </w:r>
          </w:p>
        </w:tc>
        <w:tc>
          <w:tcPr>
            <w:tcW w:w="408" w:type="pct"/>
            <w:vAlign w:val="center"/>
          </w:tcPr>
          <w:p w14:paraId="7B71DF0D">
            <w:pPr>
              <w:pStyle w:val="357"/>
              <w:rPr>
                <w:szCs w:val="24"/>
              </w:rPr>
            </w:pPr>
            <w:r>
              <w:rPr>
                <w:szCs w:val="24"/>
              </w:rPr>
              <w:t>▲S</w:t>
            </w:r>
          </w:p>
        </w:tc>
        <w:tc>
          <w:tcPr>
            <w:tcW w:w="541" w:type="pct"/>
            <w:vAlign w:val="center"/>
          </w:tcPr>
          <w:p w14:paraId="56AB20C3">
            <w:pPr>
              <w:pStyle w:val="357"/>
              <w:rPr>
                <w:sz w:val="30"/>
                <w:szCs w:val="30"/>
              </w:rPr>
            </w:pPr>
            <w:r>
              <w:rPr>
                <w:sz w:val="30"/>
                <w:szCs w:val="30"/>
              </w:rPr>
              <w:t>○</w:t>
            </w:r>
          </w:p>
        </w:tc>
        <w:tc>
          <w:tcPr>
            <w:tcW w:w="541" w:type="pct"/>
            <w:vAlign w:val="center"/>
          </w:tcPr>
          <w:p w14:paraId="3436EB4E">
            <w:pPr>
              <w:pStyle w:val="357"/>
              <w:rPr>
                <w:sz w:val="30"/>
                <w:szCs w:val="30"/>
              </w:rPr>
            </w:pPr>
            <w:r>
              <w:rPr>
                <w:sz w:val="30"/>
                <w:szCs w:val="30"/>
              </w:rPr>
              <w:t>○</w:t>
            </w:r>
          </w:p>
        </w:tc>
        <w:tc>
          <w:tcPr>
            <w:tcW w:w="408" w:type="pct"/>
            <w:vAlign w:val="center"/>
          </w:tcPr>
          <w:p w14:paraId="289C0941">
            <w:pPr>
              <w:pStyle w:val="357"/>
              <w:rPr>
                <w:szCs w:val="24"/>
              </w:rPr>
            </w:pPr>
            <w:r>
              <w:rPr>
                <w:szCs w:val="24"/>
              </w:rPr>
              <w:t>▲S</w:t>
            </w:r>
          </w:p>
        </w:tc>
        <w:tc>
          <w:tcPr>
            <w:tcW w:w="408" w:type="pct"/>
            <w:vAlign w:val="center"/>
          </w:tcPr>
          <w:p w14:paraId="4EB6C200">
            <w:pPr>
              <w:pStyle w:val="357"/>
              <w:rPr>
                <w:szCs w:val="24"/>
              </w:rPr>
            </w:pPr>
            <w:r>
              <w:rPr>
                <w:rFonts w:hint="eastAsia" w:ascii="宋体" w:hAnsi="宋体" w:cs="宋体"/>
                <w:szCs w:val="24"/>
              </w:rPr>
              <w:t>△</w:t>
            </w:r>
            <w:r>
              <w:rPr>
                <w:szCs w:val="24"/>
              </w:rPr>
              <w:t>S</w:t>
            </w:r>
          </w:p>
        </w:tc>
        <w:tc>
          <w:tcPr>
            <w:tcW w:w="673" w:type="pct"/>
            <w:vAlign w:val="center"/>
          </w:tcPr>
          <w:p w14:paraId="19EEDF9F">
            <w:pPr>
              <w:pStyle w:val="357"/>
              <w:rPr>
                <w:szCs w:val="24"/>
              </w:rPr>
            </w:pPr>
            <w:r>
              <w:rPr>
                <w:rFonts w:hint="eastAsia" w:ascii="宋体" w:hAnsi="宋体" w:cs="宋体"/>
                <w:szCs w:val="24"/>
              </w:rPr>
              <w:t>△</w:t>
            </w:r>
            <w:r>
              <w:rPr>
                <w:szCs w:val="24"/>
              </w:rPr>
              <w:t>S</w:t>
            </w:r>
          </w:p>
        </w:tc>
        <w:tc>
          <w:tcPr>
            <w:tcW w:w="673" w:type="pct"/>
            <w:vAlign w:val="center"/>
          </w:tcPr>
          <w:p w14:paraId="56BF234F">
            <w:pPr>
              <w:pStyle w:val="357"/>
              <w:rPr>
                <w:szCs w:val="24"/>
              </w:rPr>
            </w:pPr>
            <w:r>
              <w:rPr>
                <w:szCs w:val="24"/>
              </w:rPr>
              <w:t>▲S</w:t>
            </w:r>
          </w:p>
        </w:tc>
      </w:tr>
      <w:tr w14:paraId="5538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37616456">
            <w:pPr>
              <w:pStyle w:val="357"/>
            </w:pPr>
          </w:p>
        </w:tc>
        <w:tc>
          <w:tcPr>
            <w:tcW w:w="938" w:type="pct"/>
            <w:vAlign w:val="center"/>
          </w:tcPr>
          <w:p w14:paraId="3394F168">
            <w:pPr>
              <w:pStyle w:val="357"/>
            </w:pPr>
            <w:r>
              <w:t>路管工程</w:t>
            </w:r>
          </w:p>
        </w:tc>
        <w:tc>
          <w:tcPr>
            <w:tcW w:w="408" w:type="pct"/>
            <w:vAlign w:val="center"/>
          </w:tcPr>
          <w:p w14:paraId="38891ABE">
            <w:pPr>
              <w:pStyle w:val="357"/>
              <w:rPr>
                <w:sz w:val="30"/>
                <w:szCs w:val="30"/>
              </w:rPr>
            </w:pPr>
            <w:r>
              <w:rPr>
                <w:sz w:val="30"/>
                <w:szCs w:val="30"/>
              </w:rPr>
              <w:t>○</w:t>
            </w:r>
          </w:p>
        </w:tc>
        <w:tc>
          <w:tcPr>
            <w:tcW w:w="541" w:type="pct"/>
            <w:vAlign w:val="center"/>
          </w:tcPr>
          <w:p w14:paraId="501AD6CE">
            <w:pPr>
              <w:pStyle w:val="357"/>
              <w:rPr>
                <w:sz w:val="30"/>
                <w:szCs w:val="30"/>
              </w:rPr>
            </w:pPr>
            <w:r>
              <w:rPr>
                <w:sz w:val="30"/>
                <w:szCs w:val="30"/>
              </w:rPr>
              <w:t>○</w:t>
            </w:r>
          </w:p>
        </w:tc>
        <w:tc>
          <w:tcPr>
            <w:tcW w:w="541" w:type="pct"/>
            <w:vAlign w:val="center"/>
          </w:tcPr>
          <w:p w14:paraId="053C1273">
            <w:pPr>
              <w:pStyle w:val="357"/>
              <w:rPr>
                <w:sz w:val="30"/>
                <w:szCs w:val="30"/>
              </w:rPr>
            </w:pPr>
            <w:r>
              <w:rPr>
                <w:sz w:val="30"/>
                <w:szCs w:val="30"/>
              </w:rPr>
              <w:t>○</w:t>
            </w:r>
          </w:p>
        </w:tc>
        <w:tc>
          <w:tcPr>
            <w:tcW w:w="408" w:type="pct"/>
            <w:vAlign w:val="center"/>
          </w:tcPr>
          <w:p w14:paraId="3B3D1CD8">
            <w:pPr>
              <w:pStyle w:val="357"/>
              <w:rPr>
                <w:szCs w:val="24"/>
              </w:rPr>
            </w:pPr>
            <w:r>
              <w:rPr>
                <w:szCs w:val="24"/>
              </w:rPr>
              <w:t>▲S</w:t>
            </w:r>
          </w:p>
        </w:tc>
        <w:tc>
          <w:tcPr>
            <w:tcW w:w="408" w:type="pct"/>
            <w:vAlign w:val="center"/>
          </w:tcPr>
          <w:p w14:paraId="086F9CEA">
            <w:pPr>
              <w:pStyle w:val="357"/>
              <w:rPr>
                <w:szCs w:val="24"/>
              </w:rPr>
            </w:pPr>
            <w:r>
              <w:rPr>
                <w:szCs w:val="24"/>
              </w:rPr>
              <w:t>▲S</w:t>
            </w:r>
          </w:p>
        </w:tc>
        <w:tc>
          <w:tcPr>
            <w:tcW w:w="673" w:type="pct"/>
            <w:vAlign w:val="center"/>
          </w:tcPr>
          <w:p w14:paraId="2AC6C4EB">
            <w:pPr>
              <w:pStyle w:val="357"/>
              <w:rPr>
                <w:szCs w:val="24"/>
              </w:rPr>
            </w:pPr>
            <w:r>
              <w:rPr>
                <w:szCs w:val="24"/>
              </w:rPr>
              <w:t>▲S</w:t>
            </w:r>
          </w:p>
        </w:tc>
        <w:tc>
          <w:tcPr>
            <w:tcW w:w="673" w:type="pct"/>
            <w:vAlign w:val="center"/>
          </w:tcPr>
          <w:p w14:paraId="0F409C9A">
            <w:pPr>
              <w:pStyle w:val="357"/>
              <w:rPr>
                <w:szCs w:val="24"/>
              </w:rPr>
            </w:pPr>
            <w:r>
              <w:rPr>
                <w:szCs w:val="24"/>
              </w:rPr>
              <w:t>▲S</w:t>
            </w:r>
          </w:p>
        </w:tc>
      </w:tr>
      <w:tr w14:paraId="0619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restart"/>
            <w:vAlign w:val="center"/>
          </w:tcPr>
          <w:p w14:paraId="7E719E24">
            <w:pPr>
              <w:pStyle w:val="357"/>
            </w:pPr>
            <w:r>
              <w:t>运</w:t>
            </w:r>
          </w:p>
          <w:p w14:paraId="078E331E">
            <w:pPr>
              <w:pStyle w:val="357"/>
            </w:pPr>
            <w:r>
              <w:t>行</w:t>
            </w:r>
          </w:p>
          <w:p w14:paraId="0DA36E85">
            <w:pPr>
              <w:pStyle w:val="357"/>
            </w:pPr>
            <w:r>
              <w:t>期</w:t>
            </w:r>
          </w:p>
        </w:tc>
        <w:tc>
          <w:tcPr>
            <w:tcW w:w="938" w:type="pct"/>
            <w:vAlign w:val="center"/>
          </w:tcPr>
          <w:p w14:paraId="5CDBEA01">
            <w:pPr>
              <w:pStyle w:val="357"/>
            </w:pPr>
            <w:r>
              <w:t>养殖废水</w:t>
            </w:r>
          </w:p>
        </w:tc>
        <w:tc>
          <w:tcPr>
            <w:tcW w:w="408" w:type="pct"/>
            <w:vAlign w:val="center"/>
          </w:tcPr>
          <w:p w14:paraId="63A6766D">
            <w:pPr>
              <w:pStyle w:val="357"/>
              <w:rPr>
                <w:sz w:val="30"/>
                <w:szCs w:val="30"/>
              </w:rPr>
            </w:pPr>
            <w:r>
              <w:rPr>
                <w:sz w:val="30"/>
                <w:szCs w:val="30"/>
              </w:rPr>
              <w:t>○</w:t>
            </w:r>
          </w:p>
        </w:tc>
        <w:tc>
          <w:tcPr>
            <w:tcW w:w="541" w:type="pct"/>
            <w:vAlign w:val="center"/>
          </w:tcPr>
          <w:p w14:paraId="78B492D5">
            <w:pPr>
              <w:pStyle w:val="357"/>
              <w:rPr>
                <w:szCs w:val="24"/>
              </w:rPr>
            </w:pPr>
            <w:r>
              <w:rPr>
                <w:rFonts w:hint="eastAsia" w:ascii="宋体" w:hAnsi="宋体" w:cs="宋体"/>
                <w:szCs w:val="24"/>
              </w:rPr>
              <w:t>△</w:t>
            </w:r>
            <w:r>
              <w:rPr>
                <w:szCs w:val="24"/>
              </w:rPr>
              <w:t>L</w:t>
            </w:r>
          </w:p>
        </w:tc>
        <w:tc>
          <w:tcPr>
            <w:tcW w:w="541" w:type="pct"/>
            <w:vAlign w:val="center"/>
          </w:tcPr>
          <w:p w14:paraId="1F374D60">
            <w:pPr>
              <w:pStyle w:val="357"/>
              <w:rPr>
                <w:szCs w:val="24"/>
              </w:rPr>
            </w:pPr>
            <w:r>
              <w:rPr>
                <w:rFonts w:hint="eastAsia" w:ascii="宋体" w:hAnsi="宋体" w:cs="宋体"/>
                <w:szCs w:val="24"/>
              </w:rPr>
              <w:t>△</w:t>
            </w:r>
            <w:r>
              <w:rPr>
                <w:szCs w:val="24"/>
              </w:rPr>
              <w:t>L</w:t>
            </w:r>
          </w:p>
        </w:tc>
        <w:tc>
          <w:tcPr>
            <w:tcW w:w="408" w:type="pct"/>
            <w:vAlign w:val="center"/>
          </w:tcPr>
          <w:p w14:paraId="58CEC49B">
            <w:pPr>
              <w:pStyle w:val="357"/>
              <w:rPr>
                <w:szCs w:val="24"/>
              </w:rPr>
            </w:pPr>
          </w:p>
        </w:tc>
        <w:tc>
          <w:tcPr>
            <w:tcW w:w="408" w:type="pct"/>
            <w:vAlign w:val="center"/>
          </w:tcPr>
          <w:p w14:paraId="240CF941">
            <w:pPr>
              <w:pStyle w:val="357"/>
              <w:rPr>
                <w:szCs w:val="24"/>
              </w:rPr>
            </w:pPr>
            <w:r>
              <w:rPr>
                <w:rFonts w:hint="eastAsia" w:ascii="宋体" w:hAnsi="宋体" w:cs="宋体"/>
                <w:szCs w:val="24"/>
              </w:rPr>
              <w:t>△</w:t>
            </w:r>
            <w:r>
              <w:rPr>
                <w:szCs w:val="24"/>
              </w:rPr>
              <w:t>L</w:t>
            </w:r>
          </w:p>
        </w:tc>
        <w:tc>
          <w:tcPr>
            <w:tcW w:w="673" w:type="pct"/>
            <w:vAlign w:val="center"/>
          </w:tcPr>
          <w:p w14:paraId="18B9CD15">
            <w:pPr>
              <w:pStyle w:val="357"/>
              <w:rPr>
                <w:szCs w:val="24"/>
              </w:rPr>
            </w:pPr>
            <w:r>
              <w:rPr>
                <w:rFonts w:hint="eastAsia" w:ascii="宋体" w:hAnsi="宋体" w:cs="宋体"/>
                <w:szCs w:val="24"/>
              </w:rPr>
              <w:t>△</w:t>
            </w:r>
            <w:r>
              <w:rPr>
                <w:szCs w:val="24"/>
              </w:rPr>
              <w:t>L</w:t>
            </w:r>
          </w:p>
        </w:tc>
        <w:tc>
          <w:tcPr>
            <w:tcW w:w="673" w:type="pct"/>
            <w:vAlign w:val="center"/>
          </w:tcPr>
          <w:p w14:paraId="74FB2CAE">
            <w:pPr>
              <w:pStyle w:val="357"/>
              <w:rPr>
                <w:sz w:val="30"/>
                <w:szCs w:val="30"/>
              </w:rPr>
            </w:pPr>
            <w:r>
              <w:rPr>
                <w:sz w:val="30"/>
                <w:szCs w:val="30"/>
              </w:rPr>
              <w:t>○</w:t>
            </w:r>
          </w:p>
        </w:tc>
      </w:tr>
      <w:tr w14:paraId="1EDF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39FAA062">
            <w:pPr>
              <w:pStyle w:val="357"/>
            </w:pPr>
          </w:p>
        </w:tc>
        <w:tc>
          <w:tcPr>
            <w:tcW w:w="938" w:type="pct"/>
            <w:vAlign w:val="center"/>
          </w:tcPr>
          <w:p w14:paraId="0A438B06">
            <w:pPr>
              <w:pStyle w:val="357"/>
            </w:pPr>
            <w:r>
              <w:t>恶臭</w:t>
            </w:r>
          </w:p>
        </w:tc>
        <w:tc>
          <w:tcPr>
            <w:tcW w:w="408" w:type="pct"/>
            <w:vAlign w:val="center"/>
          </w:tcPr>
          <w:p w14:paraId="67BEB269">
            <w:pPr>
              <w:pStyle w:val="357"/>
              <w:rPr>
                <w:szCs w:val="24"/>
              </w:rPr>
            </w:pPr>
            <w:r>
              <w:rPr>
                <w:szCs w:val="24"/>
              </w:rPr>
              <w:t>▲L</w:t>
            </w:r>
          </w:p>
        </w:tc>
        <w:tc>
          <w:tcPr>
            <w:tcW w:w="541" w:type="pct"/>
            <w:vAlign w:val="center"/>
          </w:tcPr>
          <w:p w14:paraId="423ACB4E">
            <w:pPr>
              <w:pStyle w:val="357"/>
              <w:rPr>
                <w:sz w:val="30"/>
                <w:szCs w:val="30"/>
              </w:rPr>
            </w:pPr>
            <w:r>
              <w:rPr>
                <w:sz w:val="30"/>
                <w:szCs w:val="30"/>
              </w:rPr>
              <w:t>○</w:t>
            </w:r>
          </w:p>
        </w:tc>
        <w:tc>
          <w:tcPr>
            <w:tcW w:w="541" w:type="pct"/>
            <w:vAlign w:val="center"/>
          </w:tcPr>
          <w:p w14:paraId="01E1118B">
            <w:pPr>
              <w:pStyle w:val="357"/>
              <w:rPr>
                <w:sz w:val="30"/>
                <w:szCs w:val="30"/>
              </w:rPr>
            </w:pPr>
            <w:r>
              <w:rPr>
                <w:sz w:val="30"/>
                <w:szCs w:val="30"/>
              </w:rPr>
              <w:t>○</w:t>
            </w:r>
          </w:p>
        </w:tc>
        <w:tc>
          <w:tcPr>
            <w:tcW w:w="408" w:type="pct"/>
            <w:vAlign w:val="center"/>
          </w:tcPr>
          <w:p w14:paraId="31F6CEB4">
            <w:pPr>
              <w:pStyle w:val="357"/>
              <w:rPr>
                <w:sz w:val="30"/>
                <w:szCs w:val="30"/>
              </w:rPr>
            </w:pPr>
            <w:r>
              <w:rPr>
                <w:sz w:val="30"/>
                <w:szCs w:val="30"/>
              </w:rPr>
              <w:t>○</w:t>
            </w:r>
          </w:p>
        </w:tc>
        <w:tc>
          <w:tcPr>
            <w:tcW w:w="408" w:type="pct"/>
            <w:vAlign w:val="center"/>
          </w:tcPr>
          <w:p w14:paraId="67F64F7F">
            <w:pPr>
              <w:pStyle w:val="357"/>
              <w:rPr>
                <w:sz w:val="30"/>
                <w:szCs w:val="30"/>
              </w:rPr>
            </w:pPr>
            <w:r>
              <w:rPr>
                <w:sz w:val="30"/>
                <w:szCs w:val="30"/>
              </w:rPr>
              <w:t>○</w:t>
            </w:r>
          </w:p>
        </w:tc>
        <w:tc>
          <w:tcPr>
            <w:tcW w:w="673" w:type="pct"/>
            <w:vAlign w:val="center"/>
          </w:tcPr>
          <w:p w14:paraId="042D5B56">
            <w:pPr>
              <w:pStyle w:val="357"/>
              <w:rPr>
                <w:sz w:val="30"/>
                <w:szCs w:val="30"/>
              </w:rPr>
            </w:pPr>
            <w:r>
              <w:rPr>
                <w:sz w:val="30"/>
                <w:szCs w:val="30"/>
              </w:rPr>
              <w:t>○</w:t>
            </w:r>
          </w:p>
        </w:tc>
        <w:tc>
          <w:tcPr>
            <w:tcW w:w="673" w:type="pct"/>
            <w:vAlign w:val="center"/>
          </w:tcPr>
          <w:p w14:paraId="5E854257">
            <w:pPr>
              <w:pStyle w:val="357"/>
              <w:rPr>
                <w:sz w:val="30"/>
                <w:szCs w:val="30"/>
              </w:rPr>
            </w:pPr>
            <w:r>
              <w:rPr>
                <w:sz w:val="30"/>
                <w:szCs w:val="30"/>
              </w:rPr>
              <w:t>○</w:t>
            </w:r>
          </w:p>
        </w:tc>
      </w:tr>
      <w:tr w14:paraId="6C50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2AF76BFC">
            <w:pPr>
              <w:pStyle w:val="357"/>
            </w:pPr>
          </w:p>
        </w:tc>
        <w:tc>
          <w:tcPr>
            <w:tcW w:w="938" w:type="pct"/>
            <w:vAlign w:val="center"/>
          </w:tcPr>
          <w:p w14:paraId="63A4B6F9">
            <w:pPr>
              <w:pStyle w:val="357"/>
            </w:pPr>
            <w:r>
              <w:t>饲料加工粉尘</w:t>
            </w:r>
          </w:p>
        </w:tc>
        <w:tc>
          <w:tcPr>
            <w:tcW w:w="408" w:type="pct"/>
            <w:vAlign w:val="center"/>
          </w:tcPr>
          <w:p w14:paraId="7D191663">
            <w:pPr>
              <w:pStyle w:val="357"/>
              <w:rPr>
                <w:szCs w:val="24"/>
              </w:rPr>
            </w:pPr>
            <w:r>
              <w:rPr>
                <w:szCs w:val="24"/>
              </w:rPr>
              <w:t>▲L</w:t>
            </w:r>
          </w:p>
        </w:tc>
        <w:tc>
          <w:tcPr>
            <w:tcW w:w="541" w:type="pct"/>
            <w:vAlign w:val="center"/>
          </w:tcPr>
          <w:p w14:paraId="7512E5B3">
            <w:pPr>
              <w:pStyle w:val="357"/>
              <w:rPr>
                <w:sz w:val="30"/>
                <w:szCs w:val="30"/>
              </w:rPr>
            </w:pPr>
            <w:r>
              <w:rPr>
                <w:sz w:val="30"/>
                <w:szCs w:val="30"/>
              </w:rPr>
              <w:t>○</w:t>
            </w:r>
          </w:p>
        </w:tc>
        <w:tc>
          <w:tcPr>
            <w:tcW w:w="541" w:type="pct"/>
            <w:vAlign w:val="center"/>
          </w:tcPr>
          <w:p w14:paraId="4777A61B">
            <w:pPr>
              <w:pStyle w:val="357"/>
              <w:rPr>
                <w:sz w:val="30"/>
                <w:szCs w:val="30"/>
              </w:rPr>
            </w:pPr>
            <w:r>
              <w:rPr>
                <w:sz w:val="30"/>
                <w:szCs w:val="30"/>
              </w:rPr>
              <w:t>○</w:t>
            </w:r>
          </w:p>
        </w:tc>
        <w:tc>
          <w:tcPr>
            <w:tcW w:w="408" w:type="pct"/>
            <w:vAlign w:val="center"/>
          </w:tcPr>
          <w:p w14:paraId="7038EB15">
            <w:pPr>
              <w:pStyle w:val="357"/>
              <w:rPr>
                <w:sz w:val="30"/>
                <w:szCs w:val="30"/>
              </w:rPr>
            </w:pPr>
            <w:r>
              <w:rPr>
                <w:sz w:val="30"/>
                <w:szCs w:val="30"/>
              </w:rPr>
              <w:t>○</w:t>
            </w:r>
          </w:p>
        </w:tc>
        <w:tc>
          <w:tcPr>
            <w:tcW w:w="408" w:type="pct"/>
            <w:vAlign w:val="center"/>
          </w:tcPr>
          <w:p w14:paraId="34FBAD48">
            <w:pPr>
              <w:pStyle w:val="357"/>
              <w:rPr>
                <w:sz w:val="30"/>
                <w:szCs w:val="30"/>
              </w:rPr>
            </w:pPr>
            <w:r>
              <w:rPr>
                <w:sz w:val="30"/>
                <w:szCs w:val="30"/>
              </w:rPr>
              <w:t>○</w:t>
            </w:r>
          </w:p>
        </w:tc>
        <w:tc>
          <w:tcPr>
            <w:tcW w:w="673" w:type="pct"/>
            <w:vAlign w:val="center"/>
          </w:tcPr>
          <w:p w14:paraId="235C3742">
            <w:pPr>
              <w:pStyle w:val="357"/>
              <w:rPr>
                <w:sz w:val="30"/>
                <w:szCs w:val="30"/>
              </w:rPr>
            </w:pPr>
            <w:r>
              <w:rPr>
                <w:sz w:val="30"/>
                <w:szCs w:val="30"/>
              </w:rPr>
              <w:t>○</w:t>
            </w:r>
          </w:p>
        </w:tc>
        <w:tc>
          <w:tcPr>
            <w:tcW w:w="673" w:type="pct"/>
            <w:vAlign w:val="center"/>
          </w:tcPr>
          <w:p w14:paraId="2BEC001C">
            <w:pPr>
              <w:pStyle w:val="357"/>
              <w:rPr>
                <w:sz w:val="30"/>
                <w:szCs w:val="30"/>
              </w:rPr>
            </w:pPr>
            <w:r>
              <w:rPr>
                <w:sz w:val="30"/>
                <w:szCs w:val="30"/>
              </w:rPr>
              <w:t>○</w:t>
            </w:r>
          </w:p>
        </w:tc>
      </w:tr>
      <w:tr w14:paraId="2D03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7E7764CE">
            <w:pPr>
              <w:pStyle w:val="357"/>
            </w:pPr>
          </w:p>
        </w:tc>
        <w:tc>
          <w:tcPr>
            <w:tcW w:w="938" w:type="pct"/>
            <w:vAlign w:val="center"/>
          </w:tcPr>
          <w:p w14:paraId="2DDBF0BC">
            <w:pPr>
              <w:pStyle w:val="357"/>
            </w:pPr>
            <w:r>
              <w:t>噪声</w:t>
            </w:r>
          </w:p>
        </w:tc>
        <w:tc>
          <w:tcPr>
            <w:tcW w:w="408" w:type="pct"/>
            <w:vAlign w:val="center"/>
          </w:tcPr>
          <w:p w14:paraId="55D37EFE">
            <w:pPr>
              <w:pStyle w:val="357"/>
              <w:rPr>
                <w:sz w:val="30"/>
                <w:szCs w:val="30"/>
              </w:rPr>
            </w:pPr>
            <w:r>
              <w:rPr>
                <w:sz w:val="30"/>
                <w:szCs w:val="30"/>
              </w:rPr>
              <w:t>○</w:t>
            </w:r>
          </w:p>
        </w:tc>
        <w:tc>
          <w:tcPr>
            <w:tcW w:w="541" w:type="pct"/>
            <w:vAlign w:val="center"/>
          </w:tcPr>
          <w:p w14:paraId="22A93FE5">
            <w:pPr>
              <w:pStyle w:val="357"/>
              <w:rPr>
                <w:sz w:val="30"/>
                <w:szCs w:val="30"/>
              </w:rPr>
            </w:pPr>
            <w:r>
              <w:rPr>
                <w:sz w:val="30"/>
                <w:szCs w:val="30"/>
              </w:rPr>
              <w:t>○</w:t>
            </w:r>
          </w:p>
        </w:tc>
        <w:tc>
          <w:tcPr>
            <w:tcW w:w="541" w:type="pct"/>
            <w:vAlign w:val="center"/>
          </w:tcPr>
          <w:p w14:paraId="4D658B78">
            <w:pPr>
              <w:pStyle w:val="357"/>
              <w:rPr>
                <w:sz w:val="30"/>
                <w:szCs w:val="30"/>
              </w:rPr>
            </w:pPr>
            <w:r>
              <w:rPr>
                <w:sz w:val="30"/>
                <w:szCs w:val="30"/>
              </w:rPr>
              <w:t>○</w:t>
            </w:r>
          </w:p>
        </w:tc>
        <w:tc>
          <w:tcPr>
            <w:tcW w:w="408" w:type="pct"/>
            <w:vAlign w:val="center"/>
          </w:tcPr>
          <w:p w14:paraId="1C5AF98B">
            <w:pPr>
              <w:pStyle w:val="357"/>
              <w:rPr>
                <w:szCs w:val="24"/>
              </w:rPr>
            </w:pPr>
            <w:r>
              <w:rPr>
                <w:szCs w:val="24"/>
              </w:rPr>
              <w:t>▲L</w:t>
            </w:r>
          </w:p>
        </w:tc>
        <w:tc>
          <w:tcPr>
            <w:tcW w:w="408" w:type="pct"/>
            <w:vAlign w:val="center"/>
          </w:tcPr>
          <w:p w14:paraId="44C0254A">
            <w:pPr>
              <w:pStyle w:val="357"/>
              <w:rPr>
                <w:sz w:val="30"/>
                <w:szCs w:val="30"/>
              </w:rPr>
            </w:pPr>
            <w:r>
              <w:rPr>
                <w:sz w:val="30"/>
                <w:szCs w:val="30"/>
              </w:rPr>
              <w:t>○</w:t>
            </w:r>
          </w:p>
        </w:tc>
        <w:tc>
          <w:tcPr>
            <w:tcW w:w="673" w:type="pct"/>
            <w:vAlign w:val="center"/>
          </w:tcPr>
          <w:p w14:paraId="0FA3FD21">
            <w:pPr>
              <w:pStyle w:val="357"/>
              <w:rPr>
                <w:sz w:val="30"/>
                <w:szCs w:val="30"/>
              </w:rPr>
            </w:pPr>
            <w:r>
              <w:rPr>
                <w:sz w:val="30"/>
                <w:szCs w:val="30"/>
              </w:rPr>
              <w:t>○</w:t>
            </w:r>
          </w:p>
        </w:tc>
        <w:tc>
          <w:tcPr>
            <w:tcW w:w="673" w:type="pct"/>
            <w:vAlign w:val="center"/>
          </w:tcPr>
          <w:p w14:paraId="192AD6D8">
            <w:pPr>
              <w:pStyle w:val="357"/>
              <w:rPr>
                <w:sz w:val="30"/>
                <w:szCs w:val="30"/>
              </w:rPr>
            </w:pPr>
            <w:r>
              <w:rPr>
                <w:sz w:val="30"/>
                <w:szCs w:val="30"/>
              </w:rPr>
              <w:t>○</w:t>
            </w:r>
          </w:p>
        </w:tc>
      </w:tr>
      <w:tr w14:paraId="02BA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08" w:type="pct"/>
            <w:vMerge w:val="continue"/>
            <w:vAlign w:val="center"/>
          </w:tcPr>
          <w:p w14:paraId="2EC0B8A2">
            <w:pPr>
              <w:pStyle w:val="357"/>
            </w:pPr>
          </w:p>
        </w:tc>
        <w:tc>
          <w:tcPr>
            <w:tcW w:w="938" w:type="pct"/>
            <w:vAlign w:val="center"/>
          </w:tcPr>
          <w:p w14:paraId="5D57B837">
            <w:pPr>
              <w:pStyle w:val="357"/>
            </w:pPr>
            <w:r>
              <w:t>固废综合利用</w:t>
            </w:r>
          </w:p>
        </w:tc>
        <w:tc>
          <w:tcPr>
            <w:tcW w:w="408" w:type="pct"/>
            <w:vAlign w:val="center"/>
          </w:tcPr>
          <w:p w14:paraId="0F0C97E5">
            <w:pPr>
              <w:pStyle w:val="357"/>
              <w:rPr>
                <w:szCs w:val="24"/>
              </w:rPr>
            </w:pPr>
            <w:r>
              <w:rPr>
                <w:szCs w:val="24"/>
              </w:rPr>
              <w:t>▲L</w:t>
            </w:r>
          </w:p>
        </w:tc>
        <w:tc>
          <w:tcPr>
            <w:tcW w:w="541" w:type="pct"/>
            <w:vAlign w:val="center"/>
          </w:tcPr>
          <w:p w14:paraId="37CBA018">
            <w:pPr>
              <w:pStyle w:val="357"/>
              <w:rPr>
                <w:szCs w:val="24"/>
              </w:rPr>
            </w:pPr>
            <w:r>
              <w:rPr>
                <w:rFonts w:hint="eastAsia" w:ascii="宋体" w:hAnsi="宋体" w:cs="宋体"/>
                <w:szCs w:val="24"/>
              </w:rPr>
              <w:t>△</w:t>
            </w:r>
            <w:r>
              <w:rPr>
                <w:szCs w:val="24"/>
              </w:rPr>
              <w:t>L</w:t>
            </w:r>
          </w:p>
        </w:tc>
        <w:tc>
          <w:tcPr>
            <w:tcW w:w="541" w:type="pct"/>
            <w:vAlign w:val="center"/>
          </w:tcPr>
          <w:p w14:paraId="1EB3E33E">
            <w:pPr>
              <w:pStyle w:val="357"/>
              <w:rPr>
                <w:szCs w:val="24"/>
              </w:rPr>
            </w:pPr>
            <w:r>
              <w:rPr>
                <w:rFonts w:hint="eastAsia" w:ascii="宋体" w:hAnsi="宋体" w:cs="宋体"/>
                <w:szCs w:val="24"/>
              </w:rPr>
              <w:t>△</w:t>
            </w:r>
            <w:r>
              <w:rPr>
                <w:szCs w:val="24"/>
              </w:rPr>
              <w:t>L</w:t>
            </w:r>
          </w:p>
        </w:tc>
        <w:tc>
          <w:tcPr>
            <w:tcW w:w="408" w:type="pct"/>
            <w:vAlign w:val="center"/>
          </w:tcPr>
          <w:p w14:paraId="6C96DF3E">
            <w:pPr>
              <w:pStyle w:val="357"/>
              <w:rPr>
                <w:sz w:val="30"/>
                <w:szCs w:val="30"/>
              </w:rPr>
            </w:pPr>
            <w:r>
              <w:rPr>
                <w:sz w:val="30"/>
                <w:szCs w:val="30"/>
              </w:rPr>
              <w:t>○</w:t>
            </w:r>
          </w:p>
        </w:tc>
        <w:tc>
          <w:tcPr>
            <w:tcW w:w="408" w:type="pct"/>
            <w:vAlign w:val="center"/>
          </w:tcPr>
          <w:p w14:paraId="6DCF4035">
            <w:pPr>
              <w:pStyle w:val="357"/>
              <w:rPr>
                <w:sz w:val="30"/>
                <w:szCs w:val="30"/>
              </w:rPr>
            </w:pPr>
            <w:r>
              <w:rPr>
                <w:sz w:val="30"/>
                <w:szCs w:val="30"/>
              </w:rPr>
              <w:t>○</w:t>
            </w:r>
          </w:p>
        </w:tc>
        <w:tc>
          <w:tcPr>
            <w:tcW w:w="673" w:type="pct"/>
            <w:vAlign w:val="center"/>
          </w:tcPr>
          <w:p w14:paraId="4E58589E">
            <w:pPr>
              <w:pStyle w:val="357"/>
              <w:rPr>
                <w:sz w:val="30"/>
                <w:szCs w:val="30"/>
              </w:rPr>
            </w:pPr>
            <w:r>
              <w:rPr>
                <w:sz w:val="30"/>
                <w:szCs w:val="30"/>
              </w:rPr>
              <w:t>○</w:t>
            </w:r>
          </w:p>
        </w:tc>
        <w:tc>
          <w:tcPr>
            <w:tcW w:w="673" w:type="pct"/>
            <w:vAlign w:val="center"/>
          </w:tcPr>
          <w:p w14:paraId="48F388A2">
            <w:pPr>
              <w:pStyle w:val="357"/>
              <w:rPr>
                <w:sz w:val="30"/>
                <w:szCs w:val="30"/>
              </w:rPr>
            </w:pPr>
            <w:r>
              <w:rPr>
                <w:sz w:val="30"/>
                <w:szCs w:val="30"/>
              </w:rPr>
              <w:t>○</w:t>
            </w:r>
          </w:p>
        </w:tc>
      </w:tr>
      <w:tr w14:paraId="22A3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vAlign w:val="center"/>
          </w:tcPr>
          <w:p w14:paraId="7AFB90B5">
            <w:pPr>
              <w:pStyle w:val="357"/>
              <w:rPr>
                <w:lang w:eastAsia="zh-CN"/>
              </w:rPr>
            </w:pPr>
            <w:r>
              <w:rPr>
                <w:lang w:eastAsia="zh-CN"/>
              </w:rPr>
              <w:t>注：</w:t>
            </w:r>
            <w:r>
              <w:rPr>
                <w:sz w:val="30"/>
                <w:szCs w:val="30"/>
                <w:lang w:eastAsia="zh-CN"/>
              </w:rPr>
              <w:t>♦</w:t>
            </w:r>
            <w:r>
              <w:rPr>
                <w:lang w:eastAsia="zh-CN"/>
              </w:rPr>
              <w:t>有影响</w:t>
            </w:r>
            <w:r>
              <w:rPr>
                <w:sz w:val="30"/>
                <w:szCs w:val="30"/>
                <w:lang w:eastAsia="zh-CN"/>
              </w:rPr>
              <w:t>▲</w:t>
            </w:r>
            <w:r>
              <w:rPr>
                <w:lang w:eastAsia="zh-CN"/>
              </w:rPr>
              <w:t>有轻微影响</w:t>
            </w:r>
            <w:r>
              <w:rPr>
                <w:rFonts w:hint="eastAsia" w:ascii="宋体" w:hAnsi="宋体" w:cs="宋体"/>
                <w:sz w:val="30"/>
                <w:szCs w:val="30"/>
                <w:lang w:eastAsia="zh-CN"/>
              </w:rPr>
              <w:t>△</w:t>
            </w:r>
            <w:r>
              <w:rPr>
                <w:lang w:eastAsia="zh-CN"/>
              </w:rPr>
              <w:t>可能有影响</w:t>
            </w:r>
            <w:r>
              <w:rPr>
                <w:sz w:val="30"/>
                <w:szCs w:val="30"/>
                <w:lang w:eastAsia="zh-CN"/>
              </w:rPr>
              <w:t>○</w:t>
            </w:r>
            <w:r>
              <w:rPr>
                <w:lang w:eastAsia="zh-CN"/>
              </w:rPr>
              <w:t>没有影响S短期影响L长期影响</w:t>
            </w:r>
          </w:p>
        </w:tc>
      </w:tr>
    </w:tbl>
    <w:p w14:paraId="3B04B633">
      <w:pPr>
        <w:pStyle w:val="105"/>
        <w:ind w:firstLine="480"/>
      </w:pPr>
      <w:bookmarkStart w:id="109" w:name="_Toc3377"/>
      <w:bookmarkStart w:id="110" w:name="_Toc385924322"/>
      <w:bookmarkStart w:id="111" w:name="_Toc347089905"/>
      <w:bookmarkStart w:id="112" w:name="_Toc32265"/>
      <w:r>
        <w:t>根据以上环境影响识别分析可知本项目主要环境影响要素如下：</w:t>
      </w:r>
    </w:p>
    <w:p w14:paraId="22C6E668">
      <w:pPr>
        <w:pStyle w:val="105"/>
        <w:ind w:firstLine="480"/>
      </w:pPr>
      <w:r>
        <w:t>施工期：主要表现为施工扬尘对大气环境影响和道路施工对声环境及生态的影响，各影响为短期影响；</w:t>
      </w:r>
    </w:p>
    <w:p w14:paraId="21F5179A">
      <w:pPr>
        <w:pStyle w:val="105"/>
        <w:ind w:firstLine="480"/>
        <w:rPr>
          <w:szCs w:val="22"/>
        </w:rPr>
      </w:pPr>
      <w:r>
        <w:t>营运期：</w:t>
      </w:r>
      <w:r>
        <w:rPr>
          <w:szCs w:val="22"/>
        </w:rPr>
        <w:t>项目运行期对环境的不利影响主要是废气的影响，其次为噪声。运行期的影响为长期的直接影响，因此进行评价的主要时段是运行期，评价重点应为大气环境。</w:t>
      </w:r>
    </w:p>
    <w:p w14:paraId="0FF31734">
      <w:pPr>
        <w:pStyle w:val="11"/>
      </w:pPr>
      <w:bookmarkStart w:id="113" w:name="_Toc166572251"/>
      <w:r>
        <w:t>2.3.2评价因子筛选</w:t>
      </w:r>
      <w:bookmarkEnd w:id="109"/>
      <w:bookmarkEnd w:id="110"/>
      <w:bookmarkEnd w:id="111"/>
      <w:bookmarkEnd w:id="112"/>
      <w:bookmarkEnd w:id="113"/>
    </w:p>
    <w:bookmarkEnd w:id="106"/>
    <w:bookmarkEnd w:id="107"/>
    <w:bookmarkEnd w:id="108"/>
    <w:p w14:paraId="55745C17">
      <w:pPr>
        <w:ind w:firstLine="480"/>
      </w:pPr>
      <w:r>
        <w:t>根据本项目污染物排放特征，结合厂址所在区域的环境质量现状，通过对本项目实施后主要环境影响要素的识别分析，并对相关影响因素中各类污染因子的识别筛选，确定本次评价的现状及影响评价因子，见表2.3-2。</w:t>
      </w:r>
    </w:p>
    <w:p w14:paraId="3D975854">
      <w:pPr>
        <w:pStyle w:val="25"/>
        <w:ind w:firstLine="482"/>
        <w:jc w:val="center"/>
        <w:rPr>
          <w:b/>
          <w:bCs/>
          <w:color w:val="auto"/>
        </w:rPr>
      </w:pPr>
      <w:r>
        <w:rPr>
          <w:b/>
          <w:bCs/>
          <w:color w:val="auto"/>
        </w:rPr>
        <w:t xml:space="preserve">表2.3-2  </w:t>
      </w:r>
      <w:r>
        <w:rPr>
          <w:rFonts w:hint="eastAsia"/>
          <w:b/>
          <w:bCs/>
          <w:color w:val="auto"/>
        </w:rPr>
        <w:t>环境影响评价因子</w:t>
      </w:r>
      <w:r>
        <w:rPr>
          <w:b/>
          <w:bCs/>
          <w:color w:val="auto"/>
        </w:rPr>
        <w:t>一览表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47"/>
        <w:gridCol w:w="1166"/>
        <w:gridCol w:w="7114"/>
      </w:tblGrid>
      <w:tr w14:paraId="3815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noWrap/>
            <w:vAlign w:val="center"/>
          </w:tcPr>
          <w:p w14:paraId="37E7A590">
            <w:pPr>
              <w:spacing w:line="240" w:lineRule="auto"/>
              <w:ind w:firstLine="0" w:firstLineChars="0"/>
              <w:jc w:val="center"/>
              <w:rPr>
                <w:sz w:val="21"/>
                <w:szCs w:val="21"/>
              </w:rPr>
            </w:pPr>
            <w:r>
              <w:rPr>
                <w:sz w:val="21"/>
                <w:szCs w:val="21"/>
              </w:rPr>
              <w:t>要素</w:t>
            </w:r>
          </w:p>
        </w:tc>
        <w:tc>
          <w:tcPr>
            <w:tcW w:w="639" w:type="pct"/>
            <w:noWrap/>
            <w:vAlign w:val="center"/>
          </w:tcPr>
          <w:p w14:paraId="0100297F">
            <w:pPr>
              <w:spacing w:line="240" w:lineRule="auto"/>
              <w:ind w:firstLine="0" w:firstLineChars="0"/>
              <w:jc w:val="center"/>
              <w:rPr>
                <w:sz w:val="21"/>
                <w:szCs w:val="21"/>
              </w:rPr>
            </w:pPr>
            <w:r>
              <w:rPr>
                <w:sz w:val="21"/>
                <w:szCs w:val="21"/>
              </w:rPr>
              <w:t>项目</w:t>
            </w:r>
          </w:p>
        </w:tc>
        <w:tc>
          <w:tcPr>
            <w:tcW w:w="3896" w:type="pct"/>
            <w:noWrap/>
            <w:vAlign w:val="center"/>
          </w:tcPr>
          <w:p w14:paraId="2BF88133">
            <w:pPr>
              <w:spacing w:line="240" w:lineRule="auto"/>
              <w:ind w:firstLine="0" w:firstLineChars="0"/>
              <w:jc w:val="center"/>
              <w:rPr>
                <w:sz w:val="21"/>
                <w:szCs w:val="21"/>
              </w:rPr>
            </w:pPr>
            <w:r>
              <w:rPr>
                <w:sz w:val="21"/>
                <w:szCs w:val="21"/>
              </w:rPr>
              <w:t>评价因子</w:t>
            </w:r>
          </w:p>
        </w:tc>
      </w:tr>
      <w:tr w14:paraId="5D00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restart"/>
            <w:noWrap/>
            <w:vAlign w:val="center"/>
          </w:tcPr>
          <w:p w14:paraId="4480F802">
            <w:pPr>
              <w:spacing w:line="240" w:lineRule="auto"/>
              <w:ind w:firstLine="0" w:firstLineChars="0"/>
              <w:jc w:val="center"/>
              <w:rPr>
                <w:sz w:val="21"/>
                <w:szCs w:val="21"/>
              </w:rPr>
            </w:pPr>
            <w:r>
              <w:rPr>
                <w:sz w:val="21"/>
                <w:szCs w:val="21"/>
              </w:rPr>
              <w:t>环境</w:t>
            </w:r>
          </w:p>
          <w:p w14:paraId="4C5B1C22">
            <w:pPr>
              <w:spacing w:line="240" w:lineRule="auto"/>
              <w:ind w:firstLine="0" w:firstLineChars="0"/>
              <w:jc w:val="center"/>
              <w:rPr>
                <w:sz w:val="21"/>
                <w:szCs w:val="21"/>
              </w:rPr>
            </w:pPr>
            <w:r>
              <w:rPr>
                <w:sz w:val="21"/>
                <w:szCs w:val="21"/>
              </w:rPr>
              <w:t>空气</w:t>
            </w:r>
          </w:p>
        </w:tc>
        <w:tc>
          <w:tcPr>
            <w:tcW w:w="639" w:type="pct"/>
            <w:noWrap/>
            <w:vAlign w:val="center"/>
          </w:tcPr>
          <w:p w14:paraId="3BBED8A3">
            <w:pPr>
              <w:spacing w:line="240" w:lineRule="auto"/>
              <w:ind w:firstLine="0" w:firstLineChars="0"/>
              <w:jc w:val="center"/>
              <w:rPr>
                <w:sz w:val="21"/>
                <w:szCs w:val="21"/>
              </w:rPr>
            </w:pPr>
            <w:r>
              <w:rPr>
                <w:sz w:val="21"/>
                <w:szCs w:val="21"/>
              </w:rPr>
              <w:t>现状评价</w:t>
            </w:r>
          </w:p>
        </w:tc>
        <w:tc>
          <w:tcPr>
            <w:tcW w:w="3896" w:type="pct"/>
            <w:noWrap/>
            <w:vAlign w:val="center"/>
          </w:tcPr>
          <w:p w14:paraId="3060D14E">
            <w:pPr>
              <w:spacing w:line="240" w:lineRule="auto"/>
              <w:ind w:firstLine="0" w:firstLineChars="0"/>
              <w:jc w:val="center"/>
              <w:rPr>
                <w:sz w:val="21"/>
                <w:szCs w:val="21"/>
              </w:rPr>
            </w:pPr>
            <w:r>
              <w:rPr>
                <w:spacing w:val="-10"/>
                <w:sz w:val="21"/>
                <w:szCs w:val="21"/>
              </w:rPr>
              <w:t>SO</w:t>
            </w:r>
            <w:r>
              <w:rPr>
                <w:spacing w:val="-10"/>
                <w:sz w:val="21"/>
                <w:szCs w:val="21"/>
                <w:vertAlign w:val="subscript"/>
              </w:rPr>
              <w:t>2</w:t>
            </w:r>
            <w:r>
              <w:rPr>
                <w:spacing w:val="-10"/>
                <w:sz w:val="21"/>
                <w:szCs w:val="21"/>
              </w:rPr>
              <w:t>、NO</w:t>
            </w:r>
            <w:r>
              <w:rPr>
                <w:spacing w:val="-10"/>
                <w:sz w:val="21"/>
                <w:szCs w:val="21"/>
                <w:vertAlign w:val="subscript"/>
              </w:rPr>
              <w:t>2</w:t>
            </w:r>
            <w:r>
              <w:rPr>
                <w:spacing w:val="-10"/>
                <w:sz w:val="21"/>
                <w:szCs w:val="21"/>
              </w:rPr>
              <w:t>、CO、O</w:t>
            </w:r>
            <w:r>
              <w:rPr>
                <w:spacing w:val="-10"/>
                <w:sz w:val="21"/>
                <w:szCs w:val="21"/>
                <w:vertAlign w:val="subscript"/>
              </w:rPr>
              <w:t>3</w:t>
            </w:r>
            <w:r>
              <w:rPr>
                <w:spacing w:val="-10"/>
                <w:sz w:val="21"/>
                <w:szCs w:val="21"/>
              </w:rPr>
              <w:t>、</w:t>
            </w:r>
            <w:r>
              <w:rPr>
                <w:sz w:val="21"/>
                <w:szCs w:val="21"/>
              </w:rPr>
              <w:t>PM</w:t>
            </w:r>
            <w:r>
              <w:rPr>
                <w:sz w:val="21"/>
                <w:szCs w:val="21"/>
                <w:vertAlign w:val="subscript"/>
              </w:rPr>
              <w:t>10</w:t>
            </w:r>
            <w:r>
              <w:rPr>
                <w:sz w:val="21"/>
                <w:szCs w:val="21"/>
              </w:rPr>
              <w:t>、PM</w:t>
            </w:r>
            <w:r>
              <w:rPr>
                <w:sz w:val="21"/>
                <w:szCs w:val="21"/>
                <w:vertAlign w:val="subscript"/>
              </w:rPr>
              <w:t>2.5</w:t>
            </w:r>
            <w:r>
              <w:t>、TSP、</w:t>
            </w:r>
            <w:r>
              <w:rPr>
                <w:sz w:val="21"/>
                <w:szCs w:val="21"/>
              </w:rPr>
              <w:t>H</w:t>
            </w:r>
            <w:r>
              <w:rPr>
                <w:sz w:val="21"/>
                <w:szCs w:val="21"/>
                <w:vertAlign w:val="subscript"/>
              </w:rPr>
              <w:t>2</w:t>
            </w:r>
            <w:r>
              <w:rPr>
                <w:sz w:val="21"/>
                <w:szCs w:val="21"/>
              </w:rPr>
              <w:t>S、NH</w:t>
            </w:r>
            <w:r>
              <w:rPr>
                <w:sz w:val="21"/>
                <w:szCs w:val="21"/>
                <w:vertAlign w:val="subscript"/>
              </w:rPr>
              <w:t>3</w:t>
            </w:r>
            <w:r>
              <w:t>、</w:t>
            </w:r>
            <w:r>
              <w:rPr>
                <w:spacing w:val="-10"/>
                <w:sz w:val="21"/>
                <w:szCs w:val="21"/>
              </w:rPr>
              <w:t>臭气浓度</w:t>
            </w:r>
          </w:p>
        </w:tc>
      </w:tr>
      <w:tr w14:paraId="125E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58DE6038">
            <w:pPr>
              <w:spacing w:line="240" w:lineRule="auto"/>
              <w:ind w:firstLine="0" w:firstLineChars="0"/>
              <w:jc w:val="center"/>
              <w:rPr>
                <w:sz w:val="21"/>
                <w:szCs w:val="21"/>
              </w:rPr>
            </w:pPr>
          </w:p>
        </w:tc>
        <w:tc>
          <w:tcPr>
            <w:tcW w:w="639" w:type="pct"/>
            <w:noWrap/>
            <w:vAlign w:val="center"/>
          </w:tcPr>
          <w:p w14:paraId="1C12B6F9">
            <w:pPr>
              <w:spacing w:line="240" w:lineRule="auto"/>
              <w:ind w:firstLine="0" w:firstLineChars="0"/>
              <w:jc w:val="center"/>
              <w:rPr>
                <w:sz w:val="21"/>
                <w:szCs w:val="21"/>
              </w:rPr>
            </w:pPr>
            <w:r>
              <w:rPr>
                <w:sz w:val="21"/>
                <w:szCs w:val="21"/>
              </w:rPr>
              <w:t>污染源</w:t>
            </w:r>
          </w:p>
        </w:tc>
        <w:tc>
          <w:tcPr>
            <w:tcW w:w="3896" w:type="pct"/>
            <w:noWrap/>
            <w:vAlign w:val="center"/>
          </w:tcPr>
          <w:p w14:paraId="1DEA7629">
            <w:pPr>
              <w:pStyle w:val="5"/>
              <w:spacing w:after="0" w:line="240" w:lineRule="auto"/>
              <w:ind w:firstLine="0" w:firstLineChars="0"/>
              <w:jc w:val="center"/>
            </w:pPr>
            <w:r>
              <w:t>颗粒物、H</w:t>
            </w:r>
            <w:r>
              <w:rPr>
                <w:vertAlign w:val="subscript"/>
              </w:rPr>
              <w:t>2</w:t>
            </w:r>
            <w:r>
              <w:t>S、NH</w:t>
            </w:r>
            <w:r>
              <w:rPr>
                <w:vertAlign w:val="subscript"/>
              </w:rPr>
              <w:t>3</w:t>
            </w:r>
            <w:r>
              <w:t>、臭气浓度</w:t>
            </w:r>
          </w:p>
        </w:tc>
      </w:tr>
      <w:tr w14:paraId="3844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1E98EFAE">
            <w:pPr>
              <w:spacing w:line="240" w:lineRule="auto"/>
              <w:ind w:firstLine="0" w:firstLineChars="0"/>
              <w:jc w:val="center"/>
              <w:rPr>
                <w:sz w:val="21"/>
                <w:szCs w:val="21"/>
              </w:rPr>
            </w:pPr>
          </w:p>
        </w:tc>
        <w:tc>
          <w:tcPr>
            <w:tcW w:w="639" w:type="pct"/>
            <w:noWrap/>
            <w:vAlign w:val="center"/>
          </w:tcPr>
          <w:p w14:paraId="6EDA0686">
            <w:pPr>
              <w:spacing w:line="240" w:lineRule="auto"/>
              <w:ind w:firstLine="0" w:firstLineChars="0"/>
              <w:jc w:val="center"/>
              <w:rPr>
                <w:sz w:val="21"/>
                <w:szCs w:val="21"/>
              </w:rPr>
            </w:pPr>
            <w:r>
              <w:rPr>
                <w:sz w:val="21"/>
                <w:szCs w:val="21"/>
              </w:rPr>
              <w:t>影响评价</w:t>
            </w:r>
          </w:p>
        </w:tc>
        <w:tc>
          <w:tcPr>
            <w:tcW w:w="3896" w:type="pct"/>
            <w:noWrap/>
            <w:vAlign w:val="center"/>
          </w:tcPr>
          <w:p w14:paraId="167F4E0A">
            <w:pPr>
              <w:pStyle w:val="5"/>
              <w:spacing w:after="0" w:line="240" w:lineRule="auto"/>
              <w:ind w:firstLine="0" w:firstLineChars="0"/>
              <w:jc w:val="center"/>
            </w:pPr>
            <w:r>
              <w:t>颗粒物、H</w:t>
            </w:r>
            <w:r>
              <w:rPr>
                <w:vertAlign w:val="subscript"/>
              </w:rPr>
              <w:t>2</w:t>
            </w:r>
            <w:r>
              <w:t>S、NH</w:t>
            </w:r>
            <w:r>
              <w:rPr>
                <w:vertAlign w:val="subscript"/>
              </w:rPr>
              <w:t>3</w:t>
            </w:r>
            <w:r>
              <w:rPr>
                <w:rFonts w:hint="eastAsia"/>
              </w:rPr>
              <w:t>、臭气浓度</w:t>
            </w:r>
          </w:p>
        </w:tc>
      </w:tr>
      <w:tr w14:paraId="208B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restart"/>
            <w:noWrap/>
            <w:vAlign w:val="center"/>
          </w:tcPr>
          <w:p w14:paraId="390F9C57">
            <w:pPr>
              <w:spacing w:line="240" w:lineRule="auto"/>
              <w:ind w:firstLine="0" w:firstLineChars="0"/>
              <w:jc w:val="center"/>
              <w:rPr>
                <w:sz w:val="21"/>
                <w:szCs w:val="21"/>
              </w:rPr>
            </w:pPr>
            <w:r>
              <w:rPr>
                <w:sz w:val="21"/>
                <w:szCs w:val="21"/>
              </w:rPr>
              <w:t>地下水环境</w:t>
            </w:r>
          </w:p>
        </w:tc>
        <w:tc>
          <w:tcPr>
            <w:tcW w:w="639" w:type="pct"/>
            <w:noWrap/>
            <w:vAlign w:val="center"/>
          </w:tcPr>
          <w:p w14:paraId="48AC1FD5">
            <w:pPr>
              <w:spacing w:line="240" w:lineRule="auto"/>
              <w:ind w:firstLine="0" w:firstLineChars="0"/>
              <w:jc w:val="center"/>
              <w:rPr>
                <w:sz w:val="21"/>
                <w:szCs w:val="21"/>
              </w:rPr>
            </w:pPr>
            <w:r>
              <w:rPr>
                <w:sz w:val="21"/>
                <w:szCs w:val="21"/>
              </w:rPr>
              <w:t>现状评价</w:t>
            </w:r>
          </w:p>
        </w:tc>
        <w:tc>
          <w:tcPr>
            <w:tcW w:w="3896" w:type="pct"/>
            <w:noWrap/>
            <w:vAlign w:val="center"/>
          </w:tcPr>
          <w:p w14:paraId="5C591B6A">
            <w:pPr>
              <w:spacing w:line="240" w:lineRule="auto"/>
              <w:ind w:firstLine="0" w:firstLineChars="0"/>
              <w:jc w:val="center"/>
              <w:rPr>
                <w:sz w:val="21"/>
                <w:szCs w:val="21"/>
              </w:rPr>
            </w:pPr>
            <w:r>
              <w:rPr>
                <w:sz w:val="21"/>
                <w:szCs w:val="21"/>
              </w:rPr>
              <w:t>K</w:t>
            </w:r>
            <w:r>
              <w:rPr>
                <w:sz w:val="21"/>
                <w:szCs w:val="21"/>
                <w:vertAlign w:val="superscript"/>
              </w:rPr>
              <w:t>+</w:t>
            </w:r>
            <w:r>
              <w:rPr>
                <w:sz w:val="21"/>
                <w:szCs w:val="21"/>
              </w:rPr>
              <w:t>、Na</w:t>
            </w:r>
            <w:r>
              <w:rPr>
                <w:sz w:val="21"/>
                <w:szCs w:val="21"/>
                <w:vertAlign w:val="superscript"/>
              </w:rPr>
              <w:t>+</w:t>
            </w:r>
            <w:r>
              <w:rPr>
                <w:sz w:val="21"/>
                <w:szCs w:val="21"/>
              </w:rPr>
              <w:t>、Ca</w:t>
            </w:r>
            <w:r>
              <w:rPr>
                <w:sz w:val="21"/>
                <w:szCs w:val="21"/>
                <w:vertAlign w:val="superscript"/>
              </w:rPr>
              <w:t>2+</w:t>
            </w:r>
            <w:r>
              <w:rPr>
                <w:sz w:val="21"/>
                <w:szCs w:val="21"/>
              </w:rPr>
              <w:t>、Mg</w:t>
            </w:r>
            <w:r>
              <w:rPr>
                <w:sz w:val="21"/>
                <w:szCs w:val="21"/>
                <w:vertAlign w:val="superscript"/>
              </w:rPr>
              <w:t>2+</w:t>
            </w:r>
            <w:r>
              <w:rPr>
                <w:sz w:val="21"/>
                <w:szCs w:val="21"/>
              </w:rPr>
              <w:t>、CO</w:t>
            </w:r>
            <w:r>
              <w:rPr>
                <w:sz w:val="21"/>
                <w:szCs w:val="21"/>
                <w:vertAlign w:val="subscript"/>
              </w:rPr>
              <w:t>3</w:t>
            </w:r>
            <w:r>
              <w:rPr>
                <w:sz w:val="21"/>
                <w:szCs w:val="21"/>
                <w:vertAlign w:val="superscript"/>
              </w:rPr>
              <w:t>2-</w:t>
            </w:r>
            <w:r>
              <w:rPr>
                <w:sz w:val="21"/>
                <w:szCs w:val="21"/>
              </w:rPr>
              <w:t>、HCO</w:t>
            </w:r>
            <w:r>
              <w:rPr>
                <w:sz w:val="21"/>
                <w:szCs w:val="21"/>
                <w:vertAlign w:val="superscript"/>
              </w:rPr>
              <w:t>3-</w:t>
            </w:r>
            <w:r>
              <w:rPr>
                <w:sz w:val="21"/>
                <w:szCs w:val="21"/>
              </w:rPr>
              <w:t>、CL</w:t>
            </w:r>
            <w:r>
              <w:rPr>
                <w:sz w:val="21"/>
                <w:szCs w:val="21"/>
                <w:vertAlign w:val="superscript"/>
              </w:rPr>
              <w:t>-</w:t>
            </w:r>
            <w:r>
              <w:rPr>
                <w:sz w:val="21"/>
                <w:szCs w:val="21"/>
              </w:rPr>
              <w:t>、SO</w:t>
            </w:r>
            <w:r>
              <w:rPr>
                <w:sz w:val="21"/>
                <w:szCs w:val="21"/>
                <w:vertAlign w:val="subscript"/>
              </w:rPr>
              <w:t>4</w:t>
            </w:r>
            <w:r>
              <w:rPr>
                <w:sz w:val="21"/>
                <w:szCs w:val="21"/>
                <w:vertAlign w:val="superscript"/>
              </w:rPr>
              <w:t>2-</w:t>
            </w:r>
          </w:p>
          <w:p w14:paraId="1DA042D6">
            <w:pPr>
              <w:spacing w:line="240" w:lineRule="auto"/>
              <w:ind w:firstLine="0" w:firstLineChars="0"/>
              <w:jc w:val="center"/>
            </w:pPr>
            <w:r>
              <w:rPr>
                <w:sz w:val="21"/>
                <w:szCs w:val="21"/>
              </w:rPr>
              <w:t>色度、浊度、臭和味、肉眼可见物、pH、总硬度、溶解性总固体、铁、锰、铜、锌、铝、挥发性酚类、阴离子表面活性剂（LAS）、耗氧量（COD</w:t>
            </w:r>
            <w:r>
              <w:rPr>
                <w:sz w:val="21"/>
                <w:szCs w:val="21"/>
                <w:vertAlign w:val="subscript"/>
              </w:rPr>
              <w:t>Mn</w:t>
            </w:r>
            <w:r>
              <w:rPr>
                <w:sz w:val="21"/>
                <w:szCs w:val="21"/>
              </w:rPr>
              <w:t>法，以O</w:t>
            </w:r>
            <w:r>
              <w:rPr>
                <w:sz w:val="21"/>
                <w:szCs w:val="21"/>
                <w:vertAlign w:val="subscript"/>
              </w:rPr>
              <w:t>3</w:t>
            </w:r>
            <w:r>
              <w:rPr>
                <w:sz w:val="21"/>
                <w:szCs w:val="21"/>
              </w:rPr>
              <w:t>计）、氨氮、硫化物、总大肠菌群、细菌总数、亚硝酸盐、硝酸盐、氰化物、氟化物、碘化物、汞、砷、硒、镉、铬（六价）、铅</w:t>
            </w:r>
          </w:p>
        </w:tc>
      </w:tr>
      <w:tr w14:paraId="63E0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51384612">
            <w:pPr>
              <w:spacing w:line="240" w:lineRule="auto"/>
              <w:ind w:firstLine="0" w:firstLineChars="0"/>
              <w:jc w:val="center"/>
              <w:rPr>
                <w:sz w:val="21"/>
                <w:szCs w:val="21"/>
              </w:rPr>
            </w:pPr>
          </w:p>
        </w:tc>
        <w:tc>
          <w:tcPr>
            <w:tcW w:w="639" w:type="pct"/>
            <w:noWrap/>
            <w:vAlign w:val="center"/>
          </w:tcPr>
          <w:p w14:paraId="4D1BD391">
            <w:pPr>
              <w:spacing w:line="240" w:lineRule="auto"/>
              <w:ind w:firstLine="0" w:firstLineChars="0"/>
              <w:jc w:val="center"/>
              <w:rPr>
                <w:sz w:val="21"/>
                <w:szCs w:val="21"/>
              </w:rPr>
            </w:pPr>
            <w:r>
              <w:rPr>
                <w:sz w:val="21"/>
                <w:szCs w:val="21"/>
              </w:rPr>
              <w:t>污染源</w:t>
            </w:r>
          </w:p>
        </w:tc>
        <w:tc>
          <w:tcPr>
            <w:tcW w:w="3896" w:type="pct"/>
            <w:noWrap/>
            <w:vAlign w:val="center"/>
          </w:tcPr>
          <w:p w14:paraId="1865D3EC">
            <w:pPr>
              <w:spacing w:line="240" w:lineRule="auto"/>
              <w:ind w:firstLine="0" w:firstLineChars="0"/>
              <w:jc w:val="center"/>
            </w:pPr>
            <w:r>
              <w:rPr>
                <w:sz w:val="21"/>
                <w:szCs w:val="21"/>
              </w:rPr>
              <w:t>耗氧量（COD</w:t>
            </w:r>
            <w:r>
              <w:rPr>
                <w:sz w:val="21"/>
                <w:szCs w:val="21"/>
                <w:vertAlign w:val="subscript"/>
              </w:rPr>
              <w:t>Mn</w:t>
            </w:r>
            <w:r>
              <w:rPr>
                <w:sz w:val="21"/>
                <w:szCs w:val="21"/>
              </w:rPr>
              <w:t>法，以O</w:t>
            </w:r>
            <w:r>
              <w:rPr>
                <w:sz w:val="21"/>
                <w:szCs w:val="21"/>
                <w:vertAlign w:val="subscript"/>
              </w:rPr>
              <w:t>3</w:t>
            </w:r>
            <w:r>
              <w:rPr>
                <w:sz w:val="21"/>
                <w:szCs w:val="21"/>
              </w:rPr>
              <w:t>计）、氨氮</w:t>
            </w:r>
          </w:p>
        </w:tc>
      </w:tr>
      <w:tr w14:paraId="0D72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6924DD50">
            <w:pPr>
              <w:spacing w:line="240" w:lineRule="auto"/>
              <w:ind w:firstLine="0" w:firstLineChars="0"/>
              <w:jc w:val="center"/>
              <w:rPr>
                <w:sz w:val="21"/>
                <w:szCs w:val="21"/>
              </w:rPr>
            </w:pPr>
          </w:p>
        </w:tc>
        <w:tc>
          <w:tcPr>
            <w:tcW w:w="639" w:type="pct"/>
            <w:noWrap/>
            <w:vAlign w:val="center"/>
          </w:tcPr>
          <w:p w14:paraId="46973802">
            <w:pPr>
              <w:spacing w:line="240" w:lineRule="auto"/>
              <w:ind w:firstLine="0" w:firstLineChars="0"/>
              <w:jc w:val="center"/>
              <w:rPr>
                <w:sz w:val="21"/>
                <w:szCs w:val="21"/>
              </w:rPr>
            </w:pPr>
            <w:r>
              <w:rPr>
                <w:sz w:val="21"/>
                <w:szCs w:val="21"/>
              </w:rPr>
              <w:t>影响评价</w:t>
            </w:r>
          </w:p>
        </w:tc>
        <w:tc>
          <w:tcPr>
            <w:tcW w:w="3896" w:type="pct"/>
            <w:noWrap/>
            <w:vAlign w:val="center"/>
          </w:tcPr>
          <w:p w14:paraId="61B4369A">
            <w:pPr>
              <w:spacing w:line="240" w:lineRule="auto"/>
              <w:ind w:firstLine="0" w:firstLineChars="0"/>
              <w:jc w:val="center"/>
            </w:pPr>
            <w:r>
              <w:rPr>
                <w:sz w:val="21"/>
                <w:szCs w:val="21"/>
              </w:rPr>
              <w:t>耗氧量（COD</w:t>
            </w:r>
            <w:r>
              <w:rPr>
                <w:sz w:val="21"/>
                <w:szCs w:val="21"/>
                <w:vertAlign w:val="subscript"/>
              </w:rPr>
              <w:t>Mn</w:t>
            </w:r>
            <w:r>
              <w:rPr>
                <w:sz w:val="21"/>
                <w:szCs w:val="21"/>
              </w:rPr>
              <w:t>法，以O</w:t>
            </w:r>
            <w:r>
              <w:rPr>
                <w:sz w:val="21"/>
                <w:szCs w:val="21"/>
                <w:vertAlign w:val="subscript"/>
              </w:rPr>
              <w:t>3</w:t>
            </w:r>
            <w:r>
              <w:rPr>
                <w:sz w:val="21"/>
                <w:szCs w:val="21"/>
              </w:rPr>
              <w:t>计）、氨氮</w:t>
            </w:r>
          </w:p>
        </w:tc>
      </w:tr>
      <w:tr w14:paraId="00D3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restart"/>
            <w:noWrap/>
            <w:vAlign w:val="center"/>
          </w:tcPr>
          <w:p w14:paraId="4062924E">
            <w:pPr>
              <w:spacing w:line="240" w:lineRule="auto"/>
              <w:ind w:firstLine="0" w:firstLineChars="0"/>
              <w:jc w:val="center"/>
              <w:rPr>
                <w:sz w:val="21"/>
                <w:szCs w:val="21"/>
              </w:rPr>
            </w:pPr>
            <w:r>
              <w:rPr>
                <w:sz w:val="21"/>
                <w:szCs w:val="21"/>
              </w:rPr>
              <w:t>土壤</w:t>
            </w:r>
          </w:p>
          <w:p w14:paraId="34ACB51F">
            <w:pPr>
              <w:spacing w:line="240" w:lineRule="auto"/>
              <w:ind w:firstLine="0" w:firstLineChars="0"/>
              <w:jc w:val="center"/>
              <w:rPr>
                <w:sz w:val="21"/>
                <w:szCs w:val="21"/>
              </w:rPr>
            </w:pPr>
            <w:r>
              <w:rPr>
                <w:sz w:val="21"/>
                <w:szCs w:val="21"/>
              </w:rPr>
              <w:t>环境</w:t>
            </w:r>
          </w:p>
        </w:tc>
        <w:tc>
          <w:tcPr>
            <w:tcW w:w="639" w:type="pct"/>
            <w:noWrap/>
            <w:vAlign w:val="center"/>
          </w:tcPr>
          <w:p w14:paraId="2C0C1E44">
            <w:pPr>
              <w:spacing w:line="240" w:lineRule="auto"/>
              <w:ind w:firstLine="0" w:firstLineChars="0"/>
              <w:jc w:val="center"/>
              <w:rPr>
                <w:sz w:val="21"/>
                <w:szCs w:val="21"/>
              </w:rPr>
            </w:pPr>
            <w:r>
              <w:rPr>
                <w:sz w:val="21"/>
                <w:szCs w:val="21"/>
              </w:rPr>
              <w:t>现状评价</w:t>
            </w:r>
          </w:p>
        </w:tc>
        <w:tc>
          <w:tcPr>
            <w:tcW w:w="3896" w:type="pct"/>
            <w:noWrap/>
            <w:vAlign w:val="center"/>
          </w:tcPr>
          <w:p w14:paraId="40BF2ED7">
            <w:pPr>
              <w:spacing w:line="240" w:lineRule="auto"/>
              <w:ind w:firstLine="0" w:firstLineChars="0"/>
              <w:jc w:val="center"/>
              <w:rPr>
                <w:sz w:val="21"/>
                <w:szCs w:val="21"/>
              </w:rPr>
            </w:pPr>
            <w:r>
              <w:rPr>
                <w:sz w:val="21"/>
                <w:szCs w:val="21"/>
              </w:rPr>
              <w:t>pH值、砷、镉、铬、铜、铅、汞、镍、锌</w:t>
            </w:r>
          </w:p>
        </w:tc>
      </w:tr>
      <w:tr w14:paraId="485B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72841B4E">
            <w:pPr>
              <w:spacing w:line="240" w:lineRule="auto"/>
              <w:ind w:firstLine="0" w:firstLineChars="0"/>
              <w:jc w:val="center"/>
              <w:rPr>
                <w:sz w:val="21"/>
                <w:szCs w:val="21"/>
              </w:rPr>
            </w:pPr>
          </w:p>
        </w:tc>
        <w:tc>
          <w:tcPr>
            <w:tcW w:w="639" w:type="pct"/>
            <w:noWrap/>
            <w:vAlign w:val="center"/>
          </w:tcPr>
          <w:p w14:paraId="13084E44">
            <w:pPr>
              <w:spacing w:line="240" w:lineRule="auto"/>
              <w:ind w:firstLine="0" w:firstLineChars="0"/>
              <w:jc w:val="center"/>
              <w:rPr>
                <w:sz w:val="21"/>
                <w:szCs w:val="21"/>
              </w:rPr>
            </w:pPr>
            <w:r>
              <w:rPr>
                <w:sz w:val="21"/>
                <w:szCs w:val="21"/>
              </w:rPr>
              <w:t>污染源</w:t>
            </w:r>
          </w:p>
        </w:tc>
        <w:tc>
          <w:tcPr>
            <w:tcW w:w="3896" w:type="pct"/>
            <w:noWrap/>
            <w:vAlign w:val="center"/>
          </w:tcPr>
          <w:p w14:paraId="77E3BB19">
            <w:pPr>
              <w:spacing w:line="240" w:lineRule="auto"/>
              <w:ind w:firstLine="0" w:firstLineChars="0"/>
              <w:jc w:val="center"/>
              <w:rPr>
                <w:sz w:val="21"/>
                <w:szCs w:val="21"/>
              </w:rPr>
            </w:pPr>
            <w:r>
              <w:rPr>
                <w:sz w:val="21"/>
                <w:szCs w:val="21"/>
              </w:rPr>
              <w:t>氨氮</w:t>
            </w:r>
          </w:p>
        </w:tc>
      </w:tr>
      <w:tr w14:paraId="555C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6BFB401C">
            <w:pPr>
              <w:spacing w:line="240" w:lineRule="auto"/>
              <w:ind w:firstLine="0" w:firstLineChars="0"/>
              <w:jc w:val="center"/>
              <w:rPr>
                <w:sz w:val="21"/>
                <w:szCs w:val="21"/>
              </w:rPr>
            </w:pPr>
          </w:p>
        </w:tc>
        <w:tc>
          <w:tcPr>
            <w:tcW w:w="639" w:type="pct"/>
            <w:noWrap/>
            <w:vAlign w:val="center"/>
          </w:tcPr>
          <w:p w14:paraId="3A50D06B">
            <w:pPr>
              <w:spacing w:line="240" w:lineRule="auto"/>
              <w:ind w:firstLine="0" w:firstLineChars="0"/>
              <w:jc w:val="center"/>
              <w:rPr>
                <w:sz w:val="21"/>
                <w:szCs w:val="21"/>
              </w:rPr>
            </w:pPr>
            <w:r>
              <w:rPr>
                <w:sz w:val="21"/>
                <w:szCs w:val="21"/>
              </w:rPr>
              <w:t>影响评价</w:t>
            </w:r>
          </w:p>
        </w:tc>
        <w:tc>
          <w:tcPr>
            <w:tcW w:w="3896" w:type="pct"/>
            <w:noWrap/>
            <w:vAlign w:val="center"/>
          </w:tcPr>
          <w:p w14:paraId="66C1DC68">
            <w:pPr>
              <w:spacing w:line="240" w:lineRule="auto"/>
              <w:ind w:firstLine="0" w:firstLineChars="0"/>
              <w:jc w:val="center"/>
              <w:rPr>
                <w:sz w:val="21"/>
                <w:szCs w:val="21"/>
              </w:rPr>
            </w:pPr>
            <w:r>
              <w:rPr>
                <w:sz w:val="21"/>
                <w:szCs w:val="21"/>
              </w:rPr>
              <w:t>氨氮</w:t>
            </w:r>
          </w:p>
        </w:tc>
      </w:tr>
      <w:tr w14:paraId="6057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noWrap/>
            <w:vAlign w:val="center"/>
          </w:tcPr>
          <w:p w14:paraId="36E3A580">
            <w:pPr>
              <w:spacing w:line="240" w:lineRule="auto"/>
              <w:ind w:firstLine="0" w:firstLineChars="0"/>
              <w:jc w:val="center"/>
              <w:rPr>
                <w:sz w:val="21"/>
                <w:szCs w:val="21"/>
              </w:rPr>
            </w:pPr>
            <w:r>
              <w:rPr>
                <w:sz w:val="21"/>
                <w:szCs w:val="21"/>
              </w:rPr>
              <w:t>固体</w:t>
            </w:r>
          </w:p>
          <w:p w14:paraId="6150CDC3">
            <w:pPr>
              <w:spacing w:line="240" w:lineRule="auto"/>
              <w:ind w:firstLine="0" w:firstLineChars="0"/>
              <w:jc w:val="center"/>
              <w:rPr>
                <w:sz w:val="21"/>
                <w:szCs w:val="21"/>
              </w:rPr>
            </w:pPr>
            <w:r>
              <w:rPr>
                <w:sz w:val="21"/>
                <w:szCs w:val="21"/>
              </w:rPr>
              <w:t>废物</w:t>
            </w:r>
          </w:p>
        </w:tc>
        <w:tc>
          <w:tcPr>
            <w:tcW w:w="639" w:type="pct"/>
            <w:noWrap/>
            <w:vAlign w:val="center"/>
          </w:tcPr>
          <w:p w14:paraId="6DD3E1DE">
            <w:pPr>
              <w:spacing w:line="240" w:lineRule="auto"/>
              <w:ind w:firstLine="0" w:firstLineChars="0"/>
              <w:jc w:val="center"/>
              <w:rPr>
                <w:sz w:val="21"/>
                <w:szCs w:val="21"/>
              </w:rPr>
            </w:pPr>
            <w:r>
              <w:rPr>
                <w:sz w:val="21"/>
                <w:szCs w:val="21"/>
              </w:rPr>
              <w:t>污染源</w:t>
            </w:r>
          </w:p>
        </w:tc>
        <w:tc>
          <w:tcPr>
            <w:tcW w:w="3896" w:type="pct"/>
            <w:noWrap/>
            <w:vAlign w:val="center"/>
          </w:tcPr>
          <w:p w14:paraId="39687D37">
            <w:pPr>
              <w:spacing w:line="240" w:lineRule="auto"/>
              <w:ind w:firstLine="0" w:firstLineChars="0"/>
              <w:jc w:val="center"/>
              <w:rPr>
                <w:sz w:val="21"/>
                <w:szCs w:val="21"/>
              </w:rPr>
            </w:pPr>
            <w:r>
              <w:rPr>
                <w:sz w:val="21"/>
                <w:szCs w:val="21"/>
              </w:rPr>
              <w:t>生活垃圾、鸡粪、饲料残渣、散落的羽毛、病死后的鸡的尸体、</w:t>
            </w:r>
            <w:r>
              <w:rPr>
                <w:rFonts w:hint="eastAsia"/>
                <w:sz w:val="21"/>
                <w:szCs w:val="21"/>
              </w:rPr>
              <w:t>诊疗</w:t>
            </w:r>
            <w:r>
              <w:rPr>
                <w:sz w:val="21"/>
                <w:szCs w:val="21"/>
              </w:rPr>
              <w:t>废物</w:t>
            </w:r>
            <w:r>
              <w:rPr>
                <w:rFonts w:hint="eastAsia"/>
                <w:sz w:val="21"/>
                <w:szCs w:val="21"/>
              </w:rPr>
              <w:t>、解剖鸡的尸体</w:t>
            </w:r>
            <w:r>
              <w:rPr>
                <w:sz w:val="21"/>
                <w:szCs w:val="21"/>
              </w:rPr>
              <w:t>等</w:t>
            </w:r>
          </w:p>
        </w:tc>
      </w:tr>
      <w:tr w14:paraId="1B7C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restart"/>
            <w:noWrap/>
            <w:vAlign w:val="center"/>
          </w:tcPr>
          <w:p w14:paraId="32175C13">
            <w:pPr>
              <w:spacing w:line="240" w:lineRule="auto"/>
              <w:ind w:firstLine="0" w:firstLineChars="0"/>
              <w:jc w:val="center"/>
              <w:rPr>
                <w:sz w:val="21"/>
                <w:szCs w:val="21"/>
              </w:rPr>
            </w:pPr>
            <w:r>
              <w:rPr>
                <w:sz w:val="21"/>
                <w:szCs w:val="21"/>
              </w:rPr>
              <w:t>声环境</w:t>
            </w:r>
          </w:p>
        </w:tc>
        <w:tc>
          <w:tcPr>
            <w:tcW w:w="639" w:type="pct"/>
            <w:noWrap/>
            <w:vAlign w:val="center"/>
          </w:tcPr>
          <w:p w14:paraId="6F25DF4A">
            <w:pPr>
              <w:spacing w:line="240" w:lineRule="auto"/>
              <w:ind w:firstLine="0" w:firstLineChars="0"/>
              <w:jc w:val="center"/>
              <w:rPr>
                <w:sz w:val="21"/>
                <w:szCs w:val="21"/>
              </w:rPr>
            </w:pPr>
            <w:r>
              <w:rPr>
                <w:sz w:val="21"/>
                <w:szCs w:val="21"/>
              </w:rPr>
              <w:t>现状评价</w:t>
            </w:r>
          </w:p>
        </w:tc>
        <w:tc>
          <w:tcPr>
            <w:tcW w:w="3896" w:type="pct"/>
            <w:noWrap/>
            <w:vAlign w:val="center"/>
          </w:tcPr>
          <w:p w14:paraId="29386159">
            <w:pPr>
              <w:spacing w:line="240" w:lineRule="auto"/>
              <w:ind w:firstLine="0" w:firstLineChars="0"/>
              <w:jc w:val="center"/>
            </w:pPr>
            <w:r>
              <w:t>L</w:t>
            </w:r>
            <w:r>
              <w:rPr>
                <w:vertAlign w:val="subscript"/>
              </w:rPr>
              <w:t>Aeq</w:t>
            </w:r>
          </w:p>
        </w:tc>
      </w:tr>
      <w:tr w14:paraId="3E0C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1633C96A">
            <w:pPr>
              <w:spacing w:line="240" w:lineRule="auto"/>
              <w:ind w:firstLine="0" w:firstLineChars="0"/>
              <w:jc w:val="center"/>
              <w:rPr>
                <w:sz w:val="21"/>
                <w:szCs w:val="21"/>
              </w:rPr>
            </w:pPr>
          </w:p>
        </w:tc>
        <w:tc>
          <w:tcPr>
            <w:tcW w:w="639" w:type="pct"/>
            <w:noWrap/>
            <w:vAlign w:val="center"/>
          </w:tcPr>
          <w:p w14:paraId="0D2F4E1C">
            <w:pPr>
              <w:spacing w:line="240" w:lineRule="auto"/>
              <w:ind w:firstLine="0" w:firstLineChars="0"/>
              <w:jc w:val="center"/>
              <w:rPr>
                <w:sz w:val="21"/>
                <w:szCs w:val="21"/>
              </w:rPr>
            </w:pPr>
            <w:r>
              <w:rPr>
                <w:rFonts w:hint="eastAsia"/>
                <w:sz w:val="21"/>
                <w:szCs w:val="21"/>
              </w:rPr>
              <w:t>污染源</w:t>
            </w:r>
          </w:p>
        </w:tc>
        <w:tc>
          <w:tcPr>
            <w:tcW w:w="3896" w:type="pct"/>
            <w:noWrap/>
            <w:vAlign w:val="center"/>
          </w:tcPr>
          <w:p w14:paraId="1D02CDB1">
            <w:pPr>
              <w:spacing w:line="240" w:lineRule="auto"/>
              <w:ind w:firstLine="0" w:firstLineChars="0"/>
              <w:jc w:val="center"/>
            </w:pPr>
            <w:r>
              <w:rPr>
                <w:rFonts w:hint="eastAsia"/>
                <w:sz w:val="21"/>
                <w:szCs w:val="21"/>
              </w:rPr>
              <w:t>鸡群噪声、生产机械设备噪声</w:t>
            </w:r>
          </w:p>
        </w:tc>
      </w:tr>
      <w:tr w14:paraId="4212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6D42003E">
            <w:pPr>
              <w:spacing w:line="240" w:lineRule="auto"/>
              <w:ind w:firstLine="0" w:firstLineChars="0"/>
              <w:jc w:val="center"/>
              <w:rPr>
                <w:sz w:val="21"/>
                <w:szCs w:val="21"/>
              </w:rPr>
            </w:pPr>
          </w:p>
        </w:tc>
        <w:tc>
          <w:tcPr>
            <w:tcW w:w="639" w:type="pct"/>
            <w:noWrap/>
            <w:vAlign w:val="center"/>
          </w:tcPr>
          <w:p w14:paraId="048D88E7">
            <w:pPr>
              <w:spacing w:line="240" w:lineRule="auto"/>
              <w:ind w:firstLine="0" w:firstLineChars="0"/>
              <w:jc w:val="center"/>
              <w:rPr>
                <w:sz w:val="21"/>
                <w:szCs w:val="21"/>
              </w:rPr>
            </w:pPr>
            <w:r>
              <w:rPr>
                <w:rFonts w:hint="eastAsia"/>
                <w:sz w:val="21"/>
                <w:szCs w:val="21"/>
              </w:rPr>
              <w:t>影响评价</w:t>
            </w:r>
          </w:p>
        </w:tc>
        <w:tc>
          <w:tcPr>
            <w:tcW w:w="3896" w:type="pct"/>
            <w:noWrap/>
            <w:vAlign w:val="center"/>
          </w:tcPr>
          <w:p w14:paraId="78EABD0A">
            <w:pPr>
              <w:spacing w:line="240" w:lineRule="auto"/>
              <w:ind w:firstLine="0" w:firstLineChars="0"/>
              <w:jc w:val="center"/>
            </w:pPr>
            <w:r>
              <w:t>L</w:t>
            </w:r>
            <w:r>
              <w:rPr>
                <w:vertAlign w:val="subscript"/>
              </w:rPr>
              <w:t>Aeq</w:t>
            </w:r>
          </w:p>
        </w:tc>
      </w:tr>
      <w:tr w14:paraId="409D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restart"/>
            <w:noWrap/>
            <w:vAlign w:val="center"/>
          </w:tcPr>
          <w:p w14:paraId="0C0AA1E7">
            <w:pPr>
              <w:spacing w:line="240" w:lineRule="auto"/>
              <w:ind w:firstLine="0" w:firstLineChars="0"/>
              <w:jc w:val="center"/>
              <w:rPr>
                <w:sz w:val="21"/>
                <w:szCs w:val="21"/>
              </w:rPr>
            </w:pPr>
            <w:r>
              <w:rPr>
                <w:rFonts w:hint="eastAsia"/>
                <w:sz w:val="21"/>
                <w:szCs w:val="21"/>
              </w:rPr>
              <w:t>生态环境</w:t>
            </w:r>
          </w:p>
        </w:tc>
        <w:tc>
          <w:tcPr>
            <w:tcW w:w="639" w:type="pct"/>
            <w:noWrap/>
            <w:vAlign w:val="center"/>
          </w:tcPr>
          <w:p w14:paraId="629546DE">
            <w:pPr>
              <w:spacing w:line="240" w:lineRule="auto"/>
              <w:ind w:firstLine="0" w:firstLineChars="0"/>
              <w:jc w:val="center"/>
              <w:rPr>
                <w:sz w:val="21"/>
                <w:szCs w:val="21"/>
              </w:rPr>
            </w:pPr>
            <w:r>
              <w:rPr>
                <w:sz w:val="21"/>
                <w:szCs w:val="21"/>
              </w:rPr>
              <w:t>现状评价</w:t>
            </w:r>
          </w:p>
        </w:tc>
        <w:tc>
          <w:tcPr>
            <w:tcW w:w="3896" w:type="pct"/>
            <w:noWrap/>
            <w:vAlign w:val="center"/>
          </w:tcPr>
          <w:p w14:paraId="7AF9BFDB">
            <w:pPr>
              <w:spacing w:line="240" w:lineRule="auto"/>
              <w:ind w:firstLine="0" w:firstLineChars="0"/>
              <w:jc w:val="center"/>
              <w:rPr>
                <w:sz w:val="21"/>
                <w:szCs w:val="21"/>
              </w:rPr>
            </w:pPr>
            <w:r>
              <w:rPr>
                <w:rFonts w:hint="eastAsia"/>
                <w:sz w:val="21"/>
                <w:szCs w:val="21"/>
              </w:rPr>
              <w:t>地形地貌、土地利用类型、物种（植物、动物）、植被类型、植被覆盖度、生态系统类型、生态系统功能、生物多样性</w:t>
            </w:r>
          </w:p>
        </w:tc>
      </w:tr>
      <w:tr w14:paraId="4350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464" w:type="pct"/>
            <w:vMerge w:val="continue"/>
            <w:noWrap/>
            <w:vAlign w:val="center"/>
          </w:tcPr>
          <w:p w14:paraId="4E9AE73F">
            <w:pPr>
              <w:spacing w:line="240" w:lineRule="auto"/>
              <w:ind w:firstLine="0" w:firstLineChars="0"/>
              <w:jc w:val="center"/>
              <w:rPr>
                <w:sz w:val="21"/>
                <w:szCs w:val="21"/>
              </w:rPr>
            </w:pPr>
            <w:bookmarkStart w:id="114" w:name="_Toc36234643"/>
            <w:bookmarkStart w:id="115" w:name="_Toc457206605"/>
            <w:bookmarkStart w:id="116" w:name="_Toc411352833"/>
          </w:p>
        </w:tc>
        <w:tc>
          <w:tcPr>
            <w:tcW w:w="639" w:type="pct"/>
            <w:noWrap/>
            <w:vAlign w:val="center"/>
          </w:tcPr>
          <w:p w14:paraId="5740380E">
            <w:pPr>
              <w:spacing w:line="240" w:lineRule="auto"/>
              <w:ind w:firstLine="0" w:firstLineChars="0"/>
              <w:jc w:val="center"/>
              <w:rPr>
                <w:sz w:val="21"/>
                <w:szCs w:val="21"/>
              </w:rPr>
            </w:pPr>
            <w:r>
              <w:rPr>
                <w:rFonts w:hint="eastAsia"/>
                <w:sz w:val="21"/>
                <w:szCs w:val="21"/>
              </w:rPr>
              <w:t>影响评价</w:t>
            </w:r>
          </w:p>
        </w:tc>
        <w:tc>
          <w:tcPr>
            <w:tcW w:w="3896" w:type="pct"/>
            <w:noWrap/>
            <w:vAlign w:val="center"/>
          </w:tcPr>
          <w:p w14:paraId="6DFFD857">
            <w:pPr>
              <w:spacing w:line="240" w:lineRule="auto"/>
              <w:ind w:firstLine="0" w:firstLineChars="0"/>
              <w:jc w:val="center"/>
              <w:rPr>
                <w:sz w:val="21"/>
                <w:szCs w:val="21"/>
              </w:rPr>
            </w:pPr>
            <w:r>
              <w:rPr>
                <w:rFonts w:hint="eastAsia"/>
                <w:sz w:val="21"/>
                <w:szCs w:val="21"/>
              </w:rPr>
              <w:t>植物群落、植物种类资源、生物多样性、动物种类资源、地形地貌、生态系统结构、生态系统功能</w:t>
            </w:r>
          </w:p>
        </w:tc>
      </w:tr>
    </w:tbl>
    <w:p w14:paraId="375EDE08">
      <w:pPr>
        <w:pStyle w:val="105"/>
        <w:ind w:firstLine="480"/>
      </w:pPr>
      <w:r>
        <w:rPr>
          <w:rFonts w:hint="eastAsia"/>
        </w:rPr>
        <w:t>在工程分析基础上筛选评价去生态影响评价因子，结果见下表。</w:t>
      </w:r>
    </w:p>
    <w:p w14:paraId="28C277C1">
      <w:pPr>
        <w:pStyle w:val="105"/>
        <w:spacing w:line="240" w:lineRule="auto"/>
        <w:ind w:firstLine="0" w:firstLineChars="0"/>
        <w:jc w:val="center"/>
        <w:rPr>
          <w:b/>
          <w:bCs/>
        </w:rPr>
      </w:pPr>
      <w:r>
        <w:rPr>
          <w:rFonts w:hint="eastAsia"/>
          <w:b/>
          <w:bCs/>
        </w:rPr>
        <w:t>表2.3-3 生态影响评价因子筛选表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3100"/>
        <w:gridCol w:w="1588"/>
        <w:gridCol w:w="1887"/>
        <w:gridCol w:w="1407"/>
      </w:tblGrid>
      <w:tr w14:paraId="5378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399D105E">
            <w:pPr>
              <w:pStyle w:val="105"/>
              <w:spacing w:line="240" w:lineRule="auto"/>
              <w:ind w:firstLine="0" w:firstLineChars="0"/>
              <w:jc w:val="center"/>
              <w:rPr>
                <w:sz w:val="21"/>
                <w:szCs w:val="21"/>
              </w:rPr>
            </w:pPr>
            <w:r>
              <w:rPr>
                <w:rFonts w:hint="eastAsia"/>
                <w:sz w:val="21"/>
                <w:szCs w:val="21"/>
              </w:rPr>
              <w:t>受影响对象</w:t>
            </w:r>
          </w:p>
        </w:tc>
        <w:tc>
          <w:tcPr>
            <w:tcW w:w="3100" w:type="dxa"/>
            <w:vAlign w:val="center"/>
          </w:tcPr>
          <w:p w14:paraId="225F10FA">
            <w:pPr>
              <w:pStyle w:val="105"/>
              <w:spacing w:line="240" w:lineRule="auto"/>
              <w:ind w:firstLine="0" w:firstLineChars="0"/>
              <w:jc w:val="center"/>
              <w:rPr>
                <w:sz w:val="21"/>
                <w:szCs w:val="21"/>
              </w:rPr>
            </w:pPr>
            <w:r>
              <w:rPr>
                <w:rFonts w:hint="eastAsia"/>
                <w:sz w:val="21"/>
                <w:szCs w:val="21"/>
              </w:rPr>
              <w:t>评价因子</w:t>
            </w:r>
          </w:p>
        </w:tc>
        <w:tc>
          <w:tcPr>
            <w:tcW w:w="1588" w:type="dxa"/>
            <w:vAlign w:val="center"/>
          </w:tcPr>
          <w:p w14:paraId="02A1518C">
            <w:pPr>
              <w:pStyle w:val="105"/>
              <w:spacing w:line="240" w:lineRule="auto"/>
              <w:ind w:firstLine="0" w:firstLineChars="0"/>
              <w:jc w:val="center"/>
              <w:rPr>
                <w:sz w:val="21"/>
                <w:szCs w:val="21"/>
              </w:rPr>
            </w:pPr>
            <w:r>
              <w:rPr>
                <w:rFonts w:hint="eastAsia"/>
                <w:sz w:val="21"/>
                <w:szCs w:val="21"/>
              </w:rPr>
              <w:t>影响方式</w:t>
            </w:r>
          </w:p>
        </w:tc>
        <w:tc>
          <w:tcPr>
            <w:tcW w:w="1887" w:type="dxa"/>
            <w:vAlign w:val="center"/>
          </w:tcPr>
          <w:p w14:paraId="219D4372">
            <w:pPr>
              <w:pStyle w:val="105"/>
              <w:spacing w:line="240" w:lineRule="auto"/>
              <w:ind w:firstLine="0" w:firstLineChars="0"/>
              <w:jc w:val="center"/>
              <w:rPr>
                <w:sz w:val="21"/>
                <w:szCs w:val="21"/>
              </w:rPr>
            </w:pPr>
            <w:r>
              <w:rPr>
                <w:rFonts w:hint="eastAsia"/>
                <w:sz w:val="21"/>
                <w:szCs w:val="21"/>
              </w:rPr>
              <w:t>影响性质</w:t>
            </w:r>
          </w:p>
        </w:tc>
        <w:tc>
          <w:tcPr>
            <w:tcW w:w="1407" w:type="dxa"/>
            <w:vAlign w:val="center"/>
          </w:tcPr>
          <w:p w14:paraId="0F46ABC0">
            <w:pPr>
              <w:pStyle w:val="105"/>
              <w:spacing w:line="240" w:lineRule="auto"/>
              <w:ind w:firstLine="0" w:firstLineChars="0"/>
              <w:jc w:val="center"/>
              <w:rPr>
                <w:sz w:val="21"/>
                <w:szCs w:val="21"/>
              </w:rPr>
            </w:pPr>
            <w:r>
              <w:rPr>
                <w:rFonts w:hint="eastAsia"/>
                <w:sz w:val="21"/>
                <w:szCs w:val="21"/>
              </w:rPr>
              <w:t>影响程度</w:t>
            </w:r>
          </w:p>
        </w:tc>
      </w:tr>
      <w:tr w14:paraId="65D1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6EF32136">
            <w:pPr>
              <w:pStyle w:val="105"/>
              <w:spacing w:line="240" w:lineRule="auto"/>
              <w:ind w:firstLine="0" w:firstLineChars="0"/>
              <w:jc w:val="center"/>
              <w:rPr>
                <w:sz w:val="21"/>
                <w:szCs w:val="21"/>
              </w:rPr>
            </w:pPr>
            <w:r>
              <w:rPr>
                <w:rFonts w:hint="eastAsia"/>
                <w:sz w:val="21"/>
                <w:szCs w:val="21"/>
              </w:rPr>
              <w:t>物种</w:t>
            </w:r>
          </w:p>
        </w:tc>
        <w:tc>
          <w:tcPr>
            <w:tcW w:w="3100" w:type="dxa"/>
            <w:vAlign w:val="center"/>
          </w:tcPr>
          <w:p w14:paraId="4FCE9009">
            <w:pPr>
              <w:pStyle w:val="105"/>
              <w:spacing w:line="240" w:lineRule="auto"/>
              <w:ind w:firstLine="0" w:firstLineChars="0"/>
              <w:jc w:val="center"/>
              <w:rPr>
                <w:sz w:val="21"/>
                <w:szCs w:val="21"/>
              </w:rPr>
            </w:pPr>
            <w:r>
              <w:rPr>
                <w:rFonts w:hint="eastAsia"/>
                <w:sz w:val="21"/>
                <w:szCs w:val="21"/>
              </w:rPr>
              <w:t>分布范围、种群数量、种群结构</w:t>
            </w:r>
          </w:p>
        </w:tc>
        <w:tc>
          <w:tcPr>
            <w:tcW w:w="1588" w:type="dxa"/>
            <w:vAlign w:val="center"/>
          </w:tcPr>
          <w:p w14:paraId="64A72362">
            <w:pPr>
              <w:pStyle w:val="105"/>
              <w:spacing w:line="240" w:lineRule="auto"/>
              <w:ind w:firstLine="0" w:firstLineChars="0"/>
              <w:jc w:val="center"/>
              <w:rPr>
                <w:sz w:val="21"/>
                <w:szCs w:val="21"/>
              </w:rPr>
            </w:pPr>
            <w:r>
              <w:rPr>
                <w:rFonts w:hint="eastAsia"/>
                <w:sz w:val="21"/>
                <w:szCs w:val="21"/>
              </w:rPr>
              <w:t>间接生态影响</w:t>
            </w:r>
          </w:p>
        </w:tc>
        <w:tc>
          <w:tcPr>
            <w:tcW w:w="1887" w:type="dxa"/>
            <w:vAlign w:val="center"/>
          </w:tcPr>
          <w:p w14:paraId="069C13FF">
            <w:pPr>
              <w:pStyle w:val="105"/>
              <w:spacing w:line="240" w:lineRule="auto"/>
              <w:ind w:firstLine="0" w:firstLineChars="0"/>
              <w:jc w:val="center"/>
              <w:rPr>
                <w:sz w:val="21"/>
                <w:szCs w:val="21"/>
              </w:rPr>
            </w:pPr>
            <w:r>
              <w:rPr>
                <w:rFonts w:hint="eastAsia"/>
                <w:sz w:val="21"/>
                <w:szCs w:val="21"/>
              </w:rPr>
              <w:t>长期、可逆</w:t>
            </w:r>
          </w:p>
        </w:tc>
        <w:tc>
          <w:tcPr>
            <w:tcW w:w="1407" w:type="dxa"/>
            <w:vAlign w:val="center"/>
          </w:tcPr>
          <w:p w14:paraId="71724611">
            <w:pPr>
              <w:pStyle w:val="105"/>
              <w:spacing w:line="240" w:lineRule="auto"/>
              <w:ind w:firstLine="0" w:firstLineChars="0"/>
              <w:jc w:val="center"/>
              <w:rPr>
                <w:sz w:val="21"/>
                <w:szCs w:val="21"/>
              </w:rPr>
            </w:pPr>
            <w:r>
              <w:rPr>
                <w:rFonts w:hint="eastAsia"/>
                <w:sz w:val="21"/>
                <w:szCs w:val="21"/>
              </w:rPr>
              <w:t>弱</w:t>
            </w:r>
          </w:p>
        </w:tc>
      </w:tr>
      <w:tr w14:paraId="34CF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31BA848E">
            <w:pPr>
              <w:pStyle w:val="105"/>
              <w:spacing w:line="240" w:lineRule="auto"/>
              <w:ind w:firstLine="0" w:firstLineChars="0"/>
              <w:jc w:val="center"/>
              <w:rPr>
                <w:rFonts w:hint="default" w:eastAsia="宋体"/>
                <w:sz w:val="21"/>
                <w:szCs w:val="21"/>
                <w:lang w:val="en-US" w:eastAsia="zh-CN"/>
              </w:rPr>
            </w:pPr>
            <w:r>
              <w:rPr>
                <w:rFonts w:hint="eastAsia"/>
                <w:sz w:val="21"/>
                <w:szCs w:val="21"/>
                <w:lang w:val="en-US" w:eastAsia="zh-CN"/>
              </w:rPr>
              <w:t>环境</w:t>
            </w:r>
          </w:p>
        </w:tc>
        <w:tc>
          <w:tcPr>
            <w:tcW w:w="3100" w:type="dxa"/>
            <w:vAlign w:val="center"/>
          </w:tcPr>
          <w:p w14:paraId="385A96A9">
            <w:pPr>
              <w:pStyle w:val="105"/>
              <w:spacing w:line="240" w:lineRule="auto"/>
              <w:ind w:firstLine="0" w:firstLineChars="0"/>
              <w:jc w:val="center"/>
              <w:rPr>
                <w:sz w:val="21"/>
                <w:szCs w:val="21"/>
              </w:rPr>
            </w:pPr>
            <w:r>
              <w:rPr>
                <w:rFonts w:hint="eastAsia"/>
                <w:sz w:val="21"/>
                <w:szCs w:val="21"/>
                <w:lang w:val="en-US" w:eastAsia="zh-CN"/>
              </w:rPr>
              <w:t>环境</w:t>
            </w:r>
            <w:r>
              <w:rPr>
                <w:rFonts w:hint="eastAsia"/>
                <w:sz w:val="21"/>
                <w:szCs w:val="21"/>
              </w:rPr>
              <w:t>面积、质量、连通性</w:t>
            </w:r>
          </w:p>
        </w:tc>
        <w:tc>
          <w:tcPr>
            <w:tcW w:w="1588" w:type="dxa"/>
            <w:vAlign w:val="center"/>
          </w:tcPr>
          <w:p w14:paraId="420EE09A">
            <w:pPr>
              <w:pStyle w:val="105"/>
              <w:spacing w:line="240" w:lineRule="auto"/>
              <w:ind w:firstLine="0" w:firstLineChars="0"/>
              <w:jc w:val="center"/>
              <w:rPr>
                <w:sz w:val="21"/>
                <w:szCs w:val="21"/>
              </w:rPr>
            </w:pPr>
            <w:r>
              <w:rPr>
                <w:rFonts w:hint="eastAsia"/>
                <w:sz w:val="21"/>
                <w:szCs w:val="21"/>
              </w:rPr>
              <w:t>直接生态影响</w:t>
            </w:r>
          </w:p>
        </w:tc>
        <w:tc>
          <w:tcPr>
            <w:tcW w:w="1887" w:type="dxa"/>
            <w:vAlign w:val="center"/>
          </w:tcPr>
          <w:p w14:paraId="622EFF63">
            <w:pPr>
              <w:pStyle w:val="105"/>
              <w:spacing w:line="240" w:lineRule="auto"/>
              <w:ind w:firstLine="0" w:firstLineChars="0"/>
              <w:jc w:val="center"/>
              <w:rPr>
                <w:sz w:val="21"/>
                <w:szCs w:val="21"/>
              </w:rPr>
            </w:pPr>
            <w:r>
              <w:rPr>
                <w:rFonts w:hint="eastAsia"/>
                <w:sz w:val="21"/>
                <w:szCs w:val="21"/>
              </w:rPr>
              <w:t>长期、可逆</w:t>
            </w:r>
          </w:p>
        </w:tc>
        <w:tc>
          <w:tcPr>
            <w:tcW w:w="1407" w:type="dxa"/>
            <w:vAlign w:val="center"/>
          </w:tcPr>
          <w:p w14:paraId="1B8549B0">
            <w:pPr>
              <w:pStyle w:val="105"/>
              <w:spacing w:line="240" w:lineRule="auto"/>
              <w:ind w:firstLine="0" w:firstLineChars="0"/>
              <w:jc w:val="center"/>
              <w:rPr>
                <w:sz w:val="21"/>
                <w:szCs w:val="21"/>
              </w:rPr>
            </w:pPr>
            <w:r>
              <w:rPr>
                <w:rFonts w:hint="eastAsia"/>
                <w:sz w:val="21"/>
                <w:szCs w:val="21"/>
              </w:rPr>
              <w:t>弱</w:t>
            </w:r>
          </w:p>
        </w:tc>
      </w:tr>
      <w:tr w14:paraId="04EB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305" w:type="dxa"/>
            <w:vAlign w:val="center"/>
          </w:tcPr>
          <w:p w14:paraId="17727B3E">
            <w:pPr>
              <w:pStyle w:val="105"/>
              <w:spacing w:line="240" w:lineRule="auto"/>
              <w:ind w:firstLine="0" w:firstLineChars="0"/>
              <w:jc w:val="center"/>
              <w:rPr>
                <w:sz w:val="21"/>
                <w:szCs w:val="21"/>
              </w:rPr>
            </w:pPr>
            <w:r>
              <w:rPr>
                <w:rFonts w:hint="eastAsia"/>
                <w:sz w:val="21"/>
                <w:szCs w:val="21"/>
              </w:rPr>
              <w:t>生物群落</w:t>
            </w:r>
          </w:p>
        </w:tc>
        <w:tc>
          <w:tcPr>
            <w:tcW w:w="3100" w:type="dxa"/>
            <w:vAlign w:val="center"/>
          </w:tcPr>
          <w:p w14:paraId="46353377">
            <w:pPr>
              <w:pStyle w:val="105"/>
              <w:spacing w:line="240" w:lineRule="auto"/>
              <w:ind w:firstLine="0" w:firstLineChars="0"/>
              <w:jc w:val="center"/>
              <w:rPr>
                <w:sz w:val="21"/>
                <w:szCs w:val="21"/>
              </w:rPr>
            </w:pPr>
            <w:r>
              <w:rPr>
                <w:rFonts w:hint="eastAsia"/>
                <w:sz w:val="21"/>
                <w:szCs w:val="21"/>
              </w:rPr>
              <w:t>物种组成、群落结构</w:t>
            </w:r>
          </w:p>
        </w:tc>
        <w:tc>
          <w:tcPr>
            <w:tcW w:w="1588" w:type="dxa"/>
            <w:vAlign w:val="center"/>
          </w:tcPr>
          <w:p w14:paraId="1E6601BD">
            <w:pPr>
              <w:pStyle w:val="105"/>
              <w:spacing w:line="240" w:lineRule="auto"/>
              <w:ind w:firstLine="0" w:firstLineChars="0"/>
              <w:jc w:val="center"/>
              <w:rPr>
                <w:sz w:val="21"/>
                <w:szCs w:val="21"/>
              </w:rPr>
            </w:pPr>
            <w:r>
              <w:rPr>
                <w:rFonts w:hint="eastAsia"/>
                <w:sz w:val="21"/>
                <w:szCs w:val="21"/>
              </w:rPr>
              <w:t>直接生态影响</w:t>
            </w:r>
          </w:p>
        </w:tc>
        <w:tc>
          <w:tcPr>
            <w:tcW w:w="1887" w:type="dxa"/>
            <w:vAlign w:val="center"/>
          </w:tcPr>
          <w:p w14:paraId="5D08B018">
            <w:pPr>
              <w:pStyle w:val="105"/>
              <w:spacing w:line="240" w:lineRule="auto"/>
              <w:ind w:firstLine="0" w:firstLineChars="0"/>
              <w:jc w:val="center"/>
              <w:rPr>
                <w:sz w:val="21"/>
                <w:szCs w:val="21"/>
              </w:rPr>
            </w:pPr>
            <w:r>
              <w:rPr>
                <w:rFonts w:hint="eastAsia"/>
                <w:sz w:val="21"/>
                <w:szCs w:val="21"/>
              </w:rPr>
              <w:t>长期、可逆</w:t>
            </w:r>
          </w:p>
        </w:tc>
        <w:tc>
          <w:tcPr>
            <w:tcW w:w="1407" w:type="dxa"/>
            <w:vAlign w:val="center"/>
          </w:tcPr>
          <w:p w14:paraId="1C94CF29">
            <w:pPr>
              <w:pStyle w:val="105"/>
              <w:spacing w:line="240" w:lineRule="auto"/>
              <w:ind w:firstLine="0" w:firstLineChars="0"/>
              <w:jc w:val="center"/>
              <w:rPr>
                <w:sz w:val="21"/>
                <w:szCs w:val="21"/>
              </w:rPr>
            </w:pPr>
            <w:r>
              <w:rPr>
                <w:rFonts w:hint="eastAsia"/>
                <w:sz w:val="21"/>
                <w:szCs w:val="21"/>
              </w:rPr>
              <w:t>弱</w:t>
            </w:r>
          </w:p>
        </w:tc>
      </w:tr>
      <w:tr w14:paraId="52E5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380C714C">
            <w:pPr>
              <w:pStyle w:val="105"/>
              <w:spacing w:line="240" w:lineRule="auto"/>
              <w:ind w:firstLine="0" w:firstLineChars="0"/>
              <w:jc w:val="center"/>
              <w:rPr>
                <w:sz w:val="21"/>
                <w:szCs w:val="21"/>
              </w:rPr>
            </w:pPr>
            <w:r>
              <w:rPr>
                <w:rFonts w:hint="eastAsia"/>
                <w:sz w:val="21"/>
                <w:szCs w:val="21"/>
              </w:rPr>
              <w:t>生态系统</w:t>
            </w:r>
          </w:p>
        </w:tc>
        <w:tc>
          <w:tcPr>
            <w:tcW w:w="3100" w:type="dxa"/>
            <w:vAlign w:val="center"/>
          </w:tcPr>
          <w:p w14:paraId="21D38A1C">
            <w:pPr>
              <w:pStyle w:val="105"/>
              <w:spacing w:line="240" w:lineRule="auto"/>
              <w:ind w:firstLine="0" w:firstLineChars="0"/>
              <w:jc w:val="center"/>
              <w:rPr>
                <w:sz w:val="21"/>
                <w:szCs w:val="21"/>
              </w:rPr>
            </w:pPr>
            <w:r>
              <w:rPr>
                <w:rFonts w:hint="eastAsia"/>
                <w:sz w:val="21"/>
                <w:szCs w:val="21"/>
              </w:rPr>
              <w:t>植被覆盖度、生态系统功能</w:t>
            </w:r>
          </w:p>
        </w:tc>
        <w:tc>
          <w:tcPr>
            <w:tcW w:w="1588" w:type="dxa"/>
            <w:vAlign w:val="center"/>
          </w:tcPr>
          <w:p w14:paraId="4AB15006">
            <w:pPr>
              <w:pStyle w:val="105"/>
              <w:spacing w:line="240" w:lineRule="auto"/>
              <w:ind w:firstLine="0" w:firstLineChars="0"/>
              <w:jc w:val="center"/>
              <w:rPr>
                <w:sz w:val="21"/>
                <w:szCs w:val="21"/>
              </w:rPr>
            </w:pPr>
            <w:r>
              <w:rPr>
                <w:rFonts w:hint="eastAsia"/>
                <w:sz w:val="21"/>
                <w:szCs w:val="21"/>
              </w:rPr>
              <w:t>间接生态影响</w:t>
            </w:r>
          </w:p>
        </w:tc>
        <w:tc>
          <w:tcPr>
            <w:tcW w:w="1887" w:type="dxa"/>
            <w:vAlign w:val="center"/>
          </w:tcPr>
          <w:p w14:paraId="492E9756">
            <w:pPr>
              <w:pStyle w:val="105"/>
              <w:spacing w:line="240" w:lineRule="auto"/>
              <w:ind w:firstLine="0" w:firstLineChars="0"/>
              <w:jc w:val="center"/>
              <w:rPr>
                <w:sz w:val="21"/>
                <w:szCs w:val="21"/>
              </w:rPr>
            </w:pPr>
            <w:r>
              <w:rPr>
                <w:rFonts w:hint="eastAsia"/>
                <w:sz w:val="21"/>
                <w:szCs w:val="21"/>
              </w:rPr>
              <w:t>长期、可逆</w:t>
            </w:r>
          </w:p>
        </w:tc>
        <w:tc>
          <w:tcPr>
            <w:tcW w:w="1407" w:type="dxa"/>
            <w:vAlign w:val="center"/>
          </w:tcPr>
          <w:p w14:paraId="795A0C3F">
            <w:pPr>
              <w:pStyle w:val="105"/>
              <w:spacing w:line="240" w:lineRule="auto"/>
              <w:ind w:firstLine="0" w:firstLineChars="0"/>
              <w:jc w:val="center"/>
              <w:rPr>
                <w:sz w:val="21"/>
                <w:szCs w:val="21"/>
              </w:rPr>
            </w:pPr>
            <w:r>
              <w:rPr>
                <w:rFonts w:hint="eastAsia"/>
                <w:sz w:val="21"/>
                <w:szCs w:val="21"/>
              </w:rPr>
              <w:t>弱</w:t>
            </w:r>
          </w:p>
        </w:tc>
      </w:tr>
      <w:tr w14:paraId="25B9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1D6A55B6">
            <w:pPr>
              <w:pStyle w:val="105"/>
              <w:spacing w:line="240" w:lineRule="auto"/>
              <w:ind w:firstLine="0" w:firstLineChars="0"/>
              <w:jc w:val="center"/>
              <w:rPr>
                <w:sz w:val="21"/>
                <w:szCs w:val="21"/>
              </w:rPr>
            </w:pPr>
            <w:r>
              <w:rPr>
                <w:rFonts w:hint="eastAsia"/>
                <w:sz w:val="21"/>
                <w:szCs w:val="21"/>
              </w:rPr>
              <w:t>生物多样性</w:t>
            </w:r>
          </w:p>
        </w:tc>
        <w:tc>
          <w:tcPr>
            <w:tcW w:w="3100" w:type="dxa"/>
            <w:vAlign w:val="center"/>
          </w:tcPr>
          <w:p w14:paraId="725D8F32">
            <w:pPr>
              <w:pStyle w:val="105"/>
              <w:spacing w:line="240" w:lineRule="auto"/>
              <w:ind w:firstLine="0" w:firstLineChars="0"/>
              <w:jc w:val="center"/>
              <w:rPr>
                <w:sz w:val="21"/>
                <w:szCs w:val="21"/>
              </w:rPr>
            </w:pPr>
            <w:r>
              <w:rPr>
                <w:rFonts w:hint="eastAsia"/>
                <w:sz w:val="21"/>
                <w:szCs w:val="21"/>
              </w:rPr>
              <w:t>物种丰富度、均匀度、优势度</w:t>
            </w:r>
          </w:p>
        </w:tc>
        <w:tc>
          <w:tcPr>
            <w:tcW w:w="1588" w:type="dxa"/>
            <w:vAlign w:val="center"/>
          </w:tcPr>
          <w:p w14:paraId="00B32EEE">
            <w:pPr>
              <w:pStyle w:val="105"/>
              <w:spacing w:line="240" w:lineRule="auto"/>
              <w:ind w:firstLine="0" w:firstLineChars="0"/>
              <w:jc w:val="center"/>
              <w:rPr>
                <w:sz w:val="21"/>
                <w:szCs w:val="21"/>
              </w:rPr>
            </w:pPr>
            <w:r>
              <w:rPr>
                <w:rFonts w:hint="eastAsia"/>
                <w:sz w:val="21"/>
                <w:szCs w:val="21"/>
              </w:rPr>
              <w:t>间接生态影响</w:t>
            </w:r>
          </w:p>
        </w:tc>
        <w:tc>
          <w:tcPr>
            <w:tcW w:w="1887" w:type="dxa"/>
            <w:vAlign w:val="center"/>
          </w:tcPr>
          <w:p w14:paraId="619D2BBA">
            <w:pPr>
              <w:pStyle w:val="105"/>
              <w:spacing w:line="240" w:lineRule="auto"/>
              <w:ind w:firstLine="0" w:firstLineChars="0"/>
              <w:jc w:val="center"/>
              <w:rPr>
                <w:sz w:val="21"/>
                <w:szCs w:val="21"/>
              </w:rPr>
            </w:pPr>
            <w:r>
              <w:rPr>
                <w:rFonts w:hint="eastAsia"/>
                <w:sz w:val="21"/>
                <w:szCs w:val="21"/>
              </w:rPr>
              <w:t>长期、可逆</w:t>
            </w:r>
          </w:p>
        </w:tc>
        <w:tc>
          <w:tcPr>
            <w:tcW w:w="1407" w:type="dxa"/>
            <w:vAlign w:val="center"/>
          </w:tcPr>
          <w:p w14:paraId="1522C364">
            <w:pPr>
              <w:pStyle w:val="105"/>
              <w:spacing w:line="240" w:lineRule="auto"/>
              <w:ind w:firstLine="0" w:firstLineChars="0"/>
              <w:jc w:val="center"/>
              <w:rPr>
                <w:sz w:val="21"/>
                <w:szCs w:val="21"/>
              </w:rPr>
            </w:pPr>
            <w:r>
              <w:rPr>
                <w:rFonts w:hint="eastAsia"/>
                <w:sz w:val="21"/>
                <w:szCs w:val="21"/>
              </w:rPr>
              <w:t>弱</w:t>
            </w:r>
          </w:p>
        </w:tc>
      </w:tr>
    </w:tbl>
    <w:p w14:paraId="0D89E4F6">
      <w:pPr>
        <w:pStyle w:val="10"/>
      </w:pPr>
      <w:bookmarkStart w:id="117" w:name="_Toc166572252"/>
      <w:r>
        <w:t>2.4评价等级</w:t>
      </w:r>
      <w:bookmarkEnd w:id="114"/>
      <w:bookmarkEnd w:id="115"/>
      <w:bookmarkEnd w:id="116"/>
      <w:r>
        <w:t>及评价范围</w:t>
      </w:r>
      <w:bookmarkEnd w:id="117"/>
    </w:p>
    <w:p w14:paraId="2A401DD2">
      <w:pPr>
        <w:pStyle w:val="11"/>
      </w:pPr>
      <w:bookmarkStart w:id="118" w:name="_Toc166572253"/>
      <w:r>
        <w:t>2.4.1评价等级</w:t>
      </w:r>
      <w:bookmarkEnd w:id="118"/>
    </w:p>
    <w:p w14:paraId="0239597B">
      <w:pPr>
        <w:pStyle w:val="12"/>
        <w:widowControl w:val="0"/>
        <w:jc w:val="both"/>
        <w:rPr>
          <w:szCs w:val="24"/>
        </w:rPr>
      </w:pPr>
      <w:bookmarkStart w:id="119" w:name="_Toc336012414"/>
      <w:bookmarkStart w:id="120" w:name="_Toc331862319"/>
      <w:bookmarkStart w:id="121" w:name="_Toc331848920"/>
      <w:r>
        <w:rPr>
          <w:szCs w:val="24"/>
        </w:rPr>
        <w:t>2.4.1.1环境空气</w:t>
      </w:r>
      <w:bookmarkEnd w:id="119"/>
      <w:bookmarkEnd w:id="120"/>
      <w:bookmarkEnd w:id="121"/>
      <w:r>
        <w:rPr>
          <w:szCs w:val="24"/>
        </w:rPr>
        <w:t>评价等级</w:t>
      </w:r>
    </w:p>
    <w:p w14:paraId="47D0A38C">
      <w:pPr>
        <w:pStyle w:val="105"/>
        <w:ind w:firstLine="480"/>
      </w:pPr>
      <w:r>
        <w:t>本评价依据《环境影响评价技术导则—大气环境》（HJ2.2-2018）中5.3节评价标准的确定方法，结合项目工程分析结果，选择正常排放的主要污染物及排放参数，采用估算模式计算各污染物在简单地形、全气象组合情况条件下的最大影响程度和最远影响范围，然后按评价工作分级判断进行分级。</w:t>
      </w:r>
    </w:p>
    <w:p w14:paraId="6516F227">
      <w:pPr>
        <w:pStyle w:val="105"/>
        <w:ind w:firstLine="480"/>
      </w:pPr>
      <w:r>
        <w:t>（1）Pmax及D</w:t>
      </w:r>
      <w:r>
        <w:rPr>
          <w:vertAlign w:val="subscript"/>
        </w:rPr>
        <w:t>10%</w:t>
      </w:r>
      <w:r>
        <w:t>的确定</w:t>
      </w:r>
    </w:p>
    <w:p w14:paraId="22F96E99">
      <w:pPr>
        <w:pStyle w:val="105"/>
        <w:ind w:firstLine="480"/>
      </w:pPr>
      <w:r>
        <w:t>依据《环境影响评价技术导则—大气环境》（HJ2.2-2018）中最大地面浓度占标率的计算公式：</w:t>
      </w:r>
    </w:p>
    <w:p w14:paraId="21F81358">
      <w:pPr>
        <w:pStyle w:val="105"/>
        <w:ind w:firstLine="480"/>
        <w:rPr>
          <w:szCs w:val="24"/>
        </w:rPr>
      </w:pPr>
      <w:r>
        <w:rPr>
          <w:szCs w:val="24"/>
        </w:rPr>
        <w:drawing>
          <wp:inline distT="0" distB="0" distL="114300" distR="114300">
            <wp:extent cx="977900" cy="431800"/>
            <wp:effectExtent l="0" t="0" r="12700" b="5080"/>
            <wp:docPr id="25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75"/>
                    <pic:cNvPicPr>
                      <a:picLocks noChangeAspect="1"/>
                    </pic:cNvPicPr>
                  </pic:nvPicPr>
                  <pic:blipFill>
                    <a:blip r:embed="rId24"/>
                    <a:stretch>
                      <a:fillRect/>
                    </a:stretch>
                  </pic:blipFill>
                  <pic:spPr>
                    <a:xfrm>
                      <a:off x="0" y="0"/>
                      <a:ext cx="977900" cy="431800"/>
                    </a:xfrm>
                    <a:prstGeom prst="rect">
                      <a:avLst/>
                    </a:prstGeom>
                    <a:noFill/>
                    <a:ln>
                      <a:noFill/>
                    </a:ln>
                  </pic:spPr>
                </pic:pic>
              </a:graphicData>
            </a:graphic>
          </wp:inline>
        </w:drawing>
      </w:r>
    </w:p>
    <w:p w14:paraId="7711CA62">
      <w:pPr>
        <w:pStyle w:val="105"/>
        <w:ind w:firstLine="480"/>
        <w:rPr>
          <w:szCs w:val="24"/>
        </w:rPr>
      </w:pPr>
      <w:r>
        <w:rPr>
          <w:szCs w:val="24"/>
        </w:rPr>
        <w:t>其中：P</w:t>
      </w:r>
      <w:r>
        <w:rPr>
          <w:szCs w:val="24"/>
          <w:vertAlign w:val="subscript"/>
        </w:rPr>
        <w:t>i</w:t>
      </w:r>
      <w:r>
        <w:rPr>
          <w:szCs w:val="24"/>
        </w:rPr>
        <w:t>——第i个污染物的最大地面浓度占标率，%；</w:t>
      </w:r>
    </w:p>
    <w:p w14:paraId="13B18826">
      <w:pPr>
        <w:pStyle w:val="105"/>
        <w:ind w:firstLine="480"/>
        <w:rPr>
          <w:szCs w:val="24"/>
        </w:rPr>
      </w:pPr>
      <w:r>
        <w:rPr>
          <w:szCs w:val="24"/>
        </w:rPr>
        <w:t>C</w:t>
      </w:r>
      <w:r>
        <w:rPr>
          <w:szCs w:val="24"/>
          <w:vertAlign w:val="subscript"/>
        </w:rPr>
        <w:t>i</w:t>
      </w:r>
      <w:r>
        <w:rPr>
          <w:szCs w:val="24"/>
        </w:rPr>
        <w:t>——采用估算模式计算出的第i种污染物的最大地面浓度，ug/m</w:t>
      </w:r>
      <w:r>
        <w:rPr>
          <w:szCs w:val="24"/>
          <w:vertAlign w:val="superscript"/>
        </w:rPr>
        <w:t>3</w:t>
      </w:r>
      <w:r>
        <w:rPr>
          <w:szCs w:val="24"/>
        </w:rPr>
        <w:t>；</w:t>
      </w:r>
    </w:p>
    <w:p w14:paraId="625CE84D">
      <w:pPr>
        <w:pStyle w:val="105"/>
        <w:ind w:firstLine="480"/>
        <w:rPr>
          <w:szCs w:val="24"/>
        </w:rPr>
      </w:pPr>
      <w:r>
        <w:rPr>
          <w:szCs w:val="24"/>
        </w:rPr>
        <w:t>C</w:t>
      </w:r>
      <w:r>
        <w:rPr>
          <w:szCs w:val="24"/>
          <w:vertAlign w:val="subscript"/>
        </w:rPr>
        <w:t>0i</w:t>
      </w:r>
      <w:r>
        <w:rPr>
          <w:szCs w:val="24"/>
        </w:rPr>
        <w:t>——第i个污染物环境空气质量标准，ug/m</w:t>
      </w:r>
      <w:r>
        <w:rPr>
          <w:szCs w:val="24"/>
          <w:vertAlign w:val="superscript"/>
        </w:rPr>
        <w:t>3</w:t>
      </w:r>
      <w:r>
        <w:rPr>
          <w:szCs w:val="24"/>
        </w:rPr>
        <w:t>。</w:t>
      </w:r>
    </w:p>
    <w:p w14:paraId="614D409E">
      <w:pPr>
        <w:autoSpaceDE w:val="0"/>
        <w:autoSpaceDN w:val="0"/>
        <w:ind w:firstLine="480"/>
        <w:rPr>
          <w:lang w:val="zh-CN"/>
        </w:rPr>
      </w:pPr>
      <w:r>
        <w:rPr>
          <w:lang w:val="zh-CN"/>
        </w:rPr>
        <w:t>一般选用GB3095中1h平均质量浓度的二级浓度限值，如项目位于一类环境空气功能区，应选择相应的一级浓度限值；对该标准中未包含的污染物，使用5.2确定的各评价因子1h平均质量浓度限值。对仅有8h平均质量浓度限值、日平均质量浓度限值或年平均质量浓度限值的，可分别按2倍、3倍、6倍折算为1h平均质量浓度限值。</w:t>
      </w:r>
    </w:p>
    <w:p w14:paraId="4BF5D6FE">
      <w:pPr>
        <w:ind w:firstLine="480"/>
      </w:pPr>
      <w:r>
        <w:rPr>
          <w:szCs w:val="24"/>
        </w:rPr>
        <w:t>经初步工程分析，本项目主要废气污染源为饲料加工废气、锅炉废气、养殖区废气</w:t>
      </w:r>
      <w:r>
        <w:rPr>
          <w:rFonts w:hint="eastAsia"/>
          <w:szCs w:val="24"/>
        </w:rPr>
        <w:t>、污水处理废气</w:t>
      </w:r>
      <w:r>
        <w:rPr>
          <w:szCs w:val="24"/>
        </w:rPr>
        <w:t>，饲料加工、锅炉</w:t>
      </w:r>
      <w:r>
        <w:rPr>
          <w:rFonts w:hint="eastAsia"/>
          <w:szCs w:val="24"/>
        </w:rPr>
        <w:t>废气</w:t>
      </w:r>
      <w:r>
        <w:rPr>
          <w:szCs w:val="24"/>
        </w:rPr>
        <w:t>为有组织点源，养殖区</w:t>
      </w:r>
      <w:r>
        <w:rPr>
          <w:rFonts w:hint="eastAsia"/>
          <w:szCs w:val="24"/>
        </w:rPr>
        <w:t>、污水处理废气</w:t>
      </w:r>
      <w:r>
        <w:rPr>
          <w:szCs w:val="24"/>
        </w:rPr>
        <w:t>为无组织面源。</w:t>
      </w:r>
      <w:r>
        <w:rPr>
          <w:lang w:val="zh-CN"/>
        </w:rPr>
        <w:t>对所有废气污染源</w:t>
      </w:r>
      <w:r>
        <w:t>采用导则推荐的</w:t>
      </w:r>
      <w:r>
        <w:rPr>
          <w:lang w:val="zh-CN"/>
        </w:rPr>
        <w:t>估算模式AERSCREEN</w:t>
      </w:r>
      <w:r>
        <w:t>计算Pmax和D</w:t>
      </w:r>
      <w:r>
        <w:rPr>
          <w:vertAlign w:val="subscript"/>
        </w:rPr>
        <w:t>10%</w:t>
      </w:r>
      <w:r>
        <w:t>。</w:t>
      </w:r>
    </w:p>
    <w:p w14:paraId="27E6819E">
      <w:pPr>
        <w:pStyle w:val="369"/>
        <w:ind w:left="1440" w:hanging="480"/>
      </w:pPr>
      <w:r>
        <w:t>表2.4-</w:t>
      </w:r>
      <w:r>
        <w:rPr>
          <w:rFonts w:hint="eastAsia"/>
        </w:rPr>
        <w:t>1</w:t>
      </w:r>
      <w:r>
        <w:t xml:space="preserve">  估算模式</w:t>
      </w:r>
      <w:r>
        <w:rPr>
          <w:rFonts w:hint="eastAsia"/>
        </w:rPr>
        <w:t>有组织</w:t>
      </w:r>
      <w:r>
        <w:t>废气污染源源强及参数一览表</w:t>
      </w:r>
    </w:p>
    <w:tbl>
      <w:tblPr>
        <w:tblStyle w:val="82"/>
        <w:tblW w:w="500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98"/>
        <w:gridCol w:w="908"/>
        <w:gridCol w:w="610"/>
        <w:gridCol w:w="495"/>
        <w:gridCol w:w="1007"/>
        <w:gridCol w:w="566"/>
        <w:gridCol w:w="426"/>
        <w:gridCol w:w="615"/>
        <w:gridCol w:w="349"/>
        <w:gridCol w:w="723"/>
        <w:gridCol w:w="440"/>
        <w:gridCol w:w="419"/>
        <w:gridCol w:w="419"/>
        <w:gridCol w:w="612"/>
        <w:gridCol w:w="610"/>
        <w:gridCol w:w="604"/>
      </w:tblGrid>
      <w:tr w14:paraId="644046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64" w:type="pct"/>
            <w:vMerge w:val="restart"/>
            <w:tcBorders>
              <w:tl2br w:val="nil"/>
              <w:tr2bl w:val="nil"/>
            </w:tcBorders>
            <w:vAlign w:val="center"/>
          </w:tcPr>
          <w:p w14:paraId="2BC35521">
            <w:pPr>
              <w:spacing w:line="240" w:lineRule="auto"/>
              <w:ind w:firstLine="0" w:firstLineChars="0"/>
              <w:jc w:val="center"/>
              <w:rPr>
                <w:rFonts w:hAnsi="宋体"/>
                <w:sz w:val="21"/>
                <w:szCs w:val="21"/>
              </w:rPr>
            </w:pPr>
            <w:r>
              <w:rPr>
                <w:rFonts w:hAnsi="宋体"/>
                <w:sz w:val="21"/>
                <w:szCs w:val="21"/>
              </w:rPr>
              <w:t>编 号</w:t>
            </w:r>
          </w:p>
        </w:tc>
        <w:tc>
          <w:tcPr>
            <w:tcW w:w="499" w:type="pct"/>
            <w:vMerge w:val="restart"/>
            <w:tcBorders>
              <w:tl2br w:val="nil"/>
              <w:tr2bl w:val="nil"/>
            </w:tcBorders>
            <w:vAlign w:val="center"/>
          </w:tcPr>
          <w:p w14:paraId="7930443A">
            <w:pPr>
              <w:spacing w:line="240" w:lineRule="auto"/>
              <w:ind w:firstLine="0" w:firstLineChars="0"/>
              <w:jc w:val="center"/>
              <w:rPr>
                <w:rFonts w:hAnsi="宋体"/>
                <w:sz w:val="21"/>
                <w:szCs w:val="21"/>
              </w:rPr>
            </w:pPr>
            <w:r>
              <w:rPr>
                <w:rFonts w:hAnsi="宋体"/>
                <w:sz w:val="21"/>
                <w:szCs w:val="21"/>
              </w:rPr>
              <w:t>名称</w:t>
            </w:r>
          </w:p>
        </w:tc>
        <w:tc>
          <w:tcPr>
            <w:tcW w:w="607" w:type="pct"/>
            <w:gridSpan w:val="2"/>
            <w:vMerge w:val="restart"/>
            <w:tcBorders>
              <w:tl2br w:val="nil"/>
              <w:tr2bl w:val="nil"/>
            </w:tcBorders>
            <w:vAlign w:val="center"/>
          </w:tcPr>
          <w:p w14:paraId="14291ABA">
            <w:pPr>
              <w:spacing w:line="240" w:lineRule="auto"/>
              <w:ind w:firstLine="0" w:firstLineChars="0"/>
              <w:jc w:val="center"/>
              <w:rPr>
                <w:rFonts w:hAnsi="宋体"/>
                <w:sz w:val="21"/>
                <w:szCs w:val="21"/>
              </w:rPr>
            </w:pPr>
            <w:r>
              <w:rPr>
                <w:rFonts w:hAnsi="宋体"/>
                <w:sz w:val="21"/>
                <w:szCs w:val="21"/>
              </w:rPr>
              <w:t>排气筒底部中心坐标/m</w:t>
            </w:r>
          </w:p>
        </w:tc>
        <w:tc>
          <w:tcPr>
            <w:tcW w:w="553" w:type="pct"/>
            <w:vMerge w:val="restart"/>
            <w:tcBorders>
              <w:tl2br w:val="nil"/>
              <w:tr2bl w:val="nil"/>
            </w:tcBorders>
            <w:vAlign w:val="center"/>
          </w:tcPr>
          <w:p w14:paraId="5C2DE3AA">
            <w:pPr>
              <w:spacing w:line="240" w:lineRule="auto"/>
              <w:ind w:firstLine="0" w:firstLineChars="0"/>
              <w:jc w:val="center"/>
              <w:rPr>
                <w:rFonts w:hAnsi="宋体"/>
                <w:sz w:val="21"/>
                <w:szCs w:val="21"/>
              </w:rPr>
            </w:pPr>
            <w:r>
              <w:rPr>
                <w:rFonts w:hAnsi="宋体"/>
                <w:sz w:val="21"/>
                <w:szCs w:val="21"/>
              </w:rPr>
              <w:t>排气筒底部海拔高度/m</w:t>
            </w:r>
          </w:p>
        </w:tc>
        <w:tc>
          <w:tcPr>
            <w:tcW w:w="311" w:type="pct"/>
            <w:vMerge w:val="restart"/>
            <w:tcBorders>
              <w:tl2br w:val="nil"/>
              <w:tr2bl w:val="nil"/>
            </w:tcBorders>
            <w:vAlign w:val="center"/>
          </w:tcPr>
          <w:p w14:paraId="045E88AC">
            <w:pPr>
              <w:spacing w:line="240" w:lineRule="auto"/>
              <w:ind w:firstLine="0" w:firstLineChars="0"/>
              <w:jc w:val="center"/>
              <w:rPr>
                <w:rFonts w:hAnsi="宋体"/>
                <w:sz w:val="21"/>
                <w:szCs w:val="21"/>
              </w:rPr>
            </w:pPr>
            <w:r>
              <w:rPr>
                <w:rFonts w:hAnsi="宋体"/>
                <w:sz w:val="21"/>
                <w:szCs w:val="21"/>
              </w:rPr>
              <w:t>排气筒高度/m</w:t>
            </w:r>
          </w:p>
        </w:tc>
        <w:tc>
          <w:tcPr>
            <w:tcW w:w="234" w:type="pct"/>
            <w:vMerge w:val="restart"/>
            <w:tcBorders>
              <w:tl2br w:val="nil"/>
              <w:tr2bl w:val="nil"/>
            </w:tcBorders>
            <w:vAlign w:val="center"/>
          </w:tcPr>
          <w:p w14:paraId="7C753FA9">
            <w:pPr>
              <w:spacing w:line="240" w:lineRule="auto"/>
              <w:ind w:firstLine="0" w:firstLineChars="0"/>
              <w:jc w:val="center"/>
              <w:rPr>
                <w:rFonts w:hAnsi="宋体"/>
                <w:sz w:val="21"/>
                <w:szCs w:val="21"/>
              </w:rPr>
            </w:pPr>
            <w:r>
              <w:rPr>
                <w:rFonts w:hAnsi="宋体"/>
                <w:sz w:val="21"/>
                <w:szCs w:val="21"/>
              </w:rPr>
              <w:t>出口内径</w:t>
            </w:r>
          </w:p>
          <w:p w14:paraId="5D072FF6">
            <w:pPr>
              <w:spacing w:line="240" w:lineRule="auto"/>
              <w:ind w:firstLine="0" w:firstLineChars="0"/>
              <w:jc w:val="center"/>
              <w:rPr>
                <w:rFonts w:hAnsi="宋体"/>
                <w:sz w:val="21"/>
                <w:szCs w:val="21"/>
              </w:rPr>
            </w:pPr>
            <w:r>
              <w:rPr>
                <w:rFonts w:hAnsi="宋体"/>
                <w:sz w:val="21"/>
                <w:szCs w:val="21"/>
              </w:rPr>
              <w:t>/m</w:t>
            </w:r>
          </w:p>
        </w:tc>
        <w:tc>
          <w:tcPr>
            <w:tcW w:w="338" w:type="pct"/>
            <w:vMerge w:val="restart"/>
            <w:tcBorders>
              <w:tl2br w:val="nil"/>
              <w:tr2bl w:val="nil"/>
            </w:tcBorders>
            <w:vAlign w:val="center"/>
          </w:tcPr>
          <w:p w14:paraId="5299F94D">
            <w:pPr>
              <w:spacing w:line="240" w:lineRule="auto"/>
              <w:ind w:firstLine="0" w:firstLineChars="0"/>
              <w:jc w:val="center"/>
              <w:rPr>
                <w:rFonts w:hAnsi="宋体"/>
                <w:sz w:val="21"/>
                <w:szCs w:val="21"/>
              </w:rPr>
            </w:pPr>
            <w:r>
              <w:rPr>
                <w:rFonts w:hAnsi="宋体"/>
                <w:sz w:val="21"/>
                <w:szCs w:val="21"/>
              </w:rPr>
              <w:t>烟气</w:t>
            </w:r>
          </w:p>
          <w:p w14:paraId="48ABABDF">
            <w:pPr>
              <w:spacing w:line="240" w:lineRule="auto"/>
              <w:ind w:firstLine="0" w:firstLineChars="0"/>
              <w:jc w:val="center"/>
              <w:rPr>
                <w:rFonts w:hAnsi="宋体"/>
                <w:sz w:val="21"/>
                <w:szCs w:val="21"/>
              </w:rPr>
            </w:pPr>
            <w:r>
              <w:rPr>
                <w:rFonts w:hAnsi="宋体"/>
                <w:sz w:val="21"/>
                <w:szCs w:val="21"/>
              </w:rPr>
              <w:t>流量</w:t>
            </w:r>
          </w:p>
          <w:p w14:paraId="1545099C">
            <w:pPr>
              <w:spacing w:line="240" w:lineRule="auto"/>
              <w:ind w:firstLine="0" w:firstLineChars="0"/>
              <w:jc w:val="center"/>
              <w:rPr>
                <w:rFonts w:hAnsi="宋体"/>
                <w:sz w:val="21"/>
                <w:szCs w:val="21"/>
              </w:rPr>
            </w:pPr>
            <w:r>
              <w:rPr>
                <w:rFonts w:hAnsi="宋体"/>
                <w:sz w:val="21"/>
                <w:szCs w:val="21"/>
              </w:rPr>
              <w:t>/m</w:t>
            </w:r>
            <w:r>
              <w:rPr>
                <w:rFonts w:hAnsi="宋体"/>
                <w:sz w:val="21"/>
                <w:szCs w:val="21"/>
                <w:vertAlign w:val="superscript"/>
              </w:rPr>
              <w:t>3</w:t>
            </w:r>
            <w:r>
              <w:rPr>
                <w:rFonts w:hAnsi="宋体"/>
                <w:sz w:val="21"/>
                <w:szCs w:val="21"/>
              </w:rPr>
              <w:t>/h</w:t>
            </w:r>
          </w:p>
        </w:tc>
        <w:tc>
          <w:tcPr>
            <w:tcW w:w="192" w:type="pct"/>
            <w:vMerge w:val="restart"/>
            <w:tcBorders>
              <w:tl2br w:val="nil"/>
              <w:tr2bl w:val="nil"/>
            </w:tcBorders>
            <w:vAlign w:val="center"/>
          </w:tcPr>
          <w:p w14:paraId="4C89C107">
            <w:pPr>
              <w:spacing w:line="240" w:lineRule="auto"/>
              <w:ind w:firstLine="0" w:firstLineChars="0"/>
              <w:jc w:val="center"/>
              <w:rPr>
                <w:rFonts w:hAnsi="宋体"/>
                <w:sz w:val="21"/>
                <w:szCs w:val="21"/>
              </w:rPr>
            </w:pPr>
            <w:r>
              <w:rPr>
                <w:rFonts w:hAnsi="宋体"/>
                <w:sz w:val="21"/>
                <w:szCs w:val="21"/>
              </w:rPr>
              <w:t>烟气温度/</w:t>
            </w:r>
            <w:r>
              <w:rPr>
                <w:rFonts w:hint="eastAsia" w:hAnsi="宋体"/>
                <w:sz w:val="21"/>
                <w:szCs w:val="21"/>
              </w:rPr>
              <w:t>℃</w:t>
            </w:r>
          </w:p>
        </w:tc>
        <w:tc>
          <w:tcPr>
            <w:tcW w:w="397" w:type="pct"/>
            <w:vMerge w:val="restart"/>
            <w:tcBorders>
              <w:tl2br w:val="nil"/>
              <w:tr2bl w:val="nil"/>
            </w:tcBorders>
            <w:vAlign w:val="center"/>
          </w:tcPr>
          <w:p w14:paraId="5695B89E">
            <w:pPr>
              <w:spacing w:line="240" w:lineRule="auto"/>
              <w:ind w:firstLine="0" w:firstLineChars="0"/>
              <w:jc w:val="center"/>
              <w:rPr>
                <w:rFonts w:hAnsi="宋体"/>
                <w:sz w:val="21"/>
                <w:szCs w:val="21"/>
              </w:rPr>
            </w:pPr>
            <w:r>
              <w:rPr>
                <w:rFonts w:hAnsi="宋体"/>
                <w:sz w:val="21"/>
                <w:szCs w:val="21"/>
              </w:rPr>
              <w:t>年排放小时数/h</w:t>
            </w:r>
          </w:p>
        </w:tc>
        <w:tc>
          <w:tcPr>
            <w:tcW w:w="242" w:type="pct"/>
            <w:vMerge w:val="restart"/>
            <w:tcBorders>
              <w:tl2br w:val="nil"/>
              <w:tr2bl w:val="nil"/>
            </w:tcBorders>
            <w:vAlign w:val="center"/>
          </w:tcPr>
          <w:p w14:paraId="1D8BFF2A">
            <w:pPr>
              <w:spacing w:line="240" w:lineRule="auto"/>
              <w:ind w:firstLine="0" w:firstLineChars="0"/>
              <w:jc w:val="center"/>
              <w:rPr>
                <w:rFonts w:hAnsi="宋体"/>
                <w:sz w:val="21"/>
                <w:szCs w:val="21"/>
              </w:rPr>
            </w:pPr>
            <w:r>
              <w:rPr>
                <w:rFonts w:hAnsi="宋体"/>
                <w:sz w:val="21"/>
                <w:szCs w:val="21"/>
              </w:rPr>
              <w:t>排放 工况</w:t>
            </w:r>
          </w:p>
        </w:tc>
        <w:tc>
          <w:tcPr>
            <w:tcW w:w="1464" w:type="pct"/>
            <w:gridSpan w:val="5"/>
            <w:tcBorders>
              <w:tl2br w:val="nil"/>
              <w:tr2bl w:val="nil"/>
            </w:tcBorders>
            <w:vAlign w:val="center"/>
          </w:tcPr>
          <w:p w14:paraId="53E4DB8A">
            <w:pPr>
              <w:spacing w:line="240" w:lineRule="auto"/>
              <w:ind w:firstLine="0" w:firstLineChars="0"/>
              <w:jc w:val="center"/>
              <w:rPr>
                <w:rFonts w:hAnsi="宋体"/>
                <w:sz w:val="21"/>
                <w:szCs w:val="21"/>
              </w:rPr>
            </w:pPr>
            <w:r>
              <w:rPr>
                <w:rFonts w:hAnsi="宋体"/>
                <w:sz w:val="21"/>
                <w:szCs w:val="21"/>
              </w:rPr>
              <w:t>污染物排放速率</w:t>
            </w:r>
          </w:p>
          <w:p w14:paraId="76EE0D11">
            <w:pPr>
              <w:spacing w:line="240" w:lineRule="auto"/>
              <w:ind w:firstLine="0" w:firstLineChars="0"/>
              <w:jc w:val="center"/>
              <w:rPr>
                <w:rFonts w:hAnsi="宋体"/>
                <w:sz w:val="21"/>
                <w:szCs w:val="21"/>
              </w:rPr>
            </w:pPr>
            <w:r>
              <w:rPr>
                <w:rFonts w:hAnsi="宋体"/>
                <w:sz w:val="21"/>
                <w:szCs w:val="21"/>
              </w:rPr>
              <w:t>（kg/h）</w:t>
            </w:r>
          </w:p>
        </w:tc>
      </w:tr>
      <w:tr w14:paraId="5BA389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164" w:type="pct"/>
            <w:vMerge w:val="continue"/>
            <w:tcBorders>
              <w:tl2br w:val="nil"/>
              <w:tr2bl w:val="nil"/>
            </w:tcBorders>
            <w:vAlign w:val="center"/>
          </w:tcPr>
          <w:p w14:paraId="37D01728">
            <w:pPr>
              <w:spacing w:line="240" w:lineRule="auto"/>
              <w:ind w:firstLine="0" w:firstLineChars="0"/>
              <w:jc w:val="center"/>
              <w:rPr>
                <w:rFonts w:hAnsi="宋体"/>
                <w:sz w:val="21"/>
                <w:szCs w:val="21"/>
              </w:rPr>
            </w:pPr>
          </w:p>
        </w:tc>
        <w:tc>
          <w:tcPr>
            <w:tcW w:w="499" w:type="pct"/>
            <w:vMerge w:val="continue"/>
            <w:tcBorders>
              <w:tl2br w:val="nil"/>
              <w:tr2bl w:val="nil"/>
            </w:tcBorders>
            <w:vAlign w:val="center"/>
          </w:tcPr>
          <w:p w14:paraId="7F096C60">
            <w:pPr>
              <w:spacing w:line="240" w:lineRule="auto"/>
              <w:ind w:firstLine="0" w:firstLineChars="0"/>
              <w:jc w:val="center"/>
              <w:rPr>
                <w:rFonts w:hAnsi="宋体"/>
                <w:sz w:val="21"/>
                <w:szCs w:val="21"/>
              </w:rPr>
            </w:pPr>
          </w:p>
        </w:tc>
        <w:tc>
          <w:tcPr>
            <w:tcW w:w="607" w:type="pct"/>
            <w:gridSpan w:val="2"/>
            <w:vMerge w:val="continue"/>
            <w:tcBorders>
              <w:tl2br w:val="nil"/>
              <w:tr2bl w:val="nil"/>
            </w:tcBorders>
            <w:vAlign w:val="center"/>
          </w:tcPr>
          <w:p w14:paraId="5904B213">
            <w:pPr>
              <w:spacing w:line="240" w:lineRule="auto"/>
              <w:ind w:firstLine="0" w:firstLineChars="0"/>
              <w:jc w:val="center"/>
              <w:rPr>
                <w:rFonts w:hAnsi="宋体"/>
                <w:sz w:val="21"/>
                <w:szCs w:val="21"/>
              </w:rPr>
            </w:pPr>
          </w:p>
        </w:tc>
        <w:tc>
          <w:tcPr>
            <w:tcW w:w="553" w:type="pct"/>
            <w:vMerge w:val="continue"/>
            <w:tcBorders>
              <w:tl2br w:val="nil"/>
              <w:tr2bl w:val="nil"/>
            </w:tcBorders>
            <w:vAlign w:val="center"/>
          </w:tcPr>
          <w:p w14:paraId="65E89358">
            <w:pPr>
              <w:spacing w:line="240" w:lineRule="auto"/>
              <w:ind w:firstLine="0" w:firstLineChars="0"/>
              <w:jc w:val="center"/>
              <w:rPr>
                <w:rFonts w:hAnsi="宋体"/>
                <w:sz w:val="21"/>
                <w:szCs w:val="21"/>
              </w:rPr>
            </w:pPr>
          </w:p>
        </w:tc>
        <w:tc>
          <w:tcPr>
            <w:tcW w:w="311" w:type="pct"/>
            <w:vMerge w:val="continue"/>
            <w:tcBorders>
              <w:tl2br w:val="nil"/>
              <w:tr2bl w:val="nil"/>
            </w:tcBorders>
            <w:vAlign w:val="center"/>
          </w:tcPr>
          <w:p w14:paraId="576EE880">
            <w:pPr>
              <w:spacing w:line="240" w:lineRule="auto"/>
              <w:ind w:firstLine="0" w:firstLineChars="0"/>
              <w:jc w:val="center"/>
              <w:rPr>
                <w:rFonts w:hAnsi="宋体"/>
                <w:sz w:val="21"/>
                <w:szCs w:val="21"/>
              </w:rPr>
            </w:pPr>
          </w:p>
        </w:tc>
        <w:tc>
          <w:tcPr>
            <w:tcW w:w="234" w:type="pct"/>
            <w:vMerge w:val="continue"/>
            <w:tcBorders>
              <w:tl2br w:val="nil"/>
              <w:tr2bl w:val="nil"/>
            </w:tcBorders>
            <w:vAlign w:val="center"/>
          </w:tcPr>
          <w:p w14:paraId="6D9CB837">
            <w:pPr>
              <w:spacing w:line="240" w:lineRule="auto"/>
              <w:ind w:firstLine="0" w:firstLineChars="0"/>
              <w:jc w:val="center"/>
              <w:rPr>
                <w:rFonts w:hAnsi="宋体"/>
                <w:sz w:val="21"/>
                <w:szCs w:val="21"/>
              </w:rPr>
            </w:pPr>
          </w:p>
        </w:tc>
        <w:tc>
          <w:tcPr>
            <w:tcW w:w="338" w:type="pct"/>
            <w:vMerge w:val="continue"/>
            <w:tcBorders>
              <w:tl2br w:val="nil"/>
              <w:tr2bl w:val="nil"/>
            </w:tcBorders>
            <w:vAlign w:val="center"/>
          </w:tcPr>
          <w:p w14:paraId="65583FE4">
            <w:pPr>
              <w:spacing w:line="240" w:lineRule="auto"/>
              <w:ind w:firstLine="0" w:firstLineChars="0"/>
              <w:jc w:val="center"/>
              <w:rPr>
                <w:rFonts w:hAnsi="宋体"/>
                <w:sz w:val="21"/>
                <w:szCs w:val="21"/>
              </w:rPr>
            </w:pPr>
          </w:p>
        </w:tc>
        <w:tc>
          <w:tcPr>
            <w:tcW w:w="192" w:type="pct"/>
            <w:vMerge w:val="continue"/>
            <w:tcBorders>
              <w:tl2br w:val="nil"/>
              <w:tr2bl w:val="nil"/>
            </w:tcBorders>
            <w:vAlign w:val="center"/>
          </w:tcPr>
          <w:p w14:paraId="012CF29B">
            <w:pPr>
              <w:spacing w:line="240" w:lineRule="auto"/>
              <w:ind w:firstLine="0" w:firstLineChars="0"/>
              <w:jc w:val="center"/>
              <w:rPr>
                <w:rFonts w:hAnsi="宋体"/>
                <w:sz w:val="21"/>
                <w:szCs w:val="21"/>
              </w:rPr>
            </w:pPr>
          </w:p>
        </w:tc>
        <w:tc>
          <w:tcPr>
            <w:tcW w:w="397" w:type="pct"/>
            <w:vMerge w:val="continue"/>
            <w:tcBorders>
              <w:tl2br w:val="nil"/>
              <w:tr2bl w:val="nil"/>
            </w:tcBorders>
            <w:vAlign w:val="center"/>
          </w:tcPr>
          <w:p w14:paraId="2520D9BF">
            <w:pPr>
              <w:spacing w:line="240" w:lineRule="auto"/>
              <w:ind w:firstLine="0" w:firstLineChars="0"/>
              <w:jc w:val="center"/>
              <w:rPr>
                <w:rFonts w:hAnsi="宋体"/>
                <w:sz w:val="21"/>
                <w:szCs w:val="21"/>
              </w:rPr>
            </w:pPr>
          </w:p>
        </w:tc>
        <w:tc>
          <w:tcPr>
            <w:tcW w:w="242" w:type="pct"/>
            <w:vMerge w:val="continue"/>
            <w:tcBorders>
              <w:tl2br w:val="nil"/>
              <w:tr2bl w:val="nil"/>
            </w:tcBorders>
            <w:vAlign w:val="center"/>
          </w:tcPr>
          <w:p w14:paraId="384E701C">
            <w:pPr>
              <w:spacing w:line="240" w:lineRule="auto"/>
              <w:ind w:firstLine="0" w:firstLineChars="0"/>
              <w:jc w:val="center"/>
              <w:rPr>
                <w:rFonts w:hAnsi="宋体"/>
                <w:sz w:val="21"/>
                <w:szCs w:val="21"/>
              </w:rPr>
            </w:pPr>
          </w:p>
        </w:tc>
        <w:tc>
          <w:tcPr>
            <w:tcW w:w="230" w:type="pct"/>
            <w:vMerge w:val="restart"/>
            <w:tcBorders>
              <w:tl2br w:val="nil"/>
              <w:tr2bl w:val="nil"/>
            </w:tcBorders>
            <w:vAlign w:val="center"/>
          </w:tcPr>
          <w:p w14:paraId="7EF22CD4">
            <w:pPr>
              <w:spacing w:line="240" w:lineRule="auto"/>
              <w:ind w:firstLine="0" w:firstLineChars="0"/>
              <w:jc w:val="center"/>
              <w:rPr>
                <w:rFonts w:hAnsi="宋体"/>
                <w:sz w:val="21"/>
                <w:szCs w:val="21"/>
              </w:rPr>
            </w:pPr>
            <w:r>
              <w:rPr>
                <w:rFonts w:hAnsi="宋体"/>
                <w:sz w:val="21"/>
                <w:szCs w:val="21"/>
              </w:rPr>
              <w:t>N</w:t>
            </w:r>
            <w:r>
              <w:rPr>
                <w:rFonts w:hint="eastAsia" w:hAnsi="宋体"/>
                <w:sz w:val="21"/>
                <w:szCs w:val="21"/>
              </w:rPr>
              <w:t>O</w:t>
            </w:r>
            <w:r>
              <w:rPr>
                <w:rFonts w:hint="eastAsia" w:hAnsi="宋体"/>
                <w:sz w:val="21"/>
                <w:szCs w:val="21"/>
                <w:vertAlign w:val="subscript"/>
              </w:rPr>
              <w:t>x</w:t>
            </w:r>
          </w:p>
        </w:tc>
        <w:tc>
          <w:tcPr>
            <w:tcW w:w="230" w:type="pct"/>
            <w:vMerge w:val="restart"/>
            <w:tcBorders>
              <w:tl2br w:val="nil"/>
              <w:tr2bl w:val="nil"/>
            </w:tcBorders>
            <w:vAlign w:val="center"/>
          </w:tcPr>
          <w:p w14:paraId="14156966">
            <w:pPr>
              <w:spacing w:line="240" w:lineRule="auto"/>
              <w:ind w:firstLine="0" w:firstLineChars="0"/>
              <w:jc w:val="center"/>
              <w:rPr>
                <w:rFonts w:hAnsi="宋体"/>
                <w:sz w:val="21"/>
                <w:szCs w:val="21"/>
              </w:rPr>
            </w:pPr>
            <w:r>
              <w:rPr>
                <w:rFonts w:hAnsi="宋体"/>
                <w:sz w:val="21"/>
                <w:szCs w:val="21"/>
              </w:rPr>
              <w:t>S</w:t>
            </w:r>
            <w:r>
              <w:rPr>
                <w:rFonts w:hint="eastAsia" w:hAnsi="宋体"/>
                <w:sz w:val="21"/>
                <w:szCs w:val="21"/>
              </w:rPr>
              <w:t>O</w:t>
            </w:r>
            <w:r>
              <w:rPr>
                <w:rFonts w:hint="eastAsia" w:hAnsi="宋体"/>
                <w:sz w:val="21"/>
                <w:szCs w:val="21"/>
                <w:vertAlign w:val="subscript"/>
              </w:rPr>
              <w:t>2</w:t>
            </w:r>
          </w:p>
        </w:tc>
        <w:tc>
          <w:tcPr>
            <w:tcW w:w="336" w:type="pct"/>
            <w:vMerge w:val="restart"/>
            <w:tcBorders>
              <w:tl2br w:val="nil"/>
              <w:tr2bl w:val="nil"/>
            </w:tcBorders>
            <w:vAlign w:val="center"/>
          </w:tcPr>
          <w:p w14:paraId="727C94E4">
            <w:pPr>
              <w:spacing w:line="240" w:lineRule="auto"/>
              <w:ind w:firstLine="0" w:firstLineChars="0"/>
              <w:jc w:val="center"/>
              <w:rPr>
                <w:rFonts w:hAnsi="宋体"/>
                <w:sz w:val="21"/>
                <w:szCs w:val="21"/>
              </w:rPr>
            </w:pPr>
            <w:r>
              <w:rPr>
                <w:rFonts w:hint="eastAsia" w:hAnsi="宋体"/>
                <w:sz w:val="21"/>
                <w:szCs w:val="21"/>
              </w:rPr>
              <w:t>PM</w:t>
            </w:r>
            <w:r>
              <w:rPr>
                <w:rFonts w:hint="eastAsia" w:hAnsi="宋体"/>
                <w:sz w:val="21"/>
                <w:szCs w:val="21"/>
                <w:vertAlign w:val="subscript"/>
              </w:rPr>
              <w:t>10</w:t>
            </w:r>
          </w:p>
        </w:tc>
        <w:tc>
          <w:tcPr>
            <w:tcW w:w="335" w:type="pct"/>
            <w:vMerge w:val="restart"/>
            <w:tcBorders>
              <w:tl2br w:val="nil"/>
              <w:tr2bl w:val="nil"/>
            </w:tcBorders>
            <w:vAlign w:val="center"/>
          </w:tcPr>
          <w:p w14:paraId="68717DD9">
            <w:pPr>
              <w:spacing w:line="240" w:lineRule="auto"/>
              <w:ind w:firstLine="0" w:firstLineChars="0"/>
              <w:jc w:val="center"/>
              <w:rPr>
                <w:rFonts w:hAnsi="宋体"/>
                <w:sz w:val="21"/>
                <w:szCs w:val="16"/>
              </w:rPr>
            </w:pPr>
            <w:r>
              <w:rPr>
                <w:bCs/>
                <w:sz w:val="21"/>
                <w:szCs w:val="16"/>
              </w:rPr>
              <w:t>NH</w:t>
            </w:r>
            <w:r>
              <w:rPr>
                <w:bCs/>
                <w:sz w:val="21"/>
                <w:szCs w:val="16"/>
                <w:vertAlign w:val="subscript"/>
              </w:rPr>
              <w:t>3</w:t>
            </w:r>
          </w:p>
        </w:tc>
        <w:tc>
          <w:tcPr>
            <w:tcW w:w="332" w:type="pct"/>
            <w:vMerge w:val="restart"/>
            <w:tcBorders>
              <w:tl2br w:val="nil"/>
              <w:tr2bl w:val="nil"/>
            </w:tcBorders>
            <w:vAlign w:val="center"/>
          </w:tcPr>
          <w:p w14:paraId="6DE006E1">
            <w:pPr>
              <w:spacing w:line="240" w:lineRule="auto"/>
              <w:ind w:firstLine="0" w:firstLineChars="0"/>
              <w:jc w:val="center"/>
              <w:rPr>
                <w:rFonts w:hAnsi="宋体"/>
                <w:sz w:val="21"/>
                <w:szCs w:val="16"/>
              </w:rPr>
            </w:pPr>
            <w:r>
              <w:rPr>
                <w:bCs/>
                <w:sz w:val="21"/>
                <w:szCs w:val="16"/>
              </w:rPr>
              <w:t>H</w:t>
            </w:r>
            <w:r>
              <w:rPr>
                <w:bCs/>
                <w:sz w:val="21"/>
                <w:szCs w:val="16"/>
                <w:vertAlign w:val="subscript"/>
              </w:rPr>
              <w:t>2</w:t>
            </w:r>
            <w:r>
              <w:rPr>
                <w:bCs/>
                <w:sz w:val="21"/>
                <w:szCs w:val="16"/>
              </w:rPr>
              <w:t>S</w:t>
            </w:r>
          </w:p>
        </w:tc>
      </w:tr>
      <w:tr w14:paraId="7F4AB5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64" w:type="pct"/>
            <w:vMerge w:val="continue"/>
            <w:tcBorders>
              <w:tl2br w:val="nil"/>
              <w:tr2bl w:val="nil"/>
            </w:tcBorders>
            <w:vAlign w:val="center"/>
          </w:tcPr>
          <w:p w14:paraId="477E4C78">
            <w:pPr>
              <w:spacing w:line="240" w:lineRule="auto"/>
              <w:ind w:firstLine="0" w:firstLineChars="0"/>
              <w:jc w:val="center"/>
              <w:rPr>
                <w:rFonts w:hAnsi="宋体"/>
                <w:sz w:val="21"/>
                <w:szCs w:val="21"/>
              </w:rPr>
            </w:pPr>
          </w:p>
        </w:tc>
        <w:tc>
          <w:tcPr>
            <w:tcW w:w="499" w:type="pct"/>
            <w:vMerge w:val="continue"/>
            <w:tcBorders>
              <w:tl2br w:val="nil"/>
              <w:tr2bl w:val="nil"/>
            </w:tcBorders>
            <w:vAlign w:val="center"/>
          </w:tcPr>
          <w:p w14:paraId="02AD1809">
            <w:pPr>
              <w:spacing w:line="240" w:lineRule="auto"/>
              <w:ind w:firstLine="0" w:firstLineChars="0"/>
              <w:jc w:val="center"/>
              <w:rPr>
                <w:rFonts w:hAnsi="宋体"/>
                <w:sz w:val="21"/>
                <w:szCs w:val="21"/>
              </w:rPr>
            </w:pPr>
          </w:p>
        </w:tc>
        <w:tc>
          <w:tcPr>
            <w:tcW w:w="335" w:type="pct"/>
            <w:tcBorders>
              <w:tl2br w:val="nil"/>
              <w:tr2bl w:val="nil"/>
            </w:tcBorders>
            <w:vAlign w:val="center"/>
          </w:tcPr>
          <w:p w14:paraId="09E07C74">
            <w:pPr>
              <w:spacing w:line="240" w:lineRule="auto"/>
              <w:ind w:firstLine="0" w:firstLineChars="0"/>
              <w:jc w:val="center"/>
              <w:rPr>
                <w:rFonts w:hAnsi="宋体"/>
                <w:sz w:val="21"/>
                <w:szCs w:val="21"/>
              </w:rPr>
            </w:pPr>
            <w:r>
              <w:rPr>
                <w:rFonts w:hAnsi="宋体"/>
                <w:sz w:val="21"/>
                <w:szCs w:val="21"/>
              </w:rPr>
              <w:t>X</w:t>
            </w:r>
          </w:p>
        </w:tc>
        <w:tc>
          <w:tcPr>
            <w:tcW w:w="272" w:type="pct"/>
            <w:tcBorders>
              <w:tl2br w:val="nil"/>
              <w:tr2bl w:val="nil"/>
            </w:tcBorders>
            <w:vAlign w:val="center"/>
          </w:tcPr>
          <w:p w14:paraId="05E86FCE">
            <w:pPr>
              <w:spacing w:line="240" w:lineRule="auto"/>
              <w:ind w:firstLine="0" w:firstLineChars="0"/>
              <w:jc w:val="center"/>
              <w:rPr>
                <w:rFonts w:hAnsi="宋体"/>
                <w:sz w:val="21"/>
                <w:szCs w:val="21"/>
              </w:rPr>
            </w:pPr>
            <w:r>
              <w:rPr>
                <w:rFonts w:hAnsi="宋体"/>
                <w:sz w:val="21"/>
                <w:szCs w:val="21"/>
              </w:rPr>
              <w:t>Y</w:t>
            </w:r>
          </w:p>
        </w:tc>
        <w:tc>
          <w:tcPr>
            <w:tcW w:w="553" w:type="pct"/>
            <w:vMerge w:val="continue"/>
            <w:tcBorders>
              <w:tl2br w:val="nil"/>
              <w:tr2bl w:val="nil"/>
            </w:tcBorders>
            <w:vAlign w:val="center"/>
          </w:tcPr>
          <w:p w14:paraId="34817AED">
            <w:pPr>
              <w:spacing w:line="240" w:lineRule="auto"/>
              <w:ind w:firstLine="0" w:firstLineChars="0"/>
              <w:jc w:val="center"/>
              <w:rPr>
                <w:rFonts w:hAnsi="宋体"/>
                <w:sz w:val="21"/>
                <w:szCs w:val="21"/>
              </w:rPr>
            </w:pPr>
          </w:p>
        </w:tc>
        <w:tc>
          <w:tcPr>
            <w:tcW w:w="311" w:type="pct"/>
            <w:vMerge w:val="continue"/>
            <w:tcBorders>
              <w:tl2br w:val="nil"/>
              <w:tr2bl w:val="nil"/>
            </w:tcBorders>
            <w:vAlign w:val="center"/>
          </w:tcPr>
          <w:p w14:paraId="5309663B">
            <w:pPr>
              <w:spacing w:line="240" w:lineRule="auto"/>
              <w:ind w:firstLine="0" w:firstLineChars="0"/>
              <w:jc w:val="center"/>
              <w:rPr>
                <w:rFonts w:hAnsi="宋体"/>
                <w:sz w:val="21"/>
                <w:szCs w:val="21"/>
              </w:rPr>
            </w:pPr>
          </w:p>
        </w:tc>
        <w:tc>
          <w:tcPr>
            <w:tcW w:w="234" w:type="pct"/>
            <w:vMerge w:val="continue"/>
            <w:tcBorders>
              <w:tl2br w:val="nil"/>
              <w:tr2bl w:val="nil"/>
            </w:tcBorders>
            <w:vAlign w:val="center"/>
          </w:tcPr>
          <w:p w14:paraId="4F112B28">
            <w:pPr>
              <w:spacing w:line="240" w:lineRule="auto"/>
              <w:ind w:firstLine="0" w:firstLineChars="0"/>
              <w:jc w:val="center"/>
              <w:rPr>
                <w:rFonts w:hAnsi="宋体"/>
                <w:sz w:val="21"/>
                <w:szCs w:val="21"/>
              </w:rPr>
            </w:pPr>
          </w:p>
        </w:tc>
        <w:tc>
          <w:tcPr>
            <w:tcW w:w="338" w:type="pct"/>
            <w:vMerge w:val="continue"/>
            <w:tcBorders>
              <w:tl2br w:val="nil"/>
              <w:tr2bl w:val="nil"/>
            </w:tcBorders>
            <w:vAlign w:val="center"/>
          </w:tcPr>
          <w:p w14:paraId="7255F225">
            <w:pPr>
              <w:spacing w:line="240" w:lineRule="auto"/>
              <w:ind w:firstLine="0" w:firstLineChars="0"/>
              <w:jc w:val="center"/>
              <w:rPr>
                <w:rFonts w:hAnsi="宋体"/>
                <w:sz w:val="21"/>
                <w:szCs w:val="21"/>
              </w:rPr>
            </w:pPr>
          </w:p>
        </w:tc>
        <w:tc>
          <w:tcPr>
            <w:tcW w:w="192" w:type="pct"/>
            <w:vMerge w:val="continue"/>
            <w:tcBorders>
              <w:tl2br w:val="nil"/>
              <w:tr2bl w:val="nil"/>
            </w:tcBorders>
            <w:vAlign w:val="center"/>
          </w:tcPr>
          <w:p w14:paraId="33DE730F">
            <w:pPr>
              <w:spacing w:line="240" w:lineRule="auto"/>
              <w:ind w:firstLine="0" w:firstLineChars="0"/>
              <w:jc w:val="center"/>
              <w:rPr>
                <w:rFonts w:hAnsi="宋体"/>
                <w:sz w:val="21"/>
                <w:szCs w:val="21"/>
              </w:rPr>
            </w:pPr>
          </w:p>
        </w:tc>
        <w:tc>
          <w:tcPr>
            <w:tcW w:w="397" w:type="pct"/>
            <w:vMerge w:val="continue"/>
            <w:tcBorders>
              <w:tl2br w:val="nil"/>
              <w:tr2bl w:val="nil"/>
            </w:tcBorders>
            <w:vAlign w:val="center"/>
          </w:tcPr>
          <w:p w14:paraId="6727D347">
            <w:pPr>
              <w:spacing w:line="240" w:lineRule="auto"/>
              <w:ind w:firstLine="0" w:firstLineChars="0"/>
              <w:jc w:val="center"/>
              <w:rPr>
                <w:rFonts w:hAnsi="宋体"/>
                <w:sz w:val="21"/>
                <w:szCs w:val="21"/>
              </w:rPr>
            </w:pPr>
          </w:p>
        </w:tc>
        <w:tc>
          <w:tcPr>
            <w:tcW w:w="242" w:type="pct"/>
            <w:vMerge w:val="continue"/>
            <w:tcBorders>
              <w:tl2br w:val="nil"/>
              <w:tr2bl w:val="nil"/>
            </w:tcBorders>
            <w:vAlign w:val="center"/>
          </w:tcPr>
          <w:p w14:paraId="68D8D47F">
            <w:pPr>
              <w:spacing w:line="240" w:lineRule="auto"/>
              <w:ind w:firstLine="0" w:firstLineChars="0"/>
              <w:jc w:val="center"/>
              <w:rPr>
                <w:rFonts w:hAnsi="宋体"/>
                <w:sz w:val="21"/>
                <w:szCs w:val="21"/>
              </w:rPr>
            </w:pPr>
          </w:p>
        </w:tc>
        <w:tc>
          <w:tcPr>
            <w:tcW w:w="230" w:type="pct"/>
            <w:vMerge w:val="continue"/>
            <w:tcBorders>
              <w:tl2br w:val="nil"/>
              <w:tr2bl w:val="nil"/>
            </w:tcBorders>
            <w:vAlign w:val="center"/>
          </w:tcPr>
          <w:p w14:paraId="702D363D">
            <w:pPr>
              <w:spacing w:line="240" w:lineRule="auto"/>
              <w:ind w:firstLine="0" w:firstLineChars="0"/>
              <w:jc w:val="center"/>
              <w:rPr>
                <w:rFonts w:hAnsi="宋体"/>
                <w:sz w:val="21"/>
                <w:szCs w:val="21"/>
              </w:rPr>
            </w:pPr>
          </w:p>
        </w:tc>
        <w:tc>
          <w:tcPr>
            <w:tcW w:w="230" w:type="pct"/>
            <w:vMerge w:val="continue"/>
            <w:tcBorders>
              <w:tl2br w:val="nil"/>
              <w:tr2bl w:val="nil"/>
            </w:tcBorders>
            <w:vAlign w:val="center"/>
          </w:tcPr>
          <w:p w14:paraId="294E2822">
            <w:pPr>
              <w:spacing w:line="240" w:lineRule="auto"/>
              <w:ind w:firstLine="0" w:firstLineChars="0"/>
              <w:jc w:val="center"/>
              <w:rPr>
                <w:rFonts w:hAnsi="宋体"/>
                <w:sz w:val="21"/>
                <w:szCs w:val="21"/>
              </w:rPr>
            </w:pPr>
          </w:p>
        </w:tc>
        <w:tc>
          <w:tcPr>
            <w:tcW w:w="336" w:type="pct"/>
            <w:vMerge w:val="continue"/>
            <w:tcBorders>
              <w:tl2br w:val="nil"/>
              <w:tr2bl w:val="nil"/>
            </w:tcBorders>
            <w:vAlign w:val="center"/>
          </w:tcPr>
          <w:p w14:paraId="55AA4DE8">
            <w:pPr>
              <w:spacing w:line="240" w:lineRule="auto"/>
              <w:ind w:firstLine="0" w:firstLineChars="0"/>
              <w:jc w:val="center"/>
              <w:rPr>
                <w:rFonts w:hAnsi="宋体"/>
                <w:sz w:val="21"/>
                <w:szCs w:val="21"/>
              </w:rPr>
            </w:pPr>
          </w:p>
        </w:tc>
        <w:tc>
          <w:tcPr>
            <w:tcW w:w="335" w:type="pct"/>
            <w:vMerge w:val="continue"/>
            <w:tcBorders>
              <w:tl2br w:val="nil"/>
              <w:tr2bl w:val="nil"/>
            </w:tcBorders>
            <w:vAlign w:val="center"/>
          </w:tcPr>
          <w:p w14:paraId="2230E158">
            <w:pPr>
              <w:spacing w:line="240" w:lineRule="auto"/>
              <w:ind w:firstLine="0" w:firstLineChars="0"/>
              <w:jc w:val="center"/>
              <w:rPr>
                <w:rFonts w:hAnsi="宋体"/>
                <w:sz w:val="21"/>
                <w:szCs w:val="21"/>
              </w:rPr>
            </w:pPr>
          </w:p>
        </w:tc>
        <w:tc>
          <w:tcPr>
            <w:tcW w:w="332" w:type="pct"/>
            <w:vMerge w:val="continue"/>
            <w:tcBorders>
              <w:tl2br w:val="nil"/>
              <w:tr2bl w:val="nil"/>
            </w:tcBorders>
            <w:vAlign w:val="center"/>
          </w:tcPr>
          <w:p w14:paraId="0721CA56">
            <w:pPr>
              <w:spacing w:line="240" w:lineRule="auto"/>
              <w:ind w:firstLine="0" w:firstLineChars="0"/>
              <w:jc w:val="center"/>
              <w:rPr>
                <w:rFonts w:hAnsi="宋体"/>
                <w:sz w:val="21"/>
                <w:szCs w:val="21"/>
              </w:rPr>
            </w:pPr>
          </w:p>
        </w:tc>
      </w:tr>
      <w:tr w14:paraId="33E562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64" w:type="pct"/>
            <w:tcBorders>
              <w:tl2br w:val="nil"/>
              <w:tr2bl w:val="nil"/>
            </w:tcBorders>
            <w:vAlign w:val="center"/>
          </w:tcPr>
          <w:p w14:paraId="187E996A">
            <w:pPr>
              <w:spacing w:line="240" w:lineRule="auto"/>
              <w:ind w:firstLine="0" w:firstLineChars="0"/>
              <w:jc w:val="center"/>
              <w:rPr>
                <w:rFonts w:hAnsi="宋体"/>
                <w:sz w:val="21"/>
                <w:szCs w:val="21"/>
              </w:rPr>
            </w:pPr>
            <w:r>
              <w:rPr>
                <w:rFonts w:hAnsi="宋体"/>
                <w:sz w:val="21"/>
                <w:szCs w:val="21"/>
              </w:rPr>
              <w:t>1</w:t>
            </w:r>
          </w:p>
        </w:tc>
        <w:tc>
          <w:tcPr>
            <w:tcW w:w="499" w:type="pct"/>
            <w:tcBorders>
              <w:tl2br w:val="nil"/>
              <w:tr2bl w:val="nil"/>
            </w:tcBorders>
            <w:vAlign w:val="center"/>
          </w:tcPr>
          <w:p w14:paraId="3F58445B">
            <w:pPr>
              <w:spacing w:line="240" w:lineRule="auto"/>
              <w:ind w:firstLine="0" w:firstLineChars="0"/>
              <w:jc w:val="center"/>
              <w:rPr>
                <w:rFonts w:hAnsi="宋体"/>
                <w:sz w:val="21"/>
                <w:szCs w:val="21"/>
              </w:rPr>
            </w:pPr>
            <w:r>
              <w:rPr>
                <w:rFonts w:hint="eastAsia" w:hAnsi="宋体"/>
                <w:sz w:val="21"/>
                <w:szCs w:val="21"/>
              </w:rPr>
              <w:t>饲料加工排气筒DA001</w:t>
            </w:r>
          </w:p>
        </w:tc>
        <w:tc>
          <w:tcPr>
            <w:tcW w:w="335" w:type="pct"/>
            <w:tcBorders>
              <w:tl2br w:val="nil"/>
              <w:tr2bl w:val="nil"/>
            </w:tcBorders>
            <w:vAlign w:val="center"/>
          </w:tcPr>
          <w:p w14:paraId="3DDB02CC">
            <w:pPr>
              <w:spacing w:line="240" w:lineRule="auto"/>
              <w:ind w:firstLine="0" w:firstLineChars="0"/>
              <w:jc w:val="center"/>
              <w:rPr>
                <w:rFonts w:hAnsi="宋体"/>
                <w:sz w:val="21"/>
                <w:szCs w:val="21"/>
              </w:rPr>
            </w:pPr>
            <w:r>
              <w:rPr>
                <w:rFonts w:hint="eastAsia" w:hAnsi="宋体"/>
                <w:sz w:val="21"/>
                <w:szCs w:val="21"/>
              </w:rPr>
              <w:t>-</w:t>
            </w:r>
            <w:r>
              <w:rPr>
                <w:rFonts w:hAnsi="宋体"/>
                <w:sz w:val="21"/>
                <w:szCs w:val="21"/>
              </w:rPr>
              <w:t>45</w:t>
            </w:r>
          </w:p>
        </w:tc>
        <w:tc>
          <w:tcPr>
            <w:tcW w:w="272" w:type="pct"/>
            <w:tcBorders>
              <w:tl2br w:val="nil"/>
              <w:tr2bl w:val="nil"/>
            </w:tcBorders>
            <w:vAlign w:val="center"/>
          </w:tcPr>
          <w:p w14:paraId="79106251">
            <w:pPr>
              <w:spacing w:line="240" w:lineRule="auto"/>
              <w:ind w:firstLine="0" w:firstLineChars="0"/>
              <w:jc w:val="center"/>
              <w:rPr>
                <w:rFonts w:hAnsi="宋体"/>
                <w:sz w:val="21"/>
                <w:szCs w:val="21"/>
              </w:rPr>
            </w:pPr>
            <w:r>
              <w:rPr>
                <w:rFonts w:hAnsi="宋体"/>
                <w:sz w:val="21"/>
                <w:szCs w:val="21"/>
              </w:rPr>
              <w:t>125</w:t>
            </w:r>
          </w:p>
        </w:tc>
        <w:tc>
          <w:tcPr>
            <w:tcW w:w="553" w:type="pct"/>
            <w:tcBorders>
              <w:tl2br w:val="nil"/>
              <w:tr2bl w:val="nil"/>
            </w:tcBorders>
            <w:vAlign w:val="center"/>
          </w:tcPr>
          <w:p w14:paraId="020AEC93">
            <w:pPr>
              <w:spacing w:line="240" w:lineRule="auto"/>
              <w:ind w:firstLine="0" w:firstLineChars="0"/>
              <w:jc w:val="center"/>
              <w:rPr>
                <w:rFonts w:hAnsi="宋体"/>
                <w:sz w:val="21"/>
                <w:szCs w:val="21"/>
              </w:rPr>
            </w:pPr>
            <w:r>
              <w:rPr>
                <w:rFonts w:hint="eastAsia" w:hAnsi="宋体"/>
                <w:sz w:val="21"/>
                <w:szCs w:val="21"/>
              </w:rPr>
              <w:t>1142</w:t>
            </w:r>
          </w:p>
        </w:tc>
        <w:tc>
          <w:tcPr>
            <w:tcW w:w="311" w:type="pct"/>
            <w:tcBorders>
              <w:tl2br w:val="nil"/>
              <w:tr2bl w:val="nil"/>
            </w:tcBorders>
            <w:vAlign w:val="center"/>
          </w:tcPr>
          <w:p w14:paraId="6DD73F93">
            <w:pPr>
              <w:spacing w:line="240" w:lineRule="auto"/>
              <w:ind w:firstLine="0" w:firstLineChars="0"/>
              <w:jc w:val="center"/>
              <w:rPr>
                <w:rFonts w:hAnsi="宋体"/>
                <w:sz w:val="21"/>
                <w:szCs w:val="21"/>
              </w:rPr>
            </w:pPr>
            <w:r>
              <w:rPr>
                <w:rFonts w:hAnsi="宋体"/>
                <w:sz w:val="21"/>
                <w:szCs w:val="21"/>
              </w:rPr>
              <w:t>15</w:t>
            </w:r>
          </w:p>
        </w:tc>
        <w:tc>
          <w:tcPr>
            <w:tcW w:w="234" w:type="pct"/>
            <w:tcBorders>
              <w:tl2br w:val="nil"/>
              <w:tr2bl w:val="nil"/>
            </w:tcBorders>
            <w:vAlign w:val="center"/>
          </w:tcPr>
          <w:p w14:paraId="6A1EB3F1">
            <w:pPr>
              <w:spacing w:line="240" w:lineRule="auto"/>
              <w:ind w:firstLine="0" w:firstLineChars="0"/>
              <w:jc w:val="center"/>
              <w:rPr>
                <w:rFonts w:hAnsi="宋体"/>
                <w:sz w:val="21"/>
                <w:szCs w:val="21"/>
              </w:rPr>
            </w:pPr>
            <w:r>
              <w:rPr>
                <w:rFonts w:hAnsi="宋体"/>
                <w:sz w:val="21"/>
                <w:szCs w:val="21"/>
              </w:rPr>
              <w:t>0.3</w:t>
            </w:r>
          </w:p>
        </w:tc>
        <w:tc>
          <w:tcPr>
            <w:tcW w:w="338" w:type="pct"/>
            <w:tcBorders>
              <w:tl2br w:val="nil"/>
              <w:tr2bl w:val="nil"/>
            </w:tcBorders>
            <w:vAlign w:val="center"/>
          </w:tcPr>
          <w:p w14:paraId="5127669E">
            <w:pPr>
              <w:spacing w:line="240" w:lineRule="auto"/>
              <w:ind w:firstLine="0" w:firstLineChars="0"/>
              <w:jc w:val="center"/>
              <w:rPr>
                <w:rFonts w:hAnsi="宋体"/>
                <w:sz w:val="21"/>
                <w:szCs w:val="21"/>
              </w:rPr>
            </w:pPr>
            <w:r>
              <w:rPr>
                <w:rFonts w:hAnsi="宋体"/>
                <w:sz w:val="21"/>
                <w:szCs w:val="21"/>
              </w:rPr>
              <w:t>4000</w:t>
            </w:r>
          </w:p>
        </w:tc>
        <w:tc>
          <w:tcPr>
            <w:tcW w:w="192" w:type="pct"/>
            <w:tcBorders>
              <w:tl2br w:val="nil"/>
              <w:tr2bl w:val="nil"/>
            </w:tcBorders>
            <w:vAlign w:val="center"/>
          </w:tcPr>
          <w:p w14:paraId="7D8B6571">
            <w:pPr>
              <w:spacing w:line="240" w:lineRule="auto"/>
              <w:ind w:firstLine="0" w:firstLineChars="0"/>
              <w:jc w:val="center"/>
              <w:rPr>
                <w:rFonts w:hAnsi="宋体"/>
                <w:sz w:val="21"/>
                <w:szCs w:val="21"/>
              </w:rPr>
            </w:pPr>
            <w:r>
              <w:rPr>
                <w:rFonts w:hAnsi="宋体"/>
                <w:sz w:val="21"/>
                <w:szCs w:val="21"/>
              </w:rPr>
              <w:t>2</w:t>
            </w:r>
            <w:r>
              <w:rPr>
                <w:rFonts w:hint="eastAsia" w:hAnsi="宋体"/>
                <w:sz w:val="21"/>
                <w:szCs w:val="21"/>
              </w:rPr>
              <w:t>0</w:t>
            </w:r>
          </w:p>
        </w:tc>
        <w:tc>
          <w:tcPr>
            <w:tcW w:w="397" w:type="pct"/>
            <w:tcBorders>
              <w:tl2br w:val="nil"/>
              <w:tr2bl w:val="nil"/>
            </w:tcBorders>
            <w:vAlign w:val="center"/>
          </w:tcPr>
          <w:p w14:paraId="7F277DF1">
            <w:pPr>
              <w:spacing w:line="240" w:lineRule="auto"/>
              <w:ind w:firstLine="0" w:firstLineChars="0"/>
              <w:jc w:val="center"/>
              <w:rPr>
                <w:rFonts w:hAnsi="宋体"/>
                <w:sz w:val="21"/>
                <w:szCs w:val="21"/>
              </w:rPr>
            </w:pPr>
            <w:r>
              <w:rPr>
                <w:rFonts w:hint="eastAsia" w:hAnsi="宋体"/>
                <w:sz w:val="21"/>
                <w:szCs w:val="21"/>
              </w:rPr>
              <w:t>2400</w:t>
            </w:r>
          </w:p>
        </w:tc>
        <w:tc>
          <w:tcPr>
            <w:tcW w:w="242" w:type="pct"/>
            <w:tcBorders>
              <w:tl2br w:val="nil"/>
              <w:tr2bl w:val="nil"/>
            </w:tcBorders>
            <w:vAlign w:val="center"/>
          </w:tcPr>
          <w:p w14:paraId="35D084EC">
            <w:pPr>
              <w:spacing w:line="240" w:lineRule="auto"/>
              <w:ind w:firstLine="0" w:firstLineChars="0"/>
              <w:jc w:val="center"/>
              <w:rPr>
                <w:rFonts w:hAnsi="宋体"/>
                <w:sz w:val="21"/>
                <w:szCs w:val="21"/>
              </w:rPr>
            </w:pPr>
            <w:r>
              <w:rPr>
                <w:rFonts w:hAnsi="宋体"/>
                <w:sz w:val="21"/>
                <w:szCs w:val="21"/>
              </w:rPr>
              <w:t>正常</w:t>
            </w:r>
          </w:p>
          <w:p w14:paraId="57615C0D">
            <w:pPr>
              <w:spacing w:line="240" w:lineRule="auto"/>
              <w:ind w:firstLine="0" w:firstLineChars="0"/>
              <w:jc w:val="center"/>
              <w:rPr>
                <w:rFonts w:hAnsi="宋体"/>
                <w:sz w:val="21"/>
                <w:szCs w:val="21"/>
              </w:rPr>
            </w:pPr>
            <w:r>
              <w:rPr>
                <w:rFonts w:hAnsi="宋体"/>
                <w:sz w:val="21"/>
                <w:szCs w:val="21"/>
              </w:rPr>
              <w:t>排放</w:t>
            </w:r>
          </w:p>
        </w:tc>
        <w:tc>
          <w:tcPr>
            <w:tcW w:w="230" w:type="pct"/>
            <w:tcBorders>
              <w:tl2br w:val="nil"/>
              <w:tr2bl w:val="nil"/>
            </w:tcBorders>
            <w:vAlign w:val="center"/>
          </w:tcPr>
          <w:p w14:paraId="1922AC8E">
            <w:pPr>
              <w:spacing w:line="240" w:lineRule="auto"/>
              <w:ind w:firstLine="0" w:firstLineChars="0"/>
              <w:jc w:val="center"/>
              <w:rPr>
                <w:rFonts w:hAnsi="宋体"/>
                <w:sz w:val="21"/>
                <w:szCs w:val="21"/>
              </w:rPr>
            </w:pPr>
            <w:r>
              <w:rPr>
                <w:rFonts w:hint="eastAsia" w:hAnsi="宋体"/>
                <w:sz w:val="21"/>
                <w:szCs w:val="21"/>
              </w:rPr>
              <w:t>/</w:t>
            </w:r>
          </w:p>
        </w:tc>
        <w:tc>
          <w:tcPr>
            <w:tcW w:w="230" w:type="pct"/>
            <w:tcBorders>
              <w:tl2br w:val="nil"/>
              <w:tr2bl w:val="nil"/>
            </w:tcBorders>
            <w:vAlign w:val="center"/>
          </w:tcPr>
          <w:p w14:paraId="5430A914">
            <w:pPr>
              <w:spacing w:line="240" w:lineRule="auto"/>
              <w:ind w:firstLine="0" w:firstLineChars="0"/>
              <w:jc w:val="center"/>
              <w:rPr>
                <w:rFonts w:hAnsi="宋体"/>
                <w:sz w:val="21"/>
                <w:szCs w:val="21"/>
              </w:rPr>
            </w:pPr>
            <w:r>
              <w:rPr>
                <w:rFonts w:hint="eastAsia" w:hAnsi="宋体"/>
                <w:sz w:val="21"/>
                <w:szCs w:val="21"/>
              </w:rPr>
              <w:t>/</w:t>
            </w:r>
          </w:p>
        </w:tc>
        <w:tc>
          <w:tcPr>
            <w:tcW w:w="336" w:type="pct"/>
            <w:tcBorders>
              <w:tl2br w:val="nil"/>
              <w:tr2bl w:val="nil"/>
            </w:tcBorders>
            <w:vAlign w:val="center"/>
          </w:tcPr>
          <w:p w14:paraId="6237E1C1">
            <w:pPr>
              <w:spacing w:line="240" w:lineRule="auto"/>
              <w:ind w:firstLine="0" w:firstLineChars="0"/>
              <w:jc w:val="center"/>
              <w:rPr>
                <w:rFonts w:hAnsi="宋体"/>
                <w:sz w:val="21"/>
                <w:szCs w:val="21"/>
              </w:rPr>
            </w:pPr>
            <w:r>
              <w:rPr>
                <w:rFonts w:hAnsi="宋体"/>
                <w:sz w:val="21"/>
                <w:szCs w:val="21"/>
              </w:rPr>
              <w:t>0.00934</w:t>
            </w:r>
          </w:p>
        </w:tc>
        <w:tc>
          <w:tcPr>
            <w:tcW w:w="335" w:type="pct"/>
            <w:tcBorders>
              <w:tl2br w:val="nil"/>
              <w:tr2bl w:val="nil"/>
            </w:tcBorders>
            <w:vAlign w:val="center"/>
          </w:tcPr>
          <w:p w14:paraId="6C59B50E">
            <w:pPr>
              <w:spacing w:line="240" w:lineRule="auto"/>
              <w:ind w:firstLine="0" w:firstLineChars="0"/>
              <w:jc w:val="center"/>
              <w:rPr>
                <w:rFonts w:hAnsi="宋体"/>
                <w:sz w:val="21"/>
                <w:szCs w:val="21"/>
              </w:rPr>
            </w:pPr>
            <w:r>
              <w:rPr>
                <w:rFonts w:hint="eastAsia" w:hAnsi="宋体"/>
                <w:sz w:val="21"/>
                <w:szCs w:val="21"/>
              </w:rPr>
              <w:t>/</w:t>
            </w:r>
          </w:p>
        </w:tc>
        <w:tc>
          <w:tcPr>
            <w:tcW w:w="332" w:type="pct"/>
            <w:tcBorders>
              <w:tl2br w:val="nil"/>
              <w:tr2bl w:val="nil"/>
            </w:tcBorders>
            <w:vAlign w:val="center"/>
          </w:tcPr>
          <w:p w14:paraId="424CE4EA">
            <w:pPr>
              <w:spacing w:line="240" w:lineRule="auto"/>
              <w:ind w:firstLine="0" w:firstLineChars="0"/>
              <w:jc w:val="center"/>
              <w:rPr>
                <w:rFonts w:hAnsi="宋体"/>
                <w:sz w:val="21"/>
                <w:szCs w:val="21"/>
              </w:rPr>
            </w:pPr>
            <w:r>
              <w:rPr>
                <w:rFonts w:hint="eastAsia" w:hAnsi="宋体"/>
                <w:sz w:val="21"/>
                <w:szCs w:val="21"/>
              </w:rPr>
              <w:t>/</w:t>
            </w:r>
          </w:p>
        </w:tc>
      </w:tr>
      <w:tr w14:paraId="733BCB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64" w:type="pct"/>
            <w:tcBorders>
              <w:tl2br w:val="nil"/>
              <w:tr2bl w:val="nil"/>
            </w:tcBorders>
            <w:vAlign w:val="center"/>
          </w:tcPr>
          <w:p w14:paraId="237997BE">
            <w:pPr>
              <w:spacing w:line="240" w:lineRule="auto"/>
              <w:ind w:firstLine="0" w:firstLineChars="0"/>
              <w:jc w:val="center"/>
              <w:rPr>
                <w:rFonts w:hAnsi="宋体"/>
                <w:sz w:val="21"/>
                <w:szCs w:val="21"/>
              </w:rPr>
            </w:pPr>
            <w:r>
              <w:rPr>
                <w:rFonts w:hint="eastAsia" w:hAnsi="宋体"/>
                <w:sz w:val="21"/>
                <w:szCs w:val="21"/>
              </w:rPr>
              <w:t>2</w:t>
            </w:r>
          </w:p>
        </w:tc>
        <w:tc>
          <w:tcPr>
            <w:tcW w:w="499" w:type="pct"/>
            <w:tcBorders>
              <w:tl2br w:val="nil"/>
              <w:tr2bl w:val="nil"/>
            </w:tcBorders>
            <w:vAlign w:val="center"/>
          </w:tcPr>
          <w:p w14:paraId="15A9DC19">
            <w:pPr>
              <w:spacing w:line="240" w:lineRule="auto"/>
              <w:ind w:firstLine="0" w:firstLineChars="0"/>
              <w:jc w:val="center"/>
              <w:rPr>
                <w:rFonts w:hAnsi="宋体"/>
                <w:sz w:val="21"/>
                <w:szCs w:val="21"/>
              </w:rPr>
            </w:pPr>
            <w:r>
              <w:rPr>
                <w:rFonts w:hAnsi="宋体"/>
                <w:sz w:val="21"/>
                <w:szCs w:val="21"/>
              </w:rPr>
              <w:t>锅炉排气筒</w:t>
            </w:r>
            <w:r>
              <w:rPr>
                <w:rFonts w:hint="eastAsia" w:hAnsi="宋体"/>
                <w:sz w:val="21"/>
                <w:szCs w:val="21"/>
              </w:rPr>
              <w:t>DA004/DA005（两用一备）</w:t>
            </w:r>
          </w:p>
        </w:tc>
        <w:tc>
          <w:tcPr>
            <w:tcW w:w="335" w:type="pct"/>
            <w:tcBorders>
              <w:tl2br w:val="nil"/>
              <w:tr2bl w:val="nil"/>
            </w:tcBorders>
            <w:vAlign w:val="center"/>
          </w:tcPr>
          <w:p w14:paraId="15E33AFA">
            <w:pPr>
              <w:spacing w:line="240" w:lineRule="auto"/>
              <w:ind w:firstLine="0" w:firstLineChars="0"/>
              <w:jc w:val="center"/>
              <w:rPr>
                <w:rFonts w:hAnsi="宋体"/>
                <w:sz w:val="21"/>
                <w:szCs w:val="21"/>
              </w:rPr>
            </w:pPr>
            <w:r>
              <w:rPr>
                <w:rFonts w:hint="eastAsia" w:hAnsi="宋体"/>
                <w:sz w:val="21"/>
                <w:szCs w:val="21"/>
              </w:rPr>
              <w:t>-</w:t>
            </w:r>
            <w:r>
              <w:rPr>
                <w:rFonts w:hAnsi="宋体"/>
                <w:sz w:val="21"/>
                <w:szCs w:val="21"/>
              </w:rPr>
              <w:t>275</w:t>
            </w:r>
          </w:p>
        </w:tc>
        <w:tc>
          <w:tcPr>
            <w:tcW w:w="272" w:type="pct"/>
            <w:tcBorders>
              <w:tl2br w:val="nil"/>
              <w:tr2bl w:val="nil"/>
            </w:tcBorders>
            <w:vAlign w:val="center"/>
          </w:tcPr>
          <w:p w14:paraId="1D046A4F">
            <w:pPr>
              <w:spacing w:line="240" w:lineRule="auto"/>
              <w:ind w:firstLine="0" w:firstLineChars="0"/>
              <w:jc w:val="center"/>
              <w:rPr>
                <w:rFonts w:hAnsi="宋体"/>
                <w:sz w:val="21"/>
                <w:szCs w:val="21"/>
              </w:rPr>
            </w:pPr>
            <w:r>
              <w:rPr>
                <w:rFonts w:hAnsi="宋体"/>
                <w:sz w:val="21"/>
                <w:szCs w:val="21"/>
              </w:rPr>
              <w:t>141</w:t>
            </w:r>
          </w:p>
        </w:tc>
        <w:tc>
          <w:tcPr>
            <w:tcW w:w="553" w:type="pct"/>
            <w:tcBorders>
              <w:tl2br w:val="nil"/>
              <w:tr2bl w:val="nil"/>
            </w:tcBorders>
            <w:vAlign w:val="center"/>
          </w:tcPr>
          <w:p w14:paraId="1CE26ED5">
            <w:pPr>
              <w:spacing w:line="240" w:lineRule="auto"/>
              <w:ind w:firstLine="0" w:firstLineChars="0"/>
              <w:jc w:val="center"/>
              <w:rPr>
                <w:rFonts w:hAnsi="宋体"/>
                <w:sz w:val="21"/>
                <w:szCs w:val="21"/>
              </w:rPr>
            </w:pPr>
            <w:r>
              <w:rPr>
                <w:rFonts w:hint="eastAsia" w:hAnsi="宋体"/>
                <w:sz w:val="21"/>
                <w:szCs w:val="21"/>
              </w:rPr>
              <w:t>1135</w:t>
            </w:r>
          </w:p>
        </w:tc>
        <w:tc>
          <w:tcPr>
            <w:tcW w:w="311" w:type="pct"/>
            <w:tcBorders>
              <w:tl2br w:val="nil"/>
              <w:tr2bl w:val="nil"/>
            </w:tcBorders>
            <w:vAlign w:val="center"/>
          </w:tcPr>
          <w:p w14:paraId="6821315C">
            <w:pPr>
              <w:spacing w:line="240" w:lineRule="auto"/>
              <w:ind w:firstLine="0" w:firstLineChars="0"/>
              <w:jc w:val="center"/>
              <w:rPr>
                <w:rFonts w:hAnsi="宋体"/>
                <w:sz w:val="21"/>
                <w:szCs w:val="21"/>
              </w:rPr>
            </w:pPr>
            <w:r>
              <w:rPr>
                <w:rFonts w:hint="eastAsia" w:hAnsi="宋体"/>
                <w:sz w:val="21"/>
                <w:szCs w:val="21"/>
              </w:rPr>
              <w:t>8</w:t>
            </w:r>
          </w:p>
        </w:tc>
        <w:tc>
          <w:tcPr>
            <w:tcW w:w="234" w:type="pct"/>
            <w:tcBorders>
              <w:tl2br w:val="nil"/>
              <w:tr2bl w:val="nil"/>
            </w:tcBorders>
            <w:vAlign w:val="center"/>
          </w:tcPr>
          <w:p w14:paraId="21D8D369">
            <w:pPr>
              <w:spacing w:line="240" w:lineRule="auto"/>
              <w:ind w:firstLine="0" w:firstLineChars="0"/>
              <w:jc w:val="center"/>
              <w:rPr>
                <w:rFonts w:hAnsi="宋体"/>
                <w:sz w:val="21"/>
                <w:szCs w:val="21"/>
              </w:rPr>
            </w:pPr>
            <w:r>
              <w:rPr>
                <w:rFonts w:hint="eastAsia" w:hAnsi="宋体"/>
                <w:sz w:val="21"/>
                <w:szCs w:val="21"/>
              </w:rPr>
              <w:t>0.</w:t>
            </w:r>
            <w:r>
              <w:rPr>
                <w:rFonts w:hAnsi="宋体"/>
                <w:sz w:val="21"/>
                <w:szCs w:val="21"/>
              </w:rPr>
              <w:t>3</w:t>
            </w:r>
          </w:p>
        </w:tc>
        <w:tc>
          <w:tcPr>
            <w:tcW w:w="338" w:type="pct"/>
            <w:tcBorders>
              <w:tl2br w:val="nil"/>
              <w:tr2bl w:val="nil"/>
            </w:tcBorders>
            <w:vAlign w:val="center"/>
          </w:tcPr>
          <w:p w14:paraId="4049F034">
            <w:pPr>
              <w:spacing w:line="240" w:lineRule="auto"/>
              <w:ind w:firstLine="0" w:firstLineChars="0"/>
              <w:jc w:val="center"/>
              <w:rPr>
                <w:rFonts w:hAnsi="宋体"/>
                <w:sz w:val="21"/>
                <w:szCs w:val="21"/>
              </w:rPr>
            </w:pPr>
            <w:r>
              <w:rPr>
                <w:rFonts w:hAnsi="宋体"/>
                <w:sz w:val="21"/>
                <w:szCs w:val="21"/>
              </w:rPr>
              <w:t>5000</w:t>
            </w:r>
          </w:p>
        </w:tc>
        <w:tc>
          <w:tcPr>
            <w:tcW w:w="192" w:type="pct"/>
            <w:tcBorders>
              <w:tl2br w:val="nil"/>
              <w:tr2bl w:val="nil"/>
            </w:tcBorders>
            <w:vAlign w:val="center"/>
          </w:tcPr>
          <w:p w14:paraId="47EB40A8">
            <w:pPr>
              <w:spacing w:line="240" w:lineRule="auto"/>
              <w:ind w:firstLine="0" w:firstLineChars="0"/>
              <w:jc w:val="center"/>
              <w:rPr>
                <w:rFonts w:hAnsi="宋体"/>
                <w:sz w:val="21"/>
                <w:szCs w:val="21"/>
              </w:rPr>
            </w:pPr>
            <w:r>
              <w:rPr>
                <w:rFonts w:hAnsi="宋体"/>
                <w:sz w:val="21"/>
                <w:szCs w:val="21"/>
              </w:rPr>
              <w:t>40</w:t>
            </w:r>
          </w:p>
        </w:tc>
        <w:tc>
          <w:tcPr>
            <w:tcW w:w="397" w:type="pct"/>
            <w:tcBorders>
              <w:tl2br w:val="nil"/>
              <w:tr2bl w:val="nil"/>
            </w:tcBorders>
            <w:vAlign w:val="center"/>
          </w:tcPr>
          <w:p w14:paraId="48B94A66">
            <w:pPr>
              <w:spacing w:line="240" w:lineRule="auto"/>
              <w:ind w:firstLine="0" w:firstLineChars="0"/>
              <w:jc w:val="center"/>
              <w:rPr>
                <w:rFonts w:hAnsi="宋体"/>
                <w:sz w:val="21"/>
                <w:szCs w:val="21"/>
              </w:rPr>
            </w:pPr>
            <w:r>
              <w:rPr>
                <w:rFonts w:hint="eastAsia" w:hAnsi="宋体"/>
                <w:sz w:val="21"/>
                <w:szCs w:val="21"/>
              </w:rPr>
              <w:t>1920</w:t>
            </w:r>
          </w:p>
        </w:tc>
        <w:tc>
          <w:tcPr>
            <w:tcW w:w="242" w:type="pct"/>
            <w:tcBorders>
              <w:tl2br w:val="nil"/>
              <w:tr2bl w:val="nil"/>
            </w:tcBorders>
            <w:vAlign w:val="center"/>
          </w:tcPr>
          <w:p w14:paraId="04B76B6D">
            <w:pPr>
              <w:spacing w:line="240" w:lineRule="auto"/>
              <w:ind w:firstLine="0" w:firstLineChars="0"/>
              <w:jc w:val="center"/>
              <w:rPr>
                <w:rFonts w:hAnsi="宋体"/>
                <w:sz w:val="21"/>
                <w:szCs w:val="21"/>
              </w:rPr>
            </w:pPr>
            <w:r>
              <w:rPr>
                <w:rFonts w:hAnsi="宋体"/>
                <w:sz w:val="21"/>
                <w:szCs w:val="21"/>
              </w:rPr>
              <w:t>正常</w:t>
            </w:r>
          </w:p>
          <w:p w14:paraId="53B9C40E">
            <w:pPr>
              <w:spacing w:line="240" w:lineRule="auto"/>
              <w:ind w:firstLine="0" w:firstLineChars="0"/>
              <w:jc w:val="center"/>
              <w:rPr>
                <w:rFonts w:hAnsi="宋体"/>
                <w:sz w:val="21"/>
                <w:szCs w:val="21"/>
              </w:rPr>
            </w:pPr>
            <w:r>
              <w:rPr>
                <w:rFonts w:hAnsi="宋体"/>
                <w:sz w:val="21"/>
                <w:szCs w:val="21"/>
              </w:rPr>
              <w:t>排放</w:t>
            </w:r>
          </w:p>
        </w:tc>
        <w:tc>
          <w:tcPr>
            <w:tcW w:w="230" w:type="pct"/>
            <w:tcBorders>
              <w:tl2br w:val="nil"/>
              <w:tr2bl w:val="nil"/>
            </w:tcBorders>
            <w:vAlign w:val="center"/>
          </w:tcPr>
          <w:p w14:paraId="32C9BB3C">
            <w:pPr>
              <w:spacing w:line="240" w:lineRule="auto"/>
              <w:ind w:firstLine="0" w:firstLineChars="0"/>
              <w:jc w:val="center"/>
              <w:rPr>
                <w:rFonts w:hAnsi="宋体"/>
                <w:sz w:val="21"/>
                <w:szCs w:val="21"/>
              </w:rPr>
            </w:pPr>
            <w:r>
              <w:rPr>
                <w:rFonts w:hint="eastAsia" w:hAnsi="宋体"/>
                <w:sz w:val="21"/>
                <w:szCs w:val="21"/>
              </w:rPr>
              <w:t>0.19</w:t>
            </w:r>
          </w:p>
        </w:tc>
        <w:tc>
          <w:tcPr>
            <w:tcW w:w="230" w:type="pct"/>
            <w:tcBorders>
              <w:tl2br w:val="nil"/>
              <w:tr2bl w:val="nil"/>
            </w:tcBorders>
            <w:vAlign w:val="center"/>
          </w:tcPr>
          <w:p w14:paraId="46BB5FB5">
            <w:pPr>
              <w:spacing w:line="240" w:lineRule="auto"/>
              <w:ind w:firstLine="0" w:firstLineChars="0"/>
              <w:jc w:val="center"/>
              <w:rPr>
                <w:rFonts w:hAnsi="宋体"/>
                <w:sz w:val="21"/>
                <w:szCs w:val="21"/>
              </w:rPr>
            </w:pPr>
            <w:r>
              <w:rPr>
                <w:rFonts w:hint="eastAsia" w:hAnsi="宋体"/>
                <w:sz w:val="21"/>
                <w:szCs w:val="21"/>
              </w:rPr>
              <w:t>0</w:t>
            </w:r>
          </w:p>
        </w:tc>
        <w:tc>
          <w:tcPr>
            <w:tcW w:w="336" w:type="pct"/>
            <w:tcBorders>
              <w:tl2br w:val="nil"/>
              <w:tr2bl w:val="nil"/>
            </w:tcBorders>
            <w:vAlign w:val="center"/>
          </w:tcPr>
          <w:p w14:paraId="1AF7B1A5">
            <w:pPr>
              <w:spacing w:line="240" w:lineRule="auto"/>
              <w:ind w:firstLine="0" w:firstLineChars="0"/>
              <w:jc w:val="center"/>
              <w:rPr>
                <w:rFonts w:hAnsi="宋体"/>
                <w:sz w:val="21"/>
                <w:szCs w:val="21"/>
              </w:rPr>
            </w:pPr>
            <w:r>
              <w:rPr>
                <w:rFonts w:hint="eastAsia" w:hAnsi="宋体"/>
                <w:sz w:val="21"/>
                <w:szCs w:val="21"/>
              </w:rPr>
              <w:t>0.019</w:t>
            </w:r>
          </w:p>
        </w:tc>
        <w:tc>
          <w:tcPr>
            <w:tcW w:w="335" w:type="pct"/>
            <w:tcBorders>
              <w:tl2br w:val="nil"/>
              <w:tr2bl w:val="nil"/>
            </w:tcBorders>
            <w:vAlign w:val="center"/>
          </w:tcPr>
          <w:p w14:paraId="17B82CC2">
            <w:pPr>
              <w:spacing w:line="240" w:lineRule="auto"/>
              <w:ind w:firstLine="0" w:firstLineChars="0"/>
              <w:jc w:val="center"/>
              <w:rPr>
                <w:rFonts w:hAnsi="宋体"/>
                <w:sz w:val="21"/>
                <w:szCs w:val="21"/>
              </w:rPr>
            </w:pPr>
            <w:r>
              <w:rPr>
                <w:rFonts w:hint="eastAsia" w:hAnsi="宋体"/>
                <w:sz w:val="21"/>
                <w:szCs w:val="21"/>
              </w:rPr>
              <w:t>/</w:t>
            </w:r>
          </w:p>
        </w:tc>
        <w:tc>
          <w:tcPr>
            <w:tcW w:w="332" w:type="pct"/>
            <w:tcBorders>
              <w:tl2br w:val="nil"/>
              <w:tr2bl w:val="nil"/>
            </w:tcBorders>
            <w:vAlign w:val="center"/>
          </w:tcPr>
          <w:p w14:paraId="1A57B255">
            <w:pPr>
              <w:spacing w:line="240" w:lineRule="auto"/>
              <w:ind w:firstLine="0" w:firstLineChars="0"/>
              <w:jc w:val="center"/>
              <w:rPr>
                <w:rFonts w:hAnsi="宋体"/>
                <w:sz w:val="21"/>
                <w:szCs w:val="21"/>
              </w:rPr>
            </w:pPr>
            <w:r>
              <w:rPr>
                <w:rFonts w:hint="eastAsia" w:hAnsi="宋体"/>
                <w:sz w:val="21"/>
                <w:szCs w:val="21"/>
              </w:rPr>
              <w:t>/</w:t>
            </w:r>
          </w:p>
        </w:tc>
      </w:tr>
      <w:tr w14:paraId="752F7F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64" w:type="pct"/>
            <w:tcBorders>
              <w:tl2br w:val="nil"/>
              <w:tr2bl w:val="nil"/>
            </w:tcBorders>
            <w:vAlign w:val="center"/>
          </w:tcPr>
          <w:p w14:paraId="639BF011">
            <w:pPr>
              <w:spacing w:line="240" w:lineRule="auto"/>
              <w:ind w:firstLine="0" w:firstLineChars="0"/>
              <w:jc w:val="center"/>
              <w:rPr>
                <w:rFonts w:hAnsi="宋体"/>
                <w:sz w:val="21"/>
                <w:szCs w:val="21"/>
              </w:rPr>
            </w:pPr>
            <w:r>
              <w:rPr>
                <w:rFonts w:hint="eastAsia" w:hAnsi="宋体"/>
                <w:sz w:val="21"/>
                <w:szCs w:val="21"/>
              </w:rPr>
              <w:t>3</w:t>
            </w:r>
          </w:p>
        </w:tc>
        <w:tc>
          <w:tcPr>
            <w:tcW w:w="499" w:type="pct"/>
            <w:tcBorders>
              <w:tl2br w:val="nil"/>
              <w:tr2bl w:val="nil"/>
            </w:tcBorders>
            <w:vAlign w:val="center"/>
          </w:tcPr>
          <w:p w14:paraId="6B8D3F2C">
            <w:pPr>
              <w:spacing w:line="240" w:lineRule="auto"/>
              <w:ind w:firstLine="0" w:firstLineChars="0"/>
              <w:jc w:val="center"/>
              <w:rPr>
                <w:rFonts w:hAnsi="宋体"/>
                <w:sz w:val="21"/>
                <w:szCs w:val="21"/>
              </w:rPr>
            </w:pPr>
            <w:r>
              <w:rPr>
                <w:rFonts w:hint="eastAsia" w:hAnsi="宋体"/>
                <w:sz w:val="21"/>
                <w:szCs w:val="21"/>
              </w:rPr>
              <w:t>有机肥车间废气D</w:t>
            </w:r>
            <w:r>
              <w:rPr>
                <w:rFonts w:hAnsi="宋体"/>
                <w:sz w:val="21"/>
                <w:szCs w:val="21"/>
              </w:rPr>
              <w:t>A00</w:t>
            </w:r>
            <w:r>
              <w:rPr>
                <w:rFonts w:hint="eastAsia" w:hAnsi="宋体"/>
                <w:sz w:val="21"/>
                <w:szCs w:val="21"/>
              </w:rPr>
              <w:t>2</w:t>
            </w:r>
          </w:p>
        </w:tc>
        <w:tc>
          <w:tcPr>
            <w:tcW w:w="335" w:type="pct"/>
            <w:tcBorders>
              <w:tl2br w:val="nil"/>
              <w:tr2bl w:val="nil"/>
            </w:tcBorders>
            <w:vAlign w:val="center"/>
          </w:tcPr>
          <w:p w14:paraId="061EF3C9">
            <w:pPr>
              <w:spacing w:line="240" w:lineRule="auto"/>
              <w:ind w:firstLine="0" w:firstLineChars="0"/>
              <w:jc w:val="center"/>
              <w:rPr>
                <w:rFonts w:hAnsi="宋体"/>
                <w:sz w:val="21"/>
                <w:szCs w:val="21"/>
              </w:rPr>
            </w:pPr>
            <w:r>
              <w:rPr>
                <w:rFonts w:hAnsi="宋体"/>
                <w:sz w:val="21"/>
                <w:szCs w:val="21"/>
              </w:rPr>
              <w:t>458</w:t>
            </w:r>
          </w:p>
        </w:tc>
        <w:tc>
          <w:tcPr>
            <w:tcW w:w="272" w:type="pct"/>
            <w:tcBorders>
              <w:tl2br w:val="nil"/>
              <w:tr2bl w:val="nil"/>
            </w:tcBorders>
            <w:vAlign w:val="center"/>
          </w:tcPr>
          <w:p w14:paraId="7573D03B">
            <w:pPr>
              <w:spacing w:line="240" w:lineRule="auto"/>
              <w:ind w:firstLine="0" w:firstLineChars="0"/>
              <w:jc w:val="center"/>
              <w:rPr>
                <w:rFonts w:hAnsi="宋体"/>
                <w:sz w:val="21"/>
                <w:szCs w:val="21"/>
              </w:rPr>
            </w:pPr>
            <w:r>
              <w:rPr>
                <w:rFonts w:hint="eastAsia" w:hAnsi="宋体"/>
                <w:sz w:val="21"/>
                <w:szCs w:val="21"/>
              </w:rPr>
              <w:t>2</w:t>
            </w:r>
            <w:r>
              <w:rPr>
                <w:rFonts w:hAnsi="宋体"/>
                <w:sz w:val="21"/>
                <w:szCs w:val="21"/>
              </w:rPr>
              <w:t>80</w:t>
            </w:r>
          </w:p>
        </w:tc>
        <w:tc>
          <w:tcPr>
            <w:tcW w:w="553" w:type="pct"/>
            <w:tcBorders>
              <w:tl2br w:val="nil"/>
              <w:tr2bl w:val="nil"/>
            </w:tcBorders>
            <w:vAlign w:val="center"/>
          </w:tcPr>
          <w:p w14:paraId="585A09ED">
            <w:pPr>
              <w:spacing w:line="240" w:lineRule="auto"/>
              <w:ind w:firstLine="0" w:firstLineChars="0"/>
              <w:jc w:val="center"/>
              <w:rPr>
                <w:rFonts w:hAnsi="宋体"/>
                <w:sz w:val="21"/>
                <w:szCs w:val="21"/>
              </w:rPr>
            </w:pPr>
            <w:r>
              <w:rPr>
                <w:rFonts w:hint="eastAsia" w:hAnsi="宋体"/>
                <w:sz w:val="21"/>
                <w:szCs w:val="21"/>
              </w:rPr>
              <w:t>1</w:t>
            </w:r>
            <w:r>
              <w:rPr>
                <w:rFonts w:hAnsi="宋体"/>
                <w:sz w:val="21"/>
                <w:szCs w:val="21"/>
              </w:rPr>
              <w:t>140</w:t>
            </w:r>
          </w:p>
        </w:tc>
        <w:tc>
          <w:tcPr>
            <w:tcW w:w="311" w:type="pct"/>
            <w:tcBorders>
              <w:tl2br w:val="nil"/>
              <w:tr2bl w:val="nil"/>
            </w:tcBorders>
            <w:vAlign w:val="center"/>
          </w:tcPr>
          <w:p w14:paraId="3E712C93">
            <w:pPr>
              <w:spacing w:line="240" w:lineRule="auto"/>
              <w:ind w:firstLine="0" w:firstLineChars="0"/>
              <w:jc w:val="center"/>
              <w:rPr>
                <w:rFonts w:hAnsi="宋体"/>
                <w:sz w:val="21"/>
                <w:szCs w:val="21"/>
              </w:rPr>
            </w:pPr>
            <w:r>
              <w:rPr>
                <w:rFonts w:hint="eastAsia" w:hAnsi="宋体"/>
                <w:sz w:val="21"/>
                <w:szCs w:val="21"/>
              </w:rPr>
              <w:t>15</w:t>
            </w:r>
          </w:p>
        </w:tc>
        <w:tc>
          <w:tcPr>
            <w:tcW w:w="234" w:type="pct"/>
            <w:tcBorders>
              <w:tl2br w:val="nil"/>
              <w:tr2bl w:val="nil"/>
            </w:tcBorders>
            <w:vAlign w:val="center"/>
          </w:tcPr>
          <w:p w14:paraId="0CB12474">
            <w:pPr>
              <w:spacing w:line="240" w:lineRule="auto"/>
              <w:ind w:firstLine="0" w:firstLineChars="0"/>
              <w:jc w:val="center"/>
              <w:rPr>
                <w:rFonts w:hAnsi="宋体"/>
                <w:sz w:val="21"/>
                <w:szCs w:val="21"/>
              </w:rPr>
            </w:pPr>
            <w:r>
              <w:rPr>
                <w:rFonts w:hint="eastAsia" w:hAnsi="宋体"/>
                <w:sz w:val="21"/>
                <w:szCs w:val="21"/>
              </w:rPr>
              <w:t>0</w:t>
            </w:r>
            <w:r>
              <w:rPr>
                <w:rFonts w:hAnsi="宋体"/>
                <w:sz w:val="21"/>
                <w:szCs w:val="21"/>
              </w:rPr>
              <w:t>.6</w:t>
            </w:r>
          </w:p>
        </w:tc>
        <w:tc>
          <w:tcPr>
            <w:tcW w:w="338" w:type="pct"/>
            <w:tcBorders>
              <w:tl2br w:val="nil"/>
              <w:tr2bl w:val="nil"/>
            </w:tcBorders>
            <w:vAlign w:val="center"/>
          </w:tcPr>
          <w:p w14:paraId="0EB827FB">
            <w:pPr>
              <w:spacing w:line="240" w:lineRule="auto"/>
              <w:ind w:firstLine="0" w:firstLineChars="0"/>
              <w:jc w:val="center"/>
              <w:rPr>
                <w:rFonts w:hAnsi="宋体"/>
                <w:sz w:val="21"/>
                <w:szCs w:val="21"/>
              </w:rPr>
            </w:pPr>
            <w:r>
              <w:rPr>
                <w:rFonts w:hAnsi="宋体"/>
                <w:sz w:val="21"/>
                <w:szCs w:val="21"/>
              </w:rPr>
              <w:t>10000</w:t>
            </w:r>
          </w:p>
        </w:tc>
        <w:tc>
          <w:tcPr>
            <w:tcW w:w="192" w:type="pct"/>
            <w:tcBorders>
              <w:tl2br w:val="nil"/>
              <w:tr2bl w:val="nil"/>
            </w:tcBorders>
            <w:vAlign w:val="center"/>
          </w:tcPr>
          <w:p w14:paraId="5DAAB1D9">
            <w:pPr>
              <w:spacing w:line="240" w:lineRule="auto"/>
              <w:ind w:firstLine="0" w:firstLineChars="0"/>
              <w:jc w:val="center"/>
              <w:rPr>
                <w:rFonts w:hAnsi="宋体"/>
                <w:sz w:val="21"/>
                <w:szCs w:val="21"/>
              </w:rPr>
            </w:pPr>
            <w:r>
              <w:rPr>
                <w:rFonts w:hint="eastAsia" w:hAnsi="宋体"/>
                <w:sz w:val="21"/>
                <w:szCs w:val="21"/>
              </w:rPr>
              <w:t>2</w:t>
            </w:r>
            <w:r>
              <w:rPr>
                <w:rFonts w:hAnsi="宋体"/>
                <w:sz w:val="21"/>
                <w:szCs w:val="21"/>
              </w:rPr>
              <w:t>0</w:t>
            </w:r>
          </w:p>
        </w:tc>
        <w:tc>
          <w:tcPr>
            <w:tcW w:w="397" w:type="pct"/>
            <w:tcBorders>
              <w:tl2br w:val="nil"/>
              <w:tr2bl w:val="nil"/>
            </w:tcBorders>
            <w:vAlign w:val="center"/>
          </w:tcPr>
          <w:p w14:paraId="2A0C5F0D">
            <w:pPr>
              <w:spacing w:line="240" w:lineRule="auto"/>
              <w:ind w:firstLine="0" w:firstLineChars="0"/>
              <w:jc w:val="center"/>
              <w:rPr>
                <w:rFonts w:hAnsi="宋体"/>
                <w:sz w:val="21"/>
                <w:szCs w:val="21"/>
              </w:rPr>
            </w:pPr>
            <w:r>
              <w:rPr>
                <w:rFonts w:hint="eastAsia" w:hAnsi="宋体"/>
                <w:sz w:val="21"/>
                <w:szCs w:val="21"/>
              </w:rPr>
              <w:t>8</w:t>
            </w:r>
            <w:r>
              <w:rPr>
                <w:rFonts w:hAnsi="宋体"/>
                <w:sz w:val="21"/>
                <w:szCs w:val="21"/>
              </w:rPr>
              <w:t>760</w:t>
            </w:r>
          </w:p>
        </w:tc>
        <w:tc>
          <w:tcPr>
            <w:tcW w:w="242" w:type="pct"/>
            <w:tcBorders>
              <w:tl2br w:val="nil"/>
              <w:tr2bl w:val="nil"/>
            </w:tcBorders>
            <w:vAlign w:val="center"/>
          </w:tcPr>
          <w:p w14:paraId="4F82E935">
            <w:pPr>
              <w:spacing w:line="240" w:lineRule="auto"/>
              <w:ind w:firstLine="0" w:firstLineChars="0"/>
              <w:jc w:val="center"/>
              <w:rPr>
                <w:rFonts w:hAnsi="宋体"/>
                <w:sz w:val="21"/>
                <w:szCs w:val="21"/>
              </w:rPr>
            </w:pPr>
            <w:r>
              <w:rPr>
                <w:rFonts w:hAnsi="宋体"/>
                <w:sz w:val="21"/>
                <w:szCs w:val="21"/>
              </w:rPr>
              <w:t>正常</w:t>
            </w:r>
          </w:p>
          <w:p w14:paraId="5BBBDBB9">
            <w:pPr>
              <w:spacing w:line="240" w:lineRule="auto"/>
              <w:ind w:firstLine="0" w:firstLineChars="0"/>
              <w:jc w:val="center"/>
              <w:rPr>
                <w:rFonts w:hAnsi="宋体"/>
                <w:sz w:val="21"/>
                <w:szCs w:val="21"/>
              </w:rPr>
            </w:pPr>
            <w:r>
              <w:rPr>
                <w:rFonts w:hAnsi="宋体"/>
                <w:sz w:val="21"/>
                <w:szCs w:val="21"/>
              </w:rPr>
              <w:t>排放</w:t>
            </w:r>
          </w:p>
        </w:tc>
        <w:tc>
          <w:tcPr>
            <w:tcW w:w="230" w:type="pct"/>
            <w:tcBorders>
              <w:tl2br w:val="nil"/>
              <w:tr2bl w:val="nil"/>
            </w:tcBorders>
            <w:vAlign w:val="center"/>
          </w:tcPr>
          <w:p w14:paraId="78E7488B">
            <w:pPr>
              <w:spacing w:line="240" w:lineRule="auto"/>
              <w:ind w:firstLine="0" w:firstLineChars="0"/>
              <w:jc w:val="center"/>
              <w:rPr>
                <w:rFonts w:hAnsi="宋体"/>
                <w:sz w:val="21"/>
                <w:szCs w:val="21"/>
              </w:rPr>
            </w:pPr>
            <w:r>
              <w:rPr>
                <w:rFonts w:hint="eastAsia" w:hAnsi="宋体"/>
                <w:sz w:val="21"/>
                <w:szCs w:val="21"/>
              </w:rPr>
              <w:t>/</w:t>
            </w:r>
          </w:p>
        </w:tc>
        <w:tc>
          <w:tcPr>
            <w:tcW w:w="230" w:type="pct"/>
            <w:tcBorders>
              <w:tl2br w:val="nil"/>
              <w:tr2bl w:val="nil"/>
            </w:tcBorders>
            <w:vAlign w:val="center"/>
          </w:tcPr>
          <w:p w14:paraId="08877612">
            <w:pPr>
              <w:spacing w:line="240" w:lineRule="auto"/>
              <w:ind w:firstLine="0" w:firstLineChars="0"/>
              <w:jc w:val="center"/>
              <w:rPr>
                <w:rFonts w:hAnsi="宋体"/>
                <w:sz w:val="21"/>
                <w:szCs w:val="21"/>
              </w:rPr>
            </w:pPr>
            <w:r>
              <w:rPr>
                <w:rFonts w:hint="eastAsia" w:hAnsi="宋体"/>
                <w:sz w:val="21"/>
                <w:szCs w:val="21"/>
              </w:rPr>
              <w:t>/</w:t>
            </w:r>
          </w:p>
        </w:tc>
        <w:tc>
          <w:tcPr>
            <w:tcW w:w="336" w:type="pct"/>
            <w:tcBorders>
              <w:tl2br w:val="nil"/>
              <w:tr2bl w:val="nil"/>
            </w:tcBorders>
            <w:vAlign w:val="center"/>
          </w:tcPr>
          <w:p w14:paraId="3B24E49C">
            <w:pPr>
              <w:spacing w:line="240" w:lineRule="auto"/>
              <w:ind w:firstLine="0" w:firstLineChars="0"/>
              <w:jc w:val="center"/>
              <w:rPr>
                <w:rFonts w:hAnsi="宋体"/>
                <w:sz w:val="21"/>
                <w:szCs w:val="21"/>
              </w:rPr>
            </w:pPr>
            <w:r>
              <w:rPr>
                <w:rFonts w:hint="eastAsia" w:hAnsi="宋体"/>
                <w:sz w:val="21"/>
                <w:szCs w:val="21"/>
              </w:rPr>
              <w:t>0.02</w:t>
            </w:r>
          </w:p>
        </w:tc>
        <w:tc>
          <w:tcPr>
            <w:tcW w:w="335" w:type="pct"/>
            <w:tcBorders>
              <w:tl2br w:val="nil"/>
              <w:tr2bl w:val="nil"/>
            </w:tcBorders>
            <w:vAlign w:val="center"/>
          </w:tcPr>
          <w:p w14:paraId="5C1814A0">
            <w:pPr>
              <w:spacing w:line="240" w:lineRule="auto"/>
              <w:ind w:firstLine="0" w:firstLineChars="0"/>
              <w:jc w:val="center"/>
              <w:rPr>
                <w:rFonts w:hAnsi="宋体"/>
                <w:sz w:val="21"/>
                <w:szCs w:val="21"/>
              </w:rPr>
            </w:pPr>
            <w:r>
              <w:rPr>
                <w:rFonts w:hint="eastAsia" w:hAnsi="宋体"/>
                <w:sz w:val="21"/>
                <w:szCs w:val="21"/>
              </w:rPr>
              <w:t>0.48</w:t>
            </w:r>
          </w:p>
        </w:tc>
        <w:tc>
          <w:tcPr>
            <w:tcW w:w="332" w:type="pct"/>
            <w:tcBorders>
              <w:tl2br w:val="nil"/>
              <w:tr2bl w:val="nil"/>
            </w:tcBorders>
            <w:vAlign w:val="center"/>
          </w:tcPr>
          <w:p w14:paraId="0D83ADC6">
            <w:pPr>
              <w:spacing w:line="240" w:lineRule="auto"/>
              <w:ind w:firstLine="0" w:firstLineChars="0"/>
              <w:jc w:val="center"/>
              <w:rPr>
                <w:rFonts w:hAnsi="宋体"/>
                <w:sz w:val="21"/>
                <w:szCs w:val="21"/>
              </w:rPr>
            </w:pPr>
            <w:r>
              <w:rPr>
                <w:rFonts w:hint="eastAsia" w:hAnsi="宋体"/>
                <w:sz w:val="21"/>
                <w:szCs w:val="21"/>
              </w:rPr>
              <w:t>0.048</w:t>
            </w:r>
          </w:p>
        </w:tc>
      </w:tr>
      <w:tr w14:paraId="20FB95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64" w:type="pct"/>
            <w:tcBorders>
              <w:tl2br w:val="nil"/>
              <w:tr2bl w:val="nil"/>
            </w:tcBorders>
            <w:vAlign w:val="center"/>
          </w:tcPr>
          <w:p w14:paraId="79A74D32">
            <w:pPr>
              <w:spacing w:line="240" w:lineRule="auto"/>
              <w:ind w:firstLine="0" w:firstLineChars="0"/>
              <w:jc w:val="center"/>
              <w:rPr>
                <w:rFonts w:hAnsi="宋体"/>
                <w:sz w:val="21"/>
                <w:szCs w:val="21"/>
              </w:rPr>
            </w:pPr>
            <w:r>
              <w:rPr>
                <w:rFonts w:hint="eastAsia" w:hAnsi="宋体"/>
                <w:sz w:val="21"/>
                <w:szCs w:val="21"/>
              </w:rPr>
              <w:t>4</w:t>
            </w:r>
          </w:p>
        </w:tc>
        <w:tc>
          <w:tcPr>
            <w:tcW w:w="499" w:type="pct"/>
            <w:tcBorders>
              <w:tl2br w:val="nil"/>
              <w:tr2bl w:val="nil"/>
            </w:tcBorders>
            <w:vAlign w:val="center"/>
          </w:tcPr>
          <w:p w14:paraId="379B1972">
            <w:pPr>
              <w:spacing w:line="240" w:lineRule="auto"/>
              <w:ind w:firstLine="0" w:firstLineChars="0"/>
              <w:jc w:val="center"/>
              <w:rPr>
                <w:rFonts w:hAnsi="宋体"/>
                <w:sz w:val="21"/>
                <w:szCs w:val="21"/>
              </w:rPr>
            </w:pPr>
            <w:r>
              <w:rPr>
                <w:rFonts w:hint="eastAsia" w:hAnsi="宋体"/>
                <w:sz w:val="21"/>
                <w:szCs w:val="21"/>
              </w:rPr>
              <w:t>污水处理措施废气D</w:t>
            </w:r>
            <w:r>
              <w:rPr>
                <w:rFonts w:hAnsi="宋体"/>
                <w:sz w:val="21"/>
                <w:szCs w:val="21"/>
              </w:rPr>
              <w:t>A00</w:t>
            </w:r>
            <w:r>
              <w:rPr>
                <w:rFonts w:hint="eastAsia" w:hAnsi="宋体"/>
                <w:sz w:val="21"/>
                <w:szCs w:val="21"/>
              </w:rPr>
              <w:t>7</w:t>
            </w:r>
          </w:p>
        </w:tc>
        <w:tc>
          <w:tcPr>
            <w:tcW w:w="335" w:type="pct"/>
            <w:tcBorders>
              <w:tl2br w:val="nil"/>
              <w:tr2bl w:val="nil"/>
            </w:tcBorders>
            <w:vAlign w:val="center"/>
          </w:tcPr>
          <w:p w14:paraId="2CCD624F">
            <w:pPr>
              <w:spacing w:line="240" w:lineRule="auto"/>
              <w:ind w:firstLine="0" w:firstLineChars="0"/>
              <w:jc w:val="center"/>
              <w:rPr>
                <w:rFonts w:hAnsi="宋体"/>
                <w:sz w:val="21"/>
                <w:szCs w:val="21"/>
              </w:rPr>
            </w:pPr>
            <w:r>
              <w:rPr>
                <w:rFonts w:hint="eastAsia" w:hAnsi="宋体"/>
                <w:sz w:val="21"/>
                <w:szCs w:val="21"/>
              </w:rPr>
              <w:t>4</w:t>
            </w:r>
            <w:r>
              <w:rPr>
                <w:rFonts w:hAnsi="宋体"/>
                <w:sz w:val="21"/>
                <w:szCs w:val="21"/>
              </w:rPr>
              <w:t>46</w:t>
            </w:r>
          </w:p>
        </w:tc>
        <w:tc>
          <w:tcPr>
            <w:tcW w:w="272" w:type="pct"/>
            <w:tcBorders>
              <w:tl2br w:val="nil"/>
              <w:tr2bl w:val="nil"/>
            </w:tcBorders>
            <w:vAlign w:val="center"/>
          </w:tcPr>
          <w:p w14:paraId="6BC526B1">
            <w:pPr>
              <w:spacing w:line="240" w:lineRule="auto"/>
              <w:ind w:firstLine="0" w:firstLineChars="0"/>
              <w:jc w:val="center"/>
              <w:rPr>
                <w:rFonts w:hAnsi="宋体"/>
                <w:sz w:val="21"/>
                <w:szCs w:val="21"/>
              </w:rPr>
            </w:pPr>
            <w:r>
              <w:rPr>
                <w:rFonts w:hint="eastAsia" w:hAnsi="宋体"/>
                <w:sz w:val="21"/>
                <w:szCs w:val="21"/>
              </w:rPr>
              <w:t>1</w:t>
            </w:r>
            <w:r>
              <w:rPr>
                <w:rFonts w:hAnsi="宋体"/>
                <w:sz w:val="21"/>
                <w:szCs w:val="21"/>
              </w:rPr>
              <w:t>80</w:t>
            </w:r>
          </w:p>
        </w:tc>
        <w:tc>
          <w:tcPr>
            <w:tcW w:w="553" w:type="pct"/>
            <w:tcBorders>
              <w:tl2br w:val="nil"/>
              <w:tr2bl w:val="nil"/>
            </w:tcBorders>
            <w:vAlign w:val="center"/>
          </w:tcPr>
          <w:p w14:paraId="4FA8890A">
            <w:pPr>
              <w:spacing w:line="240" w:lineRule="auto"/>
              <w:ind w:firstLine="0" w:firstLineChars="0"/>
              <w:jc w:val="center"/>
              <w:rPr>
                <w:rFonts w:hAnsi="宋体"/>
                <w:sz w:val="21"/>
                <w:szCs w:val="21"/>
              </w:rPr>
            </w:pPr>
            <w:r>
              <w:rPr>
                <w:rFonts w:hint="eastAsia" w:hAnsi="宋体"/>
                <w:sz w:val="21"/>
                <w:szCs w:val="21"/>
              </w:rPr>
              <w:t>1</w:t>
            </w:r>
            <w:r>
              <w:rPr>
                <w:rFonts w:hAnsi="宋体"/>
                <w:sz w:val="21"/>
                <w:szCs w:val="21"/>
              </w:rPr>
              <w:t>138</w:t>
            </w:r>
          </w:p>
        </w:tc>
        <w:tc>
          <w:tcPr>
            <w:tcW w:w="311" w:type="pct"/>
            <w:tcBorders>
              <w:tl2br w:val="nil"/>
              <w:tr2bl w:val="nil"/>
            </w:tcBorders>
            <w:vAlign w:val="center"/>
          </w:tcPr>
          <w:p w14:paraId="7D18ECA7">
            <w:pPr>
              <w:spacing w:line="240" w:lineRule="auto"/>
              <w:ind w:firstLine="0" w:firstLineChars="0"/>
              <w:jc w:val="center"/>
              <w:rPr>
                <w:rFonts w:hAnsi="宋体"/>
                <w:sz w:val="21"/>
                <w:szCs w:val="21"/>
              </w:rPr>
            </w:pPr>
            <w:r>
              <w:rPr>
                <w:rFonts w:hint="eastAsia" w:hAnsi="宋体"/>
                <w:sz w:val="21"/>
                <w:szCs w:val="21"/>
              </w:rPr>
              <w:t>15</w:t>
            </w:r>
          </w:p>
        </w:tc>
        <w:tc>
          <w:tcPr>
            <w:tcW w:w="234" w:type="pct"/>
            <w:tcBorders>
              <w:tl2br w:val="nil"/>
              <w:tr2bl w:val="nil"/>
            </w:tcBorders>
            <w:vAlign w:val="center"/>
          </w:tcPr>
          <w:p w14:paraId="5592E4D4">
            <w:pPr>
              <w:spacing w:line="240" w:lineRule="auto"/>
              <w:ind w:firstLine="0" w:firstLineChars="0"/>
              <w:jc w:val="center"/>
              <w:rPr>
                <w:rFonts w:hAnsi="宋体"/>
                <w:sz w:val="21"/>
                <w:szCs w:val="21"/>
              </w:rPr>
            </w:pPr>
            <w:r>
              <w:rPr>
                <w:rFonts w:hint="eastAsia" w:hAnsi="宋体"/>
                <w:sz w:val="21"/>
                <w:szCs w:val="21"/>
              </w:rPr>
              <w:t>0</w:t>
            </w:r>
            <w:r>
              <w:rPr>
                <w:rFonts w:hAnsi="宋体"/>
                <w:sz w:val="21"/>
                <w:szCs w:val="21"/>
              </w:rPr>
              <w:t>.6</w:t>
            </w:r>
          </w:p>
        </w:tc>
        <w:tc>
          <w:tcPr>
            <w:tcW w:w="338" w:type="pct"/>
            <w:tcBorders>
              <w:tl2br w:val="nil"/>
              <w:tr2bl w:val="nil"/>
            </w:tcBorders>
            <w:vAlign w:val="center"/>
          </w:tcPr>
          <w:p w14:paraId="4C7CBFEC">
            <w:pPr>
              <w:spacing w:line="240" w:lineRule="auto"/>
              <w:ind w:firstLine="0" w:firstLineChars="0"/>
              <w:jc w:val="center"/>
              <w:rPr>
                <w:rFonts w:hAnsi="宋体"/>
                <w:sz w:val="21"/>
                <w:szCs w:val="21"/>
              </w:rPr>
            </w:pPr>
            <w:r>
              <w:rPr>
                <w:rFonts w:hint="eastAsia" w:hAnsi="宋体"/>
                <w:sz w:val="21"/>
                <w:szCs w:val="21"/>
              </w:rPr>
              <w:t>1</w:t>
            </w:r>
            <w:r>
              <w:rPr>
                <w:rFonts w:hAnsi="宋体"/>
                <w:sz w:val="21"/>
                <w:szCs w:val="21"/>
              </w:rPr>
              <w:t>0000</w:t>
            </w:r>
          </w:p>
        </w:tc>
        <w:tc>
          <w:tcPr>
            <w:tcW w:w="192" w:type="pct"/>
            <w:tcBorders>
              <w:tl2br w:val="nil"/>
              <w:tr2bl w:val="nil"/>
            </w:tcBorders>
            <w:vAlign w:val="center"/>
          </w:tcPr>
          <w:p w14:paraId="398F9D11">
            <w:pPr>
              <w:spacing w:line="240" w:lineRule="auto"/>
              <w:ind w:firstLine="0" w:firstLineChars="0"/>
              <w:jc w:val="center"/>
              <w:rPr>
                <w:rFonts w:hAnsi="宋体"/>
                <w:sz w:val="21"/>
                <w:szCs w:val="21"/>
              </w:rPr>
            </w:pPr>
            <w:r>
              <w:rPr>
                <w:rFonts w:hint="eastAsia" w:hAnsi="宋体"/>
                <w:sz w:val="21"/>
                <w:szCs w:val="21"/>
              </w:rPr>
              <w:t>2</w:t>
            </w:r>
            <w:r>
              <w:rPr>
                <w:rFonts w:hAnsi="宋体"/>
                <w:sz w:val="21"/>
                <w:szCs w:val="21"/>
              </w:rPr>
              <w:t>0</w:t>
            </w:r>
          </w:p>
        </w:tc>
        <w:tc>
          <w:tcPr>
            <w:tcW w:w="397" w:type="pct"/>
            <w:tcBorders>
              <w:tl2br w:val="nil"/>
              <w:tr2bl w:val="nil"/>
            </w:tcBorders>
            <w:vAlign w:val="center"/>
          </w:tcPr>
          <w:p w14:paraId="0EBD8878">
            <w:pPr>
              <w:spacing w:line="240" w:lineRule="auto"/>
              <w:ind w:firstLine="0" w:firstLineChars="0"/>
              <w:jc w:val="center"/>
              <w:rPr>
                <w:rFonts w:hAnsi="宋体"/>
                <w:sz w:val="21"/>
                <w:szCs w:val="21"/>
              </w:rPr>
            </w:pPr>
            <w:r>
              <w:rPr>
                <w:rFonts w:hint="eastAsia" w:hAnsi="宋体"/>
                <w:sz w:val="21"/>
                <w:szCs w:val="21"/>
              </w:rPr>
              <w:t>8</w:t>
            </w:r>
            <w:r>
              <w:rPr>
                <w:rFonts w:hAnsi="宋体"/>
                <w:sz w:val="21"/>
                <w:szCs w:val="21"/>
              </w:rPr>
              <w:t>760</w:t>
            </w:r>
          </w:p>
        </w:tc>
        <w:tc>
          <w:tcPr>
            <w:tcW w:w="242" w:type="pct"/>
            <w:tcBorders>
              <w:tl2br w:val="nil"/>
              <w:tr2bl w:val="nil"/>
            </w:tcBorders>
            <w:vAlign w:val="center"/>
          </w:tcPr>
          <w:p w14:paraId="5C66A537">
            <w:pPr>
              <w:spacing w:line="240" w:lineRule="auto"/>
              <w:ind w:firstLine="0" w:firstLineChars="0"/>
              <w:jc w:val="center"/>
              <w:rPr>
                <w:rFonts w:hAnsi="宋体"/>
                <w:sz w:val="21"/>
                <w:szCs w:val="21"/>
              </w:rPr>
            </w:pPr>
            <w:r>
              <w:rPr>
                <w:rFonts w:hAnsi="宋体"/>
                <w:sz w:val="21"/>
                <w:szCs w:val="21"/>
              </w:rPr>
              <w:t>正常</w:t>
            </w:r>
          </w:p>
          <w:p w14:paraId="7C7F0B42">
            <w:pPr>
              <w:spacing w:line="240" w:lineRule="auto"/>
              <w:ind w:firstLine="0" w:firstLineChars="0"/>
              <w:jc w:val="center"/>
              <w:rPr>
                <w:rFonts w:hAnsi="宋体"/>
                <w:sz w:val="21"/>
                <w:szCs w:val="21"/>
              </w:rPr>
            </w:pPr>
            <w:r>
              <w:rPr>
                <w:rFonts w:hAnsi="宋体"/>
                <w:sz w:val="21"/>
                <w:szCs w:val="21"/>
              </w:rPr>
              <w:t>排放</w:t>
            </w:r>
          </w:p>
        </w:tc>
        <w:tc>
          <w:tcPr>
            <w:tcW w:w="230" w:type="pct"/>
            <w:tcBorders>
              <w:tl2br w:val="nil"/>
              <w:tr2bl w:val="nil"/>
            </w:tcBorders>
            <w:vAlign w:val="center"/>
          </w:tcPr>
          <w:p w14:paraId="3EC8CD88">
            <w:pPr>
              <w:spacing w:line="240" w:lineRule="auto"/>
              <w:ind w:firstLine="0" w:firstLineChars="0"/>
              <w:jc w:val="center"/>
              <w:rPr>
                <w:rFonts w:hAnsi="宋体"/>
                <w:sz w:val="21"/>
                <w:szCs w:val="21"/>
              </w:rPr>
            </w:pPr>
            <w:r>
              <w:rPr>
                <w:rFonts w:hint="eastAsia" w:hAnsi="宋体"/>
                <w:sz w:val="21"/>
                <w:szCs w:val="21"/>
              </w:rPr>
              <w:t>/</w:t>
            </w:r>
          </w:p>
        </w:tc>
        <w:tc>
          <w:tcPr>
            <w:tcW w:w="230" w:type="pct"/>
            <w:tcBorders>
              <w:tl2br w:val="nil"/>
              <w:tr2bl w:val="nil"/>
            </w:tcBorders>
            <w:vAlign w:val="center"/>
          </w:tcPr>
          <w:p w14:paraId="15AD06F3">
            <w:pPr>
              <w:spacing w:line="240" w:lineRule="auto"/>
              <w:ind w:firstLine="0" w:firstLineChars="0"/>
              <w:jc w:val="center"/>
              <w:rPr>
                <w:rFonts w:hAnsi="宋体"/>
                <w:sz w:val="21"/>
                <w:szCs w:val="21"/>
              </w:rPr>
            </w:pPr>
            <w:r>
              <w:rPr>
                <w:rFonts w:hint="eastAsia" w:hAnsi="宋体"/>
                <w:sz w:val="21"/>
                <w:szCs w:val="21"/>
              </w:rPr>
              <w:t>/</w:t>
            </w:r>
          </w:p>
        </w:tc>
        <w:tc>
          <w:tcPr>
            <w:tcW w:w="336" w:type="pct"/>
            <w:tcBorders>
              <w:tl2br w:val="nil"/>
              <w:tr2bl w:val="nil"/>
            </w:tcBorders>
            <w:vAlign w:val="center"/>
          </w:tcPr>
          <w:p w14:paraId="0A428969">
            <w:pPr>
              <w:spacing w:line="240" w:lineRule="auto"/>
              <w:ind w:firstLine="0" w:firstLineChars="0"/>
              <w:jc w:val="center"/>
              <w:rPr>
                <w:rFonts w:hAnsi="宋体"/>
                <w:sz w:val="21"/>
                <w:szCs w:val="21"/>
              </w:rPr>
            </w:pPr>
            <w:r>
              <w:rPr>
                <w:rFonts w:hint="eastAsia" w:hAnsi="宋体"/>
                <w:sz w:val="21"/>
                <w:szCs w:val="21"/>
              </w:rPr>
              <w:t>/</w:t>
            </w:r>
          </w:p>
        </w:tc>
        <w:tc>
          <w:tcPr>
            <w:tcW w:w="335" w:type="pct"/>
            <w:tcBorders>
              <w:tl2br w:val="nil"/>
              <w:tr2bl w:val="nil"/>
            </w:tcBorders>
            <w:vAlign w:val="center"/>
          </w:tcPr>
          <w:p w14:paraId="09B679F1">
            <w:pPr>
              <w:spacing w:line="240" w:lineRule="auto"/>
              <w:ind w:firstLine="0" w:firstLineChars="0"/>
              <w:jc w:val="center"/>
              <w:rPr>
                <w:rFonts w:hAnsi="宋体"/>
                <w:sz w:val="21"/>
                <w:szCs w:val="21"/>
              </w:rPr>
            </w:pPr>
            <w:r>
              <w:rPr>
                <w:rFonts w:hint="eastAsia" w:hAnsi="宋体"/>
                <w:sz w:val="21"/>
                <w:szCs w:val="21"/>
              </w:rPr>
              <w:t>0.0019</w:t>
            </w:r>
          </w:p>
        </w:tc>
        <w:tc>
          <w:tcPr>
            <w:tcW w:w="332" w:type="pct"/>
            <w:tcBorders>
              <w:tl2br w:val="nil"/>
              <w:tr2bl w:val="nil"/>
            </w:tcBorders>
            <w:vAlign w:val="center"/>
          </w:tcPr>
          <w:p w14:paraId="3948448D">
            <w:pPr>
              <w:spacing w:line="240" w:lineRule="auto"/>
              <w:ind w:firstLine="0" w:firstLineChars="0"/>
              <w:jc w:val="center"/>
              <w:rPr>
                <w:rFonts w:hAnsi="宋体"/>
                <w:sz w:val="21"/>
                <w:szCs w:val="21"/>
              </w:rPr>
            </w:pPr>
            <w:r>
              <w:rPr>
                <w:rFonts w:hint="eastAsia" w:hAnsi="宋体"/>
                <w:sz w:val="21"/>
                <w:szCs w:val="21"/>
              </w:rPr>
              <w:t>0.0002</w:t>
            </w:r>
          </w:p>
        </w:tc>
      </w:tr>
    </w:tbl>
    <w:p w14:paraId="78F23336">
      <w:pPr>
        <w:pStyle w:val="369"/>
        <w:ind w:left="1440" w:hanging="480"/>
      </w:pPr>
      <w:r>
        <w:t>表2.4-</w:t>
      </w:r>
      <w:r>
        <w:rPr>
          <w:rFonts w:hint="eastAsia"/>
        </w:rPr>
        <w:t>2</w:t>
      </w:r>
      <w:r>
        <w:t xml:space="preserve">   估算模式</w:t>
      </w:r>
      <w:r>
        <w:rPr>
          <w:rFonts w:hint="eastAsia"/>
        </w:rPr>
        <w:t>无组织</w:t>
      </w:r>
      <w:r>
        <w:t>废气污染源源强及参数一览表</w:t>
      </w:r>
    </w:p>
    <w:tbl>
      <w:tblPr>
        <w:tblStyle w:val="82"/>
        <w:tblW w:w="92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388"/>
        <w:gridCol w:w="874"/>
        <w:gridCol w:w="589"/>
        <w:gridCol w:w="688"/>
        <w:gridCol w:w="976"/>
        <w:gridCol w:w="464"/>
        <w:gridCol w:w="645"/>
        <w:gridCol w:w="1151"/>
        <w:gridCol w:w="949"/>
        <w:gridCol w:w="524"/>
        <w:gridCol w:w="903"/>
        <w:gridCol w:w="1052"/>
      </w:tblGrid>
      <w:tr w14:paraId="582BC8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0" w:type="auto"/>
            <w:vMerge w:val="restart"/>
            <w:vAlign w:val="center"/>
          </w:tcPr>
          <w:p w14:paraId="70800C42">
            <w:pPr>
              <w:spacing w:line="240" w:lineRule="auto"/>
              <w:ind w:firstLine="0" w:firstLineChars="0"/>
              <w:jc w:val="center"/>
              <w:rPr>
                <w:sz w:val="21"/>
                <w:szCs w:val="21"/>
              </w:rPr>
            </w:pPr>
            <w:r>
              <w:rPr>
                <w:rFonts w:hAnsi="宋体"/>
                <w:sz w:val="21"/>
                <w:szCs w:val="21"/>
              </w:rPr>
              <w:t>编号</w:t>
            </w:r>
          </w:p>
        </w:tc>
        <w:tc>
          <w:tcPr>
            <w:tcW w:w="0" w:type="auto"/>
            <w:vMerge w:val="restart"/>
            <w:vAlign w:val="center"/>
          </w:tcPr>
          <w:p w14:paraId="5481B061">
            <w:pPr>
              <w:spacing w:line="240" w:lineRule="auto"/>
              <w:ind w:firstLine="0" w:firstLineChars="0"/>
              <w:jc w:val="center"/>
              <w:rPr>
                <w:sz w:val="21"/>
                <w:szCs w:val="21"/>
              </w:rPr>
            </w:pPr>
            <w:r>
              <w:rPr>
                <w:rFonts w:hAnsi="宋体"/>
                <w:sz w:val="21"/>
                <w:szCs w:val="21"/>
              </w:rPr>
              <w:t>名称</w:t>
            </w:r>
          </w:p>
        </w:tc>
        <w:tc>
          <w:tcPr>
            <w:tcW w:w="1277" w:type="dxa"/>
            <w:gridSpan w:val="2"/>
            <w:vAlign w:val="center"/>
          </w:tcPr>
          <w:p w14:paraId="1A7F0E37">
            <w:pPr>
              <w:snapToGrid w:val="0"/>
              <w:spacing w:line="240" w:lineRule="auto"/>
              <w:ind w:firstLine="0" w:firstLineChars="0"/>
              <w:jc w:val="center"/>
              <w:rPr>
                <w:sz w:val="21"/>
                <w:szCs w:val="21"/>
              </w:rPr>
            </w:pPr>
            <w:r>
              <w:rPr>
                <w:rFonts w:hAnsi="宋体"/>
                <w:sz w:val="21"/>
                <w:szCs w:val="21"/>
              </w:rPr>
              <w:t>面源起点坐标</w:t>
            </w:r>
            <w:r>
              <w:rPr>
                <w:sz w:val="21"/>
                <w:szCs w:val="21"/>
              </w:rPr>
              <w:t>/m</w:t>
            </w:r>
          </w:p>
        </w:tc>
        <w:tc>
          <w:tcPr>
            <w:tcW w:w="976" w:type="dxa"/>
            <w:vMerge w:val="restart"/>
            <w:vAlign w:val="center"/>
          </w:tcPr>
          <w:p w14:paraId="0DE8DFA9">
            <w:pPr>
              <w:snapToGrid w:val="0"/>
              <w:spacing w:line="240" w:lineRule="auto"/>
              <w:ind w:firstLine="0" w:firstLineChars="0"/>
              <w:jc w:val="center"/>
              <w:rPr>
                <w:sz w:val="21"/>
                <w:szCs w:val="21"/>
              </w:rPr>
            </w:pPr>
            <w:r>
              <w:rPr>
                <w:rFonts w:hAnsi="宋体"/>
                <w:sz w:val="21"/>
                <w:szCs w:val="21"/>
              </w:rPr>
              <w:t>面源海拔高度</w:t>
            </w:r>
            <w:r>
              <w:rPr>
                <w:sz w:val="21"/>
                <w:szCs w:val="21"/>
              </w:rPr>
              <w:t>/m</w:t>
            </w:r>
          </w:p>
        </w:tc>
        <w:tc>
          <w:tcPr>
            <w:tcW w:w="464" w:type="dxa"/>
            <w:vMerge w:val="restart"/>
            <w:vAlign w:val="center"/>
          </w:tcPr>
          <w:p w14:paraId="1CD5F70B">
            <w:pPr>
              <w:snapToGrid w:val="0"/>
              <w:spacing w:line="240" w:lineRule="auto"/>
              <w:ind w:left="-120" w:leftChars="-50" w:right="-120" w:rightChars="-50" w:firstLine="0" w:firstLineChars="0"/>
              <w:jc w:val="center"/>
              <w:rPr>
                <w:sz w:val="21"/>
                <w:szCs w:val="21"/>
              </w:rPr>
            </w:pPr>
            <w:r>
              <w:rPr>
                <w:rFonts w:hAnsi="宋体"/>
                <w:sz w:val="21"/>
                <w:szCs w:val="21"/>
              </w:rPr>
              <w:t>面源</w:t>
            </w:r>
          </w:p>
          <w:p w14:paraId="7F18B10F">
            <w:pPr>
              <w:snapToGrid w:val="0"/>
              <w:spacing w:line="240" w:lineRule="auto"/>
              <w:ind w:left="-120" w:leftChars="-50" w:right="-120" w:rightChars="-50" w:firstLine="0" w:firstLineChars="0"/>
              <w:jc w:val="center"/>
              <w:rPr>
                <w:sz w:val="21"/>
                <w:szCs w:val="21"/>
              </w:rPr>
            </w:pPr>
            <w:r>
              <w:rPr>
                <w:rFonts w:hAnsi="宋体"/>
                <w:sz w:val="21"/>
                <w:szCs w:val="21"/>
              </w:rPr>
              <w:t>长度</w:t>
            </w:r>
          </w:p>
          <w:p w14:paraId="66434E28">
            <w:pPr>
              <w:snapToGrid w:val="0"/>
              <w:spacing w:line="240" w:lineRule="auto"/>
              <w:ind w:firstLine="0" w:firstLineChars="0"/>
              <w:jc w:val="center"/>
              <w:rPr>
                <w:sz w:val="21"/>
                <w:szCs w:val="21"/>
              </w:rPr>
            </w:pPr>
            <w:r>
              <w:rPr>
                <w:sz w:val="21"/>
                <w:szCs w:val="21"/>
              </w:rPr>
              <w:t>/m</w:t>
            </w:r>
          </w:p>
        </w:tc>
        <w:tc>
          <w:tcPr>
            <w:tcW w:w="645" w:type="dxa"/>
            <w:vMerge w:val="restart"/>
            <w:vAlign w:val="center"/>
          </w:tcPr>
          <w:p w14:paraId="269C58A8">
            <w:pPr>
              <w:snapToGrid w:val="0"/>
              <w:spacing w:line="240" w:lineRule="auto"/>
              <w:ind w:firstLine="0" w:firstLineChars="0"/>
              <w:jc w:val="center"/>
              <w:rPr>
                <w:sz w:val="21"/>
                <w:szCs w:val="21"/>
              </w:rPr>
            </w:pPr>
            <w:r>
              <w:rPr>
                <w:rFonts w:hAnsi="宋体"/>
                <w:sz w:val="21"/>
                <w:szCs w:val="21"/>
              </w:rPr>
              <w:t>面源宽度</w:t>
            </w:r>
          </w:p>
          <w:p w14:paraId="15545034">
            <w:pPr>
              <w:snapToGrid w:val="0"/>
              <w:spacing w:line="240" w:lineRule="auto"/>
              <w:ind w:firstLine="0" w:firstLineChars="0"/>
              <w:jc w:val="center"/>
              <w:rPr>
                <w:sz w:val="21"/>
                <w:szCs w:val="21"/>
              </w:rPr>
            </w:pPr>
            <w:r>
              <w:rPr>
                <w:sz w:val="21"/>
                <w:szCs w:val="21"/>
              </w:rPr>
              <w:t>/m</w:t>
            </w:r>
          </w:p>
        </w:tc>
        <w:tc>
          <w:tcPr>
            <w:tcW w:w="1151" w:type="dxa"/>
            <w:vMerge w:val="restart"/>
            <w:vAlign w:val="center"/>
          </w:tcPr>
          <w:p w14:paraId="6C883A23">
            <w:pPr>
              <w:spacing w:line="240" w:lineRule="auto"/>
              <w:ind w:firstLine="0" w:firstLineChars="0"/>
              <w:jc w:val="center"/>
              <w:rPr>
                <w:sz w:val="21"/>
                <w:szCs w:val="21"/>
              </w:rPr>
            </w:pPr>
            <w:r>
              <w:rPr>
                <w:rFonts w:hAnsi="宋体"/>
                <w:sz w:val="21"/>
                <w:szCs w:val="21"/>
              </w:rPr>
              <w:t>面源有效排放高度</w:t>
            </w:r>
            <w:r>
              <w:rPr>
                <w:sz w:val="21"/>
                <w:szCs w:val="21"/>
              </w:rPr>
              <w:t>/m</w:t>
            </w:r>
          </w:p>
        </w:tc>
        <w:tc>
          <w:tcPr>
            <w:tcW w:w="949" w:type="dxa"/>
            <w:vMerge w:val="restart"/>
            <w:vAlign w:val="center"/>
          </w:tcPr>
          <w:p w14:paraId="21DB314C">
            <w:pPr>
              <w:spacing w:line="240" w:lineRule="auto"/>
              <w:ind w:firstLine="0" w:firstLineChars="0"/>
              <w:jc w:val="center"/>
              <w:rPr>
                <w:sz w:val="21"/>
                <w:szCs w:val="21"/>
              </w:rPr>
            </w:pPr>
            <w:r>
              <w:rPr>
                <w:rFonts w:hAnsi="宋体"/>
                <w:sz w:val="21"/>
                <w:szCs w:val="21"/>
              </w:rPr>
              <w:t>年排放小时数</w:t>
            </w:r>
            <w:r>
              <w:rPr>
                <w:sz w:val="21"/>
                <w:szCs w:val="21"/>
              </w:rPr>
              <w:t>/h</w:t>
            </w:r>
          </w:p>
        </w:tc>
        <w:tc>
          <w:tcPr>
            <w:tcW w:w="524" w:type="dxa"/>
            <w:vMerge w:val="restart"/>
            <w:vAlign w:val="center"/>
          </w:tcPr>
          <w:p w14:paraId="3AD2156F">
            <w:pPr>
              <w:spacing w:line="240" w:lineRule="auto"/>
              <w:ind w:firstLine="0" w:firstLineChars="0"/>
              <w:jc w:val="center"/>
              <w:rPr>
                <w:sz w:val="21"/>
                <w:szCs w:val="21"/>
              </w:rPr>
            </w:pPr>
            <w:r>
              <w:rPr>
                <w:rFonts w:hAnsi="宋体"/>
                <w:sz w:val="21"/>
                <w:szCs w:val="21"/>
              </w:rPr>
              <w:t>排放</w:t>
            </w:r>
          </w:p>
          <w:p w14:paraId="4F8E39C4">
            <w:pPr>
              <w:spacing w:line="240" w:lineRule="auto"/>
              <w:ind w:firstLine="0" w:firstLineChars="0"/>
              <w:jc w:val="center"/>
              <w:rPr>
                <w:sz w:val="21"/>
                <w:szCs w:val="21"/>
              </w:rPr>
            </w:pPr>
            <w:r>
              <w:rPr>
                <w:rFonts w:hAnsi="宋体"/>
                <w:sz w:val="21"/>
                <w:szCs w:val="21"/>
              </w:rPr>
              <w:t>工况</w:t>
            </w:r>
          </w:p>
        </w:tc>
        <w:tc>
          <w:tcPr>
            <w:tcW w:w="0" w:type="auto"/>
            <w:gridSpan w:val="2"/>
            <w:vAlign w:val="center"/>
          </w:tcPr>
          <w:p w14:paraId="56F6A5D5">
            <w:pPr>
              <w:spacing w:line="240" w:lineRule="auto"/>
              <w:ind w:firstLine="0" w:firstLineChars="0"/>
              <w:jc w:val="center"/>
              <w:rPr>
                <w:rFonts w:hAnsi="宋体"/>
                <w:sz w:val="21"/>
                <w:szCs w:val="21"/>
              </w:rPr>
            </w:pPr>
            <w:r>
              <w:rPr>
                <w:rFonts w:hAnsi="宋体"/>
                <w:sz w:val="21"/>
                <w:szCs w:val="21"/>
              </w:rPr>
              <w:t>污染物排放速率</w:t>
            </w:r>
            <w:r>
              <w:rPr>
                <w:sz w:val="21"/>
                <w:szCs w:val="21"/>
              </w:rPr>
              <w:t>/</w:t>
            </w:r>
            <w:r>
              <w:rPr>
                <w:rFonts w:hAnsi="宋体"/>
                <w:sz w:val="21"/>
                <w:szCs w:val="21"/>
              </w:rPr>
              <w:t>（</w:t>
            </w:r>
            <w:r>
              <w:rPr>
                <w:sz w:val="21"/>
                <w:szCs w:val="21"/>
              </w:rPr>
              <w:t>kg/h</w:t>
            </w:r>
            <w:r>
              <w:rPr>
                <w:rFonts w:hAnsi="宋体"/>
                <w:sz w:val="21"/>
                <w:szCs w:val="21"/>
              </w:rPr>
              <w:t>）</w:t>
            </w:r>
          </w:p>
        </w:tc>
      </w:tr>
      <w:tr w14:paraId="2EE23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0" w:type="auto"/>
            <w:vMerge w:val="continue"/>
            <w:vAlign w:val="center"/>
          </w:tcPr>
          <w:p w14:paraId="43C498D1">
            <w:pPr>
              <w:spacing w:line="240" w:lineRule="auto"/>
              <w:ind w:firstLine="0" w:firstLineChars="0"/>
              <w:jc w:val="center"/>
              <w:rPr>
                <w:sz w:val="21"/>
                <w:szCs w:val="21"/>
              </w:rPr>
            </w:pPr>
          </w:p>
        </w:tc>
        <w:tc>
          <w:tcPr>
            <w:tcW w:w="0" w:type="auto"/>
            <w:vMerge w:val="continue"/>
            <w:vAlign w:val="center"/>
          </w:tcPr>
          <w:p w14:paraId="21B904A8">
            <w:pPr>
              <w:spacing w:line="240" w:lineRule="auto"/>
              <w:ind w:firstLine="0" w:firstLineChars="0"/>
              <w:jc w:val="center"/>
              <w:rPr>
                <w:sz w:val="21"/>
                <w:szCs w:val="21"/>
              </w:rPr>
            </w:pPr>
          </w:p>
        </w:tc>
        <w:tc>
          <w:tcPr>
            <w:tcW w:w="589" w:type="dxa"/>
            <w:vAlign w:val="center"/>
          </w:tcPr>
          <w:p w14:paraId="51842238">
            <w:pPr>
              <w:spacing w:line="240" w:lineRule="auto"/>
              <w:ind w:firstLine="0" w:firstLineChars="0"/>
              <w:jc w:val="center"/>
              <w:rPr>
                <w:sz w:val="21"/>
                <w:szCs w:val="21"/>
              </w:rPr>
            </w:pPr>
            <w:r>
              <w:rPr>
                <w:sz w:val="21"/>
                <w:szCs w:val="21"/>
              </w:rPr>
              <w:t>X</w:t>
            </w:r>
          </w:p>
        </w:tc>
        <w:tc>
          <w:tcPr>
            <w:tcW w:w="688" w:type="dxa"/>
            <w:vAlign w:val="center"/>
          </w:tcPr>
          <w:p w14:paraId="6B6FBCA8">
            <w:pPr>
              <w:snapToGrid w:val="0"/>
              <w:spacing w:line="240" w:lineRule="auto"/>
              <w:ind w:firstLine="0" w:firstLineChars="0"/>
              <w:jc w:val="center"/>
              <w:rPr>
                <w:sz w:val="21"/>
                <w:szCs w:val="21"/>
              </w:rPr>
            </w:pPr>
            <w:r>
              <w:rPr>
                <w:sz w:val="21"/>
                <w:szCs w:val="21"/>
              </w:rPr>
              <w:t>Y</w:t>
            </w:r>
          </w:p>
        </w:tc>
        <w:tc>
          <w:tcPr>
            <w:tcW w:w="976" w:type="dxa"/>
            <w:vMerge w:val="continue"/>
            <w:vAlign w:val="center"/>
          </w:tcPr>
          <w:p w14:paraId="2E3DE852">
            <w:pPr>
              <w:snapToGrid w:val="0"/>
              <w:spacing w:line="240" w:lineRule="auto"/>
              <w:ind w:firstLine="0" w:firstLineChars="0"/>
              <w:jc w:val="center"/>
              <w:rPr>
                <w:sz w:val="21"/>
                <w:szCs w:val="21"/>
              </w:rPr>
            </w:pPr>
          </w:p>
        </w:tc>
        <w:tc>
          <w:tcPr>
            <w:tcW w:w="464" w:type="dxa"/>
            <w:vMerge w:val="continue"/>
            <w:vAlign w:val="center"/>
          </w:tcPr>
          <w:p w14:paraId="570688BB">
            <w:pPr>
              <w:snapToGrid w:val="0"/>
              <w:spacing w:line="240" w:lineRule="auto"/>
              <w:ind w:firstLine="0" w:firstLineChars="0"/>
              <w:jc w:val="center"/>
              <w:rPr>
                <w:sz w:val="21"/>
                <w:szCs w:val="21"/>
              </w:rPr>
            </w:pPr>
          </w:p>
        </w:tc>
        <w:tc>
          <w:tcPr>
            <w:tcW w:w="645" w:type="dxa"/>
            <w:vMerge w:val="continue"/>
            <w:vAlign w:val="center"/>
          </w:tcPr>
          <w:p w14:paraId="0B34CE93">
            <w:pPr>
              <w:snapToGrid w:val="0"/>
              <w:spacing w:line="240" w:lineRule="auto"/>
              <w:ind w:firstLine="0" w:firstLineChars="0"/>
              <w:jc w:val="center"/>
              <w:rPr>
                <w:sz w:val="21"/>
                <w:szCs w:val="21"/>
              </w:rPr>
            </w:pPr>
          </w:p>
        </w:tc>
        <w:tc>
          <w:tcPr>
            <w:tcW w:w="1151" w:type="dxa"/>
            <w:vMerge w:val="continue"/>
            <w:vAlign w:val="center"/>
          </w:tcPr>
          <w:p w14:paraId="2C0BE355">
            <w:pPr>
              <w:spacing w:line="240" w:lineRule="auto"/>
              <w:ind w:firstLine="0" w:firstLineChars="0"/>
              <w:jc w:val="center"/>
              <w:rPr>
                <w:sz w:val="21"/>
                <w:szCs w:val="21"/>
              </w:rPr>
            </w:pPr>
          </w:p>
        </w:tc>
        <w:tc>
          <w:tcPr>
            <w:tcW w:w="949" w:type="dxa"/>
            <w:vMerge w:val="continue"/>
            <w:vAlign w:val="center"/>
          </w:tcPr>
          <w:p w14:paraId="01AA1387">
            <w:pPr>
              <w:spacing w:line="240" w:lineRule="auto"/>
              <w:ind w:firstLine="0" w:firstLineChars="0"/>
              <w:jc w:val="center"/>
              <w:rPr>
                <w:sz w:val="21"/>
                <w:szCs w:val="21"/>
              </w:rPr>
            </w:pPr>
          </w:p>
        </w:tc>
        <w:tc>
          <w:tcPr>
            <w:tcW w:w="524" w:type="dxa"/>
            <w:vMerge w:val="continue"/>
            <w:vAlign w:val="center"/>
          </w:tcPr>
          <w:p w14:paraId="543DFE90">
            <w:pPr>
              <w:spacing w:line="240" w:lineRule="auto"/>
              <w:ind w:firstLine="0" w:firstLineChars="0"/>
              <w:jc w:val="center"/>
              <w:rPr>
                <w:sz w:val="21"/>
                <w:szCs w:val="21"/>
              </w:rPr>
            </w:pPr>
          </w:p>
        </w:tc>
        <w:tc>
          <w:tcPr>
            <w:tcW w:w="0" w:type="auto"/>
            <w:vAlign w:val="center"/>
          </w:tcPr>
          <w:p w14:paraId="46E39537">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0" w:type="auto"/>
            <w:vAlign w:val="center"/>
          </w:tcPr>
          <w:p w14:paraId="37674047">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w:t>
            </w:r>
          </w:p>
        </w:tc>
      </w:tr>
      <w:tr w14:paraId="54DC1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0" w:type="auto"/>
            <w:vAlign w:val="center"/>
          </w:tcPr>
          <w:p w14:paraId="2300D7B3">
            <w:pPr>
              <w:spacing w:line="240" w:lineRule="auto"/>
              <w:ind w:firstLine="0" w:firstLineChars="0"/>
              <w:jc w:val="center"/>
              <w:rPr>
                <w:sz w:val="21"/>
                <w:szCs w:val="21"/>
              </w:rPr>
            </w:pPr>
            <w:r>
              <w:rPr>
                <w:sz w:val="21"/>
                <w:szCs w:val="21"/>
              </w:rPr>
              <w:t>1</w:t>
            </w:r>
          </w:p>
        </w:tc>
        <w:tc>
          <w:tcPr>
            <w:tcW w:w="0" w:type="auto"/>
            <w:vAlign w:val="center"/>
          </w:tcPr>
          <w:p w14:paraId="273E8C01">
            <w:pPr>
              <w:spacing w:line="240" w:lineRule="auto"/>
              <w:ind w:firstLine="0" w:firstLineChars="0"/>
              <w:jc w:val="center"/>
              <w:rPr>
                <w:sz w:val="21"/>
                <w:szCs w:val="21"/>
              </w:rPr>
            </w:pPr>
            <w:r>
              <w:rPr>
                <w:rFonts w:hint="eastAsia"/>
                <w:sz w:val="21"/>
                <w:szCs w:val="21"/>
              </w:rPr>
              <w:t>青年</w:t>
            </w:r>
          </w:p>
          <w:p w14:paraId="077CD956">
            <w:pPr>
              <w:spacing w:line="240" w:lineRule="auto"/>
              <w:ind w:firstLine="0" w:firstLineChars="0"/>
              <w:jc w:val="center"/>
              <w:rPr>
                <w:sz w:val="21"/>
                <w:szCs w:val="21"/>
              </w:rPr>
            </w:pPr>
            <w:r>
              <w:rPr>
                <w:rFonts w:hint="eastAsia"/>
                <w:sz w:val="21"/>
                <w:szCs w:val="21"/>
              </w:rPr>
              <w:t>鸡舍</w:t>
            </w:r>
          </w:p>
        </w:tc>
        <w:tc>
          <w:tcPr>
            <w:tcW w:w="589" w:type="dxa"/>
            <w:vAlign w:val="center"/>
          </w:tcPr>
          <w:p w14:paraId="0F191AED">
            <w:pPr>
              <w:spacing w:line="240" w:lineRule="auto"/>
              <w:ind w:firstLine="0" w:firstLineChars="0"/>
              <w:jc w:val="center"/>
              <w:rPr>
                <w:sz w:val="21"/>
                <w:szCs w:val="21"/>
              </w:rPr>
            </w:pPr>
            <w:r>
              <w:rPr>
                <w:rFonts w:hint="eastAsia"/>
                <w:sz w:val="21"/>
                <w:szCs w:val="21"/>
              </w:rPr>
              <w:t>-</w:t>
            </w:r>
            <w:r>
              <w:rPr>
                <w:sz w:val="21"/>
                <w:szCs w:val="21"/>
              </w:rPr>
              <w:t>454</w:t>
            </w:r>
          </w:p>
        </w:tc>
        <w:tc>
          <w:tcPr>
            <w:tcW w:w="688" w:type="dxa"/>
            <w:vAlign w:val="center"/>
          </w:tcPr>
          <w:p w14:paraId="3F25F42F">
            <w:pPr>
              <w:snapToGrid w:val="0"/>
              <w:spacing w:line="240" w:lineRule="auto"/>
              <w:ind w:firstLine="0" w:firstLineChars="0"/>
              <w:jc w:val="center"/>
              <w:rPr>
                <w:sz w:val="21"/>
                <w:szCs w:val="21"/>
              </w:rPr>
            </w:pPr>
            <w:r>
              <w:rPr>
                <w:sz w:val="21"/>
                <w:szCs w:val="21"/>
              </w:rPr>
              <w:t>185</w:t>
            </w:r>
          </w:p>
        </w:tc>
        <w:tc>
          <w:tcPr>
            <w:tcW w:w="976" w:type="dxa"/>
            <w:vAlign w:val="center"/>
          </w:tcPr>
          <w:p w14:paraId="51D887A0">
            <w:pPr>
              <w:snapToGrid w:val="0"/>
              <w:spacing w:line="240" w:lineRule="auto"/>
              <w:ind w:firstLine="0" w:firstLineChars="0"/>
              <w:jc w:val="center"/>
              <w:rPr>
                <w:sz w:val="21"/>
                <w:szCs w:val="21"/>
              </w:rPr>
            </w:pPr>
            <w:r>
              <w:rPr>
                <w:rFonts w:hint="eastAsia"/>
                <w:sz w:val="21"/>
                <w:szCs w:val="21"/>
              </w:rPr>
              <w:t>1138</w:t>
            </w:r>
          </w:p>
        </w:tc>
        <w:tc>
          <w:tcPr>
            <w:tcW w:w="464" w:type="dxa"/>
            <w:vAlign w:val="center"/>
          </w:tcPr>
          <w:p w14:paraId="77B84AA0">
            <w:pPr>
              <w:snapToGrid w:val="0"/>
              <w:spacing w:line="240" w:lineRule="auto"/>
              <w:ind w:firstLine="0" w:firstLineChars="0"/>
              <w:jc w:val="center"/>
              <w:rPr>
                <w:sz w:val="21"/>
                <w:szCs w:val="21"/>
              </w:rPr>
            </w:pPr>
            <w:r>
              <w:rPr>
                <w:sz w:val="20"/>
              </w:rPr>
              <w:t>185</w:t>
            </w:r>
          </w:p>
        </w:tc>
        <w:tc>
          <w:tcPr>
            <w:tcW w:w="645" w:type="dxa"/>
            <w:vAlign w:val="center"/>
          </w:tcPr>
          <w:p w14:paraId="66758888">
            <w:pPr>
              <w:snapToGrid w:val="0"/>
              <w:spacing w:line="240" w:lineRule="auto"/>
              <w:ind w:firstLine="0" w:firstLineChars="0"/>
              <w:jc w:val="center"/>
              <w:rPr>
                <w:sz w:val="21"/>
                <w:szCs w:val="21"/>
              </w:rPr>
            </w:pPr>
            <w:r>
              <w:rPr>
                <w:sz w:val="21"/>
                <w:szCs w:val="21"/>
              </w:rPr>
              <w:t>122</w:t>
            </w:r>
          </w:p>
        </w:tc>
        <w:tc>
          <w:tcPr>
            <w:tcW w:w="1151" w:type="dxa"/>
            <w:vAlign w:val="center"/>
          </w:tcPr>
          <w:p w14:paraId="0303CB6B">
            <w:pPr>
              <w:spacing w:line="240" w:lineRule="auto"/>
              <w:ind w:firstLine="0" w:firstLineChars="0"/>
              <w:jc w:val="center"/>
              <w:rPr>
                <w:sz w:val="21"/>
                <w:szCs w:val="21"/>
              </w:rPr>
            </w:pPr>
            <w:r>
              <w:rPr>
                <w:rFonts w:hint="eastAsia"/>
                <w:sz w:val="21"/>
                <w:szCs w:val="21"/>
              </w:rPr>
              <w:t>8</w:t>
            </w:r>
          </w:p>
        </w:tc>
        <w:tc>
          <w:tcPr>
            <w:tcW w:w="949" w:type="dxa"/>
            <w:vAlign w:val="center"/>
          </w:tcPr>
          <w:p w14:paraId="08183DEA">
            <w:pPr>
              <w:spacing w:line="240" w:lineRule="auto"/>
              <w:ind w:firstLine="0" w:firstLineChars="0"/>
              <w:jc w:val="center"/>
              <w:rPr>
                <w:sz w:val="21"/>
                <w:szCs w:val="21"/>
              </w:rPr>
            </w:pPr>
            <w:r>
              <w:rPr>
                <w:rFonts w:hint="eastAsia"/>
                <w:sz w:val="21"/>
                <w:szCs w:val="21"/>
              </w:rPr>
              <w:t>8760</w:t>
            </w:r>
          </w:p>
        </w:tc>
        <w:tc>
          <w:tcPr>
            <w:tcW w:w="524" w:type="dxa"/>
            <w:vAlign w:val="center"/>
          </w:tcPr>
          <w:p w14:paraId="25971D44">
            <w:pPr>
              <w:spacing w:line="240" w:lineRule="auto"/>
              <w:ind w:left="-120" w:leftChars="-50" w:right="-120" w:rightChars="-50" w:firstLine="0" w:firstLineChars="0"/>
              <w:jc w:val="center"/>
              <w:rPr>
                <w:sz w:val="21"/>
                <w:szCs w:val="21"/>
              </w:rPr>
            </w:pPr>
            <w:r>
              <w:rPr>
                <w:rFonts w:hAnsi="宋体"/>
                <w:sz w:val="21"/>
                <w:szCs w:val="21"/>
              </w:rPr>
              <w:t>正常</w:t>
            </w:r>
          </w:p>
          <w:p w14:paraId="7AF3FBEA">
            <w:pPr>
              <w:spacing w:line="240" w:lineRule="auto"/>
              <w:ind w:left="-120" w:leftChars="-50" w:right="-120" w:rightChars="-50" w:firstLine="0" w:firstLineChars="0"/>
              <w:jc w:val="center"/>
              <w:rPr>
                <w:sz w:val="21"/>
                <w:szCs w:val="21"/>
              </w:rPr>
            </w:pPr>
            <w:r>
              <w:rPr>
                <w:rFonts w:hAnsi="宋体"/>
                <w:sz w:val="21"/>
                <w:szCs w:val="21"/>
              </w:rPr>
              <w:t>工况</w:t>
            </w:r>
          </w:p>
        </w:tc>
        <w:tc>
          <w:tcPr>
            <w:tcW w:w="0" w:type="auto"/>
            <w:vAlign w:val="center"/>
          </w:tcPr>
          <w:p w14:paraId="4F9DF25E">
            <w:pPr>
              <w:spacing w:line="240" w:lineRule="auto"/>
              <w:ind w:firstLine="0" w:firstLineChars="0"/>
              <w:jc w:val="center"/>
              <w:rPr>
                <w:sz w:val="21"/>
                <w:szCs w:val="21"/>
              </w:rPr>
            </w:pPr>
            <w:r>
              <w:rPr>
                <w:rFonts w:hint="eastAsia"/>
                <w:sz w:val="21"/>
                <w:szCs w:val="21"/>
              </w:rPr>
              <w:t>0</w:t>
            </w:r>
            <w:r>
              <w:rPr>
                <w:sz w:val="21"/>
                <w:szCs w:val="21"/>
              </w:rPr>
              <w:t>.0075</w:t>
            </w:r>
          </w:p>
        </w:tc>
        <w:tc>
          <w:tcPr>
            <w:tcW w:w="0" w:type="auto"/>
            <w:vAlign w:val="center"/>
          </w:tcPr>
          <w:p w14:paraId="325CFA8F">
            <w:pPr>
              <w:spacing w:line="240" w:lineRule="auto"/>
              <w:ind w:firstLine="0" w:firstLineChars="0"/>
              <w:jc w:val="center"/>
              <w:rPr>
                <w:sz w:val="21"/>
                <w:szCs w:val="21"/>
              </w:rPr>
            </w:pPr>
            <w:r>
              <w:rPr>
                <w:rFonts w:hint="eastAsia"/>
                <w:sz w:val="21"/>
                <w:szCs w:val="21"/>
              </w:rPr>
              <w:t>0</w:t>
            </w:r>
            <w:r>
              <w:rPr>
                <w:sz w:val="21"/>
                <w:szCs w:val="21"/>
              </w:rPr>
              <w:t>.00004</w:t>
            </w:r>
          </w:p>
        </w:tc>
      </w:tr>
      <w:tr w14:paraId="514D8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0" w:type="auto"/>
            <w:vAlign w:val="center"/>
          </w:tcPr>
          <w:p w14:paraId="6EC5C5C7">
            <w:pPr>
              <w:spacing w:line="240" w:lineRule="auto"/>
              <w:ind w:firstLine="0" w:firstLineChars="0"/>
              <w:jc w:val="center"/>
              <w:rPr>
                <w:sz w:val="21"/>
                <w:szCs w:val="21"/>
              </w:rPr>
            </w:pPr>
            <w:r>
              <w:rPr>
                <w:rFonts w:hint="eastAsia"/>
                <w:sz w:val="21"/>
                <w:szCs w:val="21"/>
              </w:rPr>
              <w:t>2</w:t>
            </w:r>
          </w:p>
        </w:tc>
        <w:tc>
          <w:tcPr>
            <w:tcW w:w="0" w:type="auto"/>
            <w:vAlign w:val="center"/>
          </w:tcPr>
          <w:p w14:paraId="071C8D62">
            <w:pPr>
              <w:spacing w:line="240" w:lineRule="auto"/>
              <w:ind w:firstLine="0" w:firstLineChars="0"/>
              <w:jc w:val="center"/>
              <w:rPr>
                <w:sz w:val="21"/>
                <w:szCs w:val="21"/>
              </w:rPr>
            </w:pPr>
            <w:r>
              <w:rPr>
                <w:rFonts w:hint="eastAsia"/>
                <w:sz w:val="21"/>
                <w:szCs w:val="21"/>
              </w:rPr>
              <w:t>蛋鸡舍</w:t>
            </w:r>
          </w:p>
        </w:tc>
        <w:tc>
          <w:tcPr>
            <w:tcW w:w="589" w:type="dxa"/>
            <w:vAlign w:val="center"/>
          </w:tcPr>
          <w:p w14:paraId="25C9802A">
            <w:pPr>
              <w:spacing w:line="240" w:lineRule="auto"/>
              <w:ind w:firstLine="0" w:firstLineChars="0"/>
              <w:jc w:val="center"/>
              <w:rPr>
                <w:sz w:val="21"/>
                <w:szCs w:val="21"/>
              </w:rPr>
            </w:pPr>
            <w:r>
              <w:rPr>
                <w:rFonts w:hint="eastAsia"/>
                <w:sz w:val="21"/>
                <w:szCs w:val="21"/>
              </w:rPr>
              <w:t>-</w:t>
            </w:r>
            <w:r>
              <w:rPr>
                <w:sz w:val="21"/>
                <w:szCs w:val="21"/>
              </w:rPr>
              <w:t>41</w:t>
            </w:r>
          </w:p>
        </w:tc>
        <w:tc>
          <w:tcPr>
            <w:tcW w:w="688" w:type="dxa"/>
            <w:vAlign w:val="center"/>
          </w:tcPr>
          <w:p w14:paraId="1DC18D98">
            <w:pPr>
              <w:snapToGrid w:val="0"/>
              <w:spacing w:line="240" w:lineRule="auto"/>
              <w:ind w:firstLine="0" w:firstLineChars="0"/>
              <w:jc w:val="center"/>
              <w:rPr>
                <w:sz w:val="21"/>
                <w:szCs w:val="21"/>
              </w:rPr>
            </w:pPr>
            <w:r>
              <w:rPr>
                <w:rFonts w:hint="eastAsia"/>
                <w:sz w:val="21"/>
                <w:szCs w:val="21"/>
              </w:rPr>
              <w:t>1</w:t>
            </w:r>
            <w:r>
              <w:rPr>
                <w:sz w:val="21"/>
                <w:szCs w:val="21"/>
              </w:rPr>
              <w:t>85</w:t>
            </w:r>
          </w:p>
        </w:tc>
        <w:tc>
          <w:tcPr>
            <w:tcW w:w="976" w:type="dxa"/>
            <w:vAlign w:val="center"/>
          </w:tcPr>
          <w:p w14:paraId="2E4DED46">
            <w:pPr>
              <w:snapToGrid w:val="0"/>
              <w:spacing w:line="240" w:lineRule="auto"/>
              <w:ind w:firstLine="0" w:firstLineChars="0"/>
              <w:jc w:val="center"/>
              <w:rPr>
                <w:sz w:val="21"/>
                <w:szCs w:val="21"/>
              </w:rPr>
            </w:pPr>
            <w:r>
              <w:rPr>
                <w:rFonts w:hint="eastAsia"/>
                <w:sz w:val="21"/>
                <w:szCs w:val="21"/>
              </w:rPr>
              <w:t>1</w:t>
            </w:r>
            <w:r>
              <w:rPr>
                <w:sz w:val="21"/>
                <w:szCs w:val="21"/>
              </w:rPr>
              <w:t>139</w:t>
            </w:r>
          </w:p>
        </w:tc>
        <w:tc>
          <w:tcPr>
            <w:tcW w:w="464" w:type="dxa"/>
            <w:vAlign w:val="center"/>
          </w:tcPr>
          <w:p w14:paraId="44E16B81">
            <w:pPr>
              <w:snapToGrid w:val="0"/>
              <w:spacing w:line="240" w:lineRule="auto"/>
              <w:ind w:firstLine="0" w:firstLineChars="0"/>
              <w:jc w:val="center"/>
              <w:rPr>
                <w:sz w:val="21"/>
                <w:szCs w:val="21"/>
              </w:rPr>
            </w:pPr>
            <w:r>
              <w:rPr>
                <w:rFonts w:hint="eastAsia"/>
                <w:sz w:val="21"/>
                <w:szCs w:val="21"/>
              </w:rPr>
              <w:t>3</w:t>
            </w:r>
            <w:r>
              <w:rPr>
                <w:sz w:val="21"/>
                <w:szCs w:val="21"/>
              </w:rPr>
              <w:t>30</w:t>
            </w:r>
          </w:p>
        </w:tc>
        <w:tc>
          <w:tcPr>
            <w:tcW w:w="645" w:type="dxa"/>
            <w:vAlign w:val="center"/>
          </w:tcPr>
          <w:p w14:paraId="18F16F4A">
            <w:pPr>
              <w:snapToGrid w:val="0"/>
              <w:spacing w:line="240" w:lineRule="auto"/>
              <w:ind w:firstLine="0" w:firstLineChars="0"/>
              <w:jc w:val="center"/>
              <w:rPr>
                <w:sz w:val="21"/>
                <w:szCs w:val="21"/>
              </w:rPr>
            </w:pPr>
            <w:r>
              <w:rPr>
                <w:rFonts w:hint="eastAsia"/>
                <w:sz w:val="21"/>
                <w:szCs w:val="21"/>
              </w:rPr>
              <w:t>1</w:t>
            </w:r>
            <w:r>
              <w:rPr>
                <w:sz w:val="21"/>
                <w:szCs w:val="21"/>
              </w:rPr>
              <w:t>50</w:t>
            </w:r>
          </w:p>
        </w:tc>
        <w:tc>
          <w:tcPr>
            <w:tcW w:w="1151" w:type="dxa"/>
            <w:vAlign w:val="center"/>
          </w:tcPr>
          <w:p w14:paraId="1270460F">
            <w:pPr>
              <w:spacing w:line="240" w:lineRule="auto"/>
              <w:ind w:firstLine="0" w:firstLineChars="0"/>
              <w:jc w:val="center"/>
              <w:rPr>
                <w:sz w:val="21"/>
                <w:szCs w:val="21"/>
              </w:rPr>
            </w:pPr>
            <w:r>
              <w:rPr>
                <w:rFonts w:hint="eastAsia"/>
                <w:sz w:val="21"/>
                <w:szCs w:val="21"/>
              </w:rPr>
              <w:t>8</w:t>
            </w:r>
          </w:p>
        </w:tc>
        <w:tc>
          <w:tcPr>
            <w:tcW w:w="949" w:type="dxa"/>
            <w:vAlign w:val="center"/>
          </w:tcPr>
          <w:p w14:paraId="142C2098">
            <w:pPr>
              <w:spacing w:line="240" w:lineRule="auto"/>
              <w:ind w:firstLine="0" w:firstLineChars="0"/>
              <w:jc w:val="center"/>
              <w:rPr>
                <w:sz w:val="21"/>
                <w:szCs w:val="21"/>
              </w:rPr>
            </w:pPr>
            <w:r>
              <w:rPr>
                <w:rFonts w:hint="eastAsia"/>
                <w:sz w:val="21"/>
                <w:szCs w:val="21"/>
              </w:rPr>
              <w:t>8760</w:t>
            </w:r>
          </w:p>
        </w:tc>
        <w:tc>
          <w:tcPr>
            <w:tcW w:w="524" w:type="dxa"/>
            <w:vAlign w:val="center"/>
          </w:tcPr>
          <w:p w14:paraId="24D86720">
            <w:pPr>
              <w:spacing w:line="240" w:lineRule="auto"/>
              <w:ind w:left="-120" w:leftChars="-50" w:right="-120" w:rightChars="-50" w:firstLine="0" w:firstLineChars="0"/>
              <w:jc w:val="center"/>
              <w:rPr>
                <w:sz w:val="21"/>
                <w:szCs w:val="21"/>
              </w:rPr>
            </w:pPr>
            <w:r>
              <w:rPr>
                <w:rFonts w:hAnsi="宋体"/>
                <w:sz w:val="21"/>
                <w:szCs w:val="21"/>
              </w:rPr>
              <w:t>正常</w:t>
            </w:r>
          </w:p>
          <w:p w14:paraId="57B49C6C">
            <w:pPr>
              <w:spacing w:line="240" w:lineRule="auto"/>
              <w:ind w:left="-120" w:leftChars="-50" w:right="-120" w:rightChars="-50" w:firstLine="0" w:firstLineChars="0"/>
              <w:jc w:val="center"/>
              <w:rPr>
                <w:rFonts w:hAnsi="宋体"/>
                <w:sz w:val="21"/>
                <w:szCs w:val="21"/>
              </w:rPr>
            </w:pPr>
            <w:r>
              <w:rPr>
                <w:rFonts w:hAnsi="宋体"/>
                <w:sz w:val="21"/>
                <w:szCs w:val="21"/>
              </w:rPr>
              <w:t>工况</w:t>
            </w:r>
          </w:p>
        </w:tc>
        <w:tc>
          <w:tcPr>
            <w:tcW w:w="0" w:type="auto"/>
            <w:vAlign w:val="center"/>
          </w:tcPr>
          <w:p w14:paraId="57F6FD93">
            <w:pPr>
              <w:spacing w:line="240" w:lineRule="auto"/>
              <w:ind w:firstLine="0" w:firstLineChars="0"/>
              <w:jc w:val="center"/>
              <w:rPr>
                <w:sz w:val="21"/>
                <w:szCs w:val="21"/>
              </w:rPr>
            </w:pPr>
            <w:r>
              <w:rPr>
                <w:rFonts w:hint="eastAsia"/>
                <w:sz w:val="21"/>
                <w:szCs w:val="21"/>
              </w:rPr>
              <w:t>0</w:t>
            </w:r>
            <w:r>
              <w:rPr>
                <w:sz w:val="21"/>
                <w:szCs w:val="21"/>
              </w:rPr>
              <w:t>.0225</w:t>
            </w:r>
          </w:p>
        </w:tc>
        <w:tc>
          <w:tcPr>
            <w:tcW w:w="0" w:type="auto"/>
            <w:vAlign w:val="center"/>
          </w:tcPr>
          <w:p w14:paraId="2692CED9">
            <w:pPr>
              <w:spacing w:line="240" w:lineRule="auto"/>
              <w:ind w:firstLine="0" w:firstLineChars="0"/>
              <w:jc w:val="center"/>
              <w:rPr>
                <w:sz w:val="21"/>
                <w:szCs w:val="21"/>
              </w:rPr>
            </w:pPr>
            <w:r>
              <w:rPr>
                <w:rFonts w:hint="eastAsia"/>
                <w:sz w:val="21"/>
                <w:szCs w:val="21"/>
              </w:rPr>
              <w:t>0</w:t>
            </w:r>
            <w:r>
              <w:rPr>
                <w:sz w:val="21"/>
                <w:szCs w:val="21"/>
              </w:rPr>
              <w:t>.00113</w:t>
            </w:r>
          </w:p>
        </w:tc>
      </w:tr>
      <w:tr w14:paraId="7723A9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0" w:type="auto"/>
            <w:vAlign w:val="center"/>
          </w:tcPr>
          <w:p w14:paraId="49DA0C75">
            <w:pPr>
              <w:spacing w:line="240" w:lineRule="auto"/>
              <w:ind w:firstLine="0" w:firstLineChars="0"/>
              <w:jc w:val="center"/>
              <w:rPr>
                <w:sz w:val="21"/>
                <w:szCs w:val="21"/>
              </w:rPr>
            </w:pPr>
            <w:r>
              <w:rPr>
                <w:rFonts w:hint="eastAsia"/>
                <w:sz w:val="21"/>
                <w:szCs w:val="21"/>
              </w:rPr>
              <w:t>3</w:t>
            </w:r>
          </w:p>
        </w:tc>
        <w:tc>
          <w:tcPr>
            <w:tcW w:w="0" w:type="auto"/>
            <w:vAlign w:val="center"/>
          </w:tcPr>
          <w:p w14:paraId="523D9003">
            <w:pPr>
              <w:spacing w:line="240" w:lineRule="auto"/>
              <w:ind w:firstLine="0" w:firstLineChars="0"/>
              <w:jc w:val="center"/>
              <w:rPr>
                <w:sz w:val="21"/>
                <w:szCs w:val="21"/>
              </w:rPr>
            </w:pPr>
            <w:r>
              <w:rPr>
                <w:rFonts w:hint="eastAsia"/>
                <w:sz w:val="21"/>
                <w:szCs w:val="21"/>
              </w:rPr>
              <w:t>污水处理设施</w:t>
            </w:r>
          </w:p>
        </w:tc>
        <w:tc>
          <w:tcPr>
            <w:tcW w:w="589" w:type="dxa"/>
            <w:vAlign w:val="center"/>
          </w:tcPr>
          <w:p w14:paraId="0BFFF6F2">
            <w:pPr>
              <w:spacing w:line="240" w:lineRule="auto"/>
              <w:ind w:firstLine="0" w:firstLineChars="0"/>
              <w:jc w:val="center"/>
              <w:rPr>
                <w:sz w:val="21"/>
                <w:szCs w:val="21"/>
              </w:rPr>
            </w:pPr>
            <w:r>
              <w:rPr>
                <w:sz w:val="21"/>
                <w:szCs w:val="21"/>
              </w:rPr>
              <w:t>453</w:t>
            </w:r>
          </w:p>
        </w:tc>
        <w:tc>
          <w:tcPr>
            <w:tcW w:w="688" w:type="dxa"/>
            <w:vAlign w:val="center"/>
          </w:tcPr>
          <w:p w14:paraId="3CCA986E">
            <w:pPr>
              <w:snapToGrid w:val="0"/>
              <w:spacing w:line="240" w:lineRule="auto"/>
              <w:ind w:firstLine="0" w:firstLineChars="0"/>
              <w:jc w:val="center"/>
              <w:rPr>
                <w:sz w:val="21"/>
                <w:szCs w:val="21"/>
              </w:rPr>
            </w:pPr>
            <w:r>
              <w:rPr>
                <w:sz w:val="21"/>
                <w:szCs w:val="21"/>
              </w:rPr>
              <w:t>191</w:t>
            </w:r>
          </w:p>
        </w:tc>
        <w:tc>
          <w:tcPr>
            <w:tcW w:w="976" w:type="dxa"/>
            <w:vAlign w:val="center"/>
          </w:tcPr>
          <w:p w14:paraId="4EC9C8C0">
            <w:pPr>
              <w:snapToGrid w:val="0"/>
              <w:spacing w:line="240" w:lineRule="auto"/>
              <w:ind w:firstLine="0" w:firstLineChars="0"/>
              <w:jc w:val="center"/>
              <w:rPr>
                <w:sz w:val="21"/>
                <w:szCs w:val="21"/>
              </w:rPr>
            </w:pPr>
            <w:r>
              <w:rPr>
                <w:rFonts w:hint="eastAsia"/>
                <w:sz w:val="21"/>
                <w:szCs w:val="21"/>
              </w:rPr>
              <w:t>1140</w:t>
            </w:r>
          </w:p>
        </w:tc>
        <w:tc>
          <w:tcPr>
            <w:tcW w:w="464" w:type="dxa"/>
            <w:vAlign w:val="center"/>
          </w:tcPr>
          <w:p w14:paraId="40CB346F">
            <w:pPr>
              <w:snapToGrid w:val="0"/>
              <w:spacing w:line="240" w:lineRule="auto"/>
              <w:ind w:firstLine="0" w:firstLineChars="0"/>
              <w:jc w:val="center"/>
              <w:rPr>
                <w:sz w:val="21"/>
                <w:szCs w:val="21"/>
              </w:rPr>
            </w:pPr>
            <w:r>
              <w:rPr>
                <w:sz w:val="21"/>
                <w:szCs w:val="21"/>
              </w:rPr>
              <w:t>17</w:t>
            </w:r>
          </w:p>
        </w:tc>
        <w:tc>
          <w:tcPr>
            <w:tcW w:w="645" w:type="dxa"/>
            <w:vAlign w:val="center"/>
          </w:tcPr>
          <w:p w14:paraId="117CF50C">
            <w:pPr>
              <w:snapToGrid w:val="0"/>
              <w:spacing w:line="240" w:lineRule="auto"/>
              <w:ind w:firstLine="0" w:firstLineChars="0"/>
              <w:jc w:val="center"/>
              <w:rPr>
                <w:sz w:val="21"/>
                <w:szCs w:val="21"/>
              </w:rPr>
            </w:pPr>
            <w:r>
              <w:rPr>
                <w:sz w:val="21"/>
                <w:szCs w:val="21"/>
              </w:rPr>
              <w:t>17</w:t>
            </w:r>
          </w:p>
        </w:tc>
        <w:tc>
          <w:tcPr>
            <w:tcW w:w="1151" w:type="dxa"/>
            <w:vAlign w:val="center"/>
          </w:tcPr>
          <w:p w14:paraId="2A83D5FD">
            <w:pPr>
              <w:spacing w:line="240" w:lineRule="auto"/>
              <w:ind w:firstLine="0" w:firstLineChars="0"/>
              <w:jc w:val="center"/>
              <w:rPr>
                <w:sz w:val="21"/>
                <w:szCs w:val="21"/>
              </w:rPr>
            </w:pPr>
            <w:r>
              <w:rPr>
                <w:rFonts w:hint="eastAsia"/>
                <w:sz w:val="21"/>
                <w:szCs w:val="21"/>
              </w:rPr>
              <w:t>8</w:t>
            </w:r>
          </w:p>
        </w:tc>
        <w:tc>
          <w:tcPr>
            <w:tcW w:w="949" w:type="dxa"/>
            <w:vAlign w:val="center"/>
          </w:tcPr>
          <w:p w14:paraId="167C5EA8">
            <w:pPr>
              <w:spacing w:line="240" w:lineRule="auto"/>
              <w:ind w:firstLine="0" w:firstLineChars="0"/>
              <w:jc w:val="center"/>
              <w:rPr>
                <w:sz w:val="21"/>
                <w:szCs w:val="21"/>
              </w:rPr>
            </w:pPr>
            <w:r>
              <w:rPr>
                <w:rFonts w:hint="eastAsia"/>
                <w:sz w:val="21"/>
                <w:szCs w:val="21"/>
              </w:rPr>
              <w:t>8760</w:t>
            </w:r>
          </w:p>
        </w:tc>
        <w:tc>
          <w:tcPr>
            <w:tcW w:w="524" w:type="dxa"/>
            <w:vAlign w:val="center"/>
          </w:tcPr>
          <w:p w14:paraId="6C238D6C">
            <w:pPr>
              <w:spacing w:line="240" w:lineRule="auto"/>
              <w:ind w:left="-120" w:leftChars="-50" w:right="-120" w:rightChars="-50" w:firstLine="0" w:firstLineChars="0"/>
              <w:jc w:val="center"/>
              <w:rPr>
                <w:sz w:val="21"/>
                <w:szCs w:val="21"/>
              </w:rPr>
            </w:pPr>
            <w:r>
              <w:rPr>
                <w:rFonts w:hAnsi="宋体"/>
                <w:sz w:val="21"/>
                <w:szCs w:val="21"/>
              </w:rPr>
              <w:t>正常</w:t>
            </w:r>
          </w:p>
          <w:p w14:paraId="34FBD1B6">
            <w:pPr>
              <w:spacing w:line="240" w:lineRule="auto"/>
              <w:ind w:left="-120" w:leftChars="-50" w:right="-120" w:rightChars="-50" w:firstLine="0" w:firstLineChars="0"/>
              <w:jc w:val="center"/>
              <w:rPr>
                <w:sz w:val="21"/>
                <w:szCs w:val="21"/>
              </w:rPr>
            </w:pPr>
            <w:r>
              <w:rPr>
                <w:rFonts w:hAnsi="宋体"/>
                <w:sz w:val="21"/>
                <w:szCs w:val="21"/>
              </w:rPr>
              <w:t>工况</w:t>
            </w:r>
          </w:p>
        </w:tc>
        <w:tc>
          <w:tcPr>
            <w:tcW w:w="0" w:type="auto"/>
            <w:vAlign w:val="center"/>
          </w:tcPr>
          <w:p w14:paraId="5569F07A">
            <w:pPr>
              <w:spacing w:line="240" w:lineRule="auto"/>
              <w:ind w:firstLine="0" w:firstLineChars="0"/>
              <w:jc w:val="center"/>
              <w:rPr>
                <w:sz w:val="21"/>
                <w:szCs w:val="21"/>
              </w:rPr>
            </w:pPr>
            <w:r>
              <w:rPr>
                <w:rFonts w:hint="eastAsia"/>
                <w:sz w:val="21"/>
                <w:szCs w:val="21"/>
              </w:rPr>
              <w:t>0</w:t>
            </w:r>
            <w:r>
              <w:rPr>
                <w:sz w:val="21"/>
                <w:szCs w:val="21"/>
              </w:rPr>
              <w:t>.0003</w:t>
            </w:r>
          </w:p>
        </w:tc>
        <w:tc>
          <w:tcPr>
            <w:tcW w:w="0" w:type="auto"/>
            <w:vAlign w:val="center"/>
          </w:tcPr>
          <w:p w14:paraId="405DF942">
            <w:pPr>
              <w:spacing w:line="240" w:lineRule="auto"/>
              <w:ind w:firstLine="0" w:firstLineChars="0"/>
              <w:jc w:val="center"/>
              <w:rPr>
                <w:sz w:val="21"/>
                <w:szCs w:val="21"/>
              </w:rPr>
            </w:pPr>
            <w:r>
              <w:rPr>
                <w:rFonts w:hint="eastAsia"/>
                <w:sz w:val="21"/>
                <w:szCs w:val="21"/>
              </w:rPr>
              <w:t>0</w:t>
            </w:r>
            <w:r>
              <w:rPr>
                <w:sz w:val="21"/>
                <w:szCs w:val="21"/>
              </w:rPr>
              <w:t>.00001</w:t>
            </w:r>
          </w:p>
        </w:tc>
      </w:tr>
    </w:tbl>
    <w:p w14:paraId="6ED6A883">
      <w:pPr>
        <w:ind w:firstLine="480"/>
      </w:pPr>
      <w:r>
        <w:t>氨气、硫化氢参照执行《环境影响评价技术导则大气环境》（HJ2.2—2018）附录D其他污染物空气质量浓度参考限值。NO</w:t>
      </w:r>
      <w:r>
        <w:rPr>
          <w:vertAlign w:val="subscript"/>
        </w:rPr>
        <w:t>X</w:t>
      </w:r>
      <w:r>
        <w:t>、SO</w:t>
      </w:r>
      <w:r>
        <w:rPr>
          <w:vertAlign w:val="subscript"/>
        </w:rPr>
        <w:t>2</w:t>
      </w:r>
      <w:r>
        <w:t>、</w:t>
      </w:r>
      <w:r>
        <w:rPr>
          <w:rFonts w:hint="eastAsia"/>
        </w:rPr>
        <w:t>PM</w:t>
      </w:r>
      <w:r>
        <w:rPr>
          <w:rFonts w:hint="eastAsia"/>
          <w:vertAlign w:val="subscript"/>
        </w:rPr>
        <w:t>10</w:t>
      </w:r>
      <w:r>
        <w:t>执行《环境空气质量标准》（GB3095-2012）二级标准及《环境空气质量标准》（GB3095-2012）（2018第1号修改单）；同时，大气影响范围涉及西鄂尔多斯国家级自然保护区的环境空气质量执行《环境空气质量标准》（GB3095-2012）一级标准。</w:t>
      </w:r>
    </w:p>
    <w:p w14:paraId="2C180B24">
      <w:pPr>
        <w:ind w:firstLine="480"/>
      </w:pPr>
      <w:r>
        <w:t>本项目位于鄂托克旗蒙西镇</w:t>
      </w:r>
      <w:r>
        <w:rPr>
          <w:lang w:val="zh-CN"/>
        </w:rPr>
        <w:t>，因此选择</w:t>
      </w:r>
      <w:r>
        <w:t>农村</w:t>
      </w:r>
      <w:r>
        <w:rPr>
          <w:lang w:val="zh-CN"/>
        </w:rPr>
        <w:t>选项，同时考虑区域地形条件，</w:t>
      </w:r>
      <w:r>
        <w:t>采用</w:t>
      </w:r>
      <w:r>
        <w:rPr>
          <w:lang w:val="zh-CN"/>
        </w:rPr>
        <w:t>估算模式AERSCREEN所需模型参数见表2.4-</w:t>
      </w:r>
      <w:r>
        <w:rPr>
          <w:rFonts w:hint="eastAsia"/>
        </w:rPr>
        <w:t>3</w:t>
      </w:r>
      <w:r>
        <w:rPr>
          <w:lang w:val="zh-CN"/>
        </w:rPr>
        <w:t>。</w:t>
      </w:r>
    </w:p>
    <w:p w14:paraId="67B1E5E5">
      <w:pPr>
        <w:pStyle w:val="743"/>
        <w:rPr>
          <w:rFonts w:cs="Times New Roman"/>
        </w:rPr>
      </w:pPr>
      <w:r>
        <w:rPr>
          <w:rFonts w:cs="Times New Roman"/>
        </w:rPr>
        <w:t>表2.4-</w:t>
      </w:r>
      <w:r>
        <w:rPr>
          <w:rFonts w:hint="eastAsia" w:cs="Times New Roman"/>
        </w:rPr>
        <w:t>3</w:t>
      </w:r>
      <w:r>
        <w:rPr>
          <w:rFonts w:cs="Times New Roman"/>
        </w:rPr>
        <w:t xml:space="preserve">  估算模型参数一览表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939"/>
        <w:gridCol w:w="2951"/>
        <w:gridCol w:w="3211"/>
      </w:tblGrid>
      <w:tr w14:paraId="36BD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3236" w:type="pct"/>
            <w:gridSpan w:val="2"/>
            <w:vAlign w:val="center"/>
          </w:tcPr>
          <w:p w14:paraId="6D154134">
            <w:pPr>
              <w:pStyle w:val="357"/>
            </w:pPr>
            <w:r>
              <w:t>参数</w:t>
            </w:r>
          </w:p>
        </w:tc>
        <w:tc>
          <w:tcPr>
            <w:tcW w:w="1764" w:type="pct"/>
            <w:vAlign w:val="center"/>
          </w:tcPr>
          <w:p w14:paraId="15C19F04">
            <w:pPr>
              <w:pStyle w:val="357"/>
            </w:pPr>
            <w:r>
              <w:t>取值</w:t>
            </w:r>
          </w:p>
        </w:tc>
      </w:tr>
      <w:tr w14:paraId="69C3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615" w:type="pct"/>
            <w:vMerge w:val="restart"/>
            <w:vAlign w:val="center"/>
          </w:tcPr>
          <w:p w14:paraId="7C9A4C92">
            <w:pPr>
              <w:pStyle w:val="357"/>
            </w:pPr>
            <w:r>
              <w:t>城市/农村选项</w:t>
            </w:r>
          </w:p>
        </w:tc>
        <w:tc>
          <w:tcPr>
            <w:tcW w:w="1621" w:type="pct"/>
            <w:vAlign w:val="center"/>
          </w:tcPr>
          <w:p w14:paraId="380C60A1">
            <w:pPr>
              <w:pStyle w:val="357"/>
            </w:pPr>
            <w:r>
              <w:t>城市/农村</w:t>
            </w:r>
          </w:p>
        </w:tc>
        <w:tc>
          <w:tcPr>
            <w:tcW w:w="1764" w:type="pct"/>
            <w:vAlign w:val="center"/>
          </w:tcPr>
          <w:p w14:paraId="51DDCC62">
            <w:pPr>
              <w:pStyle w:val="357"/>
            </w:pPr>
            <w:r>
              <w:t>农村</w:t>
            </w:r>
          </w:p>
        </w:tc>
      </w:tr>
      <w:tr w14:paraId="2154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615" w:type="pct"/>
            <w:vMerge w:val="continue"/>
            <w:vAlign w:val="center"/>
          </w:tcPr>
          <w:p w14:paraId="3C70917E">
            <w:pPr>
              <w:pStyle w:val="357"/>
            </w:pPr>
          </w:p>
        </w:tc>
        <w:tc>
          <w:tcPr>
            <w:tcW w:w="1621" w:type="pct"/>
            <w:vAlign w:val="center"/>
          </w:tcPr>
          <w:p w14:paraId="1189EF9E">
            <w:pPr>
              <w:pStyle w:val="357"/>
            </w:pPr>
            <w:r>
              <w:t>人口数</w:t>
            </w:r>
          </w:p>
        </w:tc>
        <w:tc>
          <w:tcPr>
            <w:tcW w:w="1764" w:type="pct"/>
            <w:vAlign w:val="center"/>
          </w:tcPr>
          <w:p w14:paraId="148E4536">
            <w:pPr>
              <w:pStyle w:val="357"/>
            </w:pPr>
            <w:r>
              <w:t>-</w:t>
            </w:r>
          </w:p>
        </w:tc>
      </w:tr>
      <w:tr w14:paraId="7F13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3236" w:type="pct"/>
            <w:gridSpan w:val="2"/>
            <w:vAlign w:val="center"/>
          </w:tcPr>
          <w:p w14:paraId="45201C2D">
            <w:pPr>
              <w:pStyle w:val="357"/>
            </w:pPr>
            <w:r>
              <w:t>最高环境温度/℃</w:t>
            </w:r>
          </w:p>
        </w:tc>
        <w:tc>
          <w:tcPr>
            <w:tcW w:w="1764" w:type="pct"/>
            <w:vAlign w:val="center"/>
          </w:tcPr>
          <w:p w14:paraId="246750B6">
            <w:pPr>
              <w:pStyle w:val="751"/>
              <w:rPr>
                <w:color w:val="auto"/>
              </w:rPr>
            </w:pPr>
            <w:r>
              <w:rPr>
                <w:color w:val="auto"/>
              </w:rPr>
              <w:t>40.2</w:t>
            </w:r>
          </w:p>
        </w:tc>
      </w:tr>
      <w:tr w14:paraId="7E6E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3236" w:type="pct"/>
            <w:gridSpan w:val="2"/>
            <w:vAlign w:val="center"/>
          </w:tcPr>
          <w:p w14:paraId="15BF48C9">
            <w:pPr>
              <w:pStyle w:val="357"/>
            </w:pPr>
            <w:r>
              <w:t>最低环境温度/℃</w:t>
            </w:r>
          </w:p>
        </w:tc>
        <w:tc>
          <w:tcPr>
            <w:tcW w:w="1764" w:type="pct"/>
            <w:vAlign w:val="center"/>
          </w:tcPr>
          <w:p w14:paraId="7AE58B0B">
            <w:pPr>
              <w:pStyle w:val="751"/>
              <w:rPr>
                <w:color w:val="auto"/>
              </w:rPr>
            </w:pPr>
            <w:r>
              <w:rPr>
                <w:color w:val="auto"/>
              </w:rPr>
              <w:t>-40</w:t>
            </w:r>
          </w:p>
        </w:tc>
      </w:tr>
      <w:tr w14:paraId="1ED7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3236" w:type="pct"/>
            <w:gridSpan w:val="2"/>
            <w:vAlign w:val="center"/>
          </w:tcPr>
          <w:p w14:paraId="34E5F83E">
            <w:pPr>
              <w:pStyle w:val="357"/>
            </w:pPr>
            <w:r>
              <w:t>土地利用类型</w:t>
            </w:r>
          </w:p>
        </w:tc>
        <w:tc>
          <w:tcPr>
            <w:tcW w:w="1764" w:type="pct"/>
            <w:vAlign w:val="center"/>
          </w:tcPr>
          <w:p w14:paraId="5699A2E6">
            <w:pPr>
              <w:pStyle w:val="357"/>
            </w:pPr>
            <w:r>
              <w:t>牧草地</w:t>
            </w:r>
          </w:p>
        </w:tc>
      </w:tr>
      <w:tr w14:paraId="6424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3236" w:type="pct"/>
            <w:gridSpan w:val="2"/>
            <w:vAlign w:val="center"/>
          </w:tcPr>
          <w:p w14:paraId="379F615E">
            <w:pPr>
              <w:pStyle w:val="357"/>
            </w:pPr>
            <w:r>
              <w:t>区域湿度条件</w:t>
            </w:r>
          </w:p>
        </w:tc>
        <w:tc>
          <w:tcPr>
            <w:tcW w:w="1764" w:type="pct"/>
            <w:vAlign w:val="center"/>
          </w:tcPr>
          <w:p w14:paraId="2A606DE5">
            <w:pPr>
              <w:pStyle w:val="357"/>
            </w:pPr>
            <w:r>
              <w:t>半干旱</w:t>
            </w:r>
          </w:p>
        </w:tc>
      </w:tr>
      <w:tr w14:paraId="1D3B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615" w:type="pct"/>
            <w:vMerge w:val="restart"/>
            <w:vAlign w:val="center"/>
          </w:tcPr>
          <w:p w14:paraId="0CE2893D">
            <w:pPr>
              <w:pStyle w:val="357"/>
            </w:pPr>
            <w:r>
              <w:t>是否考虑地形</w:t>
            </w:r>
          </w:p>
        </w:tc>
        <w:tc>
          <w:tcPr>
            <w:tcW w:w="1621" w:type="pct"/>
            <w:vAlign w:val="center"/>
          </w:tcPr>
          <w:p w14:paraId="60C868E2">
            <w:pPr>
              <w:pStyle w:val="357"/>
            </w:pPr>
            <w:r>
              <w:t>考虑地形</w:t>
            </w:r>
          </w:p>
        </w:tc>
        <w:tc>
          <w:tcPr>
            <w:tcW w:w="1764" w:type="pct"/>
            <w:vAlign w:val="center"/>
          </w:tcPr>
          <w:p w14:paraId="2D5E6507">
            <w:pPr>
              <w:pStyle w:val="357"/>
            </w:pPr>
            <w:r>
              <w:rPr/>
              <w:sym w:font="Wingdings" w:char="00FE"/>
            </w:r>
            <w:r>
              <w:t>是</w:t>
            </w:r>
            <w:r>
              <w:rPr/>
              <w:sym w:font="Wingdings" w:char="00A8"/>
            </w:r>
            <w:r>
              <w:t>否</w:t>
            </w:r>
          </w:p>
        </w:tc>
      </w:tr>
      <w:tr w14:paraId="0A1A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615" w:type="pct"/>
            <w:vMerge w:val="continue"/>
            <w:vAlign w:val="center"/>
          </w:tcPr>
          <w:p w14:paraId="7D5697D2">
            <w:pPr>
              <w:pStyle w:val="357"/>
            </w:pPr>
          </w:p>
        </w:tc>
        <w:tc>
          <w:tcPr>
            <w:tcW w:w="1621" w:type="pct"/>
            <w:vAlign w:val="center"/>
          </w:tcPr>
          <w:p w14:paraId="25315B2F">
            <w:pPr>
              <w:pStyle w:val="357"/>
            </w:pPr>
            <w:r>
              <w:t>地形数据分辨率/m</w:t>
            </w:r>
          </w:p>
        </w:tc>
        <w:tc>
          <w:tcPr>
            <w:tcW w:w="1764" w:type="pct"/>
            <w:vAlign w:val="center"/>
          </w:tcPr>
          <w:p w14:paraId="3A108A3A">
            <w:pPr>
              <w:pStyle w:val="357"/>
            </w:pPr>
            <w:r>
              <w:t>90</w:t>
            </w:r>
          </w:p>
        </w:tc>
      </w:tr>
      <w:tr w14:paraId="4733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615" w:type="pct"/>
            <w:vMerge w:val="restart"/>
            <w:vAlign w:val="center"/>
          </w:tcPr>
          <w:p w14:paraId="43CD67AB">
            <w:pPr>
              <w:pStyle w:val="357"/>
            </w:pPr>
            <w:r>
              <w:t>是否考虑岸线熏烟</w:t>
            </w:r>
          </w:p>
        </w:tc>
        <w:tc>
          <w:tcPr>
            <w:tcW w:w="1621" w:type="pct"/>
            <w:vAlign w:val="center"/>
          </w:tcPr>
          <w:p w14:paraId="5F1EB8A5">
            <w:pPr>
              <w:pStyle w:val="357"/>
            </w:pPr>
            <w:r>
              <w:t>考虑岸线熏烟</w:t>
            </w:r>
          </w:p>
        </w:tc>
        <w:tc>
          <w:tcPr>
            <w:tcW w:w="1764" w:type="pct"/>
            <w:vAlign w:val="center"/>
          </w:tcPr>
          <w:p w14:paraId="3880B3C4">
            <w:pPr>
              <w:pStyle w:val="357"/>
            </w:pPr>
            <w:r>
              <w:rPr/>
              <w:sym w:font="Wingdings" w:char="00A8"/>
            </w:r>
            <w:r>
              <w:t>是</w:t>
            </w:r>
            <w:r>
              <w:rPr/>
              <w:sym w:font="Wingdings" w:char="00FE"/>
            </w:r>
            <w:r>
              <w:t>否</w:t>
            </w:r>
          </w:p>
        </w:tc>
      </w:tr>
      <w:tr w14:paraId="2DAB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615" w:type="pct"/>
            <w:vMerge w:val="continue"/>
            <w:vAlign w:val="center"/>
          </w:tcPr>
          <w:p w14:paraId="31A87D95">
            <w:pPr>
              <w:pStyle w:val="357"/>
            </w:pPr>
          </w:p>
        </w:tc>
        <w:tc>
          <w:tcPr>
            <w:tcW w:w="1621" w:type="pct"/>
            <w:vAlign w:val="center"/>
          </w:tcPr>
          <w:p w14:paraId="75D2E1AF">
            <w:pPr>
              <w:pStyle w:val="357"/>
            </w:pPr>
            <w:r>
              <w:t>岸线距离/km</w:t>
            </w:r>
          </w:p>
        </w:tc>
        <w:tc>
          <w:tcPr>
            <w:tcW w:w="1764" w:type="pct"/>
            <w:vAlign w:val="center"/>
          </w:tcPr>
          <w:p w14:paraId="10C90DD9">
            <w:pPr>
              <w:pStyle w:val="357"/>
            </w:pPr>
            <w:r>
              <w:t>-</w:t>
            </w:r>
          </w:p>
        </w:tc>
      </w:tr>
      <w:tr w14:paraId="01D8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615" w:type="pct"/>
            <w:vMerge w:val="continue"/>
            <w:vAlign w:val="center"/>
          </w:tcPr>
          <w:p w14:paraId="5726A170">
            <w:pPr>
              <w:pStyle w:val="357"/>
            </w:pPr>
          </w:p>
        </w:tc>
        <w:tc>
          <w:tcPr>
            <w:tcW w:w="1621" w:type="pct"/>
            <w:vAlign w:val="center"/>
          </w:tcPr>
          <w:p w14:paraId="276DF934">
            <w:pPr>
              <w:pStyle w:val="357"/>
            </w:pPr>
            <w:r>
              <w:t>岸线方向/°</w:t>
            </w:r>
          </w:p>
        </w:tc>
        <w:tc>
          <w:tcPr>
            <w:tcW w:w="1764" w:type="pct"/>
            <w:vAlign w:val="center"/>
          </w:tcPr>
          <w:p w14:paraId="2081DF86">
            <w:pPr>
              <w:pStyle w:val="357"/>
            </w:pPr>
            <w:r>
              <w:t>-</w:t>
            </w:r>
          </w:p>
        </w:tc>
      </w:tr>
    </w:tbl>
    <w:p w14:paraId="1E0F644D">
      <w:pPr>
        <w:ind w:firstLine="480"/>
      </w:pPr>
      <w:r>
        <w:t>根据工程分析，利用推荐模式中的</w:t>
      </w:r>
      <w:r>
        <w:rPr>
          <w:rFonts w:hint="eastAsia"/>
        </w:rPr>
        <w:t>AERSCREEN</w:t>
      </w:r>
      <w:r>
        <w:t>估算模式计算污染源外排的最大地面浓度及污染物地面浓度达标准限值10%时所对应的最远距离D</w:t>
      </w:r>
      <w:r>
        <w:rPr>
          <w:vertAlign w:val="subscript"/>
        </w:rPr>
        <w:t>10%</w:t>
      </w:r>
      <w:r>
        <w:t>。</w:t>
      </w:r>
    </w:p>
    <w:p w14:paraId="2D7FBF17">
      <w:pPr>
        <w:adjustRightInd w:val="0"/>
        <w:snapToGrid w:val="0"/>
        <w:spacing w:before="120" w:beforeLines="50" w:line="240" w:lineRule="auto"/>
        <w:ind w:firstLine="482"/>
        <w:jc w:val="center"/>
        <w:rPr>
          <w:b/>
        </w:rPr>
      </w:pPr>
      <w:r>
        <w:rPr>
          <w:b/>
        </w:rPr>
        <w:t>表2.4-</w:t>
      </w:r>
      <w:r>
        <w:rPr>
          <w:rFonts w:hint="eastAsia"/>
          <w:b/>
        </w:rPr>
        <w:t>4</w:t>
      </w:r>
      <w:r>
        <w:rPr>
          <w:b/>
        </w:rPr>
        <w:t xml:space="preserve">   各污染物大气影响评价等级一览表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717"/>
        <w:gridCol w:w="1674"/>
        <w:gridCol w:w="1985"/>
        <w:gridCol w:w="1858"/>
        <w:gridCol w:w="1540"/>
      </w:tblGrid>
      <w:tr w14:paraId="2FC8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Align w:val="center"/>
          </w:tcPr>
          <w:p w14:paraId="3EFEAD51">
            <w:pPr>
              <w:pStyle w:val="357"/>
            </w:pPr>
            <w:r>
              <w:t>污染源</w:t>
            </w:r>
          </w:p>
        </w:tc>
        <w:tc>
          <w:tcPr>
            <w:tcW w:w="386" w:type="pct"/>
            <w:vAlign w:val="center"/>
          </w:tcPr>
          <w:p w14:paraId="3A9E12C0">
            <w:pPr>
              <w:pStyle w:val="357"/>
            </w:pPr>
            <w:r>
              <w:t>污染物</w:t>
            </w:r>
          </w:p>
        </w:tc>
        <w:tc>
          <w:tcPr>
            <w:tcW w:w="901" w:type="pct"/>
            <w:vAlign w:val="center"/>
          </w:tcPr>
          <w:p w14:paraId="0F76DD93">
            <w:pPr>
              <w:pStyle w:val="357"/>
              <w:rPr>
                <w:lang w:eastAsia="zh-CN"/>
              </w:rPr>
            </w:pPr>
            <w:r>
              <w:rPr>
                <w:lang w:eastAsia="zh-CN"/>
              </w:rPr>
              <w:t>最大质量浓度出现距离（m）</w:t>
            </w:r>
          </w:p>
        </w:tc>
        <w:tc>
          <w:tcPr>
            <w:tcW w:w="1068" w:type="pct"/>
            <w:vAlign w:val="center"/>
          </w:tcPr>
          <w:p w14:paraId="24BACE60">
            <w:pPr>
              <w:pStyle w:val="357"/>
              <w:rPr>
                <w:lang w:eastAsia="zh-CN"/>
              </w:rPr>
            </w:pPr>
            <w:r>
              <w:rPr>
                <w:lang w:eastAsia="zh-CN"/>
              </w:rPr>
              <w:t>下风向最大质量浓度（</w:t>
            </w:r>
            <w:r>
              <w:t>μ</w:t>
            </w:r>
            <w:r>
              <w:rPr>
                <w:lang w:eastAsia="zh-CN"/>
              </w:rPr>
              <w:t>g /m</w:t>
            </w:r>
            <w:r>
              <w:rPr>
                <w:vertAlign w:val="superscript"/>
                <w:lang w:eastAsia="zh-CN"/>
              </w:rPr>
              <w:t>3</w:t>
            </w:r>
            <w:r>
              <w:rPr>
                <w:lang w:eastAsia="zh-CN"/>
              </w:rPr>
              <w:t>）</w:t>
            </w:r>
          </w:p>
        </w:tc>
        <w:tc>
          <w:tcPr>
            <w:tcW w:w="1000" w:type="pct"/>
            <w:vAlign w:val="center"/>
          </w:tcPr>
          <w:p w14:paraId="2DCC89D3">
            <w:pPr>
              <w:pStyle w:val="357"/>
              <w:rPr>
                <w:lang w:eastAsia="zh-CN"/>
              </w:rPr>
            </w:pPr>
            <w:r>
              <w:rPr>
                <w:lang w:eastAsia="zh-CN"/>
              </w:rPr>
              <w:t>下风向最大质量浓度占标率（%）</w:t>
            </w:r>
          </w:p>
        </w:tc>
        <w:tc>
          <w:tcPr>
            <w:tcW w:w="829" w:type="pct"/>
            <w:vAlign w:val="center"/>
          </w:tcPr>
          <w:p w14:paraId="7F4EC457">
            <w:pPr>
              <w:pStyle w:val="357"/>
              <w:rPr>
                <w:lang w:eastAsia="zh-CN"/>
              </w:rPr>
            </w:pPr>
            <w:r>
              <w:rPr>
                <w:rFonts w:hint="eastAsia"/>
                <w:lang w:eastAsia="zh-CN"/>
              </w:rPr>
              <w:t>二级</w:t>
            </w:r>
            <w:r>
              <w:rPr>
                <w:lang w:eastAsia="zh-CN"/>
              </w:rPr>
              <w:t>评价标准（</w:t>
            </w:r>
            <w:r>
              <w:t>μ</w:t>
            </w:r>
            <w:r>
              <w:rPr>
                <w:lang w:eastAsia="zh-CN"/>
              </w:rPr>
              <w:t>g/m</w:t>
            </w:r>
            <w:r>
              <w:rPr>
                <w:vertAlign w:val="superscript"/>
                <w:lang w:eastAsia="zh-CN"/>
              </w:rPr>
              <w:t>3</w:t>
            </w:r>
            <w:r>
              <w:rPr>
                <w:lang w:eastAsia="zh-CN"/>
              </w:rPr>
              <w:t>）</w:t>
            </w:r>
          </w:p>
        </w:tc>
      </w:tr>
      <w:tr w14:paraId="0BF5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Align w:val="center"/>
          </w:tcPr>
          <w:p w14:paraId="5021FD66">
            <w:pPr>
              <w:pStyle w:val="357"/>
              <w:rPr>
                <w:lang w:eastAsia="zh-CN"/>
              </w:rPr>
            </w:pPr>
            <w:r>
              <w:rPr>
                <w:lang w:eastAsia="zh-CN"/>
              </w:rPr>
              <w:t>饲料加工排气筒（DA001）</w:t>
            </w:r>
          </w:p>
        </w:tc>
        <w:tc>
          <w:tcPr>
            <w:tcW w:w="386" w:type="pct"/>
            <w:vAlign w:val="center"/>
          </w:tcPr>
          <w:p w14:paraId="2ABE3A03">
            <w:pPr>
              <w:pStyle w:val="357"/>
            </w:pPr>
            <w:r>
              <w:rPr>
                <w:rFonts w:hint="eastAsia"/>
                <w:lang w:eastAsia="zh-CN"/>
              </w:rPr>
              <w:t>PM</w:t>
            </w:r>
            <w:r>
              <w:rPr>
                <w:rFonts w:hint="eastAsia"/>
                <w:vertAlign w:val="subscript"/>
                <w:lang w:eastAsia="zh-CN"/>
              </w:rPr>
              <w:t>10</w:t>
            </w:r>
          </w:p>
        </w:tc>
        <w:tc>
          <w:tcPr>
            <w:tcW w:w="901" w:type="pct"/>
            <w:vAlign w:val="center"/>
          </w:tcPr>
          <w:p w14:paraId="44561C07">
            <w:pPr>
              <w:pStyle w:val="357"/>
            </w:pPr>
            <w:r>
              <w:rPr>
                <w:rFonts w:hint="eastAsia"/>
              </w:rPr>
              <w:t>9</w:t>
            </w:r>
            <w:r>
              <w:t>75</w:t>
            </w:r>
          </w:p>
        </w:tc>
        <w:tc>
          <w:tcPr>
            <w:tcW w:w="1068" w:type="pct"/>
            <w:vAlign w:val="center"/>
          </w:tcPr>
          <w:p w14:paraId="36D1585D">
            <w:pPr>
              <w:pStyle w:val="357"/>
            </w:pPr>
            <w:r>
              <w:t>1.0985</w:t>
            </w:r>
          </w:p>
        </w:tc>
        <w:tc>
          <w:tcPr>
            <w:tcW w:w="1000" w:type="pct"/>
            <w:vAlign w:val="center"/>
          </w:tcPr>
          <w:p w14:paraId="6EC2A27B">
            <w:pPr>
              <w:pStyle w:val="357"/>
            </w:pPr>
            <w:r>
              <w:t>0.24</w:t>
            </w:r>
          </w:p>
        </w:tc>
        <w:tc>
          <w:tcPr>
            <w:tcW w:w="829" w:type="pct"/>
            <w:vAlign w:val="center"/>
          </w:tcPr>
          <w:p w14:paraId="69836833">
            <w:pPr>
              <w:pStyle w:val="357"/>
            </w:pPr>
            <w:r>
              <w:t>450</w:t>
            </w:r>
          </w:p>
        </w:tc>
      </w:tr>
      <w:tr w14:paraId="2FD5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14" w:type="pct"/>
            <w:vMerge w:val="restart"/>
            <w:vAlign w:val="center"/>
          </w:tcPr>
          <w:p w14:paraId="2B9E3E0C">
            <w:pPr>
              <w:pStyle w:val="357"/>
              <w:rPr>
                <w:lang w:eastAsia="zh-CN"/>
              </w:rPr>
            </w:pPr>
            <w:r>
              <w:rPr>
                <w:lang w:eastAsia="zh-CN"/>
              </w:rPr>
              <w:t>锅炉排气筒（DA00</w:t>
            </w:r>
            <w:r>
              <w:rPr>
                <w:rFonts w:hint="eastAsia"/>
                <w:lang w:eastAsia="zh-CN"/>
              </w:rPr>
              <w:t>4、DA005、DA006，两用一备</w:t>
            </w:r>
            <w:r>
              <w:rPr>
                <w:lang w:eastAsia="zh-CN"/>
              </w:rPr>
              <w:t>）</w:t>
            </w:r>
          </w:p>
        </w:tc>
        <w:tc>
          <w:tcPr>
            <w:tcW w:w="386" w:type="pct"/>
            <w:vAlign w:val="center"/>
          </w:tcPr>
          <w:p w14:paraId="08BBE5BA">
            <w:pPr>
              <w:pStyle w:val="357"/>
            </w:pPr>
            <w:r>
              <w:rPr>
                <w:rFonts w:hint="eastAsia"/>
                <w:lang w:eastAsia="zh-CN"/>
              </w:rPr>
              <w:t>PM</w:t>
            </w:r>
            <w:r>
              <w:rPr>
                <w:rFonts w:hint="eastAsia"/>
                <w:vertAlign w:val="subscript"/>
                <w:lang w:eastAsia="zh-CN"/>
              </w:rPr>
              <w:t>10</w:t>
            </w:r>
          </w:p>
        </w:tc>
        <w:tc>
          <w:tcPr>
            <w:tcW w:w="901" w:type="pct"/>
            <w:vMerge w:val="restart"/>
            <w:vAlign w:val="center"/>
          </w:tcPr>
          <w:p w14:paraId="42E042BA">
            <w:pPr>
              <w:pStyle w:val="357"/>
            </w:pPr>
            <w:r>
              <w:rPr>
                <w:rFonts w:hint="eastAsia"/>
              </w:rPr>
              <w:t>1</w:t>
            </w:r>
            <w:r>
              <w:t>100</w:t>
            </w:r>
          </w:p>
        </w:tc>
        <w:tc>
          <w:tcPr>
            <w:tcW w:w="1068" w:type="pct"/>
            <w:vAlign w:val="center"/>
          </w:tcPr>
          <w:p w14:paraId="0B020C30">
            <w:pPr>
              <w:pStyle w:val="357"/>
            </w:pPr>
            <w:r>
              <w:t>5.0517</w:t>
            </w:r>
          </w:p>
        </w:tc>
        <w:tc>
          <w:tcPr>
            <w:tcW w:w="1000" w:type="pct"/>
            <w:vAlign w:val="center"/>
          </w:tcPr>
          <w:p w14:paraId="334F2CB4">
            <w:pPr>
              <w:pStyle w:val="357"/>
            </w:pPr>
            <w:r>
              <w:t>1.12</w:t>
            </w:r>
          </w:p>
        </w:tc>
        <w:tc>
          <w:tcPr>
            <w:tcW w:w="829" w:type="pct"/>
            <w:vAlign w:val="center"/>
          </w:tcPr>
          <w:p w14:paraId="6B85B9D9">
            <w:pPr>
              <w:pStyle w:val="357"/>
            </w:pPr>
            <w:r>
              <w:t>450</w:t>
            </w:r>
          </w:p>
        </w:tc>
      </w:tr>
      <w:tr w14:paraId="010E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14" w:type="pct"/>
            <w:vMerge w:val="continue"/>
            <w:vAlign w:val="center"/>
          </w:tcPr>
          <w:p w14:paraId="26BAFD77">
            <w:pPr>
              <w:pStyle w:val="357"/>
            </w:pPr>
          </w:p>
        </w:tc>
        <w:tc>
          <w:tcPr>
            <w:tcW w:w="386" w:type="pct"/>
            <w:vAlign w:val="center"/>
          </w:tcPr>
          <w:p w14:paraId="10D4B729">
            <w:pPr>
              <w:pStyle w:val="357"/>
            </w:pPr>
            <w:r>
              <w:t>SO</w:t>
            </w:r>
            <w:r>
              <w:rPr>
                <w:vertAlign w:val="subscript"/>
              </w:rPr>
              <w:t>2</w:t>
            </w:r>
          </w:p>
        </w:tc>
        <w:tc>
          <w:tcPr>
            <w:tcW w:w="901" w:type="pct"/>
            <w:vMerge w:val="continue"/>
            <w:vAlign w:val="center"/>
          </w:tcPr>
          <w:p w14:paraId="44A7CAE6">
            <w:pPr>
              <w:pStyle w:val="357"/>
            </w:pPr>
          </w:p>
        </w:tc>
        <w:tc>
          <w:tcPr>
            <w:tcW w:w="1068" w:type="pct"/>
            <w:vAlign w:val="center"/>
          </w:tcPr>
          <w:p w14:paraId="7B5900EF">
            <w:pPr>
              <w:pStyle w:val="357"/>
            </w:pPr>
            <w:r>
              <w:t>2.1217</w:t>
            </w:r>
          </w:p>
        </w:tc>
        <w:tc>
          <w:tcPr>
            <w:tcW w:w="1000" w:type="pct"/>
            <w:vAlign w:val="center"/>
          </w:tcPr>
          <w:p w14:paraId="067D6420">
            <w:pPr>
              <w:pStyle w:val="357"/>
            </w:pPr>
            <w:r>
              <w:t>0.42</w:t>
            </w:r>
          </w:p>
        </w:tc>
        <w:tc>
          <w:tcPr>
            <w:tcW w:w="829" w:type="pct"/>
            <w:vAlign w:val="center"/>
          </w:tcPr>
          <w:p w14:paraId="100C7059">
            <w:pPr>
              <w:pStyle w:val="357"/>
            </w:pPr>
            <w:r>
              <w:t>500</w:t>
            </w:r>
          </w:p>
        </w:tc>
      </w:tr>
      <w:tr w14:paraId="0537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continue"/>
            <w:vAlign w:val="center"/>
          </w:tcPr>
          <w:p w14:paraId="4269998E">
            <w:pPr>
              <w:pStyle w:val="357"/>
            </w:pPr>
          </w:p>
        </w:tc>
        <w:tc>
          <w:tcPr>
            <w:tcW w:w="386" w:type="pct"/>
            <w:vAlign w:val="center"/>
          </w:tcPr>
          <w:p w14:paraId="624F51B4">
            <w:pPr>
              <w:pStyle w:val="357"/>
            </w:pPr>
            <w:r>
              <w:t>NOx</w:t>
            </w:r>
          </w:p>
        </w:tc>
        <w:tc>
          <w:tcPr>
            <w:tcW w:w="901" w:type="pct"/>
            <w:vMerge w:val="continue"/>
            <w:vAlign w:val="center"/>
          </w:tcPr>
          <w:p w14:paraId="4916DF32">
            <w:pPr>
              <w:pStyle w:val="357"/>
            </w:pPr>
          </w:p>
        </w:tc>
        <w:tc>
          <w:tcPr>
            <w:tcW w:w="1068" w:type="pct"/>
            <w:vAlign w:val="center"/>
          </w:tcPr>
          <w:p w14:paraId="4CEB7CB5">
            <w:pPr>
              <w:pStyle w:val="357"/>
            </w:pPr>
            <w:r>
              <w:t>5.9610</w:t>
            </w:r>
          </w:p>
        </w:tc>
        <w:tc>
          <w:tcPr>
            <w:tcW w:w="1000" w:type="pct"/>
            <w:vAlign w:val="center"/>
          </w:tcPr>
          <w:p w14:paraId="324C8DB5">
            <w:pPr>
              <w:pStyle w:val="357"/>
            </w:pPr>
            <w:r>
              <w:t>2.38</w:t>
            </w:r>
          </w:p>
        </w:tc>
        <w:tc>
          <w:tcPr>
            <w:tcW w:w="829" w:type="pct"/>
            <w:vAlign w:val="center"/>
          </w:tcPr>
          <w:p w14:paraId="16E0EDDD">
            <w:pPr>
              <w:pStyle w:val="357"/>
            </w:pPr>
            <w:r>
              <w:t>250</w:t>
            </w:r>
          </w:p>
        </w:tc>
      </w:tr>
      <w:tr w14:paraId="652D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restart"/>
            <w:vAlign w:val="center"/>
          </w:tcPr>
          <w:p w14:paraId="2B86F605">
            <w:pPr>
              <w:pStyle w:val="357"/>
            </w:pPr>
            <w:r>
              <w:rPr>
                <w:rFonts w:hint="eastAsia"/>
              </w:rPr>
              <w:t>有机肥排气筒（D</w:t>
            </w:r>
            <w:r>
              <w:t>A00</w:t>
            </w:r>
            <w:r>
              <w:rPr>
                <w:rFonts w:hint="eastAsia"/>
                <w:lang w:eastAsia="zh-CN"/>
              </w:rPr>
              <w:t>2</w:t>
            </w:r>
            <w:r>
              <w:rPr>
                <w:rFonts w:hint="eastAsia"/>
              </w:rPr>
              <w:t>）</w:t>
            </w:r>
          </w:p>
        </w:tc>
        <w:tc>
          <w:tcPr>
            <w:tcW w:w="386" w:type="pct"/>
            <w:vAlign w:val="center"/>
          </w:tcPr>
          <w:p w14:paraId="4CCA92A8">
            <w:pPr>
              <w:pStyle w:val="357"/>
            </w:pPr>
            <w:r>
              <w:t>NH</w:t>
            </w:r>
            <w:r>
              <w:rPr>
                <w:vertAlign w:val="subscript"/>
              </w:rPr>
              <w:t>3</w:t>
            </w:r>
          </w:p>
        </w:tc>
        <w:tc>
          <w:tcPr>
            <w:tcW w:w="901" w:type="pct"/>
            <w:vMerge w:val="restart"/>
            <w:vAlign w:val="center"/>
          </w:tcPr>
          <w:p w14:paraId="4E37DAC5">
            <w:pPr>
              <w:pStyle w:val="357"/>
            </w:pPr>
            <w:r>
              <w:rPr>
                <w:rFonts w:hint="eastAsia"/>
              </w:rPr>
              <w:t>1</w:t>
            </w:r>
            <w:r>
              <w:t>54</w:t>
            </w:r>
          </w:p>
        </w:tc>
        <w:tc>
          <w:tcPr>
            <w:tcW w:w="1068" w:type="pct"/>
            <w:vAlign w:val="center"/>
          </w:tcPr>
          <w:p w14:paraId="37491CC1">
            <w:pPr>
              <w:pStyle w:val="357"/>
            </w:pPr>
            <w:r>
              <w:t>1.1509</w:t>
            </w:r>
          </w:p>
        </w:tc>
        <w:tc>
          <w:tcPr>
            <w:tcW w:w="1000" w:type="pct"/>
            <w:vAlign w:val="center"/>
          </w:tcPr>
          <w:p w14:paraId="4CF1A6B4">
            <w:pPr>
              <w:pStyle w:val="357"/>
            </w:pPr>
            <w:r>
              <w:t>0.58</w:t>
            </w:r>
          </w:p>
        </w:tc>
        <w:tc>
          <w:tcPr>
            <w:tcW w:w="829" w:type="pct"/>
            <w:vAlign w:val="center"/>
          </w:tcPr>
          <w:p w14:paraId="6B444905">
            <w:pPr>
              <w:pStyle w:val="357"/>
            </w:pPr>
            <w:r>
              <w:rPr>
                <w:rFonts w:hint="eastAsia"/>
              </w:rPr>
              <w:t>2</w:t>
            </w:r>
            <w:r>
              <w:t>00</w:t>
            </w:r>
          </w:p>
        </w:tc>
      </w:tr>
      <w:tr w14:paraId="6542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continue"/>
            <w:vAlign w:val="center"/>
          </w:tcPr>
          <w:p w14:paraId="203977F0">
            <w:pPr>
              <w:pStyle w:val="357"/>
            </w:pPr>
          </w:p>
        </w:tc>
        <w:tc>
          <w:tcPr>
            <w:tcW w:w="386" w:type="pct"/>
            <w:vAlign w:val="center"/>
          </w:tcPr>
          <w:p w14:paraId="04F42CCD">
            <w:pPr>
              <w:pStyle w:val="357"/>
            </w:pPr>
            <w:r>
              <w:t>H</w:t>
            </w:r>
            <w:r>
              <w:rPr>
                <w:vertAlign w:val="subscript"/>
              </w:rPr>
              <w:t>2</w:t>
            </w:r>
            <w:r>
              <w:t>S</w:t>
            </w:r>
          </w:p>
        </w:tc>
        <w:tc>
          <w:tcPr>
            <w:tcW w:w="901" w:type="pct"/>
            <w:vMerge w:val="continue"/>
            <w:vAlign w:val="center"/>
          </w:tcPr>
          <w:p w14:paraId="6CCD031A">
            <w:pPr>
              <w:pStyle w:val="357"/>
            </w:pPr>
          </w:p>
        </w:tc>
        <w:tc>
          <w:tcPr>
            <w:tcW w:w="1068" w:type="pct"/>
            <w:vAlign w:val="center"/>
          </w:tcPr>
          <w:p w14:paraId="648B4707">
            <w:pPr>
              <w:pStyle w:val="357"/>
            </w:pPr>
            <w:r>
              <w:t>0.1151</w:t>
            </w:r>
          </w:p>
        </w:tc>
        <w:tc>
          <w:tcPr>
            <w:tcW w:w="1000" w:type="pct"/>
            <w:vAlign w:val="center"/>
          </w:tcPr>
          <w:p w14:paraId="0FAE7BE2">
            <w:pPr>
              <w:pStyle w:val="357"/>
            </w:pPr>
            <w:r>
              <w:t>1.15</w:t>
            </w:r>
          </w:p>
        </w:tc>
        <w:tc>
          <w:tcPr>
            <w:tcW w:w="829" w:type="pct"/>
            <w:vAlign w:val="center"/>
          </w:tcPr>
          <w:p w14:paraId="4CD89BE3">
            <w:pPr>
              <w:pStyle w:val="357"/>
            </w:pPr>
            <w:r>
              <w:rPr>
                <w:rFonts w:hint="eastAsia"/>
              </w:rPr>
              <w:t>1</w:t>
            </w:r>
            <w:r>
              <w:t>0</w:t>
            </w:r>
          </w:p>
        </w:tc>
      </w:tr>
      <w:tr w14:paraId="1356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restart"/>
            <w:vAlign w:val="center"/>
          </w:tcPr>
          <w:p w14:paraId="20EE5A6D">
            <w:pPr>
              <w:pStyle w:val="357"/>
            </w:pPr>
            <w:r>
              <w:rPr>
                <w:rFonts w:hint="eastAsia"/>
              </w:rPr>
              <w:t>污水站排气筒（D</w:t>
            </w:r>
            <w:r>
              <w:t>A00</w:t>
            </w:r>
            <w:r>
              <w:rPr>
                <w:rFonts w:hint="eastAsia"/>
                <w:lang w:eastAsia="zh-CN"/>
              </w:rPr>
              <w:t>7</w:t>
            </w:r>
            <w:r>
              <w:rPr>
                <w:rFonts w:hint="eastAsia"/>
              </w:rPr>
              <w:t>）</w:t>
            </w:r>
          </w:p>
        </w:tc>
        <w:tc>
          <w:tcPr>
            <w:tcW w:w="386" w:type="pct"/>
            <w:vAlign w:val="center"/>
          </w:tcPr>
          <w:p w14:paraId="6F5ABD3C">
            <w:pPr>
              <w:pStyle w:val="357"/>
            </w:pPr>
            <w:r>
              <w:t>NH</w:t>
            </w:r>
            <w:r>
              <w:rPr>
                <w:vertAlign w:val="subscript"/>
              </w:rPr>
              <w:t>3</w:t>
            </w:r>
          </w:p>
        </w:tc>
        <w:tc>
          <w:tcPr>
            <w:tcW w:w="901" w:type="pct"/>
            <w:vMerge w:val="restart"/>
            <w:vAlign w:val="center"/>
          </w:tcPr>
          <w:p w14:paraId="2950C085">
            <w:pPr>
              <w:pStyle w:val="357"/>
            </w:pPr>
            <w:r>
              <w:rPr>
                <w:rFonts w:hint="eastAsia"/>
              </w:rPr>
              <w:t>1</w:t>
            </w:r>
            <w:r>
              <w:t>55</w:t>
            </w:r>
          </w:p>
        </w:tc>
        <w:tc>
          <w:tcPr>
            <w:tcW w:w="1068" w:type="pct"/>
            <w:vAlign w:val="center"/>
          </w:tcPr>
          <w:p w14:paraId="264450B7">
            <w:pPr>
              <w:pStyle w:val="357"/>
            </w:pPr>
            <w:r>
              <w:t>0.0653</w:t>
            </w:r>
          </w:p>
        </w:tc>
        <w:tc>
          <w:tcPr>
            <w:tcW w:w="1000" w:type="pct"/>
            <w:vAlign w:val="center"/>
          </w:tcPr>
          <w:p w14:paraId="7C58728E">
            <w:pPr>
              <w:pStyle w:val="357"/>
            </w:pPr>
            <w:r>
              <w:t>0.03</w:t>
            </w:r>
          </w:p>
        </w:tc>
        <w:tc>
          <w:tcPr>
            <w:tcW w:w="829" w:type="pct"/>
            <w:vAlign w:val="center"/>
          </w:tcPr>
          <w:p w14:paraId="4F492103">
            <w:pPr>
              <w:pStyle w:val="357"/>
            </w:pPr>
            <w:r>
              <w:rPr>
                <w:rFonts w:hint="eastAsia"/>
              </w:rPr>
              <w:t>2</w:t>
            </w:r>
            <w:r>
              <w:t>00</w:t>
            </w:r>
          </w:p>
        </w:tc>
      </w:tr>
      <w:tr w14:paraId="1D27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continue"/>
            <w:vAlign w:val="center"/>
          </w:tcPr>
          <w:p w14:paraId="6A4C6357">
            <w:pPr>
              <w:pStyle w:val="357"/>
            </w:pPr>
          </w:p>
        </w:tc>
        <w:tc>
          <w:tcPr>
            <w:tcW w:w="386" w:type="pct"/>
            <w:vAlign w:val="center"/>
          </w:tcPr>
          <w:p w14:paraId="5C7D34B7">
            <w:pPr>
              <w:pStyle w:val="357"/>
            </w:pPr>
            <w:r>
              <w:t>H</w:t>
            </w:r>
            <w:r>
              <w:rPr>
                <w:vertAlign w:val="subscript"/>
              </w:rPr>
              <w:t>2</w:t>
            </w:r>
            <w:r>
              <w:t>S</w:t>
            </w:r>
          </w:p>
        </w:tc>
        <w:tc>
          <w:tcPr>
            <w:tcW w:w="901" w:type="pct"/>
            <w:vMerge w:val="continue"/>
            <w:vAlign w:val="center"/>
          </w:tcPr>
          <w:p w14:paraId="30DC7709">
            <w:pPr>
              <w:pStyle w:val="357"/>
            </w:pPr>
          </w:p>
        </w:tc>
        <w:tc>
          <w:tcPr>
            <w:tcW w:w="1068" w:type="pct"/>
            <w:vAlign w:val="center"/>
          </w:tcPr>
          <w:p w14:paraId="705E086D">
            <w:pPr>
              <w:pStyle w:val="357"/>
            </w:pPr>
            <w:r>
              <w:t>0.0022</w:t>
            </w:r>
          </w:p>
        </w:tc>
        <w:tc>
          <w:tcPr>
            <w:tcW w:w="1000" w:type="pct"/>
            <w:vAlign w:val="center"/>
          </w:tcPr>
          <w:p w14:paraId="589D129F">
            <w:pPr>
              <w:pStyle w:val="357"/>
            </w:pPr>
            <w:r>
              <w:t>0.02</w:t>
            </w:r>
          </w:p>
        </w:tc>
        <w:tc>
          <w:tcPr>
            <w:tcW w:w="829" w:type="pct"/>
            <w:vAlign w:val="center"/>
          </w:tcPr>
          <w:p w14:paraId="48919DFA">
            <w:pPr>
              <w:pStyle w:val="357"/>
            </w:pPr>
            <w:r>
              <w:rPr>
                <w:rFonts w:hint="eastAsia"/>
              </w:rPr>
              <w:t>1</w:t>
            </w:r>
            <w:r>
              <w:t>0</w:t>
            </w:r>
          </w:p>
        </w:tc>
      </w:tr>
      <w:tr w14:paraId="7CAD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restart"/>
            <w:vAlign w:val="center"/>
          </w:tcPr>
          <w:p w14:paraId="01D873D3">
            <w:pPr>
              <w:pStyle w:val="357"/>
            </w:pPr>
            <w:r>
              <w:rPr>
                <w:rFonts w:hint="eastAsia"/>
              </w:rPr>
              <w:t>青年鸡舍</w:t>
            </w:r>
          </w:p>
        </w:tc>
        <w:tc>
          <w:tcPr>
            <w:tcW w:w="386" w:type="pct"/>
            <w:vAlign w:val="center"/>
          </w:tcPr>
          <w:p w14:paraId="4A8A86A6">
            <w:pPr>
              <w:pStyle w:val="357"/>
            </w:pPr>
            <w:r>
              <w:t>NH</w:t>
            </w:r>
            <w:r>
              <w:rPr>
                <w:vertAlign w:val="subscript"/>
              </w:rPr>
              <w:t>3</w:t>
            </w:r>
          </w:p>
        </w:tc>
        <w:tc>
          <w:tcPr>
            <w:tcW w:w="901" w:type="pct"/>
            <w:vMerge w:val="restart"/>
            <w:vAlign w:val="center"/>
          </w:tcPr>
          <w:p w14:paraId="7ADC78EC">
            <w:pPr>
              <w:pStyle w:val="357"/>
            </w:pPr>
            <w:r>
              <w:rPr>
                <w:rFonts w:hint="eastAsia"/>
              </w:rPr>
              <w:t>2</w:t>
            </w:r>
            <w:r>
              <w:t>02</w:t>
            </w:r>
          </w:p>
        </w:tc>
        <w:tc>
          <w:tcPr>
            <w:tcW w:w="1068" w:type="pct"/>
            <w:vAlign w:val="center"/>
          </w:tcPr>
          <w:p w14:paraId="325D4CF8">
            <w:pPr>
              <w:pStyle w:val="357"/>
            </w:pPr>
            <w:r>
              <w:t>2.8090</w:t>
            </w:r>
          </w:p>
        </w:tc>
        <w:tc>
          <w:tcPr>
            <w:tcW w:w="1000" w:type="pct"/>
            <w:vAlign w:val="center"/>
          </w:tcPr>
          <w:p w14:paraId="79423367">
            <w:pPr>
              <w:pStyle w:val="357"/>
            </w:pPr>
            <w:r>
              <w:t>1.40</w:t>
            </w:r>
          </w:p>
        </w:tc>
        <w:tc>
          <w:tcPr>
            <w:tcW w:w="829" w:type="pct"/>
            <w:vAlign w:val="center"/>
          </w:tcPr>
          <w:p w14:paraId="50F5850C">
            <w:pPr>
              <w:pStyle w:val="357"/>
            </w:pPr>
            <w:r>
              <w:rPr>
                <w:rFonts w:hint="eastAsia"/>
              </w:rPr>
              <w:t>2</w:t>
            </w:r>
            <w:r>
              <w:t>00</w:t>
            </w:r>
          </w:p>
        </w:tc>
      </w:tr>
      <w:tr w14:paraId="5C60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continue"/>
            <w:vAlign w:val="center"/>
          </w:tcPr>
          <w:p w14:paraId="7E55D911">
            <w:pPr>
              <w:pStyle w:val="357"/>
            </w:pPr>
          </w:p>
        </w:tc>
        <w:tc>
          <w:tcPr>
            <w:tcW w:w="386" w:type="pct"/>
            <w:vAlign w:val="center"/>
          </w:tcPr>
          <w:p w14:paraId="28DE41D6">
            <w:pPr>
              <w:pStyle w:val="357"/>
            </w:pPr>
            <w:r>
              <w:t>H</w:t>
            </w:r>
            <w:r>
              <w:rPr>
                <w:vertAlign w:val="subscript"/>
              </w:rPr>
              <w:t>2</w:t>
            </w:r>
            <w:r>
              <w:t>S</w:t>
            </w:r>
          </w:p>
        </w:tc>
        <w:tc>
          <w:tcPr>
            <w:tcW w:w="901" w:type="pct"/>
            <w:vMerge w:val="continue"/>
            <w:vAlign w:val="center"/>
          </w:tcPr>
          <w:p w14:paraId="001FEB8E">
            <w:pPr>
              <w:pStyle w:val="357"/>
            </w:pPr>
          </w:p>
        </w:tc>
        <w:tc>
          <w:tcPr>
            <w:tcW w:w="1068" w:type="pct"/>
            <w:vAlign w:val="center"/>
          </w:tcPr>
          <w:p w14:paraId="1BDCA464">
            <w:pPr>
              <w:pStyle w:val="357"/>
            </w:pPr>
            <w:r>
              <w:t>0.0150</w:t>
            </w:r>
          </w:p>
        </w:tc>
        <w:tc>
          <w:tcPr>
            <w:tcW w:w="1000" w:type="pct"/>
            <w:vAlign w:val="center"/>
          </w:tcPr>
          <w:p w14:paraId="2E63B70B">
            <w:pPr>
              <w:pStyle w:val="357"/>
            </w:pPr>
            <w:r>
              <w:t>0.15</w:t>
            </w:r>
          </w:p>
        </w:tc>
        <w:tc>
          <w:tcPr>
            <w:tcW w:w="829" w:type="pct"/>
            <w:vAlign w:val="center"/>
          </w:tcPr>
          <w:p w14:paraId="7A83AF7B">
            <w:pPr>
              <w:pStyle w:val="357"/>
            </w:pPr>
            <w:r>
              <w:rPr>
                <w:rFonts w:hint="eastAsia"/>
              </w:rPr>
              <w:t>1</w:t>
            </w:r>
            <w:r>
              <w:t>0</w:t>
            </w:r>
          </w:p>
        </w:tc>
      </w:tr>
      <w:tr w14:paraId="5B33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restart"/>
            <w:vAlign w:val="center"/>
          </w:tcPr>
          <w:p w14:paraId="06575D79">
            <w:pPr>
              <w:pStyle w:val="357"/>
            </w:pPr>
            <w:r>
              <w:rPr>
                <w:rFonts w:hint="eastAsia"/>
              </w:rPr>
              <w:t>蛋鸡舍</w:t>
            </w:r>
          </w:p>
        </w:tc>
        <w:tc>
          <w:tcPr>
            <w:tcW w:w="386" w:type="pct"/>
            <w:vAlign w:val="center"/>
          </w:tcPr>
          <w:p w14:paraId="412CF019">
            <w:pPr>
              <w:pStyle w:val="357"/>
            </w:pPr>
            <w:r>
              <w:t>NH</w:t>
            </w:r>
            <w:r>
              <w:rPr>
                <w:vertAlign w:val="subscript"/>
              </w:rPr>
              <w:t>3</w:t>
            </w:r>
          </w:p>
        </w:tc>
        <w:tc>
          <w:tcPr>
            <w:tcW w:w="901" w:type="pct"/>
            <w:vMerge w:val="restart"/>
            <w:vAlign w:val="center"/>
          </w:tcPr>
          <w:p w14:paraId="0856A95C">
            <w:pPr>
              <w:pStyle w:val="357"/>
            </w:pPr>
            <w:r>
              <w:rPr>
                <w:rFonts w:hint="eastAsia"/>
              </w:rPr>
              <w:t>2</w:t>
            </w:r>
            <w:r>
              <w:t>46</w:t>
            </w:r>
          </w:p>
        </w:tc>
        <w:tc>
          <w:tcPr>
            <w:tcW w:w="1068" w:type="pct"/>
            <w:vAlign w:val="center"/>
          </w:tcPr>
          <w:p w14:paraId="4FD4BDF8">
            <w:pPr>
              <w:pStyle w:val="357"/>
            </w:pPr>
            <w:r>
              <w:t>7.7657</w:t>
            </w:r>
          </w:p>
        </w:tc>
        <w:tc>
          <w:tcPr>
            <w:tcW w:w="1000" w:type="pct"/>
            <w:vAlign w:val="center"/>
          </w:tcPr>
          <w:p w14:paraId="6993FD79">
            <w:pPr>
              <w:pStyle w:val="357"/>
            </w:pPr>
            <w:r>
              <w:t>3.88</w:t>
            </w:r>
          </w:p>
        </w:tc>
        <w:tc>
          <w:tcPr>
            <w:tcW w:w="829" w:type="pct"/>
            <w:vAlign w:val="center"/>
          </w:tcPr>
          <w:p w14:paraId="21705EF6">
            <w:pPr>
              <w:pStyle w:val="357"/>
            </w:pPr>
            <w:r>
              <w:rPr>
                <w:rFonts w:hint="eastAsia"/>
              </w:rPr>
              <w:t>2</w:t>
            </w:r>
            <w:r>
              <w:t>00</w:t>
            </w:r>
          </w:p>
        </w:tc>
      </w:tr>
      <w:tr w14:paraId="34EF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continue"/>
            <w:vAlign w:val="center"/>
          </w:tcPr>
          <w:p w14:paraId="394F898A">
            <w:pPr>
              <w:pStyle w:val="357"/>
            </w:pPr>
          </w:p>
        </w:tc>
        <w:tc>
          <w:tcPr>
            <w:tcW w:w="386" w:type="pct"/>
            <w:vAlign w:val="center"/>
          </w:tcPr>
          <w:p w14:paraId="6321282F">
            <w:pPr>
              <w:pStyle w:val="357"/>
            </w:pPr>
            <w:r>
              <w:t>H</w:t>
            </w:r>
            <w:r>
              <w:rPr>
                <w:vertAlign w:val="subscript"/>
              </w:rPr>
              <w:t>2</w:t>
            </w:r>
            <w:r>
              <w:t>S</w:t>
            </w:r>
          </w:p>
        </w:tc>
        <w:tc>
          <w:tcPr>
            <w:tcW w:w="901" w:type="pct"/>
            <w:vMerge w:val="continue"/>
            <w:vAlign w:val="center"/>
          </w:tcPr>
          <w:p w14:paraId="53EE8103">
            <w:pPr>
              <w:pStyle w:val="357"/>
            </w:pPr>
          </w:p>
        </w:tc>
        <w:tc>
          <w:tcPr>
            <w:tcW w:w="1068" w:type="pct"/>
            <w:vAlign w:val="center"/>
          </w:tcPr>
          <w:p w14:paraId="5CE49A73">
            <w:pPr>
              <w:pStyle w:val="357"/>
            </w:pPr>
            <w:r>
              <w:t>0.3900</w:t>
            </w:r>
          </w:p>
        </w:tc>
        <w:tc>
          <w:tcPr>
            <w:tcW w:w="1000" w:type="pct"/>
            <w:vAlign w:val="center"/>
          </w:tcPr>
          <w:p w14:paraId="1C8060C4">
            <w:pPr>
              <w:pStyle w:val="357"/>
            </w:pPr>
            <w:r>
              <w:t>3.9</w:t>
            </w:r>
          </w:p>
        </w:tc>
        <w:tc>
          <w:tcPr>
            <w:tcW w:w="829" w:type="pct"/>
            <w:vAlign w:val="center"/>
          </w:tcPr>
          <w:p w14:paraId="40174180">
            <w:pPr>
              <w:pStyle w:val="357"/>
            </w:pPr>
            <w:r>
              <w:rPr>
                <w:rFonts w:hint="eastAsia"/>
              </w:rPr>
              <w:t>1</w:t>
            </w:r>
            <w:r>
              <w:t>0</w:t>
            </w:r>
          </w:p>
        </w:tc>
      </w:tr>
      <w:tr w14:paraId="4BFB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814" w:type="pct"/>
            <w:vMerge w:val="restart"/>
            <w:vAlign w:val="center"/>
          </w:tcPr>
          <w:p w14:paraId="72E389A0">
            <w:pPr>
              <w:pStyle w:val="357"/>
            </w:pPr>
            <w:r>
              <w:t>污水处理设施</w:t>
            </w:r>
          </w:p>
        </w:tc>
        <w:tc>
          <w:tcPr>
            <w:tcW w:w="386" w:type="pct"/>
            <w:vAlign w:val="center"/>
          </w:tcPr>
          <w:p w14:paraId="0703AAFB">
            <w:pPr>
              <w:pStyle w:val="357"/>
            </w:pPr>
            <w:r>
              <w:t>NH</w:t>
            </w:r>
            <w:r>
              <w:rPr>
                <w:vertAlign w:val="subscript"/>
              </w:rPr>
              <w:t>3</w:t>
            </w:r>
          </w:p>
        </w:tc>
        <w:tc>
          <w:tcPr>
            <w:tcW w:w="901" w:type="pct"/>
            <w:vMerge w:val="restart"/>
            <w:vAlign w:val="center"/>
          </w:tcPr>
          <w:p w14:paraId="7A683ECD">
            <w:pPr>
              <w:pStyle w:val="357"/>
            </w:pPr>
            <w:r>
              <w:rPr>
                <w:rFonts w:hint="eastAsia"/>
              </w:rPr>
              <w:t>1</w:t>
            </w:r>
            <w:r>
              <w:t>3</w:t>
            </w:r>
          </w:p>
        </w:tc>
        <w:tc>
          <w:tcPr>
            <w:tcW w:w="1068" w:type="pct"/>
            <w:vAlign w:val="center"/>
          </w:tcPr>
          <w:p w14:paraId="16683367">
            <w:pPr>
              <w:pStyle w:val="357"/>
            </w:pPr>
            <w:r>
              <w:t>0.5897</w:t>
            </w:r>
          </w:p>
        </w:tc>
        <w:tc>
          <w:tcPr>
            <w:tcW w:w="1000" w:type="pct"/>
            <w:vAlign w:val="center"/>
          </w:tcPr>
          <w:p w14:paraId="5BD1966A">
            <w:pPr>
              <w:pStyle w:val="357"/>
            </w:pPr>
            <w:r>
              <w:t>0.29</w:t>
            </w:r>
          </w:p>
        </w:tc>
        <w:tc>
          <w:tcPr>
            <w:tcW w:w="829" w:type="pct"/>
            <w:vAlign w:val="center"/>
          </w:tcPr>
          <w:p w14:paraId="3D3F2B65">
            <w:pPr>
              <w:pStyle w:val="357"/>
            </w:pPr>
            <w:r>
              <w:rPr>
                <w:rFonts w:hint="eastAsia"/>
              </w:rPr>
              <w:t>2</w:t>
            </w:r>
            <w:r>
              <w:t>00</w:t>
            </w:r>
          </w:p>
        </w:tc>
      </w:tr>
      <w:tr w14:paraId="5869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14" w:type="pct"/>
            <w:vMerge w:val="continue"/>
            <w:vAlign w:val="center"/>
          </w:tcPr>
          <w:p w14:paraId="3CBA58AF">
            <w:pPr>
              <w:pStyle w:val="357"/>
            </w:pPr>
          </w:p>
        </w:tc>
        <w:tc>
          <w:tcPr>
            <w:tcW w:w="386" w:type="pct"/>
            <w:vAlign w:val="center"/>
          </w:tcPr>
          <w:p w14:paraId="211A7780">
            <w:pPr>
              <w:pStyle w:val="357"/>
            </w:pPr>
            <w:r>
              <w:t>H</w:t>
            </w:r>
            <w:r>
              <w:rPr>
                <w:vertAlign w:val="subscript"/>
              </w:rPr>
              <w:t>2</w:t>
            </w:r>
            <w:r>
              <w:t>S</w:t>
            </w:r>
          </w:p>
        </w:tc>
        <w:tc>
          <w:tcPr>
            <w:tcW w:w="901" w:type="pct"/>
            <w:vMerge w:val="continue"/>
            <w:vAlign w:val="center"/>
          </w:tcPr>
          <w:p w14:paraId="257D5B8A">
            <w:pPr>
              <w:pStyle w:val="357"/>
            </w:pPr>
          </w:p>
        </w:tc>
        <w:tc>
          <w:tcPr>
            <w:tcW w:w="1068" w:type="pct"/>
            <w:vAlign w:val="center"/>
          </w:tcPr>
          <w:p w14:paraId="5486B51F">
            <w:pPr>
              <w:pStyle w:val="357"/>
            </w:pPr>
            <w:r>
              <w:t>0.0197</w:t>
            </w:r>
          </w:p>
        </w:tc>
        <w:tc>
          <w:tcPr>
            <w:tcW w:w="1000" w:type="pct"/>
            <w:vAlign w:val="center"/>
          </w:tcPr>
          <w:p w14:paraId="0B98A493">
            <w:pPr>
              <w:pStyle w:val="357"/>
            </w:pPr>
            <w:r>
              <w:t>0.20</w:t>
            </w:r>
          </w:p>
        </w:tc>
        <w:tc>
          <w:tcPr>
            <w:tcW w:w="829" w:type="pct"/>
            <w:vAlign w:val="center"/>
          </w:tcPr>
          <w:p w14:paraId="56316D68">
            <w:pPr>
              <w:pStyle w:val="357"/>
            </w:pPr>
            <w:r>
              <w:rPr>
                <w:rFonts w:hint="eastAsia"/>
              </w:rPr>
              <w:t>1</w:t>
            </w:r>
            <w:r>
              <w:t>0</w:t>
            </w:r>
          </w:p>
        </w:tc>
      </w:tr>
    </w:tbl>
    <w:p w14:paraId="239F225E">
      <w:pPr>
        <w:spacing w:before="120" w:beforeLines="50"/>
        <w:ind w:firstLine="480"/>
      </w:pPr>
      <w:r>
        <w:t>由</w:t>
      </w:r>
      <w:r>
        <w:rPr>
          <w:rFonts w:hint="eastAsia"/>
        </w:rPr>
        <w:t>AERSCREEN</w:t>
      </w:r>
      <w:r>
        <w:t>估算结果可知，</w:t>
      </w:r>
      <w:r>
        <w:rPr>
          <w:rFonts w:hint="eastAsia"/>
        </w:rPr>
        <w:t>本项目最大地面空气质量浓度占标率P</w:t>
      </w:r>
      <w:r>
        <w:rPr>
          <w:rFonts w:hint="eastAsia"/>
          <w:vertAlign w:val="subscript"/>
        </w:rPr>
        <w:t>max</w:t>
      </w:r>
      <w:r>
        <w:rPr>
          <w:rFonts w:hint="eastAsia"/>
        </w:rPr>
        <w:t>出现为蛋鸡舍排放的H</w:t>
      </w:r>
      <w:r>
        <w:rPr>
          <w:rFonts w:hint="eastAsia"/>
          <w:vertAlign w:val="subscript"/>
        </w:rPr>
        <w:t>2</w:t>
      </w:r>
      <w:r>
        <w:rPr>
          <w:rFonts w:hint="eastAsia"/>
        </w:rPr>
        <w:t>S，P</w:t>
      </w:r>
      <w:r>
        <w:rPr>
          <w:rFonts w:hint="eastAsia"/>
          <w:vertAlign w:val="subscript"/>
        </w:rPr>
        <w:t>max</w:t>
      </w:r>
      <w:r>
        <w:rPr>
          <w:rFonts w:hint="eastAsia"/>
        </w:rPr>
        <w:t>值为3.90%，C</w:t>
      </w:r>
      <w:r>
        <w:rPr>
          <w:rFonts w:hint="eastAsia"/>
          <w:vertAlign w:val="subscript"/>
        </w:rPr>
        <w:t>max</w:t>
      </w:r>
      <w:r>
        <w:rPr>
          <w:rFonts w:hint="eastAsia"/>
        </w:rPr>
        <w:t>为0.39</w:t>
      </w:r>
      <w:r>
        <w:t>μg/m</w:t>
      </w:r>
      <w:r>
        <w:rPr>
          <w:rFonts w:hint="eastAsia"/>
          <w:vertAlign w:val="superscript"/>
        </w:rPr>
        <w:t>3</w:t>
      </w:r>
      <w:r>
        <w:t>。</w:t>
      </w:r>
    </w:p>
    <w:p w14:paraId="5E369E2D">
      <w:pPr>
        <w:autoSpaceDE w:val="0"/>
        <w:autoSpaceDN w:val="0"/>
        <w:adjustRightInd w:val="0"/>
        <w:ind w:firstLine="480"/>
      </w:pPr>
      <w:r>
        <w:t>（2）评价工作等级划分依据</w:t>
      </w:r>
    </w:p>
    <w:p w14:paraId="48DBD0D8">
      <w:pPr>
        <w:ind w:firstLine="480"/>
        <w:rPr>
          <w:b/>
          <w:bCs/>
        </w:rPr>
      </w:pPr>
      <w:r>
        <w:rPr>
          <w:lang w:val="zh-CN"/>
        </w:rPr>
        <w:t>根据《环境影响评价技术导则 大气环境》（HJ 2.2-2018），将大气环境评价工作等级划分情况列于表2.4-</w:t>
      </w:r>
      <w:r>
        <w:rPr>
          <w:rFonts w:hint="eastAsia"/>
        </w:rPr>
        <w:t>5</w:t>
      </w:r>
      <w:r>
        <w:rPr>
          <w:lang w:val="zh-CN"/>
        </w:rPr>
        <w:t>。</w:t>
      </w:r>
    </w:p>
    <w:p w14:paraId="6C64315F">
      <w:pPr>
        <w:ind w:firstLine="0" w:firstLineChars="0"/>
        <w:jc w:val="center"/>
        <w:rPr>
          <w:b/>
          <w:bCs/>
        </w:rPr>
      </w:pPr>
      <w:r>
        <w:rPr>
          <w:b/>
          <w:bCs/>
        </w:rPr>
        <w:t>表2.4-</w:t>
      </w:r>
      <w:r>
        <w:rPr>
          <w:rFonts w:hint="eastAsia"/>
          <w:b/>
          <w:bCs/>
        </w:rPr>
        <w:t>5</w:t>
      </w:r>
      <w:r>
        <w:rPr>
          <w:b/>
          <w:bCs/>
        </w:rPr>
        <w:t xml:space="preserve">   评价工作等级</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828"/>
      </w:tblGrid>
      <w:tr w14:paraId="5BA1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402" w:type="dxa"/>
            <w:vAlign w:val="center"/>
          </w:tcPr>
          <w:p w14:paraId="3CB00ACE">
            <w:pPr>
              <w:spacing w:line="300" w:lineRule="exact"/>
              <w:ind w:firstLine="0" w:firstLineChars="0"/>
              <w:jc w:val="center"/>
              <w:rPr>
                <w:sz w:val="21"/>
                <w:szCs w:val="21"/>
              </w:rPr>
            </w:pPr>
            <w:r>
              <w:rPr>
                <w:sz w:val="21"/>
                <w:szCs w:val="21"/>
              </w:rPr>
              <w:t>评价工作等级</w:t>
            </w:r>
          </w:p>
        </w:tc>
        <w:tc>
          <w:tcPr>
            <w:tcW w:w="6670" w:type="dxa"/>
            <w:vAlign w:val="center"/>
          </w:tcPr>
          <w:p w14:paraId="272F0C83">
            <w:pPr>
              <w:spacing w:line="300" w:lineRule="exact"/>
              <w:ind w:firstLine="0" w:firstLineChars="0"/>
              <w:jc w:val="center"/>
              <w:rPr>
                <w:sz w:val="21"/>
                <w:szCs w:val="21"/>
              </w:rPr>
            </w:pPr>
            <w:r>
              <w:rPr>
                <w:sz w:val="21"/>
                <w:szCs w:val="21"/>
              </w:rPr>
              <w:t>评价工作分级判据</w:t>
            </w:r>
          </w:p>
        </w:tc>
      </w:tr>
      <w:tr w14:paraId="2EB2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402" w:type="dxa"/>
            <w:vAlign w:val="center"/>
          </w:tcPr>
          <w:p w14:paraId="7F3DCA48">
            <w:pPr>
              <w:spacing w:line="300" w:lineRule="exact"/>
              <w:ind w:firstLine="0" w:firstLineChars="0"/>
              <w:jc w:val="center"/>
              <w:rPr>
                <w:sz w:val="21"/>
                <w:szCs w:val="21"/>
              </w:rPr>
            </w:pPr>
            <w:r>
              <w:rPr>
                <w:sz w:val="21"/>
                <w:szCs w:val="21"/>
              </w:rPr>
              <w:t>一级评价</w:t>
            </w:r>
          </w:p>
        </w:tc>
        <w:tc>
          <w:tcPr>
            <w:tcW w:w="6670" w:type="dxa"/>
            <w:vAlign w:val="center"/>
          </w:tcPr>
          <w:p w14:paraId="6CC02DB4">
            <w:pPr>
              <w:spacing w:line="300" w:lineRule="exact"/>
              <w:ind w:firstLine="0" w:firstLineChars="0"/>
              <w:jc w:val="center"/>
              <w:rPr>
                <w:sz w:val="21"/>
                <w:szCs w:val="21"/>
              </w:rPr>
            </w:pPr>
            <w:r>
              <w:rPr>
                <w:i/>
                <w:sz w:val="21"/>
              </w:rPr>
              <w:t>P</w:t>
            </w:r>
            <w:r>
              <w:rPr>
                <w:i/>
                <w:sz w:val="21"/>
                <w:vertAlign w:val="subscript"/>
              </w:rPr>
              <w:t>max</w:t>
            </w:r>
            <w:r>
              <w:rPr>
                <w:sz w:val="21"/>
              </w:rPr>
              <w:t>≥10%</w:t>
            </w:r>
          </w:p>
        </w:tc>
      </w:tr>
      <w:tr w14:paraId="78D7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402" w:type="dxa"/>
            <w:vAlign w:val="center"/>
          </w:tcPr>
          <w:p w14:paraId="0848BA61">
            <w:pPr>
              <w:spacing w:line="300" w:lineRule="exact"/>
              <w:ind w:firstLine="0" w:firstLineChars="0"/>
              <w:jc w:val="center"/>
              <w:rPr>
                <w:sz w:val="21"/>
                <w:szCs w:val="21"/>
              </w:rPr>
            </w:pPr>
            <w:r>
              <w:rPr>
                <w:sz w:val="21"/>
                <w:szCs w:val="21"/>
              </w:rPr>
              <w:t>二级评价</w:t>
            </w:r>
          </w:p>
        </w:tc>
        <w:tc>
          <w:tcPr>
            <w:tcW w:w="6670" w:type="dxa"/>
            <w:vAlign w:val="center"/>
          </w:tcPr>
          <w:p w14:paraId="68A622E9">
            <w:pPr>
              <w:spacing w:line="300" w:lineRule="exact"/>
              <w:ind w:firstLine="0" w:firstLineChars="0"/>
              <w:jc w:val="center"/>
              <w:rPr>
                <w:sz w:val="21"/>
                <w:szCs w:val="21"/>
              </w:rPr>
            </w:pPr>
            <w:r>
              <w:rPr>
                <w:sz w:val="21"/>
              </w:rPr>
              <w:t>1%≤</w:t>
            </w:r>
            <w:r>
              <w:rPr>
                <w:i/>
                <w:sz w:val="21"/>
              </w:rPr>
              <w:t>P</w:t>
            </w:r>
            <w:r>
              <w:rPr>
                <w:i/>
                <w:sz w:val="21"/>
                <w:vertAlign w:val="subscript"/>
              </w:rPr>
              <w:t>max</w:t>
            </w:r>
            <w:r>
              <w:rPr>
                <w:sz w:val="21"/>
              </w:rPr>
              <w:t>＜10%</w:t>
            </w:r>
          </w:p>
        </w:tc>
      </w:tr>
      <w:tr w14:paraId="4241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402" w:type="dxa"/>
            <w:vAlign w:val="center"/>
          </w:tcPr>
          <w:p w14:paraId="4BFDF816">
            <w:pPr>
              <w:spacing w:line="300" w:lineRule="exact"/>
              <w:ind w:firstLine="0" w:firstLineChars="0"/>
              <w:jc w:val="center"/>
              <w:rPr>
                <w:sz w:val="21"/>
                <w:szCs w:val="21"/>
              </w:rPr>
            </w:pPr>
            <w:r>
              <w:rPr>
                <w:sz w:val="21"/>
                <w:szCs w:val="21"/>
              </w:rPr>
              <w:t>三级评价</w:t>
            </w:r>
          </w:p>
        </w:tc>
        <w:tc>
          <w:tcPr>
            <w:tcW w:w="6670" w:type="dxa"/>
            <w:vAlign w:val="center"/>
          </w:tcPr>
          <w:p w14:paraId="215BBF41">
            <w:pPr>
              <w:spacing w:line="300" w:lineRule="exact"/>
              <w:ind w:firstLine="0" w:firstLineChars="0"/>
              <w:jc w:val="center"/>
              <w:rPr>
                <w:sz w:val="21"/>
                <w:szCs w:val="21"/>
              </w:rPr>
            </w:pPr>
            <w:r>
              <w:rPr>
                <w:i/>
                <w:sz w:val="21"/>
              </w:rPr>
              <w:t>P</w:t>
            </w:r>
            <w:r>
              <w:rPr>
                <w:i/>
                <w:sz w:val="21"/>
                <w:vertAlign w:val="subscript"/>
              </w:rPr>
              <w:t>max</w:t>
            </w:r>
            <w:r>
              <w:rPr>
                <w:sz w:val="21"/>
              </w:rPr>
              <w:t>＜1%</w:t>
            </w:r>
          </w:p>
        </w:tc>
      </w:tr>
    </w:tbl>
    <w:p w14:paraId="324C2312">
      <w:pPr>
        <w:autoSpaceDE w:val="0"/>
        <w:autoSpaceDN w:val="0"/>
        <w:adjustRightInd w:val="0"/>
        <w:spacing w:before="240" w:beforeLines="100"/>
        <w:ind w:firstLine="480"/>
        <w:rPr>
          <w:lang w:val="zh-CN"/>
        </w:rPr>
      </w:pPr>
      <w:r>
        <w:rPr>
          <w:lang w:val="zh-CN"/>
        </w:rPr>
        <w:t>（3）评价工作级别确定</w:t>
      </w:r>
    </w:p>
    <w:p w14:paraId="74025896">
      <w:pPr>
        <w:ind w:firstLine="480"/>
        <w:rPr>
          <w:lang w:val="zh-CN"/>
        </w:rPr>
      </w:pPr>
      <w:r>
        <w:rPr>
          <w:lang w:val="zh-CN"/>
        </w:rPr>
        <w:t>由</w:t>
      </w:r>
      <w:r>
        <w:rPr>
          <w:rFonts w:hint="eastAsia"/>
        </w:rPr>
        <w:t>AERSCREEN估算模型</w:t>
      </w:r>
      <w:r>
        <w:rPr>
          <w:lang w:val="zh-CN"/>
        </w:rPr>
        <w:t>计算结果可知，本</w:t>
      </w:r>
      <w:r>
        <w:rPr>
          <w:rFonts w:hint="eastAsia"/>
        </w:rPr>
        <w:t>项目</w:t>
      </w:r>
      <w:r>
        <w:t>P</w:t>
      </w:r>
      <w:r>
        <w:rPr>
          <w:vertAlign w:val="subscript"/>
        </w:rPr>
        <w:t>max</w:t>
      </w:r>
      <w:r>
        <w:t>为3.9%，</w:t>
      </w:r>
      <w:r>
        <w:rPr>
          <w:sz w:val="21"/>
        </w:rPr>
        <w:t>1%≤</w:t>
      </w:r>
      <w:r>
        <w:rPr>
          <w:i/>
          <w:sz w:val="21"/>
        </w:rPr>
        <w:t>P</w:t>
      </w:r>
      <w:r>
        <w:rPr>
          <w:i/>
          <w:sz w:val="21"/>
          <w:vertAlign w:val="subscript"/>
        </w:rPr>
        <w:t>max</w:t>
      </w:r>
      <w:r>
        <w:rPr>
          <w:sz w:val="21"/>
        </w:rPr>
        <w:t>＜10%</w:t>
      </w:r>
      <w:r>
        <w:rPr>
          <w:rFonts w:hint="eastAsia"/>
          <w:sz w:val="21"/>
        </w:rPr>
        <w:t>，满足大气环境评价工作二级要求，因此，本项目大气环境影响评价工作等级确定为二级</w:t>
      </w:r>
      <w:r>
        <w:rPr>
          <w:lang w:val="zh-CN"/>
        </w:rPr>
        <w:t>。</w:t>
      </w:r>
    </w:p>
    <w:p w14:paraId="0DC6A4D4">
      <w:pPr>
        <w:pStyle w:val="12"/>
        <w:widowControl w:val="0"/>
        <w:jc w:val="both"/>
        <w:rPr>
          <w:szCs w:val="24"/>
        </w:rPr>
      </w:pPr>
      <w:bookmarkStart w:id="122" w:name="_Toc336012415"/>
      <w:bookmarkStart w:id="123" w:name="_Toc331862320"/>
      <w:bookmarkStart w:id="124" w:name="_Toc331848921"/>
      <w:r>
        <w:rPr>
          <w:szCs w:val="24"/>
        </w:rPr>
        <w:t>2.4.1.2</w:t>
      </w:r>
      <w:bookmarkEnd w:id="122"/>
      <w:bookmarkEnd w:id="123"/>
      <w:bookmarkEnd w:id="124"/>
      <w:bookmarkStart w:id="125" w:name="_Toc331862321"/>
      <w:bookmarkStart w:id="126" w:name="_Toc331848922"/>
      <w:bookmarkStart w:id="127" w:name="_Toc336012416"/>
      <w:r>
        <w:rPr>
          <w:szCs w:val="24"/>
        </w:rPr>
        <w:t>地表水环境评价等级</w:t>
      </w:r>
    </w:p>
    <w:p w14:paraId="3DD554DD">
      <w:pPr>
        <w:pStyle w:val="105"/>
        <w:ind w:firstLine="480"/>
      </w:pPr>
      <w:r>
        <w:t>本项目对养殖场的废水实行废水资源化利用，项目运行后产生的养殖废水经污水处理设施处理后无害化利用</w:t>
      </w:r>
      <w:r>
        <w:rPr>
          <w:rFonts w:hint="eastAsia"/>
        </w:rPr>
        <w:t>，无直接排放口</w:t>
      </w:r>
      <w:r>
        <w:t>。根据《环境影响评价技术导则地表水》（HJ2.3-2018），地表水评价等级为三级B。</w:t>
      </w:r>
    </w:p>
    <w:p w14:paraId="38B01A93">
      <w:pPr>
        <w:pStyle w:val="12"/>
        <w:widowControl w:val="0"/>
        <w:jc w:val="both"/>
        <w:rPr>
          <w:szCs w:val="24"/>
        </w:rPr>
      </w:pPr>
      <w:r>
        <w:rPr>
          <w:szCs w:val="24"/>
        </w:rPr>
        <w:t>2.4.1.3地下水环境评价等级</w:t>
      </w:r>
    </w:p>
    <w:p w14:paraId="5D969877">
      <w:pPr>
        <w:pStyle w:val="105"/>
        <w:ind w:firstLine="480"/>
      </w:pPr>
      <w:r>
        <w:t>根据《环境影响评价技术导则地下水环境》（HJ610-2016），建设项目地下水环境影响评价工作等级划分应根据建设项目行业分类和地下水环境敏感程度分级进行判定。</w:t>
      </w:r>
    </w:p>
    <w:p w14:paraId="2884B522">
      <w:pPr>
        <w:pStyle w:val="105"/>
        <w:ind w:firstLine="480"/>
      </w:pPr>
      <w:r>
        <w:t>（1）项目分类</w:t>
      </w:r>
    </w:p>
    <w:bookmarkEnd w:id="125"/>
    <w:bookmarkEnd w:id="126"/>
    <w:bookmarkEnd w:id="127"/>
    <w:p w14:paraId="327C9FE6">
      <w:pPr>
        <w:pStyle w:val="105"/>
        <w:ind w:firstLine="480"/>
      </w:pPr>
      <w:r>
        <w:t>根据《环境影响评价技术导则地下水环境》（HJ610-2016）评价工作等级划分：本项目属于附录A中B、农、林、牧、渔、海洋14、畜禽养殖场、养殖小区，属于Ⅲ类项目。</w:t>
      </w:r>
    </w:p>
    <w:p w14:paraId="39154586">
      <w:pPr>
        <w:pStyle w:val="105"/>
        <w:ind w:firstLine="480"/>
      </w:pPr>
      <w:r>
        <w:t>（2）地下水环境敏感程度</w:t>
      </w:r>
    </w:p>
    <w:p w14:paraId="66994A17">
      <w:pPr>
        <w:pStyle w:val="743"/>
        <w:rPr>
          <w:rFonts w:cs="Times New Roman"/>
        </w:rPr>
      </w:pPr>
      <w:r>
        <w:rPr>
          <w:rFonts w:cs="Times New Roman"/>
        </w:rPr>
        <w:t>表2.4-</w:t>
      </w:r>
      <w:r>
        <w:rPr>
          <w:rFonts w:hint="eastAsia" w:cs="Times New Roman"/>
        </w:rPr>
        <w:t xml:space="preserve">6 </w:t>
      </w:r>
      <w:r>
        <w:rPr>
          <w:rFonts w:cs="Times New Roman"/>
        </w:rPr>
        <w:t>地下水环境</w:t>
      </w:r>
      <w:r>
        <w:rPr>
          <w:rFonts w:hint="eastAsia" w:cs="Times New Roman"/>
        </w:rPr>
        <w:t>敏感程度分级表</w:t>
      </w:r>
    </w:p>
    <w:p w14:paraId="7C5138D8">
      <w:pPr>
        <w:spacing w:before="16" w:line="80" w:lineRule="exact"/>
        <w:ind w:firstLine="160"/>
        <w:rPr>
          <w:sz w:val="8"/>
          <w:szCs w:val="8"/>
        </w:rPr>
      </w:pPr>
    </w:p>
    <w:tbl>
      <w:tblPr>
        <w:tblStyle w:val="82"/>
        <w:tblW w:w="50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98"/>
        <w:gridCol w:w="834"/>
        <w:gridCol w:w="7196"/>
      </w:tblGrid>
      <w:tr w14:paraId="702D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649" w:type="pct"/>
            <w:vAlign w:val="center"/>
          </w:tcPr>
          <w:p w14:paraId="6E2A77A4">
            <w:pPr>
              <w:pStyle w:val="357"/>
              <w:tabs>
                <w:tab w:val="left" w:pos="0"/>
              </w:tabs>
              <w:rPr>
                <w:snapToGrid w:val="0"/>
              </w:rPr>
            </w:pPr>
            <w:r>
              <w:rPr>
                <w:snapToGrid w:val="0"/>
              </w:rPr>
              <w:t>划分依据</w:t>
            </w:r>
          </w:p>
        </w:tc>
        <w:tc>
          <w:tcPr>
            <w:tcW w:w="452" w:type="pct"/>
            <w:vAlign w:val="center"/>
          </w:tcPr>
          <w:p w14:paraId="0E0B3C7C">
            <w:pPr>
              <w:pStyle w:val="357"/>
              <w:tabs>
                <w:tab w:val="left" w:pos="0"/>
              </w:tabs>
              <w:rPr>
                <w:snapToGrid w:val="0"/>
              </w:rPr>
            </w:pPr>
            <w:r>
              <w:rPr>
                <w:snapToGrid w:val="0"/>
              </w:rPr>
              <w:t>分级</w:t>
            </w:r>
          </w:p>
        </w:tc>
        <w:tc>
          <w:tcPr>
            <w:tcW w:w="3897" w:type="pct"/>
            <w:vAlign w:val="center"/>
          </w:tcPr>
          <w:p w14:paraId="6628F69E">
            <w:pPr>
              <w:pStyle w:val="357"/>
              <w:tabs>
                <w:tab w:val="left" w:pos="0"/>
              </w:tabs>
              <w:rPr>
                <w:snapToGrid w:val="0"/>
              </w:rPr>
            </w:pPr>
            <w:r>
              <w:rPr>
                <w:snapToGrid w:val="0"/>
              </w:rPr>
              <w:t>分级规定</w:t>
            </w:r>
          </w:p>
        </w:tc>
      </w:tr>
      <w:tr w14:paraId="0768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0" w:hRule="atLeast"/>
          <w:jc w:val="center"/>
        </w:trPr>
        <w:tc>
          <w:tcPr>
            <w:tcW w:w="649" w:type="pct"/>
            <w:vMerge w:val="restart"/>
            <w:vAlign w:val="center"/>
          </w:tcPr>
          <w:p w14:paraId="4A8134AA">
            <w:pPr>
              <w:pStyle w:val="357"/>
              <w:tabs>
                <w:tab w:val="left" w:pos="0"/>
              </w:tabs>
              <w:rPr>
                <w:snapToGrid w:val="0"/>
                <w:lang w:eastAsia="zh-CN"/>
              </w:rPr>
            </w:pPr>
            <w:r>
              <w:rPr>
                <w:snapToGrid w:val="0"/>
                <w:lang w:eastAsia="zh-CN"/>
              </w:rPr>
              <w:t>地下水环境敏感程度分级</w:t>
            </w:r>
          </w:p>
        </w:tc>
        <w:tc>
          <w:tcPr>
            <w:tcW w:w="452" w:type="pct"/>
            <w:vAlign w:val="center"/>
          </w:tcPr>
          <w:p w14:paraId="2B242FBD">
            <w:pPr>
              <w:pStyle w:val="357"/>
              <w:tabs>
                <w:tab w:val="left" w:pos="0"/>
              </w:tabs>
              <w:rPr>
                <w:snapToGrid w:val="0"/>
              </w:rPr>
            </w:pPr>
            <w:r>
              <w:rPr>
                <w:snapToGrid w:val="0"/>
              </w:rPr>
              <w:t>敏感</w:t>
            </w:r>
          </w:p>
        </w:tc>
        <w:tc>
          <w:tcPr>
            <w:tcW w:w="3897" w:type="pct"/>
            <w:vAlign w:val="center"/>
          </w:tcPr>
          <w:p w14:paraId="657C8625">
            <w:pPr>
              <w:pStyle w:val="357"/>
              <w:tabs>
                <w:tab w:val="left" w:pos="0"/>
              </w:tabs>
              <w:rPr>
                <w:snapToGrid w:val="0"/>
                <w:szCs w:val="21"/>
                <w:lang w:eastAsia="zh-CN"/>
              </w:rPr>
            </w:pPr>
            <w:r>
              <w:rPr>
                <w:snapToGrid w:val="0"/>
                <w:szCs w:val="21"/>
                <w:lang w:eastAsia="zh-CN"/>
              </w:rPr>
              <w:t>集中式饮用水源地（包括已建成的在用、备用、应急水源地，在建和规划的水源地）准保护区；除集中式饮用水水源地以外的国家或地方政府设定的与地下水环境相关的其他保护区。如热水、矿泉水、温泉等特殊地下水资源保护区。</w:t>
            </w:r>
          </w:p>
        </w:tc>
      </w:tr>
      <w:tr w14:paraId="3713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649" w:type="pct"/>
            <w:vMerge w:val="continue"/>
            <w:vAlign w:val="center"/>
          </w:tcPr>
          <w:p w14:paraId="2FE4B7DA">
            <w:pPr>
              <w:pStyle w:val="357"/>
              <w:tabs>
                <w:tab w:val="left" w:pos="0"/>
              </w:tabs>
              <w:rPr>
                <w:snapToGrid w:val="0"/>
                <w:szCs w:val="22"/>
                <w:lang w:eastAsia="zh-CN"/>
              </w:rPr>
            </w:pPr>
          </w:p>
        </w:tc>
        <w:tc>
          <w:tcPr>
            <w:tcW w:w="452" w:type="pct"/>
            <w:vAlign w:val="center"/>
          </w:tcPr>
          <w:p w14:paraId="52ADFDF7">
            <w:pPr>
              <w:pStyle w:val="357"/>
              <w:tabs>
                <w:tab w:val="left" w:pos="0"/>
              </w:tabs>
              <w:rPr>
                <w:snapToGrid w:val="0"/>
              </w:rPr>
            </w:pPr>
            <w:r>
              <w:rPr>
                <w:snapToGrid w:val="0"/>
              </w:rPr>
              <w:t>较敏感</w:t>
            </w:r>
          </w:p>
        </w:tc>
        <w:tc>
          <w:tcPr>
            <w:tcW w:w="3897" w:type="pct"/>
            <w:vAlign w:val="center"/>
          </w:tcPr>
          <w:p w14:paraId="37F76D64">
            <w:pPr>
              <w:pStyle w:val="357"/>
              <w:tabs>
                <w:tab w:val="left" w:pos="0"/>
              </w:tabs>
              <w:rPr>
                <w:snapToGrid w:val="0"/>
                <w:lang w:eastAsia="zh-CN"/>
              </w:rPr>
            </w:pPr>
            <w:r>
              <w:rPr>
                <w:snapToGrid w:val="0"/>
                <w:lang w:eastAsia="zh-CN"/>
              </w:rPr>
              <w:t>集中式饮用水源地（包括已建的在用、备用、应急水，在源地建和规划的水源地）准保护区以外的补给径流区；未划定准保护区的集中水式饮用水水源，其保护区以外的补给径流区；分散式饮用水水源地；特殊地下水资源（如矿泉水、温泉等）保护区以外的分布区等其他未列入上述敏感分级的环境敏感区a。</w:t>
            </w:r>
          </w:p>
        </w:tc>
      </w:tr>
      <w:tr w14:paraId="1711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649" w:type="pct"/>
            <w:vMerge w:val="continue"/>
            <w:vAlign w:val="center"/>
          </w:tcPr>
          <w:p w14:paraId="361F61E1">
            <w:pPr>
              <w:pStyle w:val="357"/>
              <w:tabs>
                <w:tab w:val="left" w:pos="0"/>
              </w:tabs>
              <w:rPr>
                <w:snapToGrid w:val="0"/>
                <w:szCs w:val="22"/>
                <w:lang w:eastAsia="zh-CN"/>
              </w:rPr>
            </w:pPr>
          </w:p>
        </w:tc>
        <w:tc>
          <w:tcPr>
            <w:tcW w:w="452" w:type="pct"/>
            <w:vAlign w:val="center"/>
          </w:tcPr>
          <w:p w14:paraId="2194A20D">
            <w:pPr>
              <w:pStyle w:val="357"/>
              <w:tabs>
                <w:tab w:val="left" w:pos="0"/>
              </w:tabs>
              <w:rPr>
                <w:snapToGrid w:val="0"/>
              </w:rPr>
            </w:pPr>
            <w:r>
              <w:rPr>
                <w:snapToGrid w:val="0"/>
              </w:rPr>
              <w:t>不敏感</w:t>
            </w:r>
          </w:p>
        </w:tc>
        <w:tc>
          <w:tcPr>
            <w:tcW w:w="3897" w:type="pct"/>
            <w:vAlign w:val="center"/>
          </w:tcPr>
          <w:p w14:paraId="049992D4">
            <w:pPr>
              <w:pStyle w:val="357"/>
              <w:tabs>
                <w:tab w:val="left" w:pos="0"/>
              </w:tabs>
              <w:rPr>
                <w:snapToGrid w:val="0"/>
                <w:lang w:eastAsia="zh-CN"/>
              </w:rPr>
            </w:pPr>
            <w:r>
              <w:rPr>
                <w:snapToGrid w:val="0"/>
                <w:lang w:eastAsia="zh-CN"/>
              </w:rPr>
              <w:t>上述地区之外的其他地区。</w:t>
            </w:r>
          </w:p>
        </w:tc>
      </w:tr>
      <w:tr w14:paraId="0967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00" w:type="pct"/>
            <w:gridSpan w:val="3"/>
            <w:vAlign w:val="center"/>
          </w:tcPr>
          <w:p w14:paraId="53814E70">
            <w:pPr>
              <w:pStyle w:val="357"/>
              <w:tabs>
                <w:tab w:val="left" w:pos="0"/>
              </w:tabs>
              <w:rPr>
                <w:snapToGrid w:val="0"/>
                <w:lang w:eastAsia="zh-CN"/>
              </w:rPr>
            </w:pPr>
            <w:r>
              <w:rPr>
                <w:snapToGrid w:val="0"/>
                <w:lang w:eastAsia="zh-CN"/>
              </w:rPr>
              <w:t>注：a“环境敏感区”是指《建设项目环境影响评价分类管理名录》中所界定的涉及地下水的环境敏感区。</w:t>
            </w:r>
          </w:p>
        </w:tc>
      </w:tr>
    </w:tbl>
    <w:p w14:paraId="7211B300">
      <w:pPr>
        <w:pStyle w:val="105"/>
        <w:ind w:firstLine="480"/>
      </w:pPr>
      <w:r>
        <w:rPr>
          <w:rFonts w:hint="eastAsia"/>
        </w:rPr>
        <w:t>距离本项目周边涉及分散式居民饮用水水井和集中式饮用水水源地，最近居民饮用水水井0.9km，距离伊克布拉格水源地保护区1.227km。</w:t>
      </w:r>
      <w:r>
        <w:t>根据《环境影响评价技术导则地下水环境》（HJ610-2016）</w:t>
      </w:r>
      <w:r>
        <w:rPr>
          <w:rFonts w:hint="eastAsia"/>
        </w:rPr>
        <w:t>中</w:t>
      </w:r>
      <w:r>
        <w:t>地下水环境敏感程度分级表</w:t>
      </w:r>
      <w:r>
        <w:rPr>
          <w:rFonts w:hint="eastAsia"/>
        </w:rPr>
        <w:t>确定，本项目地下水环境敏感程度为敏感。</w:t>
      </w:r>
    </w:p>
    <w:p w14:paraId="16E4C843">
      <w:pPr>
        <w:pStyle w:val="105"/>
        <w:ind w:firstLine="480"/>
      </w:pPr>
      <w:r>
        <w:t>（3）评价工作等级</w:t>
      </w:r>
    </w:p>
    <w:p w14:paraId="53EC3477">
      <w:pPr>
        <w:pStyle w:val="743"/>
        <w:rPr>
          <w:rFonts w:cs="Times New Roman"/>
        </w:rPr>
      </w:pPr>
      <w:r>
        <w:rPr>
          <w:rFonts w:cs="Times New Roman"/>
        </w:rPr>
        <w:t>表2.4-</w:t>
      </w:r>
      <w:r>
        <w:rPr>
          <w:rFonts w:hint="eastAsia" w:cs="Times New Roman"/>
        </w:rPr>
        <w:t>7</w:t>
      </w:r>
      <w:r>
        <w:rPr>
          <w:rFonts w:cs="Times New Roman"/>
        </w:rPr>
        <w:t>评价工作等级分级表</w:t>
      </w:r>
    </w:p>
    <w:tbl>
      <w:tblPr>
        <w:tblStyle w:val="8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17"/>
        <w:gridCol w:w="2125"/>
        <w:gridCol w:w="2322"/>
        <w:gridCol w:w="2323"/>
      </w:tblGrid>
      <w:tr w14:paraId="25F5A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55" w:type="pct"/>
            <w:tcBorders>
              <w:top w:val="single" w:color="auto" w:sz="4" w:space="0"/>
              <w:left w:val="single" w:color="auto" w:sz="4" w:space="0"/>
              <w:bottom w:val="single" w:color="auto" w:sz="4" w:space="0"/>
              <w:right w:val="single" w:color="auto" w:sz="4" w:space="0"/>
              <w:tl2br w:val="single" w:color="000000" w:sz="4" w:space="0"/>
            </w:tcBorders>
            <w:vAlign w:val="center"/>
          </w:tcPr>
          <w:p w14:paraId="073F6067">
            <w:pPr>
              <w:pStyle w:val="357"/>
              <w:tabs>
                <w:tab w:val="left" w:pos="0"/>
              </w:tabs>
              <w:jc w:val="right"/>
              <w:rPr>
                <w:snapToGrid w:val="0"/>
                <w:lang w:eastAsia="zh-CN"/>
              </w:rPr>
            </w:pPr>
            <w:r>
              <w:rPr>
                <w:snapToGrid w:val="0"/>
                <w:lang w:eastAsia="zh-CN"/>
              </w:rPr>
              <w:t>项目类别</w:t>
            </w:r>
          </w:p>
          <w:p w14:paraId="16A89E1F">
            <w:pPr>
              <w:pStyle w:val="357"/>
              <w:tabs>
                <w:tab w:val="left" w:pos="0"/>
              </w:tabs>
              <w:jc w:val="both"/>
              <w:rPr>
                <w:snapToGrid w:val="0"/>
                <w:lang w:eastAsia="zh-CN"/>
              </w:rPr>
            </w:pPr>
            <w:r>
              <w:rPr>
                <w:snapToGrid w:val="0"/>
                <w:lang w:eastAsia="zh-CN"/>
              </w:rPr>
              <w:t>环境敏感程度</w:t>
            </w:r>
          </w:p>
        </w:tc>
        <w:tc>
          <w:tcPr>
            <w:tcW w:w="1144" w:type="pct"/>
            <w:tcBorders>
              <w:top w:val="single" w:color="auto" w:sz="4" w:space="0"/>
              <w:left w:val="single" w:color="auto" w:sz="4" w:space="0"/>
              <w:bottom w:val="single" w:color="auto" w:sz="4" w:space="0"/>
              <w:right w:val="single" w:color="auto" w:sz="4" w:space="0"/>
            </w:tcBorders>
            <w:vAlign w:val="center"/>
          </w:tcPr>
          <w:p w14:paraId="341DCA38">
            <w:pPr>
              <w:pStyle w:val="357"/>
              <w:tabs>
                <w:tab w:val="left" w:pos="0"/>
              </w:tabs>
              <w:rPr>
                <w:snapToGrid w:val="0"/>
              </w:rPr>
            </w:pPr>
            <w:r>
              <w:rPr>
                <w:snapToGrid w:val="0"/>
              </w:rPr>
              <w:t>Ⅰ类项目</w:t>
            </w:r>
          </w:p>
        </w:tc>
        <w:tc>
          <w:tcPr>
            <w:tcW w:w="1250" w:type="pct"/>
            <w:tcBorders>
              <w:top w:val="single" w:color="auto" w:sz="4" w:space="0"/>
              <w:left w:val="single" w:color="auto" w:sz="4" w:space="0"/>
              <w:bottom w:val="single" w:color="auto" w:sz="4" w:space="0"/>
              <w:right w:val="single" w:color="auto" w:sz="4" w:space="0"/>
            </w:tcBorders>
            <w:vAlign w:val="center"/>
          </w:tcPr>
          <w:p w14:paraId="6CE9EAC5">
            <w:pPr>
              <w:pStyle w:val="357"/>
              <w:tabs>
                <w:tab w:val="left" w:pos="0"/>
              </w:tabs>
              <w:rPr>
                <w:snapToGrid w:val="0"/>
              </w:rPr>
            </w:pPr>
            <w:r>
              <w:rPr>
                <w:snapToGrid w:val="0"/>
              </w:rPr>
              <w:t>Ⅱ类项目</w:t>
            </w:r>
          </w:p>
        </w:tc>
        <w:tc>
          <w:tcPr>
            <w:tcW w:w="1250" w:type="pct"/>
            <w:tcBorders>
              <w:top w:val="single" w:color="auto" w:sz="4" w:space="0"/>
              <w:left w:val="single" w:color="auto" w:sz="4" w:space="0"/>
              <w:bottom w:val="single" w:color="auto" w:sz="4" w:space="0"/>
              <w:right w:val="single" w:color="auto" w:sz="4" w:space="0"/>
            </w:tcBorders>
            <w:vAlign w:val="center"/>
          </w:tcPr>
          <w:p w14:paraId="3C715BF4">
            <w:pPr>
              <w:pStyle w:val="357"/>
              <w:tabs>
                <w:tab w:val="left" w:pos="0"/>
              </w:tabs>
              <w:rPr>
                <w:snapToGrid w:val="0"/>
              </w:rPr>
            </w:pPr>
            <w:r>
              <w:rPr>
                <w:snapToGrid w:val="0"/>
              </w:rPr>
              <w:t>Ⅲ类项目</w:t>
            </w:r>
          </w:p>
        </w:tc>
      </w:tr>
      <w:tr w14:paraId="3D33D2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55" w:type="pct"/>
            <w:tcBorders>
              <w:top w:val="single" w:color="auto" w:sz="4" w:space="0"/>
              <w:left w:val="single" w:color="auto" w:sz="4" w:space="0"/>
              <w:bottom w:val="single" w:color="auto" w:sz="4" w:space="0"/>
              <w:right w:val="single" w:color="auto" w:sz="4" w:space="0"/>
            </w:tcBorders>
            <w:vAlign w:val="center"/>
          </w:tcPr>
          <w:p w14:paraId="4AB4C4E8">
            <w:pPr>
              <w:pStyle w:val="357"/>
              <w:tabs>
                <w:tab w:val="left" w:pos="0"/>
              </w:tabs>
              <w:rPr>
                <w:snapToGrid w:val="0"/>
              </w:rPr>
            </w:pPr>
            <w:r>
              <w:rPr>
                <w:snapToGrid w:val="0"/>
              </w:rPr>
              <w:t>敏感</w:t>
            </w:r>
          </w:p>
        </w:tc>
        <w:tc>
          <w:tcPr>
            <w:tcW w:w="1144" w:type="pct"/>
            <w:tcBorders>
              <w:top w:val="single" w:color="auto" w:sz="4" w:space="0"/>
              <w:left w:val="single" w:color="auto" w:sz="4" w:space="0"/>
              <w:bottom w:val="single" w:color="auto" w:sz="4" w:space="0"/>
              <w:right w:val="single" w:color="auto" w:sz="4" w:space="0"/>
            </w:tcBorders>
            <w:vAlign w:val="center"/>
          </w:tcPr>
          <w:p w14:paraId="63D64B74">
            <w:pPr>
              <w:pStyle w:val="357"/>
              <w:tabs>
                <w:tab w:val="left" w:pos="0"/>
              </w:tabs>
              <w:rPr>
                <w:snapToGrid w:val="0"/>
              </w:rPr>
            </w:pPr>
            <w:r>
              <w:rPr>
                <w:snapToGrid w:val="0"/>
              </w:rPr>
              <w:t>一</w:t>
            </w:r>
          </w:p>
        </w:tc>
        <w:tc>
          <w:tcPr>
            <w:tcW w:w="1250" w:type="pct"/>
            <w:tcBorders>
              <w:top w:val="single" w:color="auto" w:sz="4" w:space="0"/>
              <w:left w:val="single" w:color="auto" w:sz="4" w:space="0"/>
              <w:bottom w:val="single" w:color="auto" w:sz="4" w:space="0"/>
              <w:right w:val="single" w:color="auto" w:sz="4" w:space="0"/>
            </w:tcBorders>
            <w:vAlign w:val="center"/>
          </w:tcPr>
          <w:p w14:paraId="30DF48CF">
            <w:pPr>
              <w:pStyle w:val="357"/>
              <w:tabs>
                <w:tab w:val="left" w:pos="0"/>
              </w:tabs>
              <w:rPr>
                <w:snapToGrid w:val="0"/>
              </w:rPr>
            </w:pPr>
            <w:r>
              <w:rPr>
                <w:snapToGrid w:val="0"/>
              </w:rPr>
              <w:t>一</w:t>
            </w:r>
          </w:p>
        </w:tc>
        <w:tc>
          <w:tcPr>
            <w:tcW w:w="1250" w:type="pct"/>
            <w:tcBorders>
              <w:top w:val="single" w:color="auto" w:sz="4" w:space="0"/>
              <w:left w:val="single" w:color="auto" w:sz="4" w:space="0"/>
              <w:bottom w:val="single" w:color="auto" w:sz="4" w:space="0"/>
              <w:right w:val="single" w:color="auto" w:sz="4" w:space="0"/>
            </w:tcBorders>
            <w:shd w:val="clear" w:color="auto" w:fill="80C588" w:themeFill="background1" w:themeFillShade="BF"/>
            <w:vAlign w:val="center"/>
          </w:tcPr>
          <w:p w14:paraId="5EE2D963">
            <w:pPr>
              <w:pStyle w:val="357"/>
              <w:tabs>
                <w:tab w:val="left" w:pos="0"/>
              </w:tabs>
              <w:rPr>
                <w:b/>
                <w:snapToGrid w:val="0"/>
              </w:rPr>
            </w:pPr>
            <w:r>
              <w:rPr>
                <w:b/>
                <w:snapToGrid w:val="0"/>
              </w:rPr>
              <w:t>二</w:t>
            </w:r>
          </w:p>
        </w:tc>
      </w:tr>
      <w:tr w14:paraId="11F80B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55" w:type="pct"/>
            <w:tcBorders>
              <w:top w:val="single" w:color="auto" w:sz="4" w:space="0"/>
              <w:left w:val="single" w:color="auto" w:sz="4" w:space="0"/>
              <w:bottom w:val="single" w:color="auto" w:sz="4" w:space="0"/>
              <w:right w:val="single" w:color="auto" w:sz="4" w:space="0"/>
            </w:tcBorders>
            <w:vAlign w:val="center"/>
          </w:tcPr>
          <w:p w14:paraId="64D602AA">
            <w:pPr>
              <w:pStyle w:val="357"/>
              <w:tabs>
                <w:tab w:val="left" w:pos="0"/>
              </w:tabs>
              <w:rPr>
                <w:snapToGrid w:val="0"/>
              </w:rPr>
            </w:pPr>
            <w:r>
              <w:rPr>
                <w:snapToGrid w:val="0"/>
              </w:rPr>
              <w:t>较敏感</w:t>
            </w:r>
          </w:p>
        </w:tc>
        <w:tc>
          <w:tcPr>
            <w:tcW w:w="1144" w:type="pct"/>
            <w:tcBorders>
              <w:top w:val="single" w:color="auto" w:sz="4" w:space="0"/>
              <w:left w:val="single" w:color="auto" w:sz="4" w:space="0"/>
              <w:bottom w:val="single" w:color="auto" w:sz="4" w:space="0"/>
              <w:right w:val="single" w:color="auto" w:sz="4" w:space="0"/>
            </w:tcBorders>
            <w:vAlign w:val="center"/>
          </w:tcPr>
          <w:p w14:paraId="5017DBAF">
            <w:pPr>
              <w:pStyle w:val="357"/>
              <w:tabs>
                <w:tab w:val="left" w:pos="0"/>
              </w:tabs>
              <w:rPr>
                <w:snapToGrid w:val="0"/>
              </w:rPr>
            </w:pPr>
            <w:r>
              <w:rPr>
                <w:snapToGrid w:val="0"/>
              </w:rPr>
              <w:t>二</w:t>
            </w:r>
          </w:p>
        </w:tc>
        <w:tc>
          <w:tcPr>
            <w:tcW w:w="1250" w:type="pct"/>
            <w:tcBorders>
              <w:top w:val="single" w:color="auto" w:sz="4" w:space="0"/>
              <w:left w:val="single" w:color="auto" w:sz="4" w:space="0"/>
              <w:bottom w:val="single" w:color="auto" w:sz="4" w:space="0"/>
              <w:right w:val="single" w:color="auto" w:sz="4" w:space="0"/>
            </w:tcBorders>
            <w:vAlign w:val="center"/>
          </w:tcPr>
          <w:p w14:paraId="1DFB4B5D">
            <w:pPr>
              <w:pStyle w:val="357"/>
              <w:tabs>
                <w:tab w:val="left" w:pos="0"/>
              </w:tabs>
              <w:rPr>
                <w:snapToGrid w:val="0"/>
              </w:rPr>
            </w:pPr>
            <w:r>
              <w:rPr>
                <w:snapToGrid w:val="0"/>
              </w:rPr>
              <w:t>二</w:t>
            </w:r>
          </w:p>
        </w:tc>
        <w:tc>
          <w:tcPr>
            <w:tcW w:w="1250" w:type="pct"/>
            <w:tcBorders>
              <w:top w:val="single" w:color="auto" w:sz="4" w:space="0"/>
              <w:left w:val="single" w:color="auto" w:sz="4" w:space="0"/>
              <w:bottom w:val="single" w:color="auto" w:sz="4" w:space="0"/>
              <w:right w:val="single" w:color="auto" w:sz="4" w:space="0"/>
            </w:tcBorders>
            <w:shd w:val="clear" w:color="auto" w:fill="auto"/>
            <w:vAlign w:val="center"/>
          </w:tcPr>
          <w:p w14:paraId="4C7D2E5F">
            <w:pPr>
              <w:pStyle w:val="357"/>
              <w:tabs>
                <w:tab w:val="left" w:pos="0"/>
              </w:tabs>
              <w:rPr>
                <w:b/>
                <w:snapToGrid w:val="0"/>
              </w:rPr>
            </w:pPr>
            <w:r>
              <w:rPr>
                <w:b/>
                <w:snapToGrid w:val="0"/>
              </w:rPr>
              <w:t>三</w:t>
            </w:r>
          </w:p>
        </w:tc>
      </w:tr>
      <w:tr w14:paraId="574B2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55" w:type="pct"/>
            <w:tcBorders>
              <w:top w:val="single" w:color="auto" w:sz="4" w:space="0"/>
              <w:left w:val="single" w:color="auto" w:sz="4" w:space="0"/>
              <w:bottom w:val="single" w:color="auto" w:sz="4" w:space="0"/>
              <w:right w:val="single" w:color="auto" w:sz="4" w:space="0"/>
            </w:tcBorders>
            <w:vAlign w:val="center"/>
          </w:tcPr>
          <w:p w14:paraId="2FA9651A">
            <w:pPr>
              <w:pStyle w:val="357"/>
              <w:tabs>
                <w:tab w:val="left" w:pos="0"/>
              </w:tabs>
              <w:rPr>
                <w:snapToGrid w:val="0"/>
              </w:rPr>
            </w:pPr>
            <w:r>
              <w:rPr>
                <w:snapToGrid w:val="0"/>
              </w:rPr>
              <w:t>不敏感</w:t>
            </w:r>
          </w:p>
        </w:tc>
        <w:tc>
          <w:tcPr>
            <w:tcW w:w="1144" w:type="pct"/>
            <w:tcBorders>
              <w:top w:val="single" w:color="auto" w:sz="4" w:space="0"/>
              <w:left w:val="single" w:color="auto" w:sz="4" w:space="0"/>
              <w:bottom w:val="single" w:color="auto" w:sz="4" w:space="0"/>
              <w:right w:val="single" w:color="auto" w:sz="4" w:space="0"/>
            </w:tcBorders>
            <w:vAlign w:val="center"/>
          </w:tcPr>
          <w:p w14:paraId="7CA1E763">
            <w:pPr>
              <w:pStyle w:val="357"/>
              <w:tabs>
                <w:tab w:val="left" w:pos="0"/>
              </w:tabs>
              <w:rPr>
                <w:snapToGrid w:val="0"/>
              </w:rPr>
            </w:pPr>
            <w:r>
              <w:rPr>
                <w:snapToGrid w:val="0"/>
              </w:rPr>
              <w:t>二</w:t>
            </w:r>
          </w:p>
        </w:tc>
        <w:tc>
          <w:tcPr>
            <w:tcW w:w="1250" w:type="pct"/>
            <w:tcBorders>
              <w:top w:val="single" w:color="auto" w:sz="4" w:space="0"/>
              <w:left w:val="single" w:color="auto" w:sz="4" w:space="0"/>
              <w:bottom w:val="single" w:color="auto" w:sz="4" w:space="0"/>
              <w:right w:val="single" w:color="auto" w:sz="4" w:space="0"/>
            </w:tcBorders>
            <w:vAlign w:val="center"/>
          </w:tcPr>
          <w:p w14:paraId="540F8C11">
            <w:pPr>
              <w:pStyle w:val="357"/>
              <w:tabs>
                <w:tab w:val="left" w:pos="0"/>
              </w:tabs>
              <w:rPr>
                <w:snapToGrid w:val="0"/>
              </w:rPr>
            </w:pPr>
            <w:r>
              <w:rPr>
                <w:snapToGrid w:val="0"/>
              </w:rPr>
              <w:t>三</w:t>
            </w:r>
          </w:p>
        </w:tc>
        <w:tc>
          <w:tcPr>
            <w:tcW w:w="1250" w:type="pct"/>
            <w:tcBorders>
              <w:top w:val="single" w:color="auto" w:sz="4" w:space="0"/>
              <w:left w:val="single" w:color="auto" w:sz="4" w:space="0"/>
              <w:bottom w:val="single" w:color="auto" w:sz="4" w:space="0"/>
              <w:right w:val="single" w:color="auto" w:sz="4" w:space="0"/>
            </w:tcBorders>
            <w:shd w:val="clear" w:color="auto" w:fill="auto"/>
            <w:vAlign w:val="center"/>
          </w:tcPr>
          <w:p w14:paraId="2C6CD6A6">
            <w:pPr>
              <w:pStyle w:val="357"/>
              <w:tabs>
                <w:tab w:val="left" w:pos="0"/>
              </w:tabs>
              <w:rPr>
                <w:b/>
                <w:snapToGrid w:val="0"/>
              </w:rPr>
            </w:pPr>
            <w:r>
              <w:rPr>
                <w:b/>
                <w:snapToGrid w:val="0"/>
              </w:rPr>
              <w:t>三</w:t>
            </w:r>
          </w:p>
        </w:tc>
      </w:tr>
    </w:tbl>
    <w:p w14:paraId="6E9771EC">
      <w:pPr>
        <w:pStyle w:val="105"/>
        <w:ind w:firstLine="480"/>
      </w:pPr>
      <w:r>
        <w:t>根据《环境影响评价技术导则地下水环境》（HJ610-2016），</w:t>
      </w:r>
      <w:r>
        <w:rPr>
          <w:rFonts w:hint="eastAsia"/>
        </w:rPr>
        <w:t>本项目类别为“</w:t>
      </w:r>
      <w:r>
        <w:t>Ⅲ类</w:t>
      </w:r>
      <w:r>
        <w:rPr>
          <w:rFonts w:hint="eastAsia"/>
        </w:rPr>
        <w:t>项目”，地下水敏感程度为“敏感”，根据评价工作风机分级表确定，</w:t>
      </w:r>
      <w:r>
        <w:t>本次</w:t>
      </w:r>
      <w:r>
        <w:rPr>
          <w:rFonts w:hint="eastAsia"/>
        </w:rPr>
        <w:t>地下水环境影响评价工作</w:t>
      </w:r>
      <w:r>
        <w:t>等级为</w:t>
      </w:r>
      <w:r>
        <w:rPr>
          <w:rFonts w:hint="eastAsia"/>
        </w:rPr>
        <w:t>二</w:t>
      </w:r>
      <w:r>
        <w:t>级。</w:t>
      </w:r>
    </w:p>
    <w:p w14:paraId="749A41CB">
      <w:pPr>
        <w:pStyle w:val="105"/>
        <w:ind w:firstLine="480"/>
      </w:pPr>
      <w:r>
        <w:rPr>
          <w:rFonts w:hint="eastAsia"/>
        </w:rPr>
        <w:t>（4）评价范围</w:t>
      </w:r>
    </w:p>
    <w:p w14:paraId="5259DE7C">
      <w:pPr>
        <w:pStyle w:val="105"/>
        <w:ind w:firstLine="480"/>
      </w:pPr>
      <w:r>
        <w:rPr>
          <w:rFonts w:hint="eastAsia"/>
        </w:rPr>
        <w:t>根据</w:t>
      </w:r>
      <w:r>
        <w:t>《环境影响评价技术导则地下水环境》（HJ610-2016）</w:t>
      </w:r>
      <w:r>
        <w:rPr>
          <w:rFonts w:hint="eastAsia"/>
        </w:rPr>
        <w:t>中公示计算法确定评价范围，计算公式如下：</w:t>
      </w:r>
    </w:p>
    <w:p w14:paraId="40D1E701">
      <w:pPr>
        <w:pStyle w:val="105"/>
        <w:ind w:firstLine="480"/>
      </w:pPr>
      <m:oMathPara>
        <m:oMath>
          <m:r>
            <m:rPr>
              <m:sty m:val="p"/>
            </m:rPr>
            <w:rPr>
              <w:rFonts w:ascii="Cambria Math" w:hAnsi="Cambria Math"/>
            </w:rPr>
            <m:t>L=α×K×I×T/</m:t>
          </m:r>
          <m:sSub>
            <m:sSubPr>
              <m:ctrlPr>
                <w:rPr>
                  <w:rFonts w:ascii="Cambria Math" w:hAnsi="Cambria Math"/>
                </w:rPr>
              </m:ctrlPr>
            </m:sSubPr>
            <m:e>
              <m:r>
                <m:rPr>
                  <m:sty m:val="p"/>
                </m:rPr>
                <w:rPr>
                  <w:rFonts w:hint="eastAsia" w:ascii="Cambria Math" w:hAnsi="Cambria Math"/>
                </w:rPr>
                <m:t>n</m:t>
              </m:r>
              <m:ctrlPr>
                <w:rPr>
                  <w:rFonts w:ascii="Cambria Math" w:hAnsi="Cambria Math"/>
                </w:rPr>
              </m:ctrlPr>
            </m:e>
            <m:sub>
              <m:r>
                <m:rPr>
                  <m:sty m:val="p"/>
                </m:rPr>
                <w:rPr>
                  <w:rFonts w:hint="eastAsia" w:ascii="Cambria Math" w:hAnsi="Cambria Math"/>
                </w:rPr>
                <m:t>e</m:t>
              </m:r>
              <m:ctrlPr>
                <w:rPr>
                  <w:rFonts w:ascii="Cambria Math" w:hAnsi="Cambria Math"/>
                </w:rPr>
              </m:ctrlPr>
            </m:sub>
          </m:sSub>
        </m:oMath>
      </m:oMathPara>
    </w:p>
    <w:p w14:paraId="23722444">
      <w:pPr>
        <w:pStyle w:val="105"/>
        <w:ind w:firstLine="480"/>
      </w:pPr>
      <w:r>
        <w:rPr>
          <w:rFonts w:hint="eastAsia"/>
        </w:rPr>
        <w:t>式中：L——下游迁移距离，m；</w:t>
      </w:r>
    </w:p>
    <w:p w14:paraId="5BDC00ED">
      <w:pPr>
        <w:pStyle w:val="105"/>
        <w:ind w:firstLine="1200" w:firstLineChars="500"/>
      </w:pPr>
      <w:r>
        <w:t>α</w:t>
      </w:r>
      <w:r>
        <w:rPr>
          <w:rFonts w:hint="eastAsia"/>
        </w:rPr>
        <w:t>——变化系数，</w:t>
      </w:r>
      <w:r>
        <w:t>α</w:t>
      </w:r>
      <w:r>
        <w:rPr>
          <w:rFonts w:hint="eastAsia"/>
        </w:rPr>
        <w:t>≥1，一般取2；</w:t>
      </w:r>
    </w:p>
    <w:p w14:paraId="1282EA83">
      <w:pPr>
        <w:pStyle w:val="105"/>
        <w:ind w:firstLine="1200" w:firstLineChars="500"/>
      </w:pPr>
      <w:r>
        <w:rPr>
          <w:rFonts w:hint="eastAsia"/>
        </w:rPr>
        <w:t>K——渗透系数，m/d，常见渗透系数表见附录B表B.1；</w:t>
      </w:r>
    </w:p>
    <w:p w14:paraId="156854EE">
      <w:pPr>
        <w:pStyle w:val="105"/>
        <w:ind w:firstLine="1200" w:firstLineChars="500"/>
      </w:pPr>
      <w:r>
        <w:rPr>
          <w:rFonts w:hint="eastAsia"/>
        </w:rPr>
        <w:t>I——水力坡度，无量纲；</w:t>
      </w:r>
    </w:p>
    <w:p w14:paraId="3186C813">
      <w:pPr>
        <w:pStyle w:val="105"/>
        <w:ind w:firstLine="1200" w:firstLineChars="500"/>
      </w:pPr>
      <w:r>
        <w:rPr>
          <w:rFonts w:hint="eastAsia"/>
        </w:rPr>
        <w:t>T——质点迁移天数，取值不小于5000d；</w:t>
      </w:r>
    </w:p>
    <w:p w14:paraId="24F7A5C9">
      <w:pPr>
        <w:pStyle w:val="105"/>
        <w:ind w:firstLine="480"/>
      </w:pPr>
      <w:r>
        <w:rPr>
          <w:rFonts w:hint="eastAsia"/>
        </w:rPr>
        <w:t xml:space="preserve">      </w:t>
      </w:r>
      <m:oMath>
        <m:sSub>
          <m:sSubPr>
            <m:ctrlPr>
              <w:rPr>
                <w:rFonts w:ascii="Cambria Math" w:hAnsi="Cambria Math"/>
              </w:rPr>
            </m:ctrlPr>
          </m:sSubPr>
          <m:e>
            <m:r>
              <m:rPr>
                <m:sty m:val="p"/>
              </m:rPr>
              <w:rPr>
                <w:rFonts w:hint="eastAsia" w:ascii="Cambria Math" w:hAnsi="Cambria Math"/>
              </w:rPr>
              <m:t>n</m:t>
            </m:r>
            <m:ctrlPr>
              <w:rPr>
                <w:rFonts w:ascii="Cambria Math" w:hAnsi="Cambria Math"/>
              </w:rPr>
            </m:ctrlPr>
          </m:e>
          <m:sub>
            <m:r>
              <m:rPr>
                <m:sty m:val="p"/>
              </m:rPr>
              <w:rPr>
                <w:rFonts w:hint="eastAsia" w:ascii="Cambria Math" w:hAnsi="Cambria Math"/>
              </w:rPr>
              <m:t>e</m:t>
            </m:r>
            <m:ctrlPr>
              <w:rPr>
                <w:rFonts w:ascii="Cambria Math" w:hAnsi="Cambria Math"/>
              </w:rPr>
            </m:ctrlPr>
          </m:sub>
        </m:sSub>
      </m:oMath>
      <w:r>
        <w:rPr>
          <w:rFonts w:hint="eastAsia" w:hAnsi="Cambria Math"/>
        </w:rPr>
        <w:t>——有效孔隙度，无量纲</w:t>
      </w:r>
    </w:p>
    <w:p w14:paraId="04A85103">
      <w:pPr>
        <w:pStyle w:val="105"/>
        <w:ind w:firstLine="480"/>
      </w:pPr>
      <w:r>
        <w:rPr>
          <w:rFonts w:hint="eastAsia"/>
        </w:rPr>
        <w:t>根据《内蒙古伊克昭盟鄂托克旗地质—水文地质综合测量报告书》，本项目地区渗透系数K为0.7m/d，水力坡度I为0.008，有效孔隙度</w:t>
      </w:r>
      <m:oMath>
        <m:sSub>
          <m:sSubPr>
            <m:ctrlPr>
              <w:rPr>
                <w:rFonts w:ascii="Cambria Math" w:hAnsi="Cambria Math"/>
              </w:rPr>
            </m:ctrlPr>
          </m:sSubPr>
          <m:e>
            <m:r>
              <m:rPr>
                <m:sty m:val="p"/>
              </m:rPr>
              <w:rPr>
                <w:rFonts w:hint="eastAsia" w:ascii="Cambria Math" w:hAnsi="Cambria Math"/>
              </w:rPr>
              <m:t>n</m:t>
            </m:r>
            <m:ctrlPr>
              <w:rPr>
                <w:rFonts w:ascii="Cambria Math" w:hAnsi="Cambria Math"/>
              </w:rPr>
            </m:ctrlPr>
          </m:e>
          <m:sub>
            <m:r>
              <m:rPr>
                <m:sty m:val="p"/>
              </m:rPr>
              <w:rPr>
                <w:rFonts w:hint="eastAsia" w:ascii="Cambria Math" w:hAnsi="Cambria Math"/>
              </w:rPr>
              <m:t>e</m:t>
            </m:r>
            <m:ctrlPr>
              <w:rPr>
                <w:rFonts w:ascii="Cambria Math" w:hAnsi="Cambria Math"/>
              </w:rPr>
            </m:ctrlPr>
          </m:sub>
        </m:sSub>
      </m:oMath>
      <w:r>
        <w:rPr>
          <w:rFonts w:hint="eastAsia" w:hAnsi="Cambria Math"/>
        </w:rPr>
        <w:t>为35%，本次计算质点迁移天数按10000d计算，则本项目下游迁移距离L为320m。本项目周边涉及集中式饮用水水源地，距离本项目1.227km，因此综合考虑本项目下游迁移距离L为1.227km。</w:t>
      </w:r>
    </w:p>
    <w:p w14:paraId="3085C0DB">
      <w:pPr>
        <w:pStyle w:val="105"/>
        <w:ind w:firstLine="480"/>
      </w:pPr>
      <w:r>
        <w:rPr>
          <w:rFonts w:hint="eastAsia"/>
        </w:rPr>
        <w:t>本项目地下水流向由东向西，根据以上计算结果本项目评价范围取项目区上游L/2（613.5m），项目区两侧L（1227m），项目区下游L（1227m）圈定的矩形范围。</w:t>
      </w:r>
    </w:p>
    <w:p w14:paraId="658E230B">
      <w:pPr>
        <w:pStyle w:val="12"/>
        <w:widowControl w:val="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2.4.1.4声环境评价等级</w:t>
      </w:r>
    </w:p>
    <w:p w14:paraId="60299CDE">
      <w:pPr>
        <w:pStyle w:val="105"/>
        <w:ind w:firstLine="480"/>
      </w:pPr>
      <w:r>
        <w:rPr>
          <w:rFonts w:hint="eastAsia"/>
        </w:rPr>
        <w:t>（1）评价等级</w:t>
      </w:r>
    </w:p>
    <w:p w14:paraId="1C9FA561">
      <w:pPr>
        <w:pStyle w:val="105"/>
        <w:ind w:firstLine="480"/>
      </w:pPr>
      <w:r>
        <w:rPr>
          <w:rFonts w:hint="eastAsia"/>
        </w:rPr>
        <w:t>根据《环境影响评价技术导致 声环境》（HJ2.4-2021）声环境影响工作评价等级原则，建设项目所处的声环境功能区为GB3096规定的1类、2类地区，或建设项目建设前后评价范围内声环境保护目标噪声级增量达3dB（A）~5dB（A），或受噪声影响人口数量增加较多是，按二级评价。</w:t>
      </w:r>
    </w:p>
    <w:p w14:paraId="688EF6E1">
      <w:pPr>
        <w:pStyle w:val="105"/>
        <w:ind w:firstLine="480"/>
        <w:jc w:val="both"/>
      </w:pPr>
      <w:r>
        <w:rPr>
          <w:rFonts w:hint="eastAsia"/>
        </w:rPr>
        <w:t>根据《声环境质量标准》（GB3096-2008）中声环境功能区分类要求，按区域的使用功能特点和环境质量要求，声环境功能区分为以下五种类型：</w:t>
      </w:r>
    </w:p>
    <w:p w14:paraId="46ED1620">
      <w:pPr>
        <w:pStyle w:val="105"/>
        <w:ind w:firstLine="480"/>
        <w:jc w:val="both"/>
      </w:pPr>
      <w:r>
        <w:t xml:space="preserve">0 </w:t>
      </w:r>
      <w:r>
        <w:rPr>
          <w:rFonts w:hint="eastAsia"/>
        </w:rPr>
        <w:t>类声环境功能区：指康复疗养区等特别需要安静的区域。</w:t>
      </w:r>
    </w:p>
    <w:p w14:paraId="44361F55">
      <w:pPr>
        <w:pStyle w:val="105"/>
        <w:ind w:firstLine="480"/>
        <w:jc w:val="both"/>
      </w:pPr>
      <w:r>
        <w:t xml:space="preserve">1 </w:t>
      </w:r>
      <w:r>
        <w:rPr>
          <w:rFonts w:hint="eastAsia"/>
        </w:rPr>
        <w:t>类声环境功能区：指以居民住宅、医疗卫生、文化教育、科研设计、行政办公为主要功能，需要保持安静的区域。</w:t>
      </w:r>
    </w:p>
    <w:p w14:paraId="44982421">
      <w:pPr>
        <w:pStyle w:val="105"/>
        <w:ind w:firstLine="480"/>
        <w:jc w:val="both"/>
      </w:pPr>
      <w:r>
        <w:t xml:space="preserve">2 </w:t>
      </w:r>
      <w:r>
        <w:rPr>
          <w:rFonts w:hint="eastAsia"/>
        </w:rPr>
        <w:t>类声环境功能区：指以商业金融、集市贸易为主要功能，或者居住、商业、工业混杂，需要维护住宅安静的区域。</w:t>
      </w:r>
    </w:p>
    <w:p w14:paraId="503CA41D">
      <w:pPr>
        <w:pStyle w:val="105"/>
        <w:ind w:firstLine="480"/>
        <w:jc w:val="both"/>
      </w:pPr>
      <w:r>
        <w:t xml:space="preserve">3 </w:t>
      </w:r>
      <w:r>
        <w:rPr>
          <w:rFonts w:hint="eastAsia"/>
        </w:rPr>
        <w:t>类声环境功能区：指以工业生产、仓储物流为主要功能，需要防止工业噪声对周围环境产生严重影响的区域。</w:t>
      </w:r>
    </w:p>
    <w:p w14:paraId="6F23C5DF">
      <w:pPr>
        <w:pStyle w:val="105"/>
        <w:ind w:firstLine="480"/>
        <w:jc w:val="both"/>
      </w:pPr>
      <w:r>
        <w:t xml:space="preserve">4 </w:t>
      </w:r>
      <w:r>
        <w:rPr>
          <w:rFonts w:hint="eastAsia"/>
        </w:rPr>
        <w:t>类声环境功能区：指交通干线两侧一定距离之内，需要防止交通噪声对周围环境产生严重影响的区域，包括4a 类和4b 类两种类型。4a 类为高速公路、一级公路、二级公路、城市快速路、城市主干路、城市次干路、城市轨道交通（地面段）、内河航道两侧区域；4b 类为铁路干线两侧区域。</w:t>
      </w:r>
    </w:p>
    <w:p w14:paraId="7BDB4E8F">
      <w:pPr>
        <w:pStyle w:val="105"/>
        <w:ind w:firstLine="480"/>
      </w:pPr>
      <w:r>
        <w:rPr>
          <w:rFonts w:hint="eastAsia"/>
        </w:rPr>
        <w:t>因此，本项目所在区域声环境功能区按2类执行，本项目声环境影响评价等级</w:t>
      </w:r>
      <w:r>
        <w:t>应为二级评价。</w:t>
      </w:r>
    </w:p>
    <w:p w14:paraId="7A78A8B2">
      <w:pPr>
        <w:pStyle w:val="105"/>
        <w:ind w:firstLine="480"/>
      </w:pPr>
      <w:r>
        <w:rPr>
          <w:rFonts w:hint="eastAsia"/>
        </w:rPr>
        <w:t>（2）评价范围</w:t>
      </w:r>
    </w:p>
    <w:p w14:paraId="2B0EB62A">
      <w:pPr>
        <w:pStyle w:val="105"/>
        <w:ind w:firstLine="480"/>
      </w:pPr>
      <w:r>
        <w:rPr>
          <w:rFonts w:hint="eastAsia"/>
        </w:rPr>
        <w:t>本项目声环境评价范围为项目边界外扩200m区域。</w:t>
      </w:r>
    </w:p>
    <w:p w14:paraId="35D8C256">
      <w:pPr>
        <w:pStyle w:val="12"/>
        <w:widowControl w:val="0"/>
        <w:jc w:val="both"/>
        <w:rPr>
          <w:szCs w:val="24"/>
        </w:rPr>
      </w:pPr>
      <w:bookmarkStart w:id="128" w:name="_Toc388624186"/>
      <w:bookmarkStart w:id="129" w:name="_Toc347089913"/>
      <w:r>
        <w:rPr>
          <w:szCs w:val="24"/>
        </w:rPr>
        <w:t>2.4.1.5土壤环境影响评价等级</w:t>
      </w:r>
    </w:p>
    <w:p w14:paraId="6EEE7A8B">
      <w:pPr>
        <w:pStyle w:val="105"/>
        <w:ind w:firstLine="480"/>
      </w:pPr>
      <w:r>
        <w:t>本项目属于污染影响型建设项目，土壤环境影响评价等级根据项目占地规模、土壤环境敏感程度以及项目类别进行判定。</w:t>
      </w:r>
    </w:p>
    <w:p w14:paraId="53462188">
      <w:pPr>
        <w:ind w:firstLine="480"/>
      </w:pPr>
      <w:r>
        <w:t>（1）项目类别</w:t>
      </w:r>
    </w:p>
    <w:p w14:paraId="31FA1015">
      <w:pPr>
        <w:ind w:firstLine="480"/>
      </w:pPr>
      <w:r>
        <w:rPr>
          <w:rFonts w:hint="eastAsia"/>
        </w:rPr>
        <w:t>本项目存栏鸡量为120万只，</w:t>
      </w:r>
      <w:r>
        <w:t>根据《畜禽养殖业污染物排放标准》（GB18596-2001）中的相关规定，30只蛋鸡折算一头猪</w:t>
      </w:r>
      <w:r>
        <w:rPr>
          <w:rFonts w:hint="eastAsia"/>
        </w:rPr>
        <w:t>，</w:t>
      </w:r>
      <w:r>
        <w:t>则本项目折合</w:t>
      </w:r>
      <w:r>
        <w:rPr>
          <w:rFonts w:hint="eastAsia"/>
        </w:rPr>
        <w:t>为存栏</w:t>
      </w:r>
      <w:r>
        <w:t>生猪40000头</w:t>
      </w:r>
      <w:r>
        <w:rPr>
          <w:rFonts w:hint="eastAsia"/>
        </w:rPr>
        <w:t>，</w:t>
      </w:r>
      <w:r>
        <w:t>根据《环境影响评价技术导则 土壤环境》（HJ 964-2018）中附录A（规范性附录）土壤环境影响评价项目类别表，本项目</w:t>
      </w:r>
      <w:r>
        <w:rPr>
          <w:rFonts w:hint="eastAsia"/>
        </w:rPr>
        <w:t>参照</w:t>
      </w:r>
      <w:r>
        <w:t>该表中“</w:t>
      </w:r>
      <w:r>
        <w:rPr>
          <w:kern w:val="0"/>
        </w:rPr>
        <w:t>年出栏生猪5000头（其他畜禽种类折合猪的养殖规模）及以上的畜禽养殖场和养殖小区</w:t>
      </w:r>
      <w:r>
        <w:t>”，因此确定土壤环境影响评价工作类别属于“Ⅲ类”。</w:t>
      </w:r>
    </w:p>
    <w:p w14:paraId="21BCFAB4">
      <w:pPr>
        <w:ind w:firstLine="480"/>
        <w:rPr>
          <w:kern w:val="0"/>
        </w:rPr>
      </w:pPr>
      <w:r>
        <w:rPr>
          <w:kern w:val="0"/>
        </w:rPr>
        <w:t>（2）土壤环境敏感程度</w:t>
      </w:r>
    </w:p>
    <w:p w14:paraId="1E9D7FAC">
      <w:pPr>
        <w:ind w:firstLine="480"/>
      </w:pPr>
      <w:r>
        <w:t>根据《环境影响评价技术导则 土壤环境》（HJ 964-2018），依据表2.4-9判别本区土壤环境敏感程度。</w:t>
      </w:r>
    </w:p>
    <w:p w14:paraId="4AA28DC0">
      <w:pPr>
        <w:pStyle w:val="743"/>
        <w:rPr>
          <w:rFonts w:cs="Times New Roman"/>
        </w:rPr>
      </w:pPr>
      <w:r>
        <w:rPr>
          <w:rFonts w:cs="Times New Roman"/>
        </w:rPr>
        <w:t>表2.4-</w:t>
      </w:r>
      <w:r>
        <w:rPr>
          <w:rFonts w:hint="eastAsia" w:cs="Times New Roman"/>
        </w:rPr>
        <w:t>8</w:t>
      </w:r>
      <w:r>
        <w:rPr>
          <w:rFonts w:cs="Times New Roman"/>
        </w:rPr>
        <w:t>污染影响型敏感程度分级表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4"/>
        <w:gridCol w:w="6633"/>
      </w:tblGrid>
      <w:tr w14:paraId="62D3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29" w:type="pct"/>
            <w:vAlign w:val="center"/>
          </w:tcPr>
          <w:p w14:paraId="3B13D0E7">
            <w:pPr>
              <w:pStyle w:val="357"/>
              <w:rPr>
                <w:snapToGrid w:val="0"/>
              </w:rPr>
            </w:pPr>
            <w:r>
              <w:rPr>
                <w:snapToGrid w:val="0"/>
              </w:rPr>
              <w:t>敏感程度</w:t>
            </w:r>
          </w:p>
        </w:tc>
        <w:tc>
          <w:tcPr>
            <w:tcW w:w="3571" w:type="pct"/>
            <w:vAlign w:val="center"/>
          </w:tcPr>
          <w:p w14:paraId="5FFF9335">
            <w:pPr>
              <w:pStyle w:val="357"/>
              <w:rPr>
                <w:snapToGrid w:val="0"/>
              </w:rPr>
            </w:pPr>
            <w:r>
              <w:rPr>
                <w:snapToGrid w:val="0"/>
              </w:rPr>
              <w:t>判别依据</w:t>
            </w:r>
          </w:p>
        </w:tc>
      </w:tr>
      <w:tr w14:paraId="2666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29" w:type="pct"/>
            <w:vAlign w:val="center"/>
          </w:tcPr>
          <w:p w14:paraId="23528499">
            <w:pPr>
              <w:pStyle w:val="357"/>
              <w:rPr>
                <w:snapToGrid w:val="0"/>
              </w:rPr>
            </w:pPr>
            <w:r>
              <w:rPr>
                <w:snapToGrid w:val="0"/>
              </w:rPr>
              <w:t>敏感</w:t>
            </w:r>
          </w:p>
        </w:tc>
        <w:tc>
          <w:tcPr>
            <w:tcW w:w="3571" w:type="pct"/>
            <w:vAlign w:val="center"/>
          </w:tcPr>
          <w:p w14:paraId="75259854">
            <w:pPr>
              <w:pStyle w:val="357"/>
              <w:rPr>
                <w:snapToGrid w:val="0"/>
                <w:lang w:eastAsia="zh-CN"/>
              </w:rPr>
            </w:pPr>
            <w:r>
              <w:rPr>
                <w:snapToGrid w:val="0"/>
                <w:lang w:eastAsia="zh-CN"/>
              </w:rPr>
              <w:t>建设项目周边存在耕地、园地、牧草地、饮用水源地或居民区、学校、医院、疗养院、养老院</w:t>
            </w:r>
          </w:p>
        </w:tc>
      </w:tr>
      <w:tr w14:paraId="3895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9" w:type="pct"/>
            <w:vAlign w:val="center"/>
          </w:tcPr>
          <w:p w14:paraId="686AF5DE">
            <w:pPr>
              <w:pStyle w:val="357"/>
              <w:rPr>
                <w:snapToGrid w:val="0"/>
              </w:rPr>
            </w:pPr>
            <w:r>
              <w:rPr>
                <w:snapToGrid w:val="0"/>
              </w:rPr>
              <w:t>较敏感</w:t>
            </w:r>
          </w:p>
        </w:tc>
        <w:tc>
          <w:tcPr>
            <w:tcW w:w="3571" w:type="pct"/>
            <w:vAlign w:val="center"/>
          </w:tcPr>
          <w:p w14:paraId="70378678">
            <w:pPr>
              <w:pStyle w:val="357"/>
              <w:rPr>
                <w:snapToGrid w:val="0"/>
                <w:lang w:eastAsia="zh-CN"/>
              </w:rPr>
            </w:pPr>
            <w:r>
              <w:rPr>
                <w:snapToGrid w:val="0"/>
                <w:lang w:eastAsia="zh-CN"/>
              </w:rPr>
              <w:t>建设项目周边存在其他土壤敏感目标</w:t>
            </w:r>
          </w:p>
        </w:tc>
      </w:tr>
      <w:tr w14:paraId="413F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29" w:type="pct"/>
            <w:vAlign w:val="center"/>
          </w:tcPr>
          <w:p w14:paraId="6287BF2A">
            <w:pPr>
              <w:pStyle w:val="357"/>
              <w:rPr>
                <w:snapToGrid w:val="0"/>
              </w:rPr>
            </w:pPr>
            <w:r>
              <w:rPr>
                <w:snapToGrid w:val="0"/>
              </w:rPr>
              <w:t>不敏感</w:t>
            </w:r>
          </w:p>
        </w:tc>
        <w:tc>
          <w:tcPr>
            <w:tcW w:w="3571" w:type="pct"/>
            <w:vAlign w:val="center"/>
          </w:tcPr>
          <w:p w14:paraId="4742E58F">
            <w:pPr>
              <w:pStyle w:val="357"/>
              <w:rPr>
                <w:snapToGrid w:val="0"/>
              </w:rPr>
            </w:pPr>
            <w:r>
              <w:rPr>
                <w:snapToGrid w:val="0"/>
              </w:rPr>
              <w:t>其他情况</w:t>
            </w:r>
          </w:p>
        </w:tc>
      </w:tr>
    </w:tbl>
    <w:p w14:paraId="195EDD32">
      <w:pPr>
        <w:ind w:firstLine="480"/>
      </w:pPr>
      <w:r>
        <w:t>根据表2.6和本项目评价范围环境保护目标判别，本项目</w:t>
      </w:r>
      <w:r>
        <w:rPr>
          <w:rFonts w:hint="eastAsia"/>
        </w:rPr>
        <w:t>周边</w:t>
      </w:r>
      <w:r>
        <w:t>涉及牧草地，故本项目所在地土壤环境敏感程度为“敏感”。</w:t>
      </w:r>
    </w:p>
    <w:p w14:paraId="1DD1E197">
      <w:pPr>
        <w:ind w:firstLine="480"/>
        <w:rPr>
          <w:kern w:val="0"/>
        </w:rPr>
      </w:pPr>
      <w:r>
        <w:rPr>
          <w:kern w:val="0"/>
        </w:rPr>
        <w:t>3、评价等级的确定</w:t>
      </w:r>
    </w:p>
    <w:p w14:paraId="5069C3D6">
      <w:pPr>
        <w:ind w:firstLine="480"/>
        <w:jc w:val="both"/>
      </w:pPr>
      <w:r>
        <w:t>根据《环境影响评价技术导则 土壤环境》（HJ 964-2018），本项目占地面积为</w:t>
      </w:r>
      <w:r>
        <w:rPr>
          <w:rFonts w:hint="eastAsia"/>
        </w:rPr>
        <w:t>28.02</w:t>
      </w:r>
      <w:r>
        <w:t>hm</w:t>
      </w:r>
      <w:r>
        <w:rPr>
          <w:vertAlign w:val="superscript"/>
        </w:rPr>
        <w:t>2</w:t>
      </w:r>
      <w:r>
        <w:t>，在5-50hm</w:t>
      </w:r>
      <w:r>
        <w:rPr>
          <w:vertAlign w:val="superscript"/>
        </w:rPr>
        <w:t>2</w:t>
      </w:r>
      <w:r>
        <w:t>范围内，占地规模属于“中型”。根据项目占地规模、土壤环境敏感程度、项目土壤环境影响评价类别依据表2.4-</w:t>
      </w:r>
      <w:r>
        <w:rPr>
          <w:rFonts w:hint="eastAsia"/>
        </w:rPr>
        <w:t>8</w:t>
      </w:r>
      <w:r>
        <w:t>确定评价等级。</w:t>
      </w:r>
    </w:p>
    <w:p w14:paraId="3D5C200A">
      <w:pPr>
        <w:ind w:firstLine="482"/>
        <w:jc w:val="center"/>
        <w:rPr>
          <w:b/>
          <w:bCs/>
        </w:rPr>
      </w:pPr>
      <w:r>
        <w:rPr>
          <w:b/>
          <w:bCs/>
        </w:rPr>
        <w:t>表2.4-</w:t>
      </w:r>
      <w:r>
        <w:rPr>
          <w:rFonts w:hint="eastAsia"/>
          <w:b/>
          <w:bCs/>
        </w:rPr>
        <w:t>9</w:t>
      </w:r>
      <w:r>
        <w:rPr>
          <w:b/>
          <w:bCs/>
        </w:rPr>
        <w:t xml:space="preserve"> 污染影响型评价工作等级划分表</w:t>
      </w:r>
    </w:p>
    <w:tbl>
      <w:tblPr>
        <w:tblStyle w:val="82"/>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2320"/>
        <w:gridCol w:w="773"/>
        <w:gridCol w:w="774"/>
        <w:gridCol w:w="774"/>
        <w:gridCol w:w="774"/>
        <w:gridCol w:w="774"/>
        <w:gridCol w:w="775"/>
        <w:gridCol w:w="774"/>
        <w:gridCol w:w="774"/>
        <w:gridCol w:w="775"/>
      </w:tblGrid>
      <w:tr w14:paraId="583D28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2267" w:type="dxa"/>
            <w:vMerge w:val="restart"/>
            <w:vAlign w:val="center"/>
          </w:tcPr>
          <w:p w14:paraId="317DFF06">
            <w:pPr>
              <w:spacing w:line="240" w:lineRule="auto"/>
              <w:ind w:firstLine="0" w:firstLineChars="0"/>
              <w:rPr>
                <w:szCs w:val="22"/>
              </w:rPr>
            </w:pPr>
            <w:r>
              <w:rPr>
                <w:szCs w:val="22"/>
              </w:rPr>
              <mc:AlternateContent>
                <mc:Choice Requires="wps">
                  <w:drawing>
                    <wp:anchor distT="0" distB="0" distL="114300" distR="114300" simplePos="0" relativeHeight="251662336" behindDoc="0" locked="0" layoutInCell="1" allowOverlap="1">
                      <wp:simplePos x="0" y="0"/>
                      <wp:positionH relativeFrom="column">
                        <wp:posOffset>-59690</wp:posOffset>
                      </wp:positionH>
                      <wp:positionV relativeFrom="paragraph">
                        <wp:posOffset>217805</wp:posOffset>
                      </wp:positionV>
                      <wp:extent cx="1383030" cy="209550"/>
                      <wp:effectExtent l="12700" t="11430" r="13970" b="7620"/>
                      <wp:wrapNone/>
                      <wp:docPr id="30" name="直接连接符 30"/>
                      <wp:cNvGraphicFramePr/>
                      <a:graphic xmlns:a="http://schemas.openxmlformats.org/drawingml/2006/main">
                        <a:graphicData uri="http://schemas.microsoft.com/office/word/2010/wordprocessingShape">
                          <wps:wsp>
                            <wps:cNvCnPr>
                              <a:cxnSpLocks noChangeShapeType="1"/>
                            </wps:cNvCnPr>
                            <wps:spPr bwMode="auto">
                              <a:xfrm>
                                <a:off x="0" y="0"/>
                                <a:ext cx="1383030" cy="209550"/>
                              </a:xfrm>
                              <a:prstGeom prst="line">
                                <a:avLst/>
                              </a:prstGeom>
                              <a:noFill/>
                              <a:ln w="6350">
                                <a:solidFill>
                                  <a:srgbClr val="000000"/>
                                </a:solidFill>
                                <a:round/>
                              </a:ln>
                            </wps:spPr>
                            <wps:bodyPr/>
                          </wps:wsp>
                        </a:graphicData>
                      </a:graphic>
                    </wp:anchor>
                  </w:drawing>
                </mc:Choice>
                <mc:Fallback>
                  <w:pict>
                    <v:line id="_x0000_s1026" o:spid="_x0000_s1026" o:spt="20" style="position:absolute;left:0pt;margin-left:-4.7pt;margin-top:17.15pt;height:16.5pt;width:108.9pt;z-index:251662336;mso-width-relative:page;mso-height-relative:page;" filled="f" stroked="t" coordsize="21600,21600" o:gfxdata="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zaQodcA&#10;AAAIAQAADwAAAAAAAAABACAAAAAiAAAAZHJzL2Rvd25yZXYueG1sUEsBAhQAFAAAAAgAh07iQI2D&#10;wj7nAQAAsQMAAA4AAAAAAAAAAQAgAAAAJgEAAGRycy9lMm9Eb2MueG1sUEsFBgAAAAAGAAYAWQEA&#10;AH8FAAAAAA==&#10;">
                      <v:fill on="f" focussize="0,0"/>
                      <v:stroke weight="0.5pt" color="#000000" joinstyle="round"/>
                      <v:imagedata o:title=""/>
                      <o:lock v:ext="edit" aspectratio="f"/>
                    </v:line>
                  </w:pict>
                </mc:Fallback>
              </mc:AlternateContent>
            </w:r>
            <w:r>
              <w:rPr>
                <w:szCs w:val="22"/>
              </w:rPr>
              <mc:AlternateContent>
                <mc:Choice Requires="wps">
                  <w:drawing>
                    <wp:anchor distT="0" distB="0" distL="114300" distR="114300" simplePos="0" relativeHeight="251664384" behindDoc="0" locked="0" layoutInCell="1" allowOverlap="1">
                      <wp:simplePos x="0" y="0"/>
                      <wp:positionH relativeFrom="column">
                        <wp:posOffset>855345</wp:posOffset>
                      </wp:positionH>
                      <wp:positionV relativeFrom="paragraph">
                        <wp:posOffset>20955</wp:posOffset>
                      </wp:positionV>
                      <wp:extent cx="541020" cy="194945"/>
                      <wp:effectExtent l="3810" t="0" r="0" b="0"/>
                      <wp:wrapNone/>
                      <wp:docPr id="29" name="文本框 29"/>
                      <wp:cNvGraphicFramePr/>
                      <a:graphic xmlns:a="http://schemas.openxmlformats.org/drawingml/2006/main">
                        <a:graphicData uri="http://schemas.microsoft.com/office/word/2010/wordprocessingShape">
                          <wps:wsp>
                            <wps:cNvSpPr txBox="1">
                              <a:spLocks noChangeArrowheads="1"/>
                            </wps:cNvSpPr>
                            <wps:spPr bwMode="auto">
                              <a:xfrm>
                                <a:off x="0" y="0"/>
                                <a:ext cx="541020" cy="194945"/>
                              </a:xfrm>
                              <a:prstGeom prst="rect">
                                <a:avLst/>
                              </a:prstGeom>
                              <a:noFill/>
                              <a:ln>
                                <a:noFill/>
                              </a:ln>
                            </wps:spPr>
                            <wps:txbx>
                              <w:txbxContent>
                                <w:p w14:paraId="36299710">
                                  <w:pPr>
                                    <w:snapToGrid w:val="0"/>
                                    <w:ind w:firstLine="0" w:firstLineChars="0"/>
                                    <w:rPr>
                                      <w:color w:val="000000"/>
                                      <w:sz w:val="21"/>
                                    </w:rPr>
                                  </w:pPr>
                                  <w:r>
                                    <w:rPr>
                                      <w:rFonts w:hint="eastAsia"/>
                                      <w:color w:val="000000"/>
                                      <w:sz w:val="21"/>
                                    </w:rPr>
                                    <w:t>占地规模</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67.35pt;margin-top:1.65pt;height:15.35pt;width:42.6pt;z-index:251664384;mso-width-relative:page;mso-height-relative:page;" filled="f" stroked="f" coordsize="21600,21600" o:gfxdata="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DyHoE1gAAAAgBAAAPAAAAAAAAAAEAIAAA&#10;ACIAAABkcnMvZG93bnJldi54bWxQSwECFAAUAAAACACHTuJAykDf1w4CAAAGBAAADgAAAAAAAAAB&#10;ACAAAAAlAQAAZHJzL2Uyb0RvYy54bWxQSwUGAAAAAAYABgBZAQAApQUAAAAA&#10;">
                      <v:fill on="f" focussize="0,0"/>
                      <v:stroke on="f"/>
                      <v:imagedata o:title=""/>
                      <o:lock v:ext="edit" aspectratio="f"/>
                      <v:textbox inset="0mm,0mm,0mm,0mm">
                        <w:txbxContent>
                          <w:p w14:paraId="36299710">
                            <w:pPr>
                              <w:snapToGrid w:val="0"/>
                              <w:ind w:firstLine="0" w:firstLineChars="0"/>
                              <w:rPr>
                                <w:color w:val="000000"/>
                                <w:sz w:val="21"/>
                              </w:rPr>
                            </w:pPr>
                            <w:r>
                              <w:rPr>
                                <w:rFonts w:hint="eastAsia"/>
                                <w:color w:val="000000"/>
                                <w:sz w:val="21"/>
                              </w:rPr>
                              <w:t>占地规模</w:t>
                            </w:r>
                          </w:p>
                        </w:txbxContent>
                      </v:textbox>
                    </v:shape>
                  </w:pict>
                </mc:Fallback>
              </mc:AlternateContent>
            </w:r>
            <w:r>
              <w:rPr>
                <w:szCs w:val="22"/>
              </w:rPr>
              <mc:AlternateContent>
                <mc:Choice Requires="wps">
                  <w:drawing>
                    <wp:anchor distT="0" distB="0" distL="114300" distR="114300" simplePos="0" relativeHeight="251666432" behindDoc="0" locked="0" layoutInCell="1" allowOverlap="1">
                      <wp:simplePos x="0" y="0"/>
                      <wp:positionH relativeFrom="column">
                        <wp:posOffset>65405</wp:posOffset>
                      </wp:positionH>
                      <wp:positionV relativeFrom="paragraph">
                        <wp:posOffset>88900</wp:posOffset>
                      </wp:positionV>
                      <wp:extent cx="826770" cy="156845"/>
                      <wp:effectExtent l="4445" t="0" r="0" b="0"/>
                      <wp:wrapNone/>
                      <wp:docPr id="28" name="文本框 28"/>
                      <wp:cNvGraphicFramePr/>
                      <a:graphic xmlns:a="http://schemas.openxmlformats.org/drawingml/2006/main">
                        <a:graphicData uri="http://schemas.microsoft.com/office/word/2010/wordprocessingShape">
                          <wps:wsp>
                            <wps:cNvSpPr txBox="1">
                              <a:spLocks noChangeArrowheads="1"/>
                            </wps:cNvSpPr>
                            <wps:spPr bwMode="auto">
                              <a:xfrm>
                                <a:off x="0" y="0"/>
                                <a:ext cx="826770" cy="156845"/>
                              </a:xfrm>
                              <a:prstGeom prst="rect">
                                <a:avLst/>
                              </a:prstGeom>
                              <a:noFill/>
                              <a:ln>
                                <a:noFill/>
                              </a:ln>
                            </wps:spPr>
                            <wps:txbx>
                              <w:txbxContent>
                                <w:p w14:paraId="34E2CC04">
                                  <w:pPr>
                                    <w:snapToGrid w:val="0"/>
                                    <w:ind w:firstLine="0" w:firstLineChars="0"/>
                                    <w:rPr>
                                      <w:color w:val="000000"/>
                                      <w:sz w:val="21"/>
                                    </w:rPr>
                                  </w:pPr>
                                  <w:r>
                                    <w:rPr>
                                      <w:rFonts w:hint="eastAsia"/>
                                      <w:color w:val="000000"/>
                                      <w:sz w:val="21"/>
                                    </w:rPr>
                                    <w:t>评价工作等级</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5.15pt;margin-top:7pt;height:12.35pt;width:65.1pt;z-index:251666432;mso-width-relative:page;mso-height-relative:page;" filled="f" stroked="f" coordsize="21600,21600" o:gfxdata="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2zc5NcAAAAIAQAADwAAAAAAAAABACAA&#10;AAAiAAAAZHJzL2Rvd25yZXYueG1sUEsBAhQAFAAAAAgAh07iQBMwF0EOAgAABgQAAA4AAAAAAAAA&#10;AQAgAAAAJgEAAGRycy9lMm9Eb2MueG1sUEsFBgAAAAAGAAYAWQEAAKYFAAAAAA==&#10;">
                      <v:fill on="f" focussize="0,0"/>
                      <v:stroke on="f"/>
                      <v:imagedata o:title=""/>
                      <o:lock v:ext="edit" aspectratio="f"/>
                      <v:textbox inset="0mm,0mm,0mm,0mm">
                        <w:txbxContent>
                          <w:p w14:paraId="34E2CC04">
                            <w:pPr>
                              <w:snapToGrid w:val="0"/>
                              <w:ind w:firstLine="0" w:firstLineChars="0"/>
                              <w:rPr>
                                <w:color w:val="000000"/>
                                <w:sz w:val="21"/>
                              </w:rPr>
                            </w:pPr>
                            <w:r>
                              <w:rPr>
                                <w:rFonts w:hint="eastAsia"/>
                                <w:color w:val="000000"/>
                                <w:sz w:val="21"/>
                              </w:rPr>
                              <w:t>评价工作等级</w:t>
                            </w:r>
                          </w:p>
                        </w:txbxContent>
                      </v:textbox>
                    </v:shape>
                  </w:pict>
                </mc:Fallback>
              </mc:AlternateContent>
            </w:r>
            <w:r>
              <w:rPr>
                <w:szCs w:val="22"/>
              </w:rPr>
              <mc:AlternateContent>
                <mc:Choice Requires="wps">
                  <w:drawing>
                    <wp:anchor distT="0" distB="0" distL="114300" distR="114300" simplePos="0" relativeHeight="251668480" behindDoc="0" locked="0" layoutInCell="1" allowOverlap="1">
                      <wp:simplePos x="0" y="0"/>
                      <wp:positionH relativeFrom="column">
                        <wp:posOffset>-50800</wp:posOffset>
                      </wp:positionH>
                      <wp:positionV relativeFrom="paragraph">
                        <wp:posOffset>266700</wp:posOffset>
                      </wp:positionV>
                      <wp:extent cx="557530" cy="186055"/>
                      <wp:effectExtent l="2540" t="3175" r="1905" b="1270"/>
                      <wp:wrapNone/>
                      <wp:docPr id="26" name="文本框 26"/>
                      <wp:cNvGraphicFramePr/>
                      <a:graphic xmlns:a="http://schemas.openxmlformats.org/drawingml/2006/main">
                        <a:graphicData uri="http://schemas.microsoft.com/office/word/2010/wordprocessingShape">
                          <wps:wsp>
                            <wps:cNvSpPr txBox="1">
                              <a:spLocks noChangeArrowheads="1"/>
                            </wps:cNvSpPr>
                            <wps:spPr bwMode="auto">
                              <a:xfrm>
                                <a:off x="0" y="0"/>
                                <a:ext cx="557530" cy="186055"/>
                              </a:xfrm>
                              <a:prstGeom prst="rect">
                                <a:avLst/>
                              </a:prstGeom>
                              <a:noFill/>
                              <a:ln>
                                <a:noFill/>
                              </a:ln>
                            </wps:spPr>
                            <wps:txbx>
                              <w:txbxContent>
                                <w:p w14:paraId="6204EB7B">
                                  <w:pPr>
                                    <w:snapToGrid w:val="0"/>
                                    <w:ind w:firstLine="0" w:firstLineChars="0"/>
                                    <w:rPr>
                                      <w:color w:val="000000"/>
                                      <w:sz w:val="21"/>
                                    </w:rPr>
                                  </w:pPr>
                                  <w:r>
                                    <w:rPr>
                                      <w:rFonts w:hint="eastAsia"/>
                                      <w:color w:val="000000"/>
                                      <w:sz w:val="21"/>
                                    </w:rPr>
                                    <w:t>敏感程度</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pt;margin-top:21pt;height:14.65pt;width:43.9pt;z-index:251668480;mso-width-relative:page;mso-height-relative:page;" filled="f" stroked="f" coordsize="21600,21600" o:gfxdata="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SG6uc1gAAAAcBAAAPAAAAAAAAAAEAIAAA&#10;ACIAAABkcnMvZG93bnJldi54bWxQSwECFAAUAAAACACHTuJAPSAW6g4CAAAGBAAADgAAAAAAAAAB&#10;ACAAAAAlAQAAZHJzL2Uyb0RvYy54bWxQSwUGAAAAAAYABgBZAQAApQUAAAAA&#10;">
                      <v:fill on="f" focussize="0,0"/>
                      <v:stroke on="f"/>
                      <v:imagedata o:title=""/>
                      <o:lock v:ext="edit" aspectratio="f"/>
                      <v:textbox inset="0mm,0mm,0mm,0mm">
                        <w:txbxContent>
                          <w:p w14:paraId="6204EB7B">
                            <w:pPr>
                              <w:snapToGrid w:val="0"/>
                              <w:ind w:firstLine="0" w:firstLineChars="0"/>
                              <w:rPr>
                                <w:color w:val="000000"/>
                                <w:sz w:val="21"/>
                              </w:rPr>
                            </w:pPr>
                            <w:r>
                              <w:rPr>
                                <w:rFonts w:hint="eastAsia"/>
                                <w:color w:val="000000"/>
                                <w:sz w:val="21"/>
                              </w:rPr>
                              <w:t>敏感程度</w:t>
                            </w:r>
                          </w:p>
                        </w:txbxContent>
                      </v:textbox>
                    </v:shape>
                  </w:pict>
                </mc:Fallback>
              </mc:AlternateContent>
            </w:r>
            <w:r>
              <w:rPr>
                <w:szCs w:val="22"/>
              </w:rPr>
              <mc:AlternateContent>
                <mc:Choice Requires="wps">
                  <w:drawing>
                    <wp:anchor distT="0" distB="0" distL="114300" distR="114300" simplePos="0" relativeHeight="251667456" behindDoc="0" locked="0" layoutInCell="1" allowOverlap="1">
                      <wp:simplePos x="0" y="0"/>
                      <wp:positionH relativeFrom="column">
                        <wp:posOffset>24765</wp:posOffset>
                      </wp:positionH>
                      <wp:positionV relativeFrom="paragraph">
                        <wp:posOffset>251460</wp:posOffset>
                      </wp:positionV>
                      <wp:extent cx="146685" cy="167005"/>
                      <wp:effectExtent l="1905" t="0" r="3810" b="0"/>
                      <wp:wrapNone/>
                      <wp:docPr id="24" name="文本框 24"/>
                      <wp:cNvGraphicFramePr/>
                      <a:graphic xmlns:a="http://schemas.openxmlformats.org/drawingml/2006/main">
                        <a:graphicData uri="http://schemas.microsoft.com/office/word/2010/wordprocessingShape">
                          <wps:wsp>
                            <wps:cNvSpPr txBox="1">
                              <a:spLocks noChangeArrowheads="1"/>
                            </wps:cNvSpPr>
                            <wps:spPr bwMode="auto">
                              <a:xfrm>
                                <a:off x="0" y="0"/>
                                <a:ext cx="146685" cy="167005"/>
                              </a:xfrm>
                              <a:prstGeom prst="rect">
                                <a:avLst/>
                              </a:prstGeom>
                              <a:noFill/>
                              <a:ln>
                                <a:noFill/>
                              </a:ln>
                            </wps:spPr>
                            <wps:txbx>
                              <w:txbxContent>
                                <w:p w14:paraId="6DCFB718">
                                  <w:pPr>
                                    <w:snapToGrid w:val="0"/>
                                    <w:ind w:firstLine="420"/>
                                    <w:rPr>
                                      <w:color w:val="000000"/>
                                      <w:sz w:val="21"/>
                                    </w:rPr>
                                  </w:pPr>
                                  <w:r>
                                    <w:rPr>
                                      <w:rFonts w:hint="eastAsia"/>
                                      <w:color w:val="000000"/>
                                      <w:sz w:val="21"/>
                                    </w:rPr>
                                    <w:t>敏</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1.95pt;margin-top:19.8pt;height:13.15pt;width:11.55pt;z-index:251667456;mso-width-relative:page;mso-height-relative:page;" filled="f" stroked="f" coordsize="21600,21600" o:gfxdata="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AlHWrVAAAABgEAAA8AAAAAAAAAAQAgAAAA&#10;IgAAAGRycy9kb3ducmV2LnhtbFBLAQIUABQAAAAIAIdO4kBn57Z3DgIAAAYEAAAOAAAAAAAAAAEA&#10;IAAAACQBAABkcnMvZTJvRG9jLnhtbFBLBQYAAAAABgAGAFkBAACkBQAAAAA=&#10;">
                      <v:fill on="f" focussize="0,0"/>
                      <v:stroke on="f"/>
                      <v:imagedata o:title=""/>
                      <o:lock v:ext="edit" aspectratio="f"/>
                      <v:textbox inset="0mm,0mm,0mm,0mm">
                        <w:txbxContent>
                          <w:p w14:paraId="6DCFB718">
                            <w:pPr>
                              <w:snapToGrid w:val="0"/>
                              <w:ind w:firstLine="420"/>
                              <w:rPr>
                                <w:color w:val="000000"/>
                                <w:sz w:val="21"/>
                              </w:rPr>
                            </w:pPr>
                            <w:r>
                              <w:rPr>
                                <w:rFonts w:hint="eastAsia"/>
                                <w:color w:val="000000"/>
                                <w:sz w:val="21"/>
                              </w:rPr>
                              <w:t>敏</w:t>
                            </w:r>
                          </w:p>
                        </w:txbxContent>
                      </v:textbox>
                    </v:shape>
                  </w:pict>
                </mc:Fallback>
              </mc:AlternateContent>
            </w:r>
            <w:r>
              <w:rPr>
                <w:szCs w:val="22"/>
              </w:rPr>
              <mc:AlternateContent>
                <mc:Choice Requires="wps">
                  <w:drawing>
                    <wp:anchor distT="0" distB="0" distL="114300" distR="114300" simplePos="0" relativeHeight="251665408" behindDoc="0" locked="0" layoutInCell="1" allowOverlap="1">
                      <wp:simplePos x="0" y="0"/>
                      <wp:positionH relativeFrom="column">
                        <wp:posOffset>340360</wp:posOffset>
                      </wp:positionH>
                      <wp:positionV relativeFrom="paragraph">
                        <wp:posOffset>57785</wp:posOffset>
                      </wp:positionV>
                      <wp:extent cx="160020" cy="167005"/>
                      <wp:effectExtent l="3175" t="3810" r="0" b="635"/>
                      <wp:wrapNone/>
                      <wp:docPr id="23" name="文本框 23"/>
                      <wp:cNvGraphicFramePr/>
                      <a:graphic xmlns:a="http://schemas.openxmlformats.org/drawingml/2006/main">
                        <a:graphicData uri="http://schemas.microsoft.com/office/word/2010/wordprocessingShape">
                          <wps:wsp>
                            <wps:cNvSpPr txBox="1">
                              <a:spLocks noChangeArrowheads="1"/>
                            </wps:cNvSpPr>
                            <wps:spPr bwMode="auto">
                              <a:xfrm>
                                <a:off x="0" y="0"/>
                                <a:ext cx="160020" cy="167005"/>
                              </a:xfrm>
                              <a:prstGeom prst="rect">
                                <a:avLst/>
                              </a:prstGeom>
                              <a:noFill/>
                              <a:ln>
                                <a:noFill/>
                              </a:ln>
                            </wps:spPr>
                            <wps:txbx>
                              <w:txbxContent>
                                <w:p w14:paraId="46F378B2">
                                  <w:pPr>
                                    <w:snapToGrid w:val="0"/>
                                    <w:ind w:firstLine="420"/>
                                    <w:rPr>
                                      <w:color w:val="000000"/>
                                      <w:sz w:val="21"/>
                                    </w:rPr>
                                  </w:pPr>
                                  <w:r>
                                    <w:rPr>
                                      <w:rFonts w:hint="eastAsia"/>
                                      <w:color w:val="000000"/>
                                      <w:sz w:val="21"/>
                                    </w:rPr>
                                    <w:t>价</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6.8pt;margin-top:4.55pt;height:13.15pt;width:12.6pt;z-index:251665408;mso-width-relative:page;mso-height-relative:page;" filled="f" stroked="f" coordsize="21600,21600" o:gfxdata="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qMA1NYAAAAGAQAADwAAAAAAAAABACAAAAAi&#10;AAAAZHJzL2Rvd25yZXYueG1sUEsBAhQAFAAAAAgAh07iQLNQ25UMAgAABgQAAA4AAAAAAAAAAQAg&#10;AAAAJQEAAGRycy9lMm9Eb2MueG1sUEsFBgAAAAAGAAYAWQEAAKMFAAAAAA==&#10;">
                      <v:fill on="f" focussize="0,0"/>
                      <v:stroke on="f"/>
                      <v:imagedata o:title=""/>
                      <o:lock v:ext="edit" aspectratio="f"/>
                      <v:textbox inset="0mm,0mm,0mm,0mm">
                        <w:txbxContent>
                          <w:p w14:paraId="46F378B2">
                            <w:pPr>
                              <w:snapToGrid w:val="0"/>
                              <w:ind w:firstLine="420"/>
                              <w:rPr>
                                <w:color w:val="000000"/>
                                <w:sz w:val="21"/>
                              </w:rPr>
                            </w:pPr>
                            <w:r>
                              <w:rPr>
                                <w:rFonts w:hint="eastAsia"/>
                                <w:color w:val="000000"/>
                                <w:sz w:val="21"/>
                              </w:rPr>
                              <w:t>价</w:t>
                            </w:r>
                          </w:p>
                        </w:txbxContent>
                      </v:textbox>
                    </v:shape>
                  </w:pict>
                </mc:Fallback>
              </mc:AlternateContent>
            </w:r>
            <w:r>
              <w:rPr>
                <w:szCs w:val="22"/>
              </w:rPr>
              <mc:AlternateContent>
                <mc:Choice Requires="wps">
                  <w:drawing>
                    <wp:anchor distT="0" distB="0" distL="114300" distR="114300" simplePos="0" relativeHeight="251663360" behindDoc="0" locked="0" layoutInCell="1" allowOverlap="1">
                      <wp:simplePos x="0" y="0"/>
                      <wp:positionH relativeFrom="column">
                        <wp:posOffset>956310</wp:posOffset>
                      </wp:positionH>
                      <wp:positionV relativeFrom="paragraph">
                        <wp:posOffset>8255</wp:posOffset>
                      </wp:positionV>
                      <wp:extent cx="160020" cy="167005"/>
                      <wp:effectExtent l="0" t="1905" r="1905" b="2540"/>
                      <wp:wrapNone/>
                      <wp:docPr id="22" name="文本框 22"/>
                      <wp:cNvGraphicFramePr/>
                      <a:graphic xmlns:a="http://schemas.openxmlformats.org/drawingml/2006/main">
                        <a:graphicData uri="http://schemas.microsoft.com/office/word/2010/wordprocessingShape">
                          <wps:wsp>
                            <wps:cNvSpPr txBox="1">
                              <a:spLocks noChangeArrowheads="1"/>
                            </wps:cNvSpPr>
                            <wps:spPr bwMode="auto">
                              <a:xfrm>
                                <a:off x="0" y="0"/>
                                <a:ext cx="160020" cy="167005"/>
                              </a:xfrm>
                              <a:prstGeom prst="rect">
                                <a:avLst/>
                              </a:prstGeom>
                              <a:noFill/>
                              <a:ln>
                                <a:noFill/>
                              </a:ln>
                            </wps:spPr>
                            <wps:txbx>
                              <w:txbxContent>
                                <w:p w14:paraId="3CA838F5">
                                  <w:pPr>
                                    <w:snapToGrid w:val="0"/>
                                    <w:ind w:firstLine="420"/>
                                    <w:rPr>
                                      <w:color w:val="000000"/>
                                      <w:sz w:val="21"/>
                                    </w:rPr>
                                  </w:pPr>
                                  <w:r>
                                    <w:rPr>
                                      <w:rFonts w:hint="eastAsia"/>
                                      <w:color w:val="000000"/>
                                      <w:sz w:val="21"/>
                                    </w:rPr>
                                    <w:t>占</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5.3pt;margin-top:0.65pt;height:13.15pt;width:12.6pt;z-index:251663360;mso-width-relative:page;mso-height-relative:page;" filled="f" stroked="f" coordsize="21600,21600" o:gfxdata="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j1VU9YAAAAIAQAADwAAAAAAAAABACAAAAAi&#10;AAAAZHJzL2Rvd25yZXYueG1sUEsBAhQAFAAAAAgAh07iQIbnm5UMAgAABgQAAA4AAAAAAAAAAQAg&#10;AAAAJQEAAGRycy9lMm9Eb2MueG1sUEsFBgAAAAAGAAYAWQEAAKMFAAAAAA==&#10;">
                      <v:fill on="f" focussize="0,0"/>
                      <v:stroke on="f"/>
                      <v:imagedata o:title=""/>
                      <o:lock v:ext="edit" aspectratio="f"/>
                      <v:textbox inset="0mm,0mm,0mm,0mm">
                        <w:txbxContent>
                          <w:p w14:paraId="3CA838F5">
                            <w:pPr>
                              <w:snapToGrid w:val="0"/>
                              <w:ind w:firstLine="420"/>
                              <w:rPr>
                                <w:color w:val="000000"/>
                                <w:sz w:val="21"/>
                              </w:rPr>
                            </w:pPr>
                            <w:r>
                              <w:rPr>
                                <w:rFonts w:hint="eastAsia"/>
                                <w:color w:val="000000"/>
                                <w:sz w:val="21"/>
                              </w:rPr>
                              <w:t>占</w:t>
                            </w:r>
                          </w:p>
                        </w:txbxContent>
                      </v:textbox>
                    </v:shape>
                  </w:pict>
                </mc:Fallback>
              </mc:AlternateContent>
            </w:r>
            <w:r>
              <w:rPr>
                <w:szCs w:val="22"/>
              </w:rPr>
              <mc:AlternateContent>
                <mc:Choice Requires="wps">
                  <w:drawing>
                    <wp:anchor distT="0" distB="0" distL="114300" distR="114300" simplePos="0" relativeHeight="251661312" behindDoc="0" locked="0" layoutInCell="1" allowOverlap="1">
                      <wp:simplePos x="0" y="0"/>
                      <wp:positionH relativeFrom="column">
                        <wp:posOffset>650875</wp:posOffset>
                      </wp:positionH>
                      <wp:positionV relativeFrom="paragraph">
                        <wp:posOffset>0</wp:posOffset>
                      </wp:positionV>
                      <wp:extent cx="716915" cy="431800"/>
                      <wp:effectExtent l="8890" t="12700" r="7620" b="12700"/>
                      <wp:wrapNone/>
                      <wp:docPr id="20" name="直接连接符 20"/>
                      <wp:cNvGraphicFramePr/>
                      <a:graphic xmlns:a="http://schemas.openxmlformats.org/drawingml/2006/main">
                        <a:graphicData uri="http://schemas.microsoft.com/office/word/2010/wordprocessingShape">
                          <wps:wsp>
                            <wps:cNvCnPr>
                              <a:cxnSpLocks noChangeShapeType="1"/>
                            </wps:cNvCnPr>
                            <wps:spPr bwMode="auto">
                              <a:xfrm>
                                <a:off x="0" y="0"/>
                                <a:ext cx="716915" cy="431800"/>
                              </a:xfrm>
                              <a:prstGeom prst="line">
                                <a:avLst/>
                              </a:prstGeom>
                              <a:noFill/>
                              <a:ln w="6350">
                                <a:solidFill>
                                  <a:srgbClr val="000000"/>
                                </a:solidFill>
                                <a:round/>
                              </a:ln>
                            </wps:spPr>
                            <wps:bodyPr/>
                          </wps:wsp>
                        </a:graphicData>
                      </a:graphic>
                    </wp:anchor>
                  </w:drawing>
                </mc:Choice>
                <mc:Fallback>
                  <w:pict>
                    <v:line id="_x0000_s1026" o:spid="_x0000_s1026" o:spt="20" style="position:absolute;left:0pt;margin-left:51.25pt;margin-top:0pt;height:34pt;width:56.45pt;z-index:251661312;mso-width-relative:page;mso-height-relative:page;" filled="f" stroked="t" coordsize="21600,21600" o:gfxdata="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zEDBtMA&#10;AAAHAQAADwAAAAAAAAABACAAAAAiAAAAZHJzL2Rvd25yZXYueG1sUEsBAhQAFAAAAAgAh07iQK9x&#10;WIbrAQAAsAMAAA4AAAAAAAAAAQAgAAAAIgEAAGRycy9lMm9Eb2MueG1sUEsFBgAAAAAGAAYAWQEA&#10;AH8FAAAAAA==&#10;">
                      <v:fill on="f" focussize="0,0"/>
                      <v:stroke weight="0.5pt" color="#000000" joinstyle="round"/>
                      <v:imagedata o:title=""/>
                      <o:lock v:ext="edit" aspectratio="f"/>
                    </v:line>
                  </w:pict>
                </mc:Fallback>
              </mc:AlternateContent>
            </w:r>
          </w:p>
        </w:tc>
        <w:tc>
          <w:tcPr>
            <w:tcW w:w="2267" w:type="dxa"/>
            <w:gridSpan w:val="3"/>
            <w:vAlign w:val="center"/>
          </w:tcPr>
          <w:p w14:paraId="683C0CDE">
            <w:pPr>
              <w:spacing w:line="240" w:lineRule="auto"/>
              <w:ind w:firstLine="0" w:firstLineChars="0"/>
              <w:jc w:val="center"/>
              <w:rPr>
                <w:szCs w:val="22"/>
              </w:rPr>
            </w:pPr>
            <w:r>
              <w:rPr>
                <w:szCs w:val="22"/>
              </w:rPr>
              <w:fldChar w:fldCharType="begin"/>
            </w:r>
            <w:r>
              <w:rPr>
                <w:szCs w:val="22"/>
              </w:rPr>
              <w:instrText xml:space="preserve"> = 1 \* ROMAN </w:instrText>
            </w:r>
            <w:r>
              <w:rPr>
                <w:szCs w:val="22"/>
              </w:rPr>
              <w:fldChar w:fldCharType="separate"/>
            </w:r>
            <w:r>
              <w:rPr>
                <w:szCs w:val="22"/>
              </w:rPr>
              <w:t>I</w:t>
            </w:r>
            <w:r>
              <w:rPr>
                <w:szCs w:val="22"/>
              </w:rPr>
              <w:fldChar w:fldCharType="end"/>
            </w:r>
            <w:r>
              <w:rPr>
                <w:szCs w:val="22"/>
              </w:rPr>
              <w:t>类项目</w:t>
            </w:r>
          </w:p>
        </w:tc>
        <w:tc>
          <w:tcPr>
            <w:tcW w:w="2269" w:type="dxa"/>
            <w:gridSpan w:val="3"/>
            <w:vAlign w:val="center"/>
          </w:tcPr>
          <w:p w14:paraId="5D271AD6">
            <w:pPr>
              <w:spacing w:line="240" w:lineRule="auto"/>
              <w:ind w:firstLine="0" w:firstLineChars="0"/>
              <w:jc w:val="center"/>
              <w:rPr>
                <w:szCs w:val="22"/>
              </w:rPr>
            </w:pPr>
            <w:r>
              <w:rPr>
                <w:szCs w:val="22"/>
              </w:rPr>
              <w:fldChar w:fldCharType="begin"/>
            </w:r>
            <w:r>
              <w:rPr>
                <w:szCs w:val="22"/>
              </w:rPr>
              <w:instrText xml:space="preserve"> = 2 \* ROMAN </w:instrText>
            </w:r>
            <w:r>
              <w:rPr>
                <w:szCs w:val="22"/>
              </w:rPr>
              <w:fldChar w:fldCharType="separate"/>
            </w:r>
            <w:r>
              <w:rPr>
                <w:szCs w:val="22"/>
              </w:rPr>
              <w:t>II</w:t>
            </w:r>
            <w:r>
              <w:rPr>
                <w:szCs w:val="22"/>
              </w:rPr>
              <w:fldChar w:fldCharType="end"/>
            </w:r>
            <w:r>
              <w:rPr>
                <w:szCs w:val="22"/>
              </w:rPr>
              <w:t>类</w:t>
            </w:r>
          </w:p>
        </w:tc>
        <w:tc>
          <w:tcPr>
            <w:tcW w:w="2269" w:type="dxa"/>
            <w:gridSpan w:val="3"/>
            <w:vAlign w:val="center"/>
          </w:tcPr>
          <w:p w14:paraId="73DF64E6">
            <w:pPr>
              <w:spacing w:line="240" w:lineRule="auto"/>
              <w:ind w:firstLine="0" w:firstLineChars="0"/>
              <w:jc w:val="center"/>
              <w:rPr>
                <w:szCs w:val="22"/>
              </w:rPr>
            </w:pPr>
            <w:r>
              <w:rPr>
                <w:b/>
                <w:bCs/>
                <w:szCs w:val="22"/>
              </w:rPr>
              <w:fldChar w:fldCharType="begin"/>
            </w:r>
            <w:r>
              <w:rPr>
                <w:b/>
                <w:bCs/>
                <w:szCs w:val="22"/>
              </w:rPr>
              <w:instrText xml:space="preserve"> = 3 \* ROMAN </w:instrText>
            </w:r>
            <w:r>
              <w:rPr>
                <w:b/>
                <w:bCs/>
                <w:szCs w:val="22"/>
              </w:rPr>
              <w:fldChar w:fldCharType="separate"/>
            </w:r>
            <w:r>
              <w:rPr>
                <w:b/>
                <w:bCs/>
                <w:szCs w:val="22"/>
              </w:rPr>
              <w:t>III</w:t>
            </w:r>
            <w:r>
              <w:rPr>
                <w:b/>
                <w:bCs/>
                <w:szCs w:val="22"/>
              </w:rPr>
              <w:fldChar w:fldCharType="end"/>
            </w:r>
            <w:r>
              <w:rPr>
                <w:b/>
                <w:bCs/>
                <w:szCs w:val="22"/>
              </w:rPr>
              <w:t>类</w:t>
            </w:r>
          </w:p>
        </w:tc>
      </w:tr>
      <w:tr w14:paraId="141310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2267" w:type="dxa"/>
            <w:vMerge w:val="continue"/>
            <w:vAlign w:val="center"/>
          </w:tcPr>
          <w:p w14:paraId="2EAAB242">
            <w:pPr>
              <w:spacing w:line="240" w:lineRule="auto"/>
              <w:ind w:firstLine="0" w:firstLineChars="0"/>
              <w:rPr>
                <w:szCs w:val="22"/>
              </w:rPr>
            </w:pPr>
          </w:p>
        </w:tc>
        <w:tc>
          <w:tcPr>
            <w:tcW w:w="755" w:type="dxa"/>
            <w:vAlign w:val="center"/>
          </w:tcPr>
          <w:p w14:paraId="23979F94">
            <w:pPr>
              <w:pStyle w:val="5"/>
              <w:spacing w:after="0" w:line="240" w:lineRule="auto"/>
              <w:ind w:firstLine="0" w:firstLineChars="0"/>
              <w:jc w:val="center"/>
              <w:rPr>
                <w:kern w:val="2"/>
              </w:rPr>
            </w:pPr>
            <w:r>
              <w:rPr>
                <w:kern w:val="2"/>
              </w:rPr>
              <w:t>大</w:t>
            </w:r>
          </w:p>
        </w:tc>
        <w:tc>
          <w:tcPr>
            <w:tcW w:w="756" w:type="dxa"/>
            <w:vAlign w:val="center"/>
          </w:tcPr>
          <w:p w14:paraId="7D8E05D4">
            <w:pPr>
              <w:pStyle w:val="5"/>
              <w:spacing w:after="0" w:line="240" w:lineRule="auto"/>
              <w:ind w:firstLine="0" w:firstLineChars="0"/>
              <w:jc w:val="center"/>
              <w:rPr>
                <w:kern w:val="2"/>
              </w:rPr>
            </w:pPr>
            <w:r>
              <w:rPr>
                <w:kern w:val="2"/>
              </w:rPr>
              <w:t>中</w:t>
            </w:r>
          </w:p>
        </w:tc>
        <w:tc>
          <w:tcPr>
            <w:tcW w:w="756" w:type="dxa"/>
            <w:vAlign w:val="center"/>
          </w:tcPr>
          <w:p w14:paraId="62768959">
            <w:pPr>
              <w:pStyle w:val="5"/>
              <w:spacing w:after="0" w:line="240" w:lineRule="auto"/>
              <w:ind w:firstLine="0" w:firstLineChars="0"/>
              <w:jc w:val="center"/>
              <w:rPr>
                <w:kern w:val="2"/>
              </w:rPr>
            </w:pPr>
            <w:r>
              <w:rPr>
                <w:kern w:val="2"/>
              </w:rPr>
              <w:t>小</w:t>
            </w:r>
          </w:p>
        </w:tc>
        <w:tc>
          <w:tcPr>
            <w:tcW w:w="756" w:type="dxa"/>
            <w:vAlign w:val="center"/>
          </w:tcPr>
          <w:p w14:paraId="1CE1DDD7">
            <w:pPr>
              <w:pStyle w:val="5"/>
              <w:spacing w:after="0" w:line="240" w:lineRule="auto"/>
              <w:ind w:firstLine="0" w:firstLineChars="0"/>
              <w:jc w:val="center"/>
              <w:rPr>
                <w:kern w:val="2"/>
              </w:rPr>
            </w:pPr>
            <w:r>
              <w:rPr>
                <w:kern w:val="2"/>
              </w:rPr>
              <w:t>大</w:t>
            </w:r>
          </w:p>
        </w:tc>
        <w:tc>
          <w:tcPr>
            <w:tcW w:w="756" w:type="dxa"/>
            <w:vAlign w:val="center"/>
          </w:tcPr>
          <w:p w14:paraId="2771CEA5">
            <w:pPr>
              <w:pStyle w:val="5"/>
              <w:spacing w:after="0" w:line="240" w:lineRule="auto"/>
              <w:ind w:firstLine="0" w:firstLineChars="0"/>
              <w:jc w:val="center"/>
              <w:rPr>
                <w:kern w:val="2"/>
              </w:rPr>
            </w:pPr>
            <w:r>
              <w:rPr>
                <w:kern w:val="2"/>
              </w:rPr>
              <w:t>中</w:t>
            </w:r>
          </w:p>
        </w:tc>
        <w:tc>
          <w:tcPr>
            <w:tcW w:w="757" w:type="dxa"/>
            <w:vAlign w:val="center"/>
          </w:tcPr>
          <w:p w14:paraId="6B619ABB">
            <w:pPr>
              <w:pStyle w:val="5"/>
              <w:spacing w:after="0" w:line="240" w:lineRule="auto"/>
              <w:ind w:firstLine="0" w:firstLineChars="0"/>
              <w:jc w:val="center"/>
              <w:rPr>
                <w:kern w:val="2"/>
              </w:rPr>
            </w:pPr>
            <w:r>
              <w:rPr>
                <w:kern w:val="2"/>
              </w:rPr>
              <w:t>小</w:t>
            </w:r>
          </w:p>
        </w:tc>
        <w:tc>
          <w:tcPr>
            <w:tcW w:w="756" w:type="dxa"/>
            <w:vAlign w:val="center"/>
          </w:tcPr>
          <w:p w14:paraId="222D5D7B">
            <w:pPr>
              <w:pStyle w:val="5"/>
              <w:spacing w:after="0" w:line="240" w:lineRule="auto"/>
              <w:ind w:firstLine="0" w:firstLineChars="0"/>
              <w:jc w:val="center"/>
              <w:rPr>
                <w:kern w:val="2"/>
              </w:rPr>
            </w:pPr>
            <w:r>
              <w:rPr>
                <w:kern w:val="2"/>
              </w:rPr>
              <w:t>大</w:t>
            </w:r>
          </w:p>
        </w:tc>
        <w:tc>
          <w:tcPr>
            <w:tcW w:w="756" w:type="dxa"/>
            <w:vAlign w:val="center"/>
          </w:tcPr>
          <w:p w14:paraId="6F489113">
            <w:pPr>
              <w:pStyle w:val="5"/>
              <w:spacing w:after="0" w:line="240" w:lineRule="auto"/>
              <w:ind w:firstLine="0" w:firstLineChars="0"/>
              <w:jc w:val="center"/>
              <w:rPr>
                <w:kern w:val="2"/>
              </w:rPr>
            </w:pPr>
            <w:r>
              <w:rPr>
                <w:kern w:val="2"/>
              </w:rPr>
              <w:t>中</w:t>
            </w:r>
          </w:p>
        </w:tc>
        <w:tc>
          <w:tcPr>
            <w:tcW w:w="757" w:type="dxa"/>
            <w:vAlign w:val="center"/>
          </w:tcPr>
          <w:p w14:paraId="39884565">
            <w:pPr>
              <w:pStyle w:val="5"/>
              <w:spacing w:after="0" w:line="240" w:lineRule="auto"/>
              <w:ind w:firstLine="0" w:firstLineChars="0"/>
              <w:jc w:val="center"/>
              <w:rPr>
                <w:kern w:val="2"/>
              </w:rPr>
            </w:pPr>
            <w:r>
              <w:rPr>
                <w:kern w:val="2"/>
              </w:rPr>
              <w:t>小</w:t>
            </w:r>
          </w:p>
        </w:tc>
      </w:tr>
      <w:tr w14:paraId="363BF6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2267" w:type="dxa"/>
            <w:vAlign w:val="center"/>
          </w:tcPr>
          <w:p w14:paraId="4FA964CF">
            <w:pPr>
              <w:spacing w:line="240" w:lineRule="auto"/>
              <w:ind w:firstLine="0" w:firstLineChars="0"/>
              <w:jc w:val="center"/>
              <w:rPr>
                <w:szCs w:val="22"/>
              </w:rPr>
            </w:pPr>
            <w:r>
              <w:rPr>
                <w:szCs w:val="22"/>
              </w:rPr>
              <w:t>敏感</w:t>
            </w:r>
          </w:p>
        </w:tc>
        <w:tc>
          <w:tcPr>
            <w:tcW w:w="755" w:type="dxa"/>
            <w:vAlign w:val="center"/>
          </w:tcPr>
          <w:p w14:paraId="0D8E6051">
            <w:pPr>
              <w:pStyle w:val="5"/>
              <w:spacing w:after="0" w:line="240" w:lineRule="auto"/>
              <w:ind w:firstLine="0" w:firstLineChars="0"/>
              <w:jc w:val="center"/>
              <w:rPr>
                <w:kern w:val="2"/>
              </w:rPr>
            </w:pPr>
            <w:r>
              <w:rPr>
                <w:kern w:val="2"/>
              </w:rPr>
              <w:t>一级</w:t>
            </w:r>
          </w:p>
        </w:tc>
        <w:tc>
          <w:tcPr>
            <w:tcW w:w="756" w:type="dxa"/>
            <w:vAlign w:val="center"/>
          </w:tcPr>
          <w:p w14:paraId="417FB8F6">
            <w:pPr>
              <w:pStyle w:val="5"/>
              <w:spacing w:after="0" w:line="240" w:lineRule="auto"/>
              <w:ind w:firstLine="0" w:firstLineChars="0"/>
              <w:jc w:val="center"/>
              <w:rPr>
                <w:kern w:val="2"/>
              </w:rPr>
            </w:pPr>
            <w:r>
              <w:rPr>
                <w:kern w:val="2"/>
              </w:rPr>
              <w:t>一级</w:t>
            </w:r>
          </w:p>
        </w:tc>
        <w:tc>
          <w:tcPr>
            <w:tcW w:w="756" w:type="dxa"/>
            <w:vAlign w:val="center"/>
          </w:tcPr>
          <w:p w14:paraId="0B83231F">
            <w:pPr>
              <w:pStyle w:val="5"/>
              <w:spacing w:after="0" w:line="240" w:lineRule="auto"/>
              <w:ind w:firstLine="0" w:firstLineChars="0"/>
              <w:jc w:val="center"/>
              <w:rPr>
                <w:kern w:val="2"/>
              </w:rPr>
            </w:pPr>
            <w:r>
              <w:rPr>
                <w:kern w:val="2"/>
              </w:rPr>
              <w:t>一级</w:t>
            </w:r>
          </w:p>
        </w:tc>
        <w:tc>
          <w:tcPr>
            <w:tcW w:w="756" w:type="dxa"/>
            <w:vAlign w:val="center"/>
          </w:tcPr>
          <w:p w14:paraId="295B9CD1">
            <w:pPr>
              <w:pStyle w:val="5"/>
              <w:spacing w:after="0" w:line="240" w:lineRule="auto"/>
              <w:ind w:firstLine="0" w:firstLineChars="0"/>
              <w:jc w:val="center"/>
              <w:rPr>
                <w:kern w:val="2"/>
              </w:rPr>
            </w:pPr>
            <w:r>
              <w:rPr>
                <w:kern w:val="2"/>
              </w:rPr>
              <w:t>二级</w:t>
            </w:r>
          </w:p>
        </w:tc>
        <w:tc>
          <w:tcPr>
            <w:tcW w:w="756" w:type="dxa"/>
            <w:vAlign w:val="center"/>
          </w:tcPr>
          <w:p w14:paraId="324B67A5">
            <w:pPr>
              <w:pStyle w:val="5"/>
              <w:spacing w:after="0" w:line="240" w:lineRule="auto"/>
              <w:ind w:firstLine="0" w:firstLineChars="0"/>
              <w:jc w:val="center"/>
              <w:rPr>
                <w:kern w:val="2"/>
              </w:rPr>
            </w:pPr>
            <w:r>
              <w:rPr>
                <w:kern w:val="2"/>
              </w:rPr>
              <w:t>二级</w:t>
            </w:r>
          </w:p>
        </w:tc>
        <w:tc>
          <w:tcPr>
            <w:tcW w:w="757" w:type="dxa"/>
            <w:vAlign w:val="center"/>
          </w:tcPr>
          <w:p w14:paraId="2C9480A8">
            <w:pPr>
              <w:pStyle w:val="5"/>
              <w:spacing w:after="0" w:line="240" w:lineRule="auto"/>
              <w:ind w:firstLine="0" w:firstLineChars="0"/>
              <w:jc w:val="center"/>
              <w:rPr>
                <w:kern w:val="2"/>
              </w:rPr>
            </w:pPr>
            <w:r>
              <w:rPr>
                <w:kern w:val="2"/>
              </w:rPr>
              <w:t>二级</w:t>
            </w:r>
          </w:p>
        </w:tc>
        <w:tc>
          <w:tcPr>
            <w:tcW w:w="756" w:type="dxa"/>
            <w:vAlign w:val="center"/>
          </w:tcPr>
          <w:p w14:paraId="7EE42235">
            <w:pPr>
              <w:pStyle w:val="5"/>
              <w:spacing w:after="0" w:line="240" w:lineRule="auto"/>
              <w:ind w:firstLine="0" w:firstLineChars="0"/>
              <w:jc w:val="center"/>
              <w:rPr>
                <w:kern w:val="2"/>
              </w:rPr>
            </w:pPr>
            <w:r>
              <w:rPr>
                <w:kern w:val="2"/>
              </w:rPr>
              <w:t>三级</w:t>
            </w:r>
          </w:p>
        </w:tc>
        <w:tc>
          <w:tcPr>
            <w:tcW w:w="756" w:type="dxa"/>
            <w:vAlign w:val="center"/>
          </w:tcPr>
          <w:p w14:paraId="074ACA48">
            <w:pPr>
              <w:pStyle w:val="5"/>
              <w:spacing w:after="0" w:line="240" w:lineRule="auto"/>
              <w:ind w:firstLine="0" w:firstLineChars="0"/>
              <w:jc w:val="center"/>
              <w:rPr>
                <w:kern w:val="2"/>
              </w:rPr>
            </w:pPr>
            <w:r>
              <w:rPr>
                <w:kern w:val="2"/>
                <w:shd w:val="clear" w:color="auto" w:fill="61B86B" w:themeFill="background1" w:themeFillShade="A5"/>
              </w:rPr>
              <w:t>三级</w:t>
            </w:r>
          </w:p>
        </w:tc>
        <w:tc>
          <w:tcPr>
            <w:tcW w:w="757" w:type="dxa"/>
            <w:vAlign w:val="center"/>
          </w:tcPr>
          <w:p w14:paraId="3D140C43">
            <w:pPr>
              <w:pStyle w:val="5"/>
              <w:spacing w:after="0" w:line="240" w:lineRule="auto"/>
              <w:ind w:firstLine="0" w:firstLineChars="0"/>
              <w:jc w:val="center"/>
              <w:rPr>
                <w:kern w:val="2"/>
              </w:rPr>
            </w:pPr>
            <w:r>
              <w:rPr>
                <w:kern w:val="2"/>
              </w:rPr>
              <w:t>三级</w:t>
            </w:r>
          </w:p>
        </w:tc>
      </w:tr>
      <w:tr w14:paraId="3CA1C6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9" w:hRule="atLeast"/>
          <w:jc w:val="center"/>
        </w:trPr>
        <w:tc>
          <w:tcPr>
            <w:tcW w:w="2267" w:type="dxa"/>
            <w:vAlign w:val="center"/>
          </w:tcPr>
          <w:p w14:paraId="4C52F170">
            <w:pPr>
              <w:spacing w:line="240" w:lineRule="auto"/>
              <w:ind w:firstLine="0" w:firstLineChars="0"/>
              <w:jc w:val="center"/>
              <w:rPr>
                <w:szCs w:val="22"/>
              </w:rPr>
            </w:pPr>
            <w:r>
              <w:rPr>
                <w:szCs w:val="22"/>
              </w:rPr>
              <w:t>较敏感</w:t>
            </w:r>
          </w:p>
        </w:tc>
        <w:tc>
          <w:tcPr>
            <w:tcW w:w="755" w:type="dxa"/>
            <w:vAlign w:val="center"/>
          </w:tcPr>
          <w:p w14:paraId="3A86A18F">
            <w:pPr>
              <w:pStyle w:val="5"/>
              <w:spacing w:after="0" w:line="240" w:lineRule="auto"/>
              <w:ind w:firstLine="0" w:firstLineChars="0"/>
              <w:jc w:val="center"/>
              <w:rPr>
                <w:kern w:val="2"/>
              </w:rPr>
            </w:pPr>
            <w:r>
              <w:rPr>
                <w:kern w:val="2"/>
              </w:rPr>
              <w:t>一级</w:t>
            </w:r>
          </w:p>
        </w:tc>
        <w:tc>
          <w:tcPr>
            <w:tcW w:w="756" w:type="dxa"/>
            <w:vAlign w:val="center"/>
          </w:tcPr>
          <w:p w14:paraId="29B031B2">
            <w:pPr>
              <w:pStyle w:val="5"/>
              <w:spacing w:after="0" w:line="240" w:lineRule="auto"/>
              <w:ind w:firstLine="0" w:firstLineChars="0"/>
              <w:jc w:val="center"/>
              <w:rPr>
                <w:kern w:val="2"/>
              </w:rPr>
            </w:pPr>
            <w:r>
              <w:rPr>
                <w:kern w:val="2"/>
              </w:rPr>
              <w:t>一级</w:t>
            </w:r>
          </w:p>
        </w:tc>
        <w:tc>
          <w:tcPr>
            <w:tcW w:w="756" w:type="dxa"/>
            <w:vAlign w:val="center"/>
          </w:tcPr>
          <w:p w14:paraId="671C3F06">
            <w:pPr>
              <w:pStyle w:val="5"/>
              <w:spacing w:after="0" w:line="240" w:lineRule="auto"/>
              <w:ind w:firstLine="0" w:firstLineChars="0"/>
              <w:jc w:val="center"/>
              <w:rPr>
                <w:kern w:val="2"/>
              </w:rPr>
            </w:pPr>
            <w:r>
              <w:rPr>
                <w:kern w:val="2"/>
              </w:rPr>
              <w:t>二级</w:t>
            </w:r>
          </w:p>
        </w:tc>
        <w:tc>
          <w:tcPr>
            <w:tcW w:w="756" w:type="dxa"/>
            <w:vAlign w:val="center"/>
          </w:tcPr>
          <w:p w14:paraId="16DE8DCF">
            <w:pPr>
              <w:pStyle w:val="5"/>
              <w:spacing w:after="0" w:line="240" w:lineRule="auto"/>
              <w:ind w:firstLine="0" w:firstLineChars="0"/>
              <w:jc w:val="center"/>
              <w:rPr>
                <w:kern w:val="2"/>
              </w:rPr>
            </w:pPr>
            <w:r>
              <w:rPr>
                <w:kern w:val="2"/>
              </w:rPr>
              <w:t>二级</w:t>
            </w:r>
          </w:p>
        </w:tc>
        <w:tc>
          <w:tcPr>
            <w:tcW w:w="756" w:type="dxa"/>
            <w:vAlign w:val="center"/>
          </w:tcPr>
          <w:p w14:paraId="11CDB993">
            <w:pPr>
              <w:pStyle w:val="5"/>
              <w:spacing w:after="0" w:line="240" w:lineRule="auto"/>
              <w:ind w:firstLine="0" w:firstLineChars="0"/>
              <w:jc w:val="center"/>
              <w:rPr>
                <w:kern w:val="2"/>
              </w:rPr>
            </w:pPr>
            <w:r>
              <w:rPr>
                <w:kern w:val="2"/>
              </w:rPr>
              <w:t>二级</w:t>
            </w:r>
          </w:p>
        </w:tc>
        <w:tc>
          <w:tcPr>
            <w:tcW w:w="757" w:type="dxa"/>
            <w:vAlign w:val="center"/>
          </w:tcPr>
          <w:p w14:paraId="0F4A8655">
            <w:pPr>
              <w:pStyle w:val="5"/>
              <w:spacing w:after="0" w:line="240" w:lineRule="auto"/>
              <w:ind w:firstLine="0" w:firstLineChars="0"/>
              <w:jc w:val="center"/>
              <w:rPr>
                <w:kern w:val="2"/>
              </w:rPr>
            </w:pPr>
            <w:r>
              <w:rPr>
                <w:kern w:val="2"/>
              </w:rPr>
              <w:t>三级</w:t>
            </w:r>
          </w:p>
        </w:tc>
        <w:tc>
          <w:tcPr>
            <w:tcW w:w="756" w:type="dxa"/>
            <w:vAlign w:val="center"/>
          </w:tcPr>
          <w:p w14:paraId="520176B4">
            <w:pPr>
              <w:pStyle w:val="5"/>
              <w:spacing w:after="0" w:line="240" w:lineRule="auto"/>
              <w:ind w:firstLine="0" w:firstLineChars="0"/>
              <w:jc w:val="center"/>
              <w:rPr>
                <w:kern w:val="2"/>
              </w:rPr>
            </w:pPr>
            <w:r>
              <w:rPr>
                <w:kern w:val="2"/>
              </w:rPr>
              <w:t>三级</w:t>
            </w:r>
          </w:p>
        </w:tc>
        <w:tc>
          <w:tcPr>
            <w:tcW w:w="756" w:type="dxa"/>
            <w:vAlign w:val="center"/>
          </w:tcPr>
          <w:p w14:paraId="5AD0E128">
            <w:pPr>
              <w:pStyle w:val="5"/>
              <w:spacing w:after="0" w:line="240" w:lineRule="auto"/>
              <w:ind w:firstLine="0" w:firstLineChars="0"/>
              <w:jc w:val="center"/>
              <w:rPr>
                <w:kern w:val="2"/>
              </w:rPr>
            </w:pPr>
            <w:r>
              <w:rPr>
                <w:kern w:val="2"/>
              </w:rPr>
              <w:t>三级</w:t>
            </w:r>
          </w:p>
        </w:tc>
        <w:tc>
          <w:tcPr>
            <w:tcW w:w="757" w:type="dxa"/>
            <w:vAlign w:val="center"/>
          </w:tcPr>
          <w:p w14:paraId="4882626F">
            <w:pPr>
              <w:pStyle w:val="5"/>
              <w:spacing w:after="0" w:line="240" w:lineRule="auto"/>
              <w:ind w:firstLine="0" w:firstLineChars="0"/>
              <w:jc w:val="center"/>
              <w:rPr>
                <w:kern w:val="2"/>
              </w:rPr>
            </w:pPr>
            <w:r>
              <w:rPr>
                <w:kern w:val="2"/>
              </w:rPr>
              <w:t>—</w:t>
            </w:r>
          </w:p>
        </w:tc>
      </w:tr>
      <w:tr w14:paraId="66F13B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2267" w:type="dxa"/>
            <w:vAlign w:val="center"/>
          </w:tcPr>
          <w:p w14:paraId="465BE9F6">
            <w:pPr>
              <w:spacing w:line="240" w:lineRule="auto"/>
              <w:ind w:firstLine="0" w:firstLineChars="0"/>
              <w:jc w:val="center"/>
              <w:rPr>
                <w:szCs w:val="22"/>
              </w:rPr>
            </w:pPr>
            <w:r>
              <w:rPr>
                <w:szCs w:val="22"/>
              </w:rPr>
              <w:t>不敏感</w:t>
            </w:r>
          </w:p>
        </w:tc>
        <w:tc>
          <w:tcPr>
            <w:tcW w:w="755" w:type="dxa"/>
            <w:vAlign w:val="center"/>
          </w:tcPr>
          <w:p w14:paraId="48635038">
            <w:pPr>
              <w:pStyle w:val="5"/>
              <w:spacing w:after="0" w:line="240" w:lineRule="auto"/>
              <w:ind w:firstLine="0" w:firstLineChars="0"/>
              <w:jc w:val="center"/>
              <w:rPr>
                <w:kern w:val="2"/>
              </w:rPr>
            </w:pPr>
            <w:r>
              <w:rPr>
                <w:kern w:val="2"/>
              </w:rPr>
              <w:t>一级</w:t>
            </w:r>
          </w:p>
        </w:tc>
        <w:tc>
          <w:tcPr>
            <w:tcW w:w="756" w:type="dxa"/>
            <w:vAlign w:val="center"/>
          </w:tcPr>
          <w:p w14:paraId="113A2377">
            <w:pPr>
              <w:pStyle w:val="5"/>
              <w:spacing w:after="0" w:line="240" w:lineRule="auto"/>
              <w:ind w:firstLine="0" w:firstLineChars="0"/>
              <w:jc w:val="center"/>
              <w:rPr>
                <w:kern w:val="2"/>
              </w:rPr>
            </w:pPr>
            <w:r>
              <w:rPr>
                <w:kern w:val="2"/>
              </w:rPr>
              <w:t>二级</w:t>
            </w:r>
          </w:p>
        </w:tc>
        <w:tc>
          <w:tcPr>
            <w:tcW w:w="756" w:type="dxa"/>
            <w:vAlign w:val="center"/>
          </w:tcPr>
          <w:p w14:paraId="26582A09">
            <w:pPr>
              <w:pStyle w:val="5"/>
              <w:spacing w:after="0" w:line="240" w:lineRule="auto"/>
              <w:ind w:firstLine="0" w:firstLineChars="0"/>
              <w:jc w:val="center"/>
              <w:rPr>
                <w:kern w:val="2"/>
              </w:rPr>
            </w:pPr>
            <w:r>
              <w:rPr>
                <w:kern w:val="2"/>
              </w:rPr>
              <w:t>二级</w:t>
            </w:r>
          </w:p>
        </w:tc>
        <w:tc>
          <w:tcPr>
            <w:tcW w:w="756" w:type="dxa"/>
            <w:vAlign w:val="center"/>
          </w:tcPr>
          <w:p w14:paraId="7D838EE0">
            <w:pPr>
              <w:pStyle w:val="5"/>
              <w:spacing w:after="0" w:line="240" w:lineRule="auto"/>
              <w:ind w:firstLine="0" w:firstLineChars="0"/>
              <w:jc w:val="center"/>
              <w:rPr>
                <w:kern w:val="2"/>
              </w:rPr>
            </w:pPr>
            <w:r>
              <w:rPr>
                <w:kern w:val="2"/>
              </w:rPr>
              <w:t>二级</w:t>
            </w:r>
          </w:p>
        </w:tc>
        <w:tc>
          <w:tcPr>
            <w:tcW w:w="756" w:type="dxa"/>
            <w:vAlign w:val="center"/>
          </w:tcPr>
          <w:p w14:paraId="6B36CE11">
            <w:pPr>
              <w:pStyle w:val="5"/>
              <w:spacing w:after="0" w:line="240" w:lineRule="auto"/>
              <w:ind w:firstLine="0" w:firstLineChars="0"/>
              <w:jc w:val="center"/>
              <w:rPr>
                <w:kern w:val="2"/>
              </w:rPr>
            </w:pPr>
            <w:r>
              <w:rPr>
                <w:kern w:val="2"/>
              </w:rPr>
              <w:t>三级</w:t>
            </w:r>
          </w:p>
        </w:tc>
        <w:tc>
          <w:tcPr>
            <w:tcW w:w="757" w:type="dxa"/>
            <w:vAlign w:val="center"/>
          </w:tcPr>
          <w:p w14:paraId="1F2DEF99">
            <w:pPr>
              <w:pStyle w:val="5"/>
              <w:spacing w:after="0" w:line="240" w:lineRule="auto"/>
              <w:ind w:firstLine="0" w:firstLineChars="0"/>
              <w:jc w:val="center"/>
              <w:rPr>
                <w:kern w:val="2"/>
              </w:rPr>
            </w:pPr>
            <w:r>
              <w:rPr>
                <w:kern w:val="2"/>
              </w:rPr>
              <w:t>三级</w:t>
            </w:r>
          </w:p>
        </w:tc>
        <w:tc>
          <w:tcPr>
            <w:tcW w:w="756" w:type="dxa"/>
            <w:vAlign w:val="center"/>
          </w:tcPr>
          <w:p w14:paraId="3643325F">
            <w:pPr>
              <w:pStyle w:val="5"/>
              <w:spacing w:after="0" w:line="240" w:lineRule="auto"/>
              <w:ind w:firstLine="0" w:firstLineChars="0"/>
              <w:jc w:val="center"/>
              <w:rPr>
                <w:kern w:val="2"/>
              </w:rPr>
            </w:pPr>
            <w:r>
              <w:rPr>
                <w:kern w:val="2"/>
              </w:rPr>
              <w:t>三级</w:t>
            </w:r>
          </w:p>
        </w:tc>
        <w:tc>
          <w:tcPr>
            <w:tcW w:w="756" w:type="dxa"/>
            <w:vAlign w:val="center"/>
          </w:tcPr>
          <w:p w14:paraId="01B8DD26">
            <w:pPr>
              <w:pStyle w:val="5"/>
              <w:spacing w:after="0" w:line="240" w:lineRule="auto"/>
              <w:ind w:firstLine="0" w:firstLineChars="0"/>
              <w:jc w:val="center"/>
              <w:rPr>
                <w:kern w:val="2"/>
              </w:rPr>
            </w:pPr>
            <w:r>
              <w:rPr>
                <w:kern w:val="2"/>
              </w:rPr>
              <w:t>—</w:t>
            </w:r>
          </w:p>
        </w:tc>
        <w:tc>
          <w:tcPr>
            <w:tcW w:w="757" w:type="dxa"/>
            <w:vAlign w:val="center"/>
          </w:tcPr>
          <w:p w14:paraId="40DD82CE">
            <w:pPr>
              <w:pStyle w:val="5"/>
              <w:spacing w:after="0" w:line="240" w:lineRule="auto"/>
              <w:ind w:firstLine="0" w:firstLineChars="0"/>
              <w:jc w:val="center"/>
              <w:rPr>
                <w:kern w:val="2"/>
              </w:rPr>
            </w:pPr>
            <w:r>
              <w:rPr>
                <w:kern w:val="2"/>
              </w:rPr>
              <w:t>—</w:t>
            </w:r>
          </w:p>
        </w:tc>
      </w:tr>
      <w:tr w14:paraId="102A10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9072" w:type="dxa"/>
            <w:gridSpan w:val="10"/>
            <w:vAlign w:val="center"/>
          </w:tcPr>
          <w:p w14:paraId="722077EA">
            <w:pPr>
              <w:spacing w:line="240" w:lineRule="auto"/>
              <w:ind w:firstLine="0" w:firstLineChars="0"/>
              <w:rPr>
                <w:szCs w:val="22"/>
              </w:rPr>
            </w:pPr>
            <w:r>
              <w:rPr>
                <w:szCs w:val="22"/>
              </w:rPr>
              <w:t>注：“—”表示可不开展土壤环境影响评价工作。</w:t>
            </w:r>
          </w:p>
        </w:tc>
      </w:tr>
    </w:tbl>
    <w:p w14:paraId="6128DAE8">
      <w:pPr>
        <w:pStyle w:val="105"/>
        <w:ind w:firstLine="480"/>
      </w:pPr>
      <w:r>
        <w:t>依据建设项目土壤环境影响评价工作等级划分（表2.4-</w:t>
      </w:r>
      <w:r>
        <w:rPr>
          <w:rFonts w:hint="eastAsia"/>
        </w:rPr>
        <w:t>9</w:t>
      </w:r>
      <w:r>
        <w:t>）中的要求，最终</w:t>
      </w:r>
      <w:r>
        <w:rPr>
          <w:spacing w:val="7"/>
          <w:lang w:val="zh-CN"/>
        </w:rPr>
        <w:t>确定本项目</w:t>
      </w:r>
      <w:r>
        <w:rPr>
          <w:spacing w:val="7"/>
        </w:rPr>
        <w:t>土壤环境评价工作等级为“三级”</w:t>
      </w:r>
      <w:r>
        <w:t>。</w:t>
      </w:r>
    </w:p>
    <w:p w14:paraId="79F95452">
      <w:pPr>
        <w:pStyle w:val="105"/>
        <w:ind w:firstLine="480"/>
      </w:pPr>
      <w:r>
        <w:t>4</w:t>
      </w:r>
      <w:r>
        <w:rPr>
          <w:rFonts w:hint="eastAsia"/>
        </w:rPr>
        <w:t>、</w:t>
      </w:r>
      <w:r>
        <w:t>评价范围</w:t>
      </w:r>
    </w:p>
    <w:p w14:paraId="436598CC">
      <w:pPr>
        <w:pStyle w:val="105"/>
        <w:ind w:firstLine="480"/>
      </w:pPr>
      <w:r>
        <w:t>根据《环境影响评价技术导则土壤环境》（HJ964-2018)，评价等级为三级评价的评价范围为厂区边界外0.05km以内的范围。</w:t>
      </w:r>
    </w:p>
    <w:p w14:paraId="4A08E2B8">
      <w:pPr>
        <w:pStyle w:val="12"/>
      </w:pPr>
      <w:r>
        <w:t>2.4.1.6生态环境评价等级</w:t>
      </w:r>
    </w:p>
    <w:p w14:paraId="751301BD">
      <w:pPr>
        <w:pStyle w:val="105"/>
        <w:ind w:firstLine="480"/>
      </w:pPr>
      <w:r>
        <w:rPr>
          <w:rFonts w:hint="eastAsia"/>
        </w:rPr>
        <w:t>（1）评价等级</w:t>
      </w:r>
    </w:p>
    <w:p w14:paraId="7B1D49A7">
      <w:pPr>
        <w:ind w:firstLine="480"/>
      </w:pPr>
      <w:r>
        <w:rPr>
          <w:rFonts w:hint="eastAsia"/>
        </w:rPr>
        <w:t>根据《环境影响评价技术导则 生态影响》（HJ19-2022），生态环境影响评价工作等级判定原则如下：</w:t>
      </w:r>
    </w:p>
    <w:p w14:paraId="4DF957FA">
      <w:pPr>
        <w:ind w:firstLine="480"/>
      </w:pPr>
      <w:r>
        <w:rPr>
          <w:rFonts w:hint="eastAsia"/>
        </w:rPr>
        <w:t>（1）涉及国家公园、自然保护区、世界自然遗产、重要</w:t>
      </w:r>
      <w:r>
        <w:rPr>
          <w:rFonts w:hint="eastAsia"/>
          <w:lang w:val="en-US" w:eastAsia="zh-CN"/>
        </w:rPr>
        <w:t>环境</w:t>
      </w:r>
      <w:r>
        <w:rPr>
          <w:rFonts w:hint="eastAsia"/>
        </w:rPr>
        <w:t>时，评价等级为一级；本项目距离西鄂尔多斯国家级自然保护区实验区最近距离为0.</w:t>
      </w:r>
      <w:r>
        <w:t>57</w:t>
      </w:r>
      <w:r>
        <w:rPr>
          <w:rFonts w:hint="eastAsia"/>
        </w:rPr>
        <w:t>km，距离缓冲区最近距离为1.</w:t>
      </w:r>
      <w:r>
        <w:t>39</w:t>
      </w:r>
      <w:r>
        <w:rPr>
          <w:rFonts w:hint="eastAsia"/>
        </w:rPr>
        <w:t>km，距离核心区最近距离为</w:t>
      </w:r>
      <w:r>
        <w:t>2.39</w:t>
      </w:r>
      <w:r>
        <w:rPr>
          <w:rFonts w:hint="eastAsia"/>
        </w:rPr>
        <w:t>km；本项目占地范围内涉及国家二级重点保护野生植物沙冬青和绵刺，根据内林草护许准〔2023〕43号文，项目区域涉及绵刺7023株、沙冬青1279株。</w:t>
      </w:r>
    </w:p>
    <w:p w14:paraId="251F55EF">
      <w:pPr>
        <w:ind w:firstLine="480"/>
      </w:pPr>
      <w:r>
        <w:rPr>
          <w:rFonts w:hint="eastAsia"/>
        </w:rPr>
        <w:t>（2）涉及自然公园时，评价等级为二级；</w:t>
      </w:r>
    </w:p>
    <w:p w14:paraId="10031944">
      <w:pPr>
        <w:ind w:firstLine="480"/>
      </w:pPr>
      <w:r>
        <w:rPr>
          <w:rFonts w:hint="eastAsia"/>
        </w:rPr>
        <w:t>（3）涉及生态保护红线时，评价等级为二级；</w:t>
      </w:r>
    </w:p>
    <w:p w14:paraId="2656ABD7">
      <w:pPr>
        <w:ind w:firstLine="480"/>
      </w:pPr>
      <w:r>
        <w:rPr>
          <w:rFonts w:hint="eastAsia"/>
        </w:rPr>
        <w:t>（4）根据HJ2.3判断属于水文要素影响型且地表水评价等级不低于二级的建设项目，生态影响评价等级不低于二级；</w:t>
      </w:r>
    </w:p>
    <w:p w14:paraId="7B993F36">
      <w:pPr>
        <w:ind w:firstLine="480"/>
      </w:pPr>
      <w:r>
        <w:rPr>
          <w:rFonts w:hint="eastAsia"/>
        </w:rPr>
        <w:t>（5）根据HJ610、HJ964判断地下水水位或土壤影响范围内分布有天然林、公益林、湿地等生态保护目标的建设项目，生态影响评价等级不低于二级；</w:t>
      </w:r>
    </w:p>
    <w:p w14:paraId="0D8C9EC7">
      <w:pPr>
        <w:ind w:firstLine="480"/>
      </w:pPr>
      <w:r>
        <w:rPr>
          <w:rFonts w:hint="eastAsia"/>
        </w:rPr>
        <w:t>（6）当工程占地规模大于20km</w:t>
      </w:r>
      <w:r>
        <w:rPr>
          <w:rFonts w:hint="eastAsia"/>
          <w:vertAlign w:val="superscript"/>
        </w:rPr>
        <w:t>2</w:t>
      </w:r>
      <w:r>
        <w:rPr>
          <w:rFonts w:hint="eastAsia"/>
        </w:rPr>
        <w:t>时（包括永久和临时占用陆域和水域），评价等级不低于二级；改扩建项目的占地范围以新增占地（包括陆域和水域）确定；</w:t>
      </w:r>
    </w:p>
    <w:p w14:paraId="74875D0F">
      <w:pPr>
        <w:ind w:firstLine="480"/>
      </w:pPr>
      <w:r>
        <w:rPr>
          <w:rFonts w:hint="eastAsia"/>
        </w:rPr>
        <w:t>（7）除上述以外的情况，评价等级为三级；</w:t>
      </w:r>
    </w:p>
    <w:p w14:paraId="03FADF7D">
      <w:pPr>
        <w:ind w:firstLine="480"/>
      </w:pPr>
      <w:r>
        <w:rPr>
          <w:rFonts w:hint="eastAsia"/>
        </w:rPr>
        <w:t>（8）当评价等级判定同时符合上述多种情况时，应采用其中最高的评价等级。</w:t>
      </w:r>
    </w:p>
    <w:p w14:paraId="59A1B9CC">
      <w:pPr>
        <w:ind w:firstLine="480"/>
      </w:pPr>
      <w:r>
        <w:rPr>
          <w:rFonts w:hint="eastAsia"/>
        </w:rPr>
        <w:t>本项目涉及国家二级重点保护野生植物沙冬青和绵刺天然集中分布区，属于重要</w:t>
      </w:r>
      <w:r>
        <w:rPr>
          <w:rFonts w:hint="eastAsia"/>
          <w:lang w:val="en-US" w:eastAsia="zh-CN"/>
        </w:rPr>
        <w:t>环境</w:t>
      </w:r>
      <w:r>
        <w:rPr>
          <w:rFonts w:hint="eastAsia"/>
        </w:rPr>
        <w:t>。</w:t>
      </w:r>
    </w:p>
    <w:p w14:paraId="5A9FE41C">
      <w:pPr>
        <w:ind w:firstLine="480"/>
      </w:pPr>
      <w:r>
        <w:rPr>
          <w:rFonts w:hint="eastAsia"/>
        </w:rPr>
        <w:t>综上所述，根据生态环境影响评价工作等级判定原则，本项目生态环境影响评价工作等级为一级。</w:t>
      </w:r>
    </w:p>
    <w:p w14:paraId="7BAC11E9">
      <w:pPr>
        <w:ind w:firstLine="480"/>
        <w:rPr>
          <w:szCs w:val="24"/>
        </w:rPr>
      </w:pPr>
      <w:r>
        <w:rPr>
          <w:rFonts w:hint="eastAsia"/>
          <w:szCs w:val="24"/>
        </w:rPr>
        <w:t>2、评价范围</w:t>
      </w:r>
    </w:p>
    <w:p w14:paraId="3CF7D2B2">
      <w:pPr>
        <w:pStyle w:val="105"/>
        <w:ind w:firstLine="480"/>
      </w:pPr>
      <w:r>
        <w:rPr>
          <w:rFonts w:hint="eastAsia"/>
        </w:rPr>
        <w:t>根据项目评价级别以及项目建设对生态因子的影响方式、影响程度，本次评价考虑生态系统的完整性，将项目边界向外延伸1000m作为生态评价范围。</w:t>
      </w:r>
    </w:p>
    <w:p w14:paraId="33A777FC">
      <w:pPr>
        <w:pStyle w:val="12"/>
        <w:widowControl w:val="0"/>
        <w:jc w:val="both"/>
        <w:rPr>
          <w:szCs w:val="24"/>
        </w:rPr>
      </w:pPr>
      <w:r>
        <w:rPr>
          <w:szCs w:val="24"/>
        </w:rPr>
        <w:t>2.4.1.7环境风险评价等级</w:t>
      </w:r>
    </w:p>
    <w:p w14:paraId="063118B0">
      <w:pPr>
        <w:pStyle w:val="105"/>
        <w:ind w:firstLine="480"/>
      </w:pPr>
      <w:r>
        <w:t>（1）风险潜势划分</w:t>
      </w:r>
    </w:p>
    <w:p w14:paraId="764FBD44">
      <w:pPr>
        <w:pStyle w:val="105"/>
        <w:ind w:firstLine="480"/>
      </w:pPr>
      <w:r>
        <w:t>蛋鸡养殖属于畜牧业生产项目，根据《危险化学品重大危险源辨识》（GB18218-2018）和《建设项目环境风险评价技术导则》（HJ169-2018）附录B表B.1和表2，项目涉及风险物质：天然气，为易燃气体，鸡粪中挥发出的硫化氢（H</w:t>
      </w:r>
      <w:r>
        <w:rPr>
          <w:vertAlign w:val="subscript"/>
        </w:rPr>
        <w:t>2</w:t>
      </w:r>
      <w:r>
        <w:t>S）和氨气（NH</w:t>
      </w:r>
      <w:r>
        <w:rPr>
          <w:vertAlign w:val="subscript"/>
        </w:rPr>
        <w:t>3</w:t>
      </w:r>
      <w:r>
        <w:t>），是有刺激性臭味、有毒气体。</w:t>
      </w:r>
    </w:p>
    <w:p w14:paraId="64BAA72F">
      <w:pPr>
        <w:pStyle w:val="105"/>
        <w:ind w:firstLine="480"/>
      </w:pPr>
      <w:r>
        <w:t>根据报告6.1章节分析可知，项目生产过程中硫化氢、氨气、天然气、医疗废物最大存在量与其在《建设项目环境风险评价技术导则》（HJ169-2018）附录B中对应临界量的比值Q=0.228&lt;1，该项目环境风险潜势为Ⅰ。</w:t>
      </w:r>
    </w:p>
    <w:p w14:paraId="6E8B94B2">
      <w:pPr>
        <w:pStyle w:val="105"/>
        <w:ind w:firstLine="480"/>
      </w:pPr>
      <w:r>
        <w:t>（2）评价等级</w:t>
      </w:r>
    </w:p>
    <w:p w14:paraId="0E61C9E0">
      <w:pPr>
        <w:pStyle w:val="105"/>
        <w:ind w:firstLine="480"/>
      </w:pPr>
      <w:r>
        <w:t>根据《建设项目环境风险评价技术导则》（HJ169-2018）划分本项目风险评价为简单分析。</w:t>
      </w:r>
    </w:p>
    <w:p w14:paraId="7CD0D3E2">
      <w:pPr>
        <w:pStyle w:val="743"/>
        <w:rPr>
          <w:rFonts w:cs="Times New Roman"/>
        </w:rPr>
      </w:pPr>
      <w:r>
        <w:rPr>
          <w:rFonts w:cs="Times New Roman"/>
        </w:rPr>
        <w:t>表2.4-1</w:t>
      </w:r>
      <w:r>
        <w:rPr>
          <w:rFonts w:hint="eastAsia" w:cs="Times New Roman"/>
        </w:rPr>
        <w:t xml:space="preserve">0    </w:t>
      </w:r>
      <w:r>
        <w:rPr>
          <w:rFonts w:cs="Times New Roman"/>
        </w:rPr>
        <w:t>评价工作等级划分</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7"/>
        <w:gridCol w:w="1858"/>
        <w:gridCol w:w="1858"/>
      </w:tblGrid>
      <w:tr w14:paraId="2395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00" w:type="pct"/>
            <w:vAlign w:val="center"/>
          </w:tcPr>
          <w:p w14:paraId="47F8706D">
            <w:pPr>
              <w:pStyle w:val="357"/>
              <w:rPr>
                <w:snapToGrid w:val="0"/>
              </w:rPr>
            </w:pPr>
            <w:r>
              <w:rPr>
                <w:snapToGrid w:val="0"/>
              </w:rPr>
              <w:t>环境风险潜势</w:t>
            </w:r>
          </w:p>
        </w:tc>
        <w:tc>
          <w:tcPr>
            <w:tcW w:w="1000" w:type="pct"/>
            <w:vAlign w:val="center"/>
          </w:tcPr>
          <w:p w14:paraId="2E08FF9C">
            <w:pPr>
              <w:pStyle w:val="357"/>
              <w:rPr>
                <w:snapToGrid w:val="0"/>
              </w:rPr>
            </w:pPr>
            <w:r>
              <w:rPr>
                <w:snapToGrid w:val="0"/>
              </w:rPr>
              <w:t>Ⅳ、Ⅳ</w:t>
            </w:r>
            <w:r>
              <w:rPr>
                <w:snapToGrid w:val="0"/>
                <w:vertAlign w:val="superscript"/>
              </w:rPr>
              <w:t>+</w:t>
            </w:r>
          </w:p>
        </w:tc>
        <w:tc>
          <w:tcPr>
            <w:tcW w:w="1000" w:type="pct"/>
            <w:vAlign w:val="center"/>
          </w:tcPr>
          <w:p w14:paraId="04E5DA83">
            <w:pPr>
              <w:pStyle w:val="357"/>
              <w:rPr>
                <w:snapToGrid w:val="0"/>
              </w:rPr>
            </w:pPr>
            <w:r>
              <w:rPr>
                <w:snapToGrid w:val="0"/>
              </w:rPr>
              <w:t>Ⅲ</w:t>
            </w:r>
          </w:p>
        </w:tc>
        <w:tc>
          <w:tcPr>
            <w:tcW w:w="1000" w:type="pct"/>
            <w:vAlign w:val="center"/>
          </w:tcPr>
          <w:p w14:paraId="4EC105BF">
            <w:pPr>
              <w:pStyle w:val="357"/>
              <w:rPr>
                <w:snapToGrid w:val="0"/>
              </w:rPr>
            </w:pPr>
            <w:r>
              <w:rPr>
                <w:snapToGrid w:val="0"/>
              </w:rPr>
              <w:t>Ⅱ</w:t>
            </w:r>
          </w:p>
        </w:tc>
        <w:tc>
          <w:tcPr>
            <w:tcW w:w="1000" w:type="pct"/>
            <w:vAlign w:val="center"/>
          </w:tcPr>
          <w:p w14:paraId="250E7882">
            <w:pPr>
              <w:pStyle w:val="357"/>
              <w:rPr>
                <w:snapToGrid w:val="0"/>
              </w:rPr>
            </w:pPr>
            <w:r>
              <w:rPr>
                <w:snapToGrid w:val="0"/>
              </w:rPr>
              <w:t>Ⅰ</w:t>
            </w:r>
          </w:p>
        </w:tc>
      </w:tr>
      <w:tr w14:paraId="539B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00" w:type="pct"/>
            <w:vAlign w:val="center"/>
          </w:tcPr>
          <w:p w14:paraId="13783C8B">
            <w:pPr>
              <w:pStyle w:val="357"/>
              <w:rPr>
                <w:snapToGrid w:val="0"/>
              </w:rPr>
            </w:pPr>
            <w:r>
              <w:rPr>
                <w:snapToGrid w:val="0"/>
              </w:rPr>
              <w:t>评价工作等级</w:t>
            </w:r>
          </w:p>
        </w:tc>
        <w:tc>
          <w:tcPr>
            <w:tcW w:w="1000" w:type="pct"/>
            <w:vAlign w:val="center"/>
          </w:tcPr>
          <w:p w14:paraId="2553876E">
            <w:pPr>
              <w:pStyle w:val="357"/>
              <w:rPr>
                <w:snapToGrid w:val="0"/>
              </w:rPr>
            </w:pPr>
            <w:r>
              <w:rPr>
                <w:snapToGrid w:val="0"/>
              </w:rPr>
              <w:t>一</w:t>
            </w:r>
          </w:p>
        </w:tc>
        <w:tc>
          <w:tcPr>
            <w:tcW w:w="1000" w:type="pct"/>
            <w:vAlign w:val="center"/>
          </w:tcPr>
          <w:p w14:paraId="49ADE94C">
            <w:pPr>
              <w:pStyle w:val="357"/>
              <w:rPr>
                <w:snapToGrid w:val="0"/>
              </w:rPr>
            </w:pPr>
            <w:r>
              <w:rPr>
                <w:snapToGrid w:val="0"/>
              </w:rPr>
              <w:t>二</w:t>
            </w:r>
          </w:p>
        </w:tc>
        <w:tc>
          <w:tcPr>
            <w:tcW w:w="1000" w:type="pct"/>
            <w:vAlign w:val="center"/>
          </w:tcPr>
          <w:p w14:paraId="3A115F38">
            <w:pPr>
              <w:pStyle w:val="357"/>
              <w:rPr>
                <w:snapToGrid w:val="0"/>
              </w:rPr>
            </w:pPr>
            <w:r>
              <w:rPr>
                <w:snapToGrid w:val="0"/>
              </w:rPr>
              <w:t>三</w:t>
            </w:r>
          </w:p>
        </w:tc>
        <w:tc>
          <w:tcPr>
            <w:tcW w:w="1000" w:type="pct"/>
            <w:vAlign w:val="center"/>
          </w:tcPr>
          <w:p w14:paraId="6255AA04">
            <w:pPr>
              <w:pStyle w:val="357"/>
              <w:rPr>
                <w:snapToGrid w:val="0"/>
              </w:rPr>
            </w:pPr>
            <w:r>
              <w:rPr>
                <w:snapToGrid w:val="0"/>
              </w:rPr>
              <w:t>简单分析a</w:t>
            </w:r>
          </w:p>
        </w:tc>
      </w:tr>
      <w:tr w14:paraId="2001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5"/>
            <w:vAlign w:val="center"/>
          </w:tcPr>
          <w:p w14:paraId="46D9978F">
            <w:pPr>
              <w:pStyle w:val="357"/>
              <w:rPr>
                <w:snapToGrid w:val="0"/>
              </w:rPr>
            </w:pPr>
            <w:r>
              <w:rPr>
                <w:snapToGrid w:val="0"/>
                <w:lang w:eastAsia="zh-CN"/>
              </w:rPr>
              <w:t>a是相对于详细评价工作内容而言，在描述危险物质、环境影响途径、环境危害后果、风险防范措施等方面给出定性的说明。</w:t>
            </w:r>
            <w:r>
              <w:rPr>
                <w:snapToGrid w:val="0"/>
              </w:rPr>
              <w:t>见附录A</w:t>
            </w:r>
          </w:p>
        </w:tc>
      </w:tr>
      <w:bookmarkEnd w:id="128"/>
      <w:bookmarkEnd w:id="129"/>
    </w:tbl>
    <w:p w14:paraId="7A333583">
      <w:pPr>
        <w:pStyle w:val="11"/>
      </w:pPr>
      <w:bookmarkStart w:id="130" w:name="_Toc32602"/>
      <w:bookmarkStart w:id="131" w:name="_Toc3855"/>
      <w:bookmarkStart w:id="132" w:name="_Toc166572254"/>
      <w:bookmarkStart w:id="133" w:name="_Toc7480"/>
      <w:r>
        <w:t>2.4.2 评价范围</w:t>
      </w:r>
      <w:bookmarkEnd w:id="130"/>
      <w:bookmarkEnd w:id="131"/>
      <w:bookmarkEnd w:id="132"/>
      <w:bookmarkEnd w:id="133"/>
    </w:p>
    <w:p w14:paraId="27E11DA4">
      <w:pPr>
        <w:snapToGrid w:val="0"/>
        <w:ind w:firstLine="480"/>
        <w:rPr>
          <w:b/>
          <w:bCs/>
        </w:rPr>
      </w:pPr>
      <w:r>
        <w:t>按各“导则”中评价范围确定的相关规定，根据本项目各环境要素确定的评价等级，结合区域环境特征，确定本评价各环境要素评价范围见表2.4-1</w:t>
      </w:r>
      <w:r>
        <w:rPr>
          <w:rFonts w:hint="eastAsia"/>
        </w:rPr>
        <w:t>1</w:t>
      </w:r>
      <w:r>
        <w:t>。</w:t>
      </w:r>
    </w:p>
    <w:p w14:paraId="72E480E3">
      <w:pPr>
        <w:ind w:firstLine="482"/>
        <w:jc w:val="center"/>
        <w:rPr>
          <w:b/>
          <w:bCs/>
        </w:rPr>
      </w:pPr>
      <w:r>
        <w:rPr>
          <w:b/>
          <w:bCs/>
        </w:rPr>
        <w:t>表2.4-1</w:t>
      </w:r>
      <w:r>
        <w:rPr>
          <w:rFonts w:hint="eastAsia"/>
          <w:b/>
          <w:bCs/>
        </w:rPr>
        <w:t>1</w:t>
      </w:r>
      <w:r>
        <w:rPr>
          <w:b/>
          <w:bCs/>
        </w:rPr>
        <w:t xml:space="preserve">  各环境要素及专题评价范围一览表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6"/>
        <w:gridCol w:w="1325"/>
        <w:gridCol w:w="1267"/>
        <w:gridCol w:w="6029"/>
      </w:tblGrid>
      <w:tr w14:paraId="18FC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6" w:type="dxa"/>
            <w:vAlign w:val="center"/>
          </w:tcPr>
          <w:p w14:paraId="53FACCAB">
            <w:pPr>
              <w:spacing w:line="300" w:lineRule="exact"/>
              <w:ind w:firstLine="0" w:firstLineChars="0"/>
              <w:jc w:val="center"/>
              <w:rPr>
                <w:sz w:val="21"/>
                <w:szCs w:val="21"/>
              </w:rPr>
            </w:pPr>
            <w:r>
              <w:rPr>
                <w:sz w:val="21"/>
                <w:szCs w:val="21"/>
              </w:rPr>
              <w:t>序号</w:t>
            </w:r>
          </w:p>
        </w:tc>
        <w:tc>
          <w:tcPr>
            <w:tcW w:w="1325" w:type="dxa"/>
            <w:vAlign w:val="center"/>
          </w:tcPr>
          <w:p w14:paraId="2700ABD8">
            <w:pPr>
              <w:spacing w:line="300" w:lineRule="exact"/>
              <w:ind w:firstLine="0" w:firstLineChars="0"/>
              <w:jc w:val="center"/>
              <w:rPr>
                <w:sz w:val="21"/>
                <w:szCs w:val="21"/>
              </w:rPr>
            </w:pPr>
            <w:r>
              <w:rPr>
                <w:sz w:val="21"/>
                <w:szCs w:val="21"/>
              </w:rPr>
              <w:t>环境要素</w:t>
            </w:r>
          </w:p>
        </w:tc>
        <w:tc>
          <w:tcPr>
            <w:tcW w:w="1267" w:type="dxa"/>
            <w:vAlign w:val="center"/>
          </w:tcPr>
          <w:p w14:paraId="763439B9">
            <w:pPr>
              <w:spacing w:line="300" w:lineRule="exact"/>
              <w:ind w:firstLine="0" w:firstLineChars="0"/>
              <w:jc w:val="center"/>
              <w:rPr>
                <w:sz w:val="21"/>
                <w:szCs w:val="21"/>
              </w:rPr>
            </w:pPr>
            <w:r>
              <w:rPr>
                <w:sz w:val="21"/>
                <w:szCs w:val="21"/>
              </w:rPr>
              <w:t>评价等级</w:t>
            </w:r>
          </w:p>
        </w:tc>
        <w:tc>
          <w:tcPr>
            <w:tcW w:w="6029" w:type="dxa"/>
            <w:vAlign w:val="center"/>
          </w:tcPr>
          <w:p w14:paraId="6E8FDEE8">
            <w:pPr>
              <w:spacing w:line="300" w:lineRule="exact"/>
              <w:ind w:firstLine="0" w:firstLineChars="0"/>
              <w:jc w:val="center"/>
              <w:rPr>
                <w:sz w:val="21"/>
                <w:szCs w:val="21"/>
              </w:rPr>
            </w:pPr>
            <w:r>
              <w:rPr>
                <w:sz w:val="21"/>
                <w:szCs w:val="21"/>
              </w:rPr>
              <w:t>评价范围</w:t>
            </w:r>
          </w:p>
        </w:tc>
      </w:tr>
      <w:tr w14:paraId="3A74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6" w:type="dxa"/>
            <w:vAlign w:val="center"/>
          </w:tcPr>
          <w:p w14:paraId="04BC3CDD">
            <w:pPr>
              <w:spacing w:line="300" w:lineRule="exact"/>
              <w:ind w:firstLine="0" w:firstLineChars="0"/>
              <w:jc w:val="center"/>
              <w:rPr>
                <w:sz w:val="21"/>
                <w:szCs w:val="21"/>
              </w:rPr>
            </w:pPr>
            <w:r>
              <w:rPr>
                <w:sz w:val="21"/>
                <w:szCs w:val="21"/>
              </w:rPr>
              <w:t>1</w:t>
            </w:r>
          </w:p>
        </w:tc>
        <w:tc>
          <w:tcPr>
            <w:tcW w:w="1325" w:type="dxa"/>
            <w:vAlign w:val="center"/>
          </w:tcPr>
          <w:p w14:paraId="6B0E997D">
            <w:pPr>
              <w:spacing w:line="300" w:lineRule="exact"/>
              <w:ind w:firstLine="0" w:firstLineChars="0"/>
              <w:jc w:val="center"/>
              <w:rPr>
                <w:sz w:val="21"/>
                <w:szCs w:val="21"/>
              </w:rPr>
            </w:pPr>
            <w:r>
              <w:rPr>
                <w:sz w:val="21"/>
              </w:rPr>
              <w:t>环境空气</w:t>
            </w:r>
          </w:p>
        </w:tc>
        <w:tc>
          <w:tcPr>
            <w:tcW w:w="1267" w:type="dxa"/>
            <w:vAlign w:val="center"/>
          </w:tcPr>
          <w:p w14:paraId="1E4457CC">
            <w:pPr>
              <w:spacing w:line="300" w:lineRule="exact"/>
              <w:ind w:firstLine="0" w:firstLineChars="0"/>
              <w:jc w:val="center"/>
              <w:rPr>
                <w:sz w:val="21"/>
                <w:szCs w:val="21"/>
              </w:rPr>
            </w:pPr>
            <w:r>
              <w:rPr>
                <w:sz w:val="21"/>
                <w:szCs w:val="21"/>
              </w:rPr>
              <w:t>二级</w:t>
            </w:r>
          </w:p>
        </w:tc>
        <w:tc>
          <w:tcPr>
            <w:tcW w:w="6029" w:type="dxa"/>
            <w:vAlign w:val="center"/>
          </w:tcPr>
          <w:p w14:paraId="6329ADBA">
            <w:pPr>
              <w:spacing w:line="300" w:lineRule="exact"/>
              <w:ind w:firstLine="0" w:firstLineChars="0"/>
              <w:jc w:val="center"/>
              <w:rPr>
                <w:sz w:val="21"/>
                <w:szCs w:val="21"/>
              </w:rPr>
            </w:pPr>
            <w:r>
              <w:rPr>
                <w:sz w:val="21"/>
                <w:szCs w:val="21"/>
              </w:rPr>
              <w:t>以场址所在区域为中心，边长为5km的矩形区域。</w:t>
            </w:r>
          </w:p>
        </w:tc>
      </w:tr>
      <w:tr w14:paraId="72E1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6" w:type="dxa"/>
            <w:vAlign w:val="center"/>
          </w:tcPr>
          <w:p w14:paraId="4E373069">
            <w:pPr>
              <w:spacing w:line="300" w:lineRule="exact"/>
              <w:ind w:firstLine="0" w:firstLineChars="0"/>
              <w:jc w:val="center"/>
              <w:rPr>
                <w:sz w:val="21"/>
                <w:szCs w:val="21"/>
              </w:rPr>
            </w:pPr>
            <w:r>
              <w:rPr>
                <w:sz w:val="21"/>
                <w:szCs w:val="21"/>
              </w:rPr>
              <w:t>2</w:t>
            </w:r>
          </w:p>
        </w:tc>
        <w:tc>
          <w:tcPr>
            <w:tcW w:w="1325" w:type="dxa"/>
            <w:vAlign w:val="center"/>
          </w:tcPr>
          <w:p w14:paraId="7C94575B">
            <w:pPr>
              <w:spacing w:line="300" w:lineRule="exact"/>
              <w:ind w:firstLine="0" w:firstLineChars="0"/>
              <w:jc w:val="center"/>
              <w:rPr>
                <w:sz w:val="21"/>
              </w:rPr>
            </w:pPr>
            <w:r>
              <w:rPr>
                <w:sz w:val="21"/>
              </w:rPr>
              <w:t>地下水</w:t>
            </w:r>
          </w:p>
        </w:tc>
        <w:tc>
          <w:tcPr>
            <w:tcW w:w="1267" w:type="dxa"/>
            <w:vAlign w:val="center"/>
          </w:tcPr>
          <w:p w14:paraId="05C82D86">
            <w:pPr>
              <w:spacing w:line="300" w:lineRule="exact"/>
              <w:ind w:firstLine="0" w:firstLineChars="0"/>
              <w:jc w:val="center"/>
              <w:rPr>
                <w:sz w:val="21"/>
                <w:szCs w:val="21"/>
              </w:rPr>
            </w:pPr>
            <w:r>
              <w:rPr>
                <w:rFonts w:hint="eastAsia"/>
                <w:sz w:val="21"/>
                <w:szCs w:val="21"/>
              </w:rPr>
              <w:t>二</w:t>
            </w:r>
            <w:r>
              <w:rPr>
                <w:sz w:val="21"/>
                <w:szCs w:val="21"/>
              </w:rPr>
              <w:t>级</w:t>
            </w:r>
          </w:p>
        </w:tc>
        <w:tc>
          <w:tcPr>
            <w:tcW w:w="6029" w:type="dxa"/>
            <w:vAlign w:val="center"/>
          </w:tcPr>
          <w:p w14:paraId="18ED0D36">
            <w:pPr>
              <w:spacing w:line="300" w:lineRule="exact"/>
              <w:ind w:firstLine="0" w:firstLineChars="0"/>
              <w:jc w:val="center"/>
              <w:rPr>
                <w:sz w:val="21"/>
                <w:szCs w:val="21"/>
              </w:rPr>
            </w:pPr>
            <w:r>
              <w:rPr>
                <w:rFonts w:hint="eastAsia"/>
                <w:sz w:val="21"/>
                <w:szCs w:val="21"/>
              </w:rPr>
              <w:t>项目区上游L/2（613.5m），项目区两侧L（1227m），项目区下游L（1227m）围成的矩形区域.</w:t>
            </w:r>
          </w:p>
        </w:tc>
      </w:tr>
      <w:tr w14:paraId="3AF6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6" w:type="dxa"/>
            <w:vAlign w:val="center"/>
          </w:tcPr>
          <w:p w14:paraId="14B01436">
            <w:pPr>
              <w:spacing w:line="300" w:lineRule="exact"/>
              <w:ind w:firstLine="0" w:firstLineChars="0"/>
              <w:jc w:val="center"/>
              <w:rPr>
                <w:sz w:val="21"/>
                <w:szCs w:val="21"/>
              </w:rPr>
            </w:pPr>
            <w:r>
              <w:rPr>
                <w:sz w:val="21"/>
                <w:szCs w:val="21"/>
              </w:rPr>
              <w:t>3</w:t>
            </w:r>
          </w:p>
        </w:tc>
        <w:tc>
          <w:tcPr>
            <w:tcW w:w="1325" w:type="dxa"/>
            <w:vAlign w:val="center"/>
          </w:tcPr>
          <w:p w14:paraId="69EE54EC">
            <w:pPr>
              <w:spacing w:line="300" w:lineRule="exact"/>
              <w:ind w:firstLine="0" w:firstLineChars="0"/>
              <w:jc w:val="center"/>
              <w:rPr>
                <w:sz w:val="21"/>
              </w:rPr>
            </w:pPr>
            <w:r>
              <w:rPr>
                <w:sz w:val="21"/>
              </w:rPr>
              <w:t>声环境</w:t>
            </w:r>
          </w:p>
        </w:tc>
        <w:tc>
          <w:tcPr>
            <w:tcW w:w="1267" w:type="dxa"/>
            <w:vAlign w:val="center"/>
          </w:tcPr>
          <w:p w14:paraId="2C338769">
            <w:pPr>
              <w:spacing w:line="300" w:lineRule="exact"/>
              <w:ind w:firstLine="0" w:firstLineChars="0"/>
              <w:jc w:val="center"/>
              <w:rPr>
                <w:sz w:val="21"/>
              </w:rPr>
            </w:pPr>
            <w:r>
              <w:rPr>
                <w:sz w:val="21"/>
              </w:rPr>
              <w:t>二级</w:t>
            </w:r>
          </w:p>
        </w:tc>
        <w:tc>
          <w:tcPr>
            <w:tcW w:w="6029" w:type="dxa"/>
            <w:vAlign w:val="center"/>
          </w:tcPr>
          <w:p w14:paraId="7A5B5BE3">
            <w:pPr>
              <w:spacing w:line="300" w:lineRule="exact"/>
              <w:ind w:firstLine="0" w:firstLineChars="0"/>
              <w:jc w:val="center"/>
              <w:rPr>
                <w:sz w:val="21"/>
                <w:szCs w:val="21"/>
              </w:rPr>
            </w:pPr>
            <w:r>
              <w:rPr>
                <w:sz w:val="21"/>
                <w:szCs w:val="21"/>
              </w:rPr>
              <w:t>场区边界外200m范围内</w:t>
            </w:r>
          </w:p>
        </w:tc>
      </w:tr>
      <w:tr w14:paraId="27F1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6" w:type="dxa"/>
            <w:vAlign w:val="center"/>
          </w:tcPr>
          <w:p w14:paraId="7FB7C28F">
            <w:pPr>
              <w:spacing w:line="300" w:lineRule="exact"/>
              <w:ind w:firstLine="0" w:firstLineChars="0"/>
              <w:jc w:val="center"/>
              <w:rPr>
                <w:sz w:val="21"/>
                <w:szCs w:val="21"/>
              </w:rPr>
            </w:pPr>
            <w:r>
              <w:rPr>
                <w:sz w:val="21"/>
                <w:szCs w:val="21"/>
              </w:rPr>
              <w:t>4</w:t>
            </w:r>
          </w:p>
        </w:tc>
        <w:tc>
          <w:tcPr>
            <w:tcW w:w="1325" w:type="dxa"/>
            <w:vAlign w:val="center"/>
          </w:tcPr>
          <w:p w14:paraId="47D8AD1E">
            <w:pPr>
              <w:spacing w:line="300" w:lineRule="exact"/>
              <w:ind w:firstLine="0" w:firstLineChars="0"/>
              <w:jc w:val="center"/>
              <w:rPr>
                <w:sz w:val="21"/>
              </w:rPr>
            </w:pPr>
            <w:r>
              <w:rPr>
                <w:sz w:val="21"/>
              </w:rPr>
              <w:t>土壤</w:t>
            </w:r>
          </w:p>
        </w:tc>
        <w:tc>
          <w:tcPr>
            <w:tcW w:w="1267" w:type="dxa"/>
            <w:vAlign w:val="center"/>
          </w:tcPr>
          <w:p w14:paraId="181E5881">
            <w:pPr>
              <w:spacing w:line="300" w:lineRule="exact"/>
              <w:ind w:firstLine="0" w:firstLineChars="0"/>
              <w:jc w:val="center"/>
              <w:rPr>
                <w:sz w:val="21"/>
              </w:rPr>
            </w:pPr>
            <w:r>
              <w:rPr>
                <w:sz w:val="21"/>
              </w:rPr>
              <w:t>三级</w:t>
            </w:r>
          </w:p>
        </w:tc>
        <w:tc>
          <w:tcPr>
            <w:tcW w:w="6029" w:type="dxa"/>
            <w:vAlign w:val="center"/>
          </w:tcPr>
          <w:p w14:paraId="106B5AB3">
            <w:pPr>
              <w:spacing w:line="300" w:lineRule="exact"/>
              <w:ind w:firstLine="0" w:firstLineChars="0"/>
              <w:jc w:val="center"/>
              <w:rPr>
                <w:sz w:val="21"/>
                <w:szCs w:val="21"/>
              </w:rPr>
            </w:pPr>
            <w:r>
              <w:rPr>
                <w:sz w:val="21"/>
                <w:szCs w:val="21"/>
              </w:rPr>
              <w:t>场区内的占地范围和场区边界外50m范围内</w:t>
            </w:r>
          </w:p>
        </w:tc>
      </w:tr>
      <w:tr w14:paraId="0FBB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6" w:type="dxa"/>
            <w:vAlign w:val="center"/>
          </w:tcPr>
          <w:p w14:paraId="735B64D0">
            <w:pPr>
              <w:spacing w:line="300" w:lineRule="exact"/>
              <w:ind w:firstLine="0" w:firstLineChars="0"/>
              <w:jc w:val="center"/>
              <w:rPr>
                <w:sz w:val="21"/>
                <w:szCs w:val="21"/>
              </w:rPr>
            </w:pPr>
            <w:r>
              <w:rPr>
                <w:sz w:val="21"/>
                <w:szCs w:val="21"/>
              </w:rPr>
              <w:t>5</w:t>
            </w:r>
          </w:p>
        </w:tc>
        <w:tc>
          <w:tcPr>
            <w:tcW w:w="1325" w:type="dxa"/>
            <w:vAlign w:val="center"/>
          </w:tcPr>
          <w:p w14:paraId="77BC9CD8">
            <w:pPr>
              <w:spacing w:line="300" w:lineRule="exact"/>
              <w:ind w:firstLine="0" w:firstLineChars="0"/>
              <w:jc w:val="center"/>
              <w:rPr>
                <w:sz w:val="21"/>
              </w:rPr>
            </w:pPr>
            <w:r>
              <w:rPr>
                <w:sz w:val="21"/>
              </w:rPr>
              <w:t>环境风险</w:t>
            </w:r>
          </w:p>
        </w:tc>
        <w:tc>
          <w:tcPr>
            <w:tcW w:w="1267" w:type="dxa"/>
            <w:vAlign w:val="center"/>
          </w:tcPr>
          <w:p w14:paraId="033B2486">
            <w:pPr>
              <w:spacing w:line="300" w:lineRule="exact"/>
              <w:ind w:firstLine="0" w:firstLineChars="0"/>
              <w:jc w:val="center"/>
              <w:rPr>
                <w:sz w:val="21"/>
                <w:szCs w:val="21"/>
              </w:rPr>
            </w:pPr>
            <w:r>
              <w:rPr>
                <w:sz w:val="21"/>
                <w:szCs w:val="21"/>
              </w:rPr>
              <w:t>简单分析</w:t>
            </w:r>
          </w:p>
        </w:tc>
        <w:tc>
          <w:tcPr>
            <w:tcW w:w="6029" w:type="dxa"/>
            <w:vAlign w:val="center"/>
          </w:tcPr>
          <w:p w14:paraId="213C8846">
            <w:pPr>
              <w:spacing w:line="300" w:lineRule="exact"/>
              <w:ind w:firstLine="0" w:firstLineChars="0"/>
              <w:jc w:val="center"/>
              <w:rPr>
                <w:sz w:val="21"/>
                <w:szCs w:val="21"/>
              </w:rPr>
            </w:pPr>
            <w:r>
              <w:rPr>
                <w:sz w:val="21"/>
                <w:szCs w:val="21"/>
              </w:rPr>
              <w:t>简单分析不需要设置环境风险评价范围</w:t>
            </w:r>
          </w:p>
        </w:tc>
      </w:tr>
      <w:tr w14:paraId="7D1B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6" w:type="dxa"/>
            <w:vAlign w:val="center"/>
          </w:tcPr>
          <w:p w14:paraId="314F10E1">
            <w:pPr>
              <w:spacing w:line="240" w:lineRule="auto"/>
              <w:ind w:firstLine="0" w:firstLineChars="0"/>
              <w:jc w:val="center"/>
              <w:rPr>
                <w:sz w:val="21"/>
                <w:szCs w:val="21"/>
              </w:rPr>
            </w:pPr>
            <w:r>
              <w:rPr>
                <w:sz w:val="21"/>
                <w:szCs w:val="21"/>
              </w:rPr>
              <w:t>6</w:t>
            </w:r>
          </w:p>
        </w:tc>
        <w:tc>
          <w:tcPr>
            <w:tcW w:w="1325" w:type="dxa"/>
            <w:vAlign w:val="center"/>
          </w:tcPr>
          <w:p w14:paraId="694A672F">
            <w:pPr>
              <w:spacing w:line="240" w:lineRule="auto"/>
              <w:ind w:firstLine="0" w:firstLineChars="0"/>
              <w:jc w:val="center"/>
              <w:rPr>
                <w:sz w:val="21"/>
              </w:rPr>
            </w:pPr>
            <w:r>
              <w:rPr>
                <w:sz w:val="21"/>
                <w:szCs w:val="21"/>
              </w:rPr>
              <w:t>生态环境</w:t>
            </w:r>
          </w:p>
        </w:tc>
        <w:tc>
          <w:tcPr>
            <w:tcW w:w="1267" w:type="dxa"/>
            <w:vAlign w:val="center"/>
          </w:tcPr>
          <w:p w14:paraId="2CAAF1BC">
            <w:pPr>
              <w:spacing w:line="240" w:lineRule="auto"/>
              <w:ind w:firstLine="0" w:firstLineChars="0"/>
              <w:jc w:val="center"/>
              <w:rPr>
                <w:sz w:val="21"/>
                <w:szCs w:val="21"/>
              </w:rPr>
            </w:pPr>
            <w:r>
              <w:rPr>
                <w:rFonts w:hint="eastAsia"/>
                <w:sz w:val="21"/>
                <w:szCs w:val="21"/>
              </w:rPr>
              <w:t>一级</w:t>
            </w:r>
          </w:p>
        </w:tc>
        <w:tc>
          <w:tcPr>
            <w:tcW w:w="6029" w:type="dxa"/>
            <w:vAlign w:val="center"/>
          </w:tcPr>
          <w:p w14:paraId="4ABC91FD">
            <w:pPr>
              <w:spacing w:line="300" w:lineRule="exact"/>
              <w:ind w:firstLine="0" w:firstLineChars="0"/>
              <w:jc w:val="center"/>
              <w:rPr>
                <w:sz w:val="21"/>
                <w:szCs w:val="21"/>
              </w:rPr>
            </w:pPr>
            <w:r>
              <w:rPr>
                <w:sz w:val="21"/>
                <w:szCs w:val="21"/>
                <w:lang w:val="zh-CN"/>
              </w:rPr>
              <w:t>项目</w:t>
            </w:r>
            <w:r>
              <w:rPr>
                <w:sz w:val="21"/>
                <w:szCs w:val="21"/>
              </w:rPr>
              <w:t>场界边界外1km</w:t>
            </w:r>
          </w:p>
        </w:tc>
      </w:tr>
    </w:tbl>
    <w:p w14:paraId="715D0453">
      <w:pPr>
        <w:pStyle w:val="10"/>
      </w:pPr>
      <w:bookmarkStart w:id="134" w:name="_Toc457206603"/>
      <w:bookmarkStart w:id="135" w:name="_Toc166572255"/>
      <w:bookmarkStart w:id="136" w:name="_Toc411352831"/>
      <w:bookmarkStart w:id="137" w:name="_Toc36234641"/>
      <w:r>
        <w:t>2.5评价内容及重点</w:t>
      </w:r>
      <w:bookmarkEnd w:id="134"/>
      <w:bookmarkEnd w:id="135"/>
      <w:bookmarkEnd w:id="136"/>
      <w:bookmarkEnd w:id="137"/>
    </w:p>
    <w:p w14:paraId="792CF45E">
      <w:pPr>
        <w:pStyle w:val="11"/>
      </w:pPr>
      <w:bookmarkStart w:id="138" w:name="_Toc31499"/>
      <w:bookmarkStart w:id="139" w:name="_Toc4803"/>
      <w:bookmarkStart w:id="140" w:name="_Toc31063"/>
      <w:bookmarkStart w:id="141" w:name="_Toc166572256"/>
      <w:bookmarkStart w:id="142" w:name="_Toc19952"/>
      <w:bookmarkStart w:id="143" w:name="_Toc14786"/>
      <w:r>
        <w:t>2.5.1 评价内容</w:t>
      </w:r>
      <w:bookmarkEnd w:id="138"/>
      <w:bookmarkEnd w:id="139"/>
      <w:bookmarkEnd w:id="140"/>
      <w:bookmarkEnd w:id="141"/>
      <w:bookmarkEnd w:id="142"/>
      <w:bookmarkEnd w:id="143"/>
    </w:p>
    <w:p w14:paraId="44F8B623">
      <w:pPr>
        <w:ind w:firstLine="480"/>
      </w:pPr>
      <w:r>
        <w:t>根据本项目特点及周围环境特征，将本次评价工作内容列于表2.5-1。</w:t>
      </w:r>
    </w:p>
    <w:p w14:paraId="7425AEED">
      <w:pPr>
        <w:spacing w:line="240" w:lineRule="auto"/>
        <w:ind w:firstLine="0" w:firstLineChars="0"/>
        <w:jc w:val="center"/>
        <w:rPr>
          <w:b/>
          <w:bCs/>
        </w:rPr>
      </w:pPr>
      <w:r>
        <w:rPr>
          <w:b/>
          <w:bCs/>
        </w:rPr>
        <w:t>表2.5-1   评价内容一览表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12"/>
        <w:gridCol w:w="2400"/>
        <w:gridCol w:w="6215"/>
      </w:tblGrid>
      <w:tr w14:paraId="147A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00F64998">
            <w:pPr>
              <w:spacing w:line="300" w:lineRule="exact"/>
              <w:ind w:firstLine="0" w:firstLineChars="0"/>
              <w:jc w:val="center"/>
              <w:rPr>
                <w:sz w:val="21"/>
                <w:szCs w:val="21"/>
              </w:rPr>
            </w:pPr>
            <w:r>
              <w:rPr>
                <w:sz w:val="21"/>
                <w:szCs w:val="21"/>
              </w:rPr>
              <w:t>序号</w:t>
            </w:r>
          </w:p>
        </w:tc>
        <w:tc>
          <w:tcPr>
            <w:tcW w:w="2400" w:type="dxa"/>
            <w:vAlign w:val="center"/>
          </w:tcPr>
          <w:p w14:paraId="79E69091">
            <w:pPr>
              <w:spacing w:line="300" w:lineRule="exact"/>
              <w:ind w:firstLine="0" w:firstLineChars="0"/>
              <w:jc w:val="center"/>
              <w:rPr>
                <w:sz w:val="21"/>
                <w:szCs w:val="21"/>
              </w:rPr>
            </w:pPr>
            <w:r>
              <w:rPr>
                <w:sz w:val="21"/>
                <w:szCs w:val="21"/>
              </w:rPr>
              <w:t>项目</w:t>
            </w:r>
          </w:p>
        </w:tc>
        <w:tc>
          <w:tcPr>
            <w:tcW w:w="6215" w:type="dxa"/>
            <w:vAlign w:val="center"/>
          </w:tcPr>
          <w:p w14:paraId="5EF21D92">
            <w:pPr>
              <w:spacing w:line="300" w:lineRule="exact"/>
              <w:ind w:firstLine="0" w:firstLineChars="0"/>
              <w:jc w:val="center"/>
              <w:rPr>
                <w:sz w:val="21"/>
                <w:szCs w:val="21"/>
              </w:rPr>
            </w:pPr>
            <w:r>
              <w:rPr>
                <w:sz w:val="21"/>
                <w:szCs w:val="21"/>
              </w:rPr>
              <w:t>内容</w:t>
            </w:r>
          </w:p>
        </w:tc>
      </w:tr>
      <w:tr w14:paraId="1449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62DCB1BF">
            <w:pPr>
              <w:spacing w:line="300" w:lineRule="exact"/>
              <w:ind w:firstLine="0" w:firstLineChars="0"/>
              <w:jc w:val="center"/>
              <w:rPr>
                <w:sz w:val="21"/>
                <w:szCs w:val="21"/>
              </w:rPr>
            </w:pPr>
            <w:r>
              <w:rPr>
                <w:sz w:val="21"/>
                <w:szCs w:val="21"/>
              </w:rPr>
              <w:t>1</w:t>
            </w:r>
          </w:p>
        </w:tc>
        <w:tc>
          <w:tcPr>
            <w:tcW w:w="2400" w:type="dxa"/>
            <w:vAlign w:val="center"/>
          </w:tcPr>
          <w:p w14:paraId="048E1241">
            <w:pPr>
              <w:spacing w:line="300" w:lineRule="exact"/>
              <w:ind w:firstLine="0" w:firstLineChars="0"/>
              <w:jc w:val="center"/>
              <w:rPr>
                <w:sz w:val="21"/>
                <w:szCs w:val="21"/>
              </w:rPr>
            </w:pPr>
            <w:r>
              <w:rPr>
                <w:sz w:val="21"/>
              </w:rPr>
              <w:t>建设项目概况</w:t>
            </w:r>
          </w:p>
        </w:tc>
        <w:tc>
          <w:tcPr>
            <w:tcW w:w="6215" w:type="dxa"/>
            <w:vAlign w:val="center"/>
          </w:tcPr>
          <w:p w14:paraId="04D22A0A">
            <w:pPr>
              <w:spacing w:line="300" w:lineRule="exact"/>
              <w:ind w:firstLine="0" w:firstLineChars="0"/>
              <w:jc w:val="center"/>
              <w:rPr>
                <w:sz w:val="21"/>
                <w:szCs w:val="21"/>
              </w:rPr>
            </w:pPr>
            <w:r>
              <w:rPr>
                <w:sz w:val="21"/>
              </w:rPr>
              <w:t>工程基本概况、工程组成、总平面布置及给排水</w:t>
            </w:r>
          </w:p>
        </w:tc>
      </w:tr>
      <w:tr w14:paraId="5DF1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62F4F87F">
            <w:pPr>
              <w:autoSpaceDE w:val="0"/>
              <w:autoSpaceDN w:val="0"/>
              <w:adjustRightInd w:val="0"/>
              <w:snapToGrid w:val="0"/>
              <w:spacing w:line="300" w:lineRule="exact"/>
              <w:ind w:firstLine="0" w:firstLineChars="0"/>
              <w:jc w:val="center"/>
              <w:rPr>
                <w:sz w:val="21"/>
              </w:rPr>
            </w:pPr>
            <w:r>
              <w:rPr>
                <w:sz w:val="21"/>
              </w:rPr>
              <w:t>2</w:t>
            </w:r>
          </w:p>
        </w:tc>
        <w:tc>
          <w:tcPr>
            <w:tcW w:w="2400" w:type="dxa"/>
            <w:vAlign w:val="center"/>
          </w:tcPr>
          <w:p w14:paraId="4AB0354E">
            <w:pPr>
              <w:spacing w:line="300" w:lineRule="exact"/>
              <w:ind w:firstLine="0" w:firstLineChars="0"/>
              <w:jc w:val="center"/>
              <w:rPr>
                <w:sz w:val="21"/>
              </w:rPr>
            </w:pPr>
            <w:r>
              <w:rPr>
                <w:sz w:val="21"/>
              </w:rPr>
              <w:t>工程分析</w:t>
            </w:r>
          </w:p>
        </w:tc>
        <w:tc>
          <w:tcPr>
            <w:tcW w:w="6215" w:type="dxa"/>
            <w:vAlign w:val="center"/>
          </w:tcPr>
          <w:p w14:paraId="373FAF6A">
            <w:pPr>
              <w:spacing w:line="300" w:lineRule="exact"/>
              <w:ind w:firstLine="0" w:firstLineChars="0"/>
              <w:jc w:val="center"/>
              <w:rPr>
                <w:sz w:val="21"/>
              </w:rPr>
            </w:pPr>
            <w:r>
              <w:rPr>
                <w:sz w:val="21"/>
              </w:rPr>
              <w:t>生产工艺流程分析、排污节点分析、污染源及其治理措施、治理效果等</w:t>
            </w:r>
          </w:p>
        </w:tc>
      </w:tr>
      <w:tr w14:paraId="1036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756AF855">
            <w:pPr>
              <w:autoSpaceDE w:val="0"/>
              <w:autoSpaceDN w:val="0"/>
              <w:adjustRightInd w:val="0"/>
              <w:snapToGrid w:val="0"/>
              <w:spacing w:line="300" w:lineRule="exact"/>
              <w:ind w:firstLine="0" w:firstLineChars="0"/>
              <w:jc w:val="center"/>
              <w:rPr>
                <w:sz w:val="21"/>
              </w:rPr>
            </w:pPr>
            <w:r>
              <w:rPr>
                <w:sz w:val="21"/>
              </w:rPr>
              <w:t>3</w:t>
            </w:r>
          </w:p>
        </w:tc>
        <w:tc>
          <w:tcPr>
            <w:tcW w:w="2400" w:type="dxa"/>
            <w:vAlign w:val="center"/>
          </w:tcPr>
          <w:p w14:paraId="1D1DEAFA">
            <w:pPr>
              <w:spacing w:line="300" w:lineRule="exact"/>
              <w:ind w:firstLine="0" w:firstLineChars="0"/>
              <w:jc w:val="center"/>
              <w:rPr>
                <w:sz w:val="21"/>
              </w:rPr>
            </w:pPr>
            <w:r>
              <w:rPr>
                <w:sz w:val="21"/>
              </w:rPr>
              <w:t>环境质量现状监测与评价</w:t>
            </w:r>
          </w:p>
        </w:tc>
        <w:tc>
          <w:tcPr>
            <w:tcW w:w="6215" w:type="dxa"/>
            <w:vAlign w:val="center"/>
          </w:tcPr>
          <w:p w14:paraId="4A0A83DF">
            <w:pPr>
              <w:spacing w:line="300" w:lineRule="exact"/>
              <w:ind w:firstLine="0" w:firstLineChars="0"/>
              <w:jc w:val="center"/>
              <w:rPr>
                <w:sz w:val="21"/>
              </w:rPr>
            </w:pPr>
            <w:r>
              <w:rPr>
                <w:sz w:val="21"/>
              </w:rPr>
              <w:t>环境空气、地下水环境、声环境、土壤环境</w:t>
            </w:r>
            <w:r>
              <w:rPr>
                <w:rFonts w:hint="eastAsia"/>
                <w:sz w:val="21"/>
              </w:rPr>
              <w:t>、生态环境</w:t>
            </w:r>
          </w:p>
        </w:tc>
      </w:tr>
      <w:tr w14:paraId="1D6A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2A73AE0B">
            <w:pPr>
              <w:autoSpaceDE w:val="0"/>
              <w:autoSpaceDN w:val="0"/>
              <w:adjustRightInd w:val="0"/>
              <w:snapToGrid w:val="0"/>
              <w:spacing w:line="300" w:lineRule="exact"/>
              <w:ind w:firstLine="0" w:firstLineChars="0"/>
              <w:jc w:val="center"/>
              <w:rPr>
                <w:sz w:val="21"/>
              </w:rPr>
            </w:pPr>
            <w:r>
              <w:rPr>
                <w:sz w:val="21"/>
              </w:rPr>
              <w:t>4</w:t>
            </w:r>
          </w:p>
        </w:tc>
        <w:tc>
          <w:tcPr>
            <w:tcW w:w="2400" w:type="dxa"/>
            <w:vAlign w:val="center"/>
          </w:tcPr>
          <w:p w14:paraId="300DECD0">
            <w:pPr>
              <w:spacing w:line="300" w:lineRule="exact"/>
              <w:ind w:firstLine="0" w:firstLineChars="0"/>
              <w:jc w:val="center"/>
              <w:rPr>
                <w:sz w:val="21"/>
              </w:rPr>
            </w:pPr>
            <w:r>
              <w:rPr>
                <w:sz w:val="21"/>
              </w:rPr>
              <w:t>施工期环境影响</w:t>
            </w:r>
          </w:p>
        </w:tc>
        <w:tc>
          <w:tcPr>
            <w:tcW w:w="6215" w:type="dxa"/>
            <w:vAlign w:val="center"/>
          </w:tcPr>
          <w:p w14:paraId="31563F7A">
            <w:pPr>
              <w:spacing w:line="300" w:lineRule="exact"/>
              <w:ind w:firstLine="0" w:firstLineChars="0"/>
              <w:jc w:val="center"/>
              <w:rPr>
                <w:sz w:val="21"/>
              </w:rPr>
            </w:pPr>
            <w:r>
              <w:rPr>
                <w:sz w:val="21"/>
              </w:rPr>
              <w:t>施工噪声、施工扬尘、施工废水、施工固废环境影响分析</w:t>
            </w:r>
          </w:p>
        </w:tc>
      </w:tr>
      <w:tr w14:paraId="7520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1DDD38DD">
            <w:pPr>
              <w:autoSpaceDE w:val="0"/>
              <w:autoSpaceDN w:val="0"/>
              <w:adjustRightInd w:val="0"/>
              <w:snapToGrid w:val="0"/>
              <w:spacing w:line="300" w:lineRule="exact"/>
              <w:ind w:firstLine="0" w:firstLineChars="0"/>
              <w:jc w:val="center"/>
              <w:rPr>
                <w:sz w:val="21"/>
              </w:rPr>
            </w:pPr>
            <w:r>
              <w:rPr>
                <w:sz w:val="21"/>
              </w:rPr>
              <w:t>5</w:t>
            </w:r>
          </w:p>
        </w:tc>
        <w:tc>
          <w:tcPr>
            <w:tcW w:w="2400" w:type="dxa"/>
            <w:vAlign w:val="center"/>
          </w:tcPr>
          <w:p w14:paraId="52C7F061">
            <w:pPr>
              <w:spacing w:line="300" w:lineRule="exact"/>
              <w:ind w:firstLine="0" w:firstLineChars="0"/>
              <w:jc w:val="center"/>
              <w:rPr>
                <w:sz w:val="21"/>
              </w:rPr>
            </w:pPr>
            <w:r>
              <w:rPr>
                <w:sz w:val="21"/>
              </w:rPr>
              <w:t>营运期环境影响</w:t>
            </w:r>
          </w:p>
        </w:tc>
        <w:tc>
          <w:tcPr>
            <w:tcW w:w="6215" w:type="dxa"/>
            <w:vAlign w:val="center"/>
          </w:tcPr>
          <w:p w14:paraId="68CEC2D3">
            <w:pPr>
              <w:spacing w:line="300" w:lineRule="exact"/>
              <w:ind w:firstLine="0" w:firstLineChars="0"/>
              <w:jc w:val="center"/>
              <w:rPr>
                <w:sz w:val="21"/>
              </w:rPr>
            </w:pPr>
            <w:r>
              <w:rPr>
                <w:sz w:val="21"/>
              </w:rPr>
              <w:t>环境空气、声环境、地下水、土壤环境影响评价，地表水、生态环境、固体废物环境影响分析</w:t>
            </w:r>
          </w:p>
        </w:tc>
      </w:tr>
      <w:tr w14:paraId="5BCB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6" w:hRule="atLeast"/>
          <w:jc w:val="center"/>
        </w:trPr>
        <w:tc>
          <w:tcPr>
            <w:tcW w:w="512" w:type="dxa"/>
            <w:vAlign w:val="center"/>
          </w:tcPr>
          <w:p w14:paraId="1B5148A8">
            <w:pPr>
              <w:spacing w:line="300" w:lineRule="exact"/>
              <w:ind w:firstLine="0" w:firstLineChars="0"/>
              <w:jc w:val="center"/>
              <w:rPr>
                <w:sz w:val="21"/>
              </w:rPr>
            </w:pPr>
            <w:r>
              <w:rPr>
                <w:sz w:val="21"/>
              </w:rPr>
              <w:t>6</w:t>
            </w:r>
          </w:p>
        </w:tc>
        <w:tc>
          <w:tcPr>
            <w:tcW w:w="2400" w:type="dxa"/>
            <w:vAlign w:val="center"/>
          </w:tcPr>
          <w:p w14:paraId="633A4308">
            <w:pPr>
              <w:spacing w:line="300" w:lineRule="exact"/>
              <w:ind w:firstLine="0" w:firstLineChars="0"/>
              <w:jc w:val="center"/>
              <w:rPr>
                <w:sz w:val="21"/>
              </w:rPr>
            </w:pPr>
            <w:r>
              <w:rPr>
                <w:sz w:val="21"/>
              </w:rPr>
              <w:t>环境风险评价</w:t>
            </w:r>
          </w:p>
        </w:tc>
        <w:tc>
          <w:tcPr>
            <w:tcW w:w="6215" w:type="dxa"/>
            <w:vAlign w:val="center"/>
          </w:tcPr>
          <w:p w14:paraId="17AC7B0B">
            <w:pPr>
              <w:spacing w:line="300" w:lineRule="exact"/>
              <w:ind w:firstLine="0" w:firstLineChars="0"/>
              <w:jc w:val="center"/>
              <w:rPr>
                <w:sz w:val="21"/>
              </w:rPr>
            </w:pPr>
            <w:r>
              <w:rPr>
                <w:sz w:val="21"/>
              </w:rPr>
              <w:t>对本项目存在的环境风险进行分析，并提出相应的防范、应急与减缓措施</w:t>
            </w:r>
          </w:p>
        </w:tc>
      </w:tr>
      <w:tr w14:paraId="672E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354E04C1">
            <w:pPr>
              <w:spacing w:line="300" w:lineRule="exact"/>
              <w:ind w:firstLine="0" w:firstLineChars="0"/>
              <w:jc w:val="center"/>
              <w:rPr>
                <w:sz w:val="21"/>
              </w:rPr>
            </w:pPr>
            <w:r>
              <w:rPr>
                <w:sz w:val="21"/>
              </w:rPr>
              <w:t>7</w:t>
            </w:r>
          </w:p>
        </w:tc>
        <w:tc>
          <w:tcPr>
            <w:tcW w:w="2400" w:type="dxa"/>
            <w:vAlign w:val="center"/>
          </w:tcPr>
          <w:p w14:paraId="765E5EB4">
            <w:pPr>
              <w:spacing w:line="300" w:lineRule="exact"/>
              <w:ind w:firstLine="0" w:firstLineChars="0"/>
              <w:jc w:val="center"/>
              <w:rPr>
                <w:sz w:val="21"/>
              </w:rPr>
            </w:pPr>
            <w:r>
              <w:rPr>
                <w:sz w:val="21"/>
              </w:rPr>
              <w:t>环保措施可行性论证</w:t>
            </w:r>
          </w:p>
        </w:tc>
        <w:tc>
          <w:tcPr>
            <w:tcW w:w="6215" w:type="dxa"/>
            <w:vAlign w:val="center"/>
          </w:tcPr>
          <w:p w14:paraId="0239E508">
            <w:pPr>
              <w:spacing w:line="300" w:lineRule="exact"/>
              <w:ind w:firstLine="0" w:firstLineChars="0"/>
              <w:jc w:val="center"/>
              <w:rPr>
                <w:sz w:val="21"/>
              </w:rPr>
            </w:pPr>
            <w:r>
              <w:rPr>
                <w:sz w:val="21"/>
              </w:rPr>
              <w:t>对本项目采用的废气、废水、噪声、土壤及固体废物的控制措施从技术、经济角度对其可行性进行分析和论证</w:t>
            </w:r>
          </w:p>
        </w:tc>
      </w:tr>
      <w:tr w14:paraId="118B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21B0C07D">
            <w:pPr>
              <w:spacing w:line="300" w:lineRule="exact"/>
              <w:ind w:firstLine="0" w:firstLineChars="0"/>
              <w:jc w:val="center"/>
              <w:rPr>
                <w:sz w:val="21"/>
              </w:rPr>
            </w:pPr>
            <w:r>
              <w:rPr>
                <w:sz w:val="21"/>
              </w:rPr>
              <w:t>8</w:t>
            </w:r>
          </w:p>
        </w:tc>
        <w:tc>
          <w:tcPr>
            <w:tcW w:w="2400" w:type="dxa"/>
            <w:vAlign w:val="center"/>
          </w:tcPr>
          <w:p w14:paraId="77DF771B">
            <w:pPr>
              <w:spacing w:line="300" w:lineRule="exact"/>
              <w:ind w:firstLine="0" w:firstLineChars="0"/>
              <w:jc w:val="center"/>
              <w:rPr>
                <w:sz w:val="21"/>
              </w:rPr>
            </w:pPr>
            <w:r>
              <w:rPr>
                <w:sz w:val="21"/>
              </w:rPr>
              <w:t>环境影响经济损益分析</w:t>
            </w:r>
          </w:p>
        </w:tc>
        <w:tc>
          <w:tcPr>
            <w:tcW w:w="6215" w:type="dxa"/>
            <w:vAlign w:val="center"/>
          </w:tcPr>
          <w:p w14:paraId="79E629E6">
            <w:pPr>
              <w:spacing w:line="300" w:lineRule="exact"/>
              <w:ind w:firstLine="0" w:firstLineChars="0"/>
              <w:jc w:val="center"/>
              <w:rPr>
                <w:sz w:val="21"/>
              </w:rPr>
            </w:pPr>
            <w:r>
              <w:rPr>
                <w:sz w:val="21"/>
              </w:rPr>
              <w:t>从社会效益、经济效益和环境效益三方面对本项目总体效益进行分析</w:t>
            </w:r>
          </w:p>
        </w:tc>
      </w:tr>
      <w:tr w14:paraId="6CE9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1477423F">
            <w:pPr>
              <w:spacing w:line="300" w:lineRule="exact"/>
              <w:ind w:firstLine="0" w:firstLineChars="0"/>
              <w:jc w:val="center"/>
              <w:rPr>
                <w:sz w:val="21"/>
              </w:rPr>
            </w:pPr>
            <w:r>
              <w:rPr>
                <w:sz w:val="21"/>
              </w:rPr>
              <w:t>9</w:t>
            </w:r>
          </w:p>
        </w:tc>
        <w:tc>
          <w:tcPr>
            <w:tcW w:w="2400" w:type="dxa"/>
            <w:vAlign w:val="center"/>
          </w:tcPr>
          <w:p w14:paraId="6250A99B">
            <w:pPr>
              <w:spacing w:line="300" w:lineRule="exact"/>
              <w:ind w:firstLine="0" w:firstLineChars="0"/>
              <w:jc w:val="center"/>
              <w:rPr>
                <w:sz w:val="21"/>
              </w:rPr>
            </w:pPr>
            <w:r>
              <w:rPr>
                <w:sz w:val="21"/>
              </w:rPr>
              <w:t>环境管理与监测计划</w:t>
            </w:r>
          </w:p>
        </w:tc>
        <w:tc>
          <w:tcPr>
            <w:tcW w:w="6215" w:type="dxa"/>
            <w:vAlign w:val="center"/>
          </w:tcPr>
          <w:p w14:paraId="59646784">
            <w:pPr>
              <w:spacing w:line="300" w:lineRule="exact"/>
              <w:ind w:firstLine="0" w:firstLineChars="0"/>
              <w:jc w:val="center"/>
              <w:rPr>
                <w:sz w:val="21"/>
              </w:rPr>
            </w:pPr>
            <w:r>
              <w:rPr>
                <w:sz w:val="21"/>
              </w:rPr>
              <w:t>制定环境管理与监测计划，列出“三同时”验收一览表</w:t>
            </w:r>
          </w:p>
        </w:tc>
      </w:tr>
      <w:tr w14:paraId="1A90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2" w:type="dxa"/>
            <w:vAlign w:val="center"/>
          </w:tcPr>
          <w:p w14:paraId="2ACD059D">
            <w:pPr>
              <w:spacing w:line="300" w:lineRule="exact"/>
              <w:ind w:firstLine="0" w:firstLineChars="0"/>
              <w:jc w:val="center"/>
              <w:rPr>
                <w:sz w:val="21"/>
              </w:rPr>
            </w:pPr>
            <w:r>
              <w:rPr>
                <w:sz w:val="21"/>
              </w:rPr>
              <w:t>10</w:t>
            </w:r>
          </w:p>
        </w:tc>
        <w:tc>
          <w:tcPr>
            <w:tcW w:w="2400" w:type="dxa"/>
            <w:vAlign w:val="center"/>
          </w:tcPr>
          <w:p w14:paraId="61A4CFAF">
            <w:pPr>
              <w:spacing w:line="300" w:lineRule="exact"/>
              <w:ind w:firstLine="0" w:firstLineChars="0"/>
              <w:jc w:val="center"/>
              <w:rPr>
                <w:sz w:val="21"/>
              </w:rPr>
            </w:pPr>
            <w:r>
              <w:rPr>
                <w:sz w:val="21"/>
              </w:rPr>
              <w:t>结论与建议</w:t>
            </w:r>
          </w:p>
        </w:tc>
        <w:tc>
          <w:tcPr>
            <w:tcW w:w="6215" w:type="dxa"/>
            <w:vAlign w:val="center"/>
          </w:tcPr>
          <w:p w14:paraId="55214A3F">
            <w:pPr>
              <w:spacing w:line="300" w:lineRule="exact"/>
              <w:ind w:firstLine="0" w:firstLineChars="0"/>
              <w:jc w:val="center"/>
              <w:rPr>
                <w:sz w:val="21"/>
              </w:rPr>
            </w:pPr>
            <w:r>
              <w:rPr>
                <w:sz w:val="21"/>
              </w:rPr>
              <w:t>从环保角度给出项目建设是否可行的结论，并提出加强环境保护建议</w:t>
            </w:r>
          </w:p>
        </w:tc>
      </w:tr>
    </w:tbl>
    <w:p w14:paraId="6CAFC5BD">
      <w:pPr>
        <w:pStyle w:val="12"/>
      </w:pPr>
      <w:bookmarkStart w:id="144" w:name="_Toc26594"/>
      <w:bookmarkStart w:id="145" w:name="_Toc6739"/>
      <w:bookmarkStart w:id="146" w:name="_Toc13850"/>
      <w:bookmarkStart w:id="147" w:name="_Toc28458"/>
      <w:r>
        <w:t>2.5.2 评价重点</w:t>
      </w:r>
      <w:bookmarkEnd w:id="144"/>
      <w:bookmarkEnd w:id="145"/>
      <w:bookmarkEnd w:id="146"/>
      <w:bookmarkEnd w:id="147"/>
    </w:p>
    <w:p w14:paraId="755A7052">
      <w:pPr>
        <w:autoSpaceDE w:val="0"/>
        <w:autoSpaceDN w:val="0"/>
        <w:adjustRightInd w:val="0"/>
        <w:ind w:firstLine="480"/>
        <w:rPr>
          <w:lang w:val="zh-CN"/>
        </w:rPr>
      </w:pPr>
      <w:r>
        <w:rPr>
          <w:lang w:val="zh-CN"/>
        </w:rPr>
        <w:t>本次评价将以国家和地方环保相关法律、法规为准则，依据相关规划，通过对本期工程生产工艺、污染因子的分析，确定工程运行后主要污染物产生环节、污染源源强，在对环境现状进行调查和监测的基础上，预测本期工程投产后的环境影响范围、程度和环境风险，论证工程环保措施的技术可行性及经济合理性，提出污染物排放控制措施、减轻或防治污染的建议，从环境保护角度论证本期工程的可行性，为本期工程环保设施的设计和环保管理部门决策提供依据。</w:t>
      </w:r>
    </w:p>
    <w:p w14:paraId="6F07DF59">
      <w:pPr>
        <w:autoSpaceDE w:val="0"/>
        <w:autoSpaceDN w:val="0"/>
        <w:adjustRightInd w:val="0"/>
        <w:ind w:firstLine="480"/>
        <w:rPr>
          <w:lang w:val="zh-CN"/>
        </w:rPr>
      </w:pPr>
      <w:r>
        <w:rPr>
          <w:lang w:val="zh-CN"/>
        </w:rPr>
        <w:t>本评价工作的重点为工程分析、环境影响预测与评价、环境保护措施及其可行性论证。</w:t>
      </w:r>
    </w:p>
    <w:p w14:paraId="21EA8AF6">
      <w:pPr>
        <w:pStyle w:val="10"/>
      </w:pPr>
      <w:bookmarkStart w:id="148" w:name="_Toc279094805"/>
      <w:bookmarkStart w:id="149" w:name="_Toc36234642"/>
      <w:bookmarkStart w:id="150" w:name="_Toc279090872"/>
      <w:bookmarkStart w:id="151" w:name="_Toc336012427"/>
      <w:bookmarkStart w:id="152" w:name="_Toc279080433"/>
      <w:bookmarkStart w:id="153" w:name="_Toc385925520"/>
      <w:bookmarkStart w:id="154" w:name="_Toc457206604"/>
      <w:bookmarkStart w:id="155" w:name="_Toc411352832"/>
      <w:bookmarkStart w:id="156" w:name="_Toc166572257"/>
      <w:bookmarkStart w:id="157" w:name="_Toc331848933"/>
      <w:r>
        <w:t>2.6评价标准</w:t>
      </w:r>
      <w:bookmarkEnd w:id="148"/>
      <w:bookmarkEnd w:id="149"/>
      <w:bookmarkEnd w:id="150"/>
      <w:bookmarkEnd w:id="151"/>
      <w:bookmarkEnd w:id="152"/>
      <w:bookmarkEnd w:id="153"/>
      <w:bookmarkEnd w:id="154"/>
      <w:bookmarkEnd w:id="155"/>
      <w:bookmarkEnd w:id="156"/>
      <w:bookmarkEnd w:id="157"/>
    </w:p>
    <w:p w14:paraId="17E6A918">
      <w:pPr>
        <w:pStyle w:val="11"/>
      </w:pPr>
      <w:bookmarkStart w:id="158" w:name="_Toc166572258"/>
      <w:r>
        <w:t>2.6.1环境质量标准</w:t>
      </w:r>
      <w:bookmarkEnd w:id="158"/>
    </w:p>
    <w:p w14:paraId="3BED1ADB">
      <w:pPr>
        <w:pStyle w:val="12"/>
      </w:pPr>
      <w:r>
        <w:t>2.6.1.1大气环境质量标准</w:t>
      </w:r>
    </w:p>
    <w:p w14:paraId="7AB53235">
      <w:pPr>
        <w:pStyle w:val="105"/>
        <w:ind w:firstLine="480"/>
      </w:pPr>
      <w:r>
        <w:t>本项目位于鄂托克旗蒙西镇境内，根据区域规划，大气环境功能为二类区，大气</w:t>
      </w:r>
      <w:r>
        <w:rPr>
          <w:rFonts w:hint="eastAsia"/>
        </w:rPr>
        <w:t>基本污染物</w:t>
      </w:r>
      <w:r>
        <w:t>执行《环境空气质量标准》（GB3095-2012）二级标准及《环境空气质量标准》（GB3095-2012）（2018第1号修改单）；氨气、硫化氢参照执行《环境影响评价技术导则大气环境》（HJ2.2—2018）附录D其他污染物空气质量浓度参考限值。具体环境质量标准值见表2.2-1。</w:t>
      </w:r>
    </w:p>
    <w:p w14:paraId="717D10F9">
      <w:pPr>
        <w:pStyle w:val="105"/>
        <w:ind w:firstLine="480"/>
      </w:pPr>
      <w:r>
        <w:t>同时，西鄂尔多斯国家级自然保护区环境空气质量执行《环境空气质量标准》（GB3095-2012）一级标准。</w:t>
      </w:r>
    </w:p>
    <w:p w14:paraId="6AAA2186">
      <w:pPr>
        <w:pStyle w:val="743"/>
        <w:rPr>
          <w:rFonts w:cs="Times New Roman"/>
        </w:rPr>
      </w:pPr>
      <w:r>
        <w:rPr>
          <w:rFonts w:cs="Times New Roman"/>
        </w:rPr>
        <w:t>表2.6-1大气环境质量标准一览表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2275"/>
        <w:gridCol w:w="1313"/>
        <w:gridCol w:w="1315"/>
        <w:gridCol w:w="2865"/>
      </w:tblGrid>
      <w:tr w14:paraId="7102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5A6D8F2C">
            <w:pPr>
              <w:pStyle w:val="357"/>
            </w:pPr>
            <w:r>
              <w:t>污染物名称</w:t>
            </w:r>
          </w:p>
        </w:tc>
        <w:tc>
          <w:tcPr>
            <w:tcW w:w="1225" w:type="pct"/>
            <w:vMerge w:val="restart"/>
            <w:vAlign w:val="center"/>
          </w:tcPr>
          <w:p w14:paraId="50221A82">
            <w:pPr>
              <w:pStyle w:val="357"/>
            </w:pPr>
            <w:r>
              <w:t>取值时间</w:t>
            </w:r>
          </w:p>
        </w:tc>
        <w:tc>
          <w:tcPr>
            <w:tcW w:w="1415" w:type="pct"/>
            <w:gridSpan w:val="2"/>
            <w:vAlign w:val="center"/>
          </w:tcPr>
          <w:p w14:paraId="44F52C4A">
            <w:pPr>
              <w:pStyle w:val="357"/>
              <w:rPr>
                <w:vertAlign w:val="superscript"/>
                <w:lang w:eastAsia="zh-CN"/>
              </w:rPr>
            </w:pPr>
            <w:r>
              <w:rPr>
                <w:lang w:eastAsia="zh-CN"/>
              </w:rPr>
              <w:t>标准浓度限值，</w:t>
            </w:r>
            <w:r>
              <w:t>μ</w:t>
            </w:r>
            <w:r>
              <w:rPr>
                <w:lang w:eastAsia="zh-CN"/>
              </w:rPr>
              <w:t>g/m³</w:t>
            </w:r>
          </w:p>
        </w:tc>
        <w:tc>
          <w:tcPr>
            <w:tcW w:w="1542" w:type="pct"/>
            <w:vMerge w:val="restart"/>
            <w:vAlign w:val="center"/>
          </w:tcPr>
          <w:p w14:paraId="7A07A502">
            <w:pPr>
              <w:pStyle w:val="357"/>
            </w:pPr>
            <w:r>
              <w:t>依据</w:t>
            </w:r>
          </w:p>
        </w:tc>
      </w:tr>
      <w:tr w14:paraId="17D3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258C0605">
            <w:pPr>
              <w:pStyle w:val="357"/>
            </w:pPr>
          </w:p>
        </w:tc>
        <w:tc>
          <w:tcPr>
            <w:tcW w:w="1225" w:type="pct"/>
            <w:vMerge w:val="continue"/>
            <w:vAlign w:val="center"/>
          </w:tcPr>
          <w:p w14:paraId="153A2D3C">
            <w:pPr>
              <w:pStyle w:val="357"/>
            </w:pPr>
          </w:p>
        </w:tc>
        <w:tc>
          <w:tcPr>
            <w:tcW w:w="707" w:type="pct"/>
            <w:vAlign w:val="center"/>
          </w:tcPr>
          <w:p w14:paraId="2C483F0C">
            <w:pPr>
              <w:pStyle w:val="357"/>
            </w:pPr>
            <w:r>
              <w:t>二级</w:t>
            </w:r>
          </w:p>
        </w:tc>
        <w:tc>
          <w:tcPr>
            <w:tcW w:w="708" w:type="pct"/>
            <w:vAlign w:val="center"/>
          </w:tcPr>
          <w:p w14:paraId="51DB4838">
            <w:pPr>
              <w:pStyle w:val="357"/>
            </w:pPr>
            <w:r>
              <w:t>一级</w:t>
            </w:r>
          </w:p>
        </w:tc>
        <w:tc>
          <w:tcPr>
            <w:tcW w:w="1542" w:type="pct"/>
            <w:vMerge w:val="continue"/>
            <w:vAlign w:val="center"/>
          </w:tcPr>
          <w:p w14:paraId="6EB7785C">
            <w:pPr>
              <w:pStyle w:val="357"/>
            </w:pPr>
          </w:p>
        </w:tc>
      </w:tr>
      <w:tr w14:paraId="649B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38EE0CA8">
            <w:pPr>
              <w:pStyle w:val="357"/>
            </w:pPr>
            <w:r>
              <w:t>SO</w:t>
            </w:r>
            <w:r>
              <w:rPr>
                <w:vertAlign w:val="subscript"/>
              </w:rPr>
              <w:t>2</w:t>
            </w:r>
          </w:p>
        </w:tc>
        <w:tc>
          <w:tcPr>
            <w:tcW w:w="1225" w:type="pct"/>
            <w:vAlign w:val="center"/>
          </w:tcPr>
          <w:p w14:paraId="0D7AEF4A">
            <w:pPr>
              <w:pStyle w:val="357"/>
            </w:pPr>
            <w:r>
              <w:t>小时平均</w:t>
            </w:r>
          </w:p>
        </w:tc>
        <w:tc>
          <w:tcPr>
            <w:tcW w:w="707" w:type="pct"/>
            <w:vAlign w:val="center"/>
          </w:tcPr>
          <w:p w14:paraId="2289E4F1">
            <w:pPr>
              <w:pStyle w:val="357"/>
            </w:pPr>
            <w:r>
              <w:t>500</w:t>
            </w:r>
          </w:p>
        </w:tc>
        <w:tc>
          <w:tcPr>
            <w:tcW w:w="708" w:type="pct"/>
            <w:vAlign w:val="center"/>
          </w:tcPr>
          <w:p w14:paraId="785D6C8A">
            <w:pPr>
              <w:pStyle w:val="357"/>
            </w:pPr>
            <w:r>
              <w:t>150</w:t>
            </w:r>
          </w:p>
        </w:tc>
        <w:tc>
          <w:tcPr>
            <w:tcW w:w="1542" w:type="pct"/>
            <w:vMerge w:val="restart"/>
            <w:vAlign w:val="center"/>
          </w:tcPr>
          <w:p w14:paraId="7133F008">
            <w:pPr>
              <w:pStyle w:val="357"/>
              <w:rPr>
                <w:lang w:eastAsia="zh-CN"/>
              </w:rPr>
            </w:pPr>
            <w:r>
              <w:rPr>
                <w:lang w:eastAsia="zh-CN"/>
              </w:rPr>
              <w:t>《环境空气质量标准》</w:t>
            </w:r>
          </w:p>
          <w:p w14:paraId="7D9D2B26">
            <w:pPr>
              <w:pStyle w:val="357"/>
              <w:rPr>
                <w:lang w:eastAsia="zh-CN"/>
              </w:rPr>
            </w:pPr>
            <w:r>
              <w:rPr>
                <w:lang w:eastAsia="zh-CN"/>
              </w:rPr>
              <w:t>（GB3095-2012）</w:t>
            </w:r>
          </w:p>
        </w:tc>
      </w:tr>
      <w:tr w14:paraId="4AD2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5F8331D6">
            <w:pPr>
              <w:pStyle w:val="357"/>
              <w:rPr>
                <w:lang w:eastAsia="zh-CN"/>
              </w:rPr>
            </w:pPr>
          </w:p>
        </w:tc>
        <w:tc>
          <w:tcPr>
            <w:tcW w:w="1225" w:type="pct"/>
            <w:vAlign w:val="center"/>
          </w:tcPr>
          <w:p w14:paraId="7E8EA9BB">
            <w:pPr>
              <w:pStyle w:val="357"/>
            </w:pPr>
            <w:r>
              <w:t>日平均</w:t>
            </w:r>
          </w:p>
        </w:tc>
        <w:tc>
          <w:tcPr>
            <w:tcW w:w="707" w:type="pct"/>
            <w:vAlign w:val="center"/>
          </w:tcPr>
          <w:p w14:paraId="33B75A0A">
            <w:pPr>
              <w:pStyle w:val="357"/>
            </w:pPr>
            <w:r>
              <w:t>150</w:t>
            </w:r>
          </w:p>
        </w:tc>
        <w:tc>
          <w:tcPr>
            <w:tcW w:w="708" w:type="pct"/>
            <w:vAlign w:val="center"/>
          </w:tcPr>
          <w:p w14:paraId="674076DA">
            <w:pPr>
              <w:pStyle w:val="357"/>
            </w:pPr>
            <w:r>
              <w:t>50</w:t>
            </w:r>
          </w:p>
        </w:tc>
        <w:tc>
          <w:tcPr>
            <w:tcW w:w="1542" w:type="pct"/>
            <w:vMerge w:val="continue"/>
            <w:vAlign w:val="center"/>
          </w:tcPr>
          <w:p w14:paraId="114FFBFF">
            <w:pPr>
              <w:pStyle w:val="357"/>
            </w:pPr>
          </w:p>
        </w:tc>
      </w:tr>
      <w:tr w14:paraId="7894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6E9F0C25">
            <w:pPr>
              <w:pStyle w:val="357"/>
            </w:pPr>
          </w:p>
        </w:tc>
        <w:tc>
          <w:tcPr>
            <w:tcW w:w="1225" w:type="pct"/>
            <w:vAlign w:val="center"/>
          </w:tcPr>
          <w:p w14:paraId="35C0AB98">
            <w:pPr>
              <w:pStyle w:val="357"/>
            </w:pPr>
            <w:r>
              <w:t>年平均</w:t>
            </w:r>
          </w:p>
        </w:tc>
        <w:tc>
          <w:tcPr>
            <w:tcW w:w="707" w:type="pct"/>
            <w:vAlign w:val="center"/>
          </w:tcPr>
          <w:p w14:paraId="0B4124B4">
            <w:pPr>
              <w:pStyle w:val="357"/>
            </w:pPr>
            <w:r>
              <w:t>60</w:t>
            </w:r>
          </w:p>
        </w:tc>
        <w:tc>
          <w:tcPr>
            <w:tcW w:w="708" w:type="pct"/>
            <w:vAlign w:val="center"/>
          </w:tcPr>
          <w:p w14:paraId="430B4A5B">
            <w:pPr>
              <w:pStyle w:val="357"/>
            </w:pPr>
            <w:r>
              <w:t>20</w:t>
            </w:r>
          </w:p>
        </w:tc>
        <w:tc>
          <w:tcPr>
            <w:tcW w:w="1542" w:type="pct"/>
            <w:vMerge w:val="continue"/>
            <w:vAlign w:val="center"/>
          </w:tcPr>
          <w:p w14:paraId="3891634F">
            <w:pPr>
              <w:pStyle w:val="357"/>
            </w:pPr>
          </w:p>
        </w:tc>
      </w:tr>
      <w:tr w14:paraId="7986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4940128B">
            <w:pPr>
              <w:pStyle w:val="357"/>
            </w:pPr>
            <w:r>
              <w:t>NO</w:t>
            </w:r>
            <w:r>
              <w:rPr>
                <w:vertAlign w:val="subscript"/>
              </w:rPr>
              <w:t>2</w:t>
            </w:r>
          </w:p>
        </w:tc>
        <w:tc>
          <w:tcPr>
            <w:tcW w:w="1225" w:type="pct"/>
            <w:vAlign w:val="center"/>
          </w:tcPr>
          <w:p w14:paraId="33AD5459">
            <w:pPr>
              <w:pStyle w:val="357"/>
            </w:pPr>
            <w:r>
              <w:t>小时平均</w:t>
            </w:r>
          </w:p>
        </w:tc>
        <w:tc>
          <w:tcPr>
            <w:tcW w:w="707" w:type="pct"/>
            <w:vAlign w:val="center"/>
          </w:tcPr>
          <w:p w14:paraId="56172315">
            <w:pPr>
              <w:pStyle w:val="357"/>
            </w:pPr>
            <w:r>
              <w:t>200</w:t>
            </w:r>
          </w:p>
        </w:tc>
        <w:tc>
          <w:tcPr>
            <w:tcW w:w="708" w:type="pct"/>
            <w:vAlign w:val="center"/>
          </w:tcPr>
          <w:p w14:paraId="087EAD0C">
            <w:pPr>
              <w:pStyle w:val="357"/>
            </w:pPr>
            <w:r>
              <w:t>200</w:t>
            </w:r>
          </w:p>
        </w:tc>
        <w:tc>
          <w:tcPr>
            <w:tcW w:w="1542" w:type="pct"/>
            <w:vMerge w:val="continue"/>
            <w:vAlign w:val="center"/>
          </w:tcPr>
          <w:p w14:paraId="75D3B703">
            <w:pPr>
              <w:pStyle w:val="357"/>
            </w:pPr>
          </w:p>
        </w:tc>
      </w:tr>
      <w:tr w14:paraId="6785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74BA452D">
            <w:pPr>
              <w:pStyle w:val="357"/>
            </w:pPr>
          </w:p>
        </w:tc>
        <w:tc>
          <w:tcPr>
            <w:tcW w:w="1225" w:type="pct"/>
            <w:vAlign w:val="center"/>
          </w:tcPr>
          <w:p w14:paraId="0D7A39B8">
            <w:pPr>
              <w:pStyle w:val="357"/>
            </w:pPr>
            <w:r>
              <w:t>日平均</w:t>
            </w:r>
          </w:p>
        </w:tc>
        <w:tc>
          <w:tcPr>
            <w:tcW w:w="707" w:type="pct"/>
            <w:vAlign w:val="center"/>
          </w:tcPr>
          <w:p w14:paraId="112FC8F4">
            <w:pPr>
              <w:pStyle w:val="357"/>
            </w:pPr>
            <w:r>
              <w:t>80</w:t>
            </w:r>
          </w:p>
        </w:tc>
        <w:tc>
          <w:tcPr>
            <w:tcW w:w="708" w:type="pct"/>
            <w:vAlign w:val="center"/>
          </w:tcPr>
          <w:p w14:paraId="1216EB4F">
            <w:pPr>
              <w:pStyle w:val="357"/>
            </w:pPr>
            <w:r>
              <w:t>80</w:t>
            </w:r>
          </w:p>
        </w:tc>
        <w:tc>
          <w:tcPr>
            <w:tcW w:w="1542" w:type="pct"/>
            <w:vMerge w:val="continue"/>
            <w:vAlign w:val="center"/>
          </w:tcPr>
          <w:p w14:paraId="6F7B51EA">
            <w:pPr>
              <w:pStyle w:val="357"/>
            </w:pPr>
          </w:p>
        </w:tc>
      </w:tr>
      <w:tr w14:paraId="0E91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0075E77F">
            <w:pPr>
              <w:pStyle w:val="357"/>
            </w:pPr>
          </w:p>
        </w:tc>
        <w:tc>
          <w:tcPr>
            <w:tcW w:w="1225" w:type="pct"/>
            <w:vAlign w:val="center"/>
          </w:tcPr>
          <w:p w14:paraId="30D9AD50">
            <w:pPr>
              <w:pStyle w:val="357"/>
            </w:pPr>
            <w:r>
              <w:t>年平均</w:t>
            </w:r>
          </w:p>
        </w:tc>
        <w:tc>
          <w:tcPr>
            <w:tcW w:w="707" w:type="pct"/>
            <w:vAlign w:val="center"/>
          </w:tcPr>
          <w:p w14:paraId="48C4A05B">
            <w:pPr>
              <w:pStyle w:val="357"/>
            </w:pPr>
            <w:r>
              <w:t>40</w:t>
            </w:r>
          </w:p>
        </w:tc>
        <w:tc>
          <w:tcPr>
            <w:tcW w:w="708" w:type="pct"/>
            <w:vAlign w:val="center"/>
          </w:tcPr>
          <w:p w14:paraId="21D970F3">
            <w:pPr>
              <w:pStyle w:val="357"/>
            </w:pPr>
            <w:r>
              <w:t>40</w:t>
            </w:r>
          </w:p>
        </w:tc>
        <w:tc>
          <w:tcPr>
            <w:tcW w:w="1542" w:type="pct"/>
            <w:vMerge w:val="continue"/>
            <w:vAlign w:val="center"/>
          </w:tcPr>
          <w:p w14:paraId="7469C906">
            <w:pPr>
              <w:pStyle w:val="357"/>
            </w:pPr>
          </w:p>
        </w:tc>
      </w:tr>
      <w:tr w14:paraId="5B25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3C7829DA">
            <w:pPr>
              <w:pStyle w:val="357"/>
            </w:pPr>
            <w:r>
              <w:t>CO</w:t>
            </w:r>
          </w:p>
        </w:tc>
        <w:tc>
          <w:tcPr>
            <w:tcW w:w="1225" w:type="pct"/>
            <w:vAlign w:val="center"/>
          </w:tcPr>
          <w:p w14:paraId="1114B342">
            <w:pPr>
              <w:pStyle w:val="357"/>
            </w:pPr>
            <w:r>
              <w:t>小时平均</w:t>
            </w:r>
          </w:p>
        </w:tc>
        <w:tc>
          <w:tcPr>
            <w:tcW w:w="707" w:type="pct"/>
            <w:vAlign w:val="center"/>
          </w:tcPr>
          <w:p w14:paraId="16EA819E">
            <w:pPr>
              <w:pStyle w:val="357"/>
            </w:pPr>
            <w:r>
              <w:t>10</w:t>
            </w:r>
          </w:p>
        </w:tc>
        <w:tc>
          <w:tcPr>
            <w:tcW w:w="708" w:type="pct"/>
            <w:vAlign w:val="center"/>
          </w:tcPr>
          <w:p w14:paraId="07B2ECCF">
            <w:pPr>
              <w:pStyle w:val="357"/>
            </w:pPr>
            <w:r>
              <w:t>10</w:t>
            </w:r>
          </w:p>
        </w:tc>
        <w:tc>
          <w:tcPr>
            <w:tcW w:w="1542" w:type="pct"/>
            <w:vMerge w:val="continue"/>
            <w:vAlign w:val="center"/>
          </w:tcPr>
          <w:p w14:paraId="35ED93BD">
            <w:pPr>
              <w:pStyle w:val="357"/>
            </w:pPr>
          </w:p>
        </w:tc>
      </w:tr>
      <w:tr w14:paraId="7408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78356424">
            <w:pPr>
              <w:pStyle w:val="357"/>
            </w:pPr>
          </w:p>
        </w:tc>
        <w:tc>
          <w:tcPr>
            <w:tcW w:w="1225" w:type="pct"/>
            <w:vAlign w:val="center"/>
          </w:tcPr>
          <w:p w14:paraId="555F07E6">
            <w:pPr>
              <w:pStyle w:val="357"/>
            </w:pPr>
            <w:r>
              <w:t>日平均</w:t>
            </w:r>
          </w:p>
        </w:tc>
        <w:tc>
          <w:tcPr>
            <w:tcW w:w="707" w:type="pct"/>
            <w:vAlign w:val="center"/>
          </w:tcPr>
          <w:p w14:paraId="70EFEEAB">
            <w:pPr>
              <w:pStyle w:val="357"/>
            </w:pPr>
            <w:r>
              <w:t>4</w:t>
            </w:r>
          </w:p>
        </w:tc>
        <w:tc>
          <w:tcPr>
            <w:tcW w:w="708" w:type="pct"/>
            <w:vAlign w:val="center"/>
          </w:tcPr>
          <w:p w14:paraId="11CD6FF0">
            <w:pPr>
              <w:pStyle w:val="357"/>
            </w:pPr>
            <w:r>
              <w:t>4</w:t>
            </w:r>
          </w:p>
        </w:tc>
        <w:tc>
          <w:tcPr>
            <w:tcW w:w="1542" w:type="pct"/>
            <w:vMerge w:val="continue"/>
            <w:vAlign w:val="center"/>
          </w:tcPr>
          <w:p w14:paraId="5162D064">
            <w:pPr>
              <w:pStyle w:val="357"/>
            </w:pPr>
          </w:p>
        </w:tc>
      </w:tr>
      <w:tr w14:paraId="5943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011B040B">
            <w:pPr>
              <w:pStyle w:val="357"/>
            </w:pPr>
            <w:r>
              <w:t>O</w:t>
            </w:r>
            <w:r>
              <w:rPr>
                <w:vertAlign w:val="subscript"/>
              </w:rPr>
              <w:t>3</w:t>
            </w:r>
          </w:p>
        </w:tc>
        <w:tc>
          <w:tcPr>
            <w:tcW w:w="1225" w:type="pct"/>
            <w:vAlign w:val="center"/>
          </w:tcPr>
          <w:p w14:paraId="13B8C6C8">
            <w:pPr>
              <w:pStyle w:val="357"/>
            </w:pPr>
            <w:r>
              <w:t>日最大8小时平均</w:t>
            </w:r>
          </w:p>
        </w:tc>
        <w:tc>
          <w:tcPr>
            <w:tcW w:w="707" w:type="pct"/>
            <w:vAlign w:val="center"/>
          </w:tcPr>
          <w:p w14:paraId="519DE74A">
            <w:pPr>
              <w:pStyle w:val="357"/>
            </w:pPr>
            <w:r>
              <w:t>160</w:t>
            </w:r>
          </w:p>
        </w:tc>
        <w:tc>
          <w:tcPr>
            <w:tcW w:w="708" w:type="pct"/>
            <w:vAlign w:val="center"/>
          </w:tcPr>
          <w:p w14:paraId="6D75D31C">
            <w:pPr>
              <w:pStyle w:val="357"/>
            </w:pPr>
            <w:r>
              <w:t>100</w:t>
            </w:r>
          </w:p>
        </w:tc>
        <w:tc>
          <w:tcPr>
            <w:tcW w:w="1542" w:type="pct"/>
            <w:vMerge w:val="continue"/>
            <w:vAlign w:val="center"/>
          </w:tcPr>
          <w:p w14:paraId="285FCB39">
            <w:pPr>
              <w:pStyle w:val="357"/>
            </w:pPr>
          </w:p>
        </w:tc>
      </w:tr>
      <w:tr w14:paraId="7FEE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1E903762">
            <w:pPr>
              <w:pStyle w:val="357"/>
            </w:pPr>
          </w:p>
        </w:tc>
        <w:tc>
          <w:tcPr>
            <w:tcW w:w="1225" w:type="pct"/>
            <w:vAlign w:val="center"/>
          </w:tcPr>
          <w:p w14:paraId="5E96FB83">
            <w:pPr>
              <w:pStyle w:val="357"/>
            </w:pPr>
            <w:r>
              <w:t>小时平均</w:t>
            </w:r>
          </w:p>
        </w:tc>
        <w:tc>
          <w:tcPr>
            <w:tcW w:w="707" w:type="pct"/>
            <w:vAlign w:val="center"/>
          </w:tcPr>
          <w:p w14:paraId="5EF3BC03">
            <w:pPr>
              <w:pStyle w:val="357"/>
            </w:pPr>
            <w:r>
              <w:t>200</w:t>
            </w:r>
          </w:p>
        </w:tc>
        <w:tc>
          <w:tcPr>
            <w:tcW w:w="708" w:type="pct"/>
            <w:vAlign w:val="center"/>
          </w:tcPr>
          <w:p w14:paraId="0355C0CE">
            <w:pPr>
              <w:pStyle w:val="357"/>
            </w:pPr>
            <w:r>
              <w:t>160</w:t>
            </w:r>
          </w:p>
        </w:tc>
        <w:tc>
          <w:tcPr>
            <w:tcW w:w="1542" w:type="pct"/>
            <w:vMerge w:val="continue"/>
            <w:vAlign w:val="center"/>
          </w:tcPr>
          <w:p w14:paraId="26509C64">
            <w:pPr>
              <w:pStyle w:val="357"/>
            </w:pPr>
          </w:p>
        </w:tc>
      </w:tr>
      <w:tr w14:paraId="58B9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04DE00EE">
            <w:pPr>
              <w:pStyle w:val="357"/>
            </w:pPr>
            <w:r>
              <w:t>PM</w:t>
            </w:r>
            <w:r>
              <w:rPr>
                <w:vertAlign w:val="subscript"/>
              </w:rPr>
              <w:t>10</w:t>
            </w:r>
          </w:p>
        </w:tc>
        <w:tc>
          <w:tcPr>
            <w:tcW w:w="1225" w:type="pct"/>
            <w:vAlign w:val="center"/>
          </w:tcPr>
          <w:p w14:paraId="700B5E3C">
            <w:pPr>
              <w:pStyle w:val="357"/>
            </w:pPr>
            <w:r>
              <w:t>日平均</w:t>
            </w:r>
          </w:p>
        </w:tc>
        <w:tc>
          <w:tcPr>
            <w:tcW w:w="707" w:type="pct"/>
            <w:vAlign w:val="center"/>
          </w:tcPr>
          <w:p w14:paraId="0C2B14D2">
            <w:pPr>
              <w:pStyle w:val="357"/>
            </w:pPr>
            <w:r>
              <w:t>150</w:t>
            </w:r>
          </w:p>
        </w:tc>
        <w:tc>
          <w:tcPr>
            <w:tcW w:w="708" w:type="pct"/>
            <w:vAlign w:val="center"/>
          </w:tcPr>
          <w:p w14:paraId="3F287AA1">
            <w:pPr>
              <w:pStyle w:val="357"/>
            </w:pPr>
            <w:r>
              <w:t>50</w:t>
            </w:r>
          </w:p>
        </w:tc>
        <w:tc>
          <w:tcPr>
            <w:tcW w:w="1542" w:type="pct"/>
            <w:vMerge w:val="continue"/>
            <w:vAlign w:val="center"/>
          </w:tcPr>
          <w:p w14:paraId="1EDBF708">
            <w:pPr>
              <w:pStyle w:val="357"/>
            </w:pPr>
          </w:p>
        </w:tc>
      </w:tr>
      <w:tr w14:paraId="1CD2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2BC5B1C6">
            <w:pPr>
              <w:pStyle w:val="357"/>
            </w:pPr>
          </w:p>
        </w:tc>
        <w:tc>
          <w:tcPr>
            <w:tcW w:w="1225" w:type="pct"/>
            <w:vAlign w:val="center"/>
          </w:tcPr>
          <w:p w14:paraId="56530ABB">
            <w:pPr>
              <w:pStyle w:val="357"/>
            </w:pPr>
            <w:r>
              <w:t>年平均</w:t>
            </w:r>
          </w:p>
        </w:tc>
        <w:tc>
          <w:tcPr>
            <w:tcW w:w="707" w:type="pct"/>
            <w:vAlign w:val="center"/>
          </w:tcPr>
          <w:p w14:paraId="3B7F5EED">
            <w:pPr>
              <w:pStyle w:val="357"/>
            </w:pPr>
            <w:r>
              <w:t>70</w:t>
            </w:r>
          </w:p>
        </w:tc>
        <w:tc>
          <w:tcPr>
            <w:tcW w:w="708" w:type="pct"/>
            <w:vAlign w:val="center"/>
          </w:tcPr>
          <w:p w14:paraId="2CA04A54">
            <w:pPr>
              <w:pStyle w:val="357"/>
            </w:pPr>
            <w:r>
              <w:t>40</w:t>
            </w:r>
          </w:p>
        </w:tc>
        <w:tc>
          <w:tcPr>
            <w:tcW w:w="1542" w:type="pct"/>
            <w:vMerge w:val="continue"/>
            <w:vAlign w:val="center"/>
          </w:tcPr>
          <w:p w14:paraId="7E2F35BF">
            <w:pPr>
              <w:pStyle w:val="357"/>
            </w:pPr>
          </w:p>
        </w:tc>
      </w:tr>
      <w:tr w14:paraId="055B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6305DF8F">
            <w:pPr>
              <w:pStyle w:val="357"/>
            </w:pPr>
            <w:r>
              <w:t>PM</w:t>
            </w:r>
            <w:r>
              <w:rPr>
                <w:vertAlign w:val="subscript"/>
              </w:rPr>
              <w:t>2.5</w:t>
            </w:r>
          </w:p>
        </w:tc>
        <w:tc>
          <w:tcPr>
            <w:tcW w:w="1225" w:type="pct"/>
            <w:vAlign w:val="center"/>
          </w:tcPr>
          <w:p w14:paraId="203046DD">
            <w:pPr>
              <w:pStyle w:val="357"/>
            </w:pPr>
            <w:r>
              <w:t>日平均</w:t>
            </w:r>
          </w:p>
        </w:tc>
        <w:tc>
          <w:tcPr>
            <w:tcW w:w="707" w:type="pct"/>
            <w:vAlign w:val="center"/>
          </w:tcPr>
          <w:p w14:paraId="3DC2ADC0">
            <w:pPr>
              <w:pStyle w:val="357"/>
            </w:pPr>
            <w:r>
              <w:t>75</w:t>
            </w:r>
          </w:p>
        </w:tc>
        <w:tc>
          <w:tcPr>
            <w:tcW w:w="708" w:type="pct"/>
            <w:vAlign w:val="center"/>
          </w:tcPr>
          <w:p w14:paraId="651F9B20">
            <w:pPr>
              <w:pStyle w:val="357"/>
            </w:pPr>
            <w:r>
              <w:t>35</w:t>
            </w:r>
          </w:p>
        </w:tc>
        <w:tc>
          <w:tcPr>
            <w:tcW w:w="1542" w:type="pct"/>
            <w:vMerge w:val="continue"/>
            <w:vAlign w:val="center"/>
          </w:tcPr>
          <w:p w14:paraId="4A83CF1A">
            <w:pPr>
              <w:pStyle w:val="357"/>
            </w:pPr>
          </w:p>
        </w:tc>
      </w:tr>
      <w:tr w14:paraId="1AC1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625457B6">
            <w:pPr>
              <w:pStyle w:val="357"/>
            </w:pPr>
          </w:p>
        </w:tc>
        <w:tc>
          <w:tcPr>
            <w:tcW w:w="1225" w:type="pct"/>
            <w:vAlign w:val="center"/>
          </w:tcPr>
          <w:p w14:paraId="544B32ED">
            <w:pPr>
              <w:pStyle w:val="357"/>
            </w:pPr>
            <w:r>
              <w:t>年平均</w:t>
            </w:r>
          </w:p>
        </w:tc>
        <w:tc>
          <w:tcPr>
            <w:tcW w:w="707" w:type="pct"/>
            <w:vAlign w:val="center"/>
          </w:tcPr>
          <w:p w14:paraId="2D8CF3CC">
            <w:pPr>
              <w:pStyle w:val="357"/>
            </w:pPr>
            <w:r>
              <w:t>35</w:t>
            </w:r>
          </w:p>
        </w:tc>
        <w:tc>
          <w:tcPr>
            <w:tcW w:w="708" w:type="pct"/>
            <w:vAlign w:val="center"/>
          </w:tcPr>
          <w:p w14:paraId="246BE798">
            <w:pPr>
              <w:pStyle w:val="357"/>
            </w:pPr>
            <w:r>
              <w:t>15</w:t>
            </w:r>
          </w:p>
        </w:tc>
        <w:tc>
          <w:tcPr>
            <w:tcW w:w="1542" w:type="pct"/>
            <w:vMerge w:val="continue"/>
            <w:vAlign w:val="center"/>
          </w:tcPr>
          <w:p w14:paraId="28296686">
            <w:pPr>
              <w:pStyle w:val="357"/>
            </w:pPr>
          </w:p>
        </w:tc>
      </w:tr>
      <w:tr w14:paraId="3A94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restart"/>
            <w:vAlign w:val="center"/>
          </w:tcPr>
          <w:p w14:paraId="04709E7F">
            <w:pPr>
              <w:pStyle w:val="357"/>
            </w:pPr>
            <w:r>
              <w:t>TSP</w:t>
            </w:r>
          </w:p>
        </w:tc>
        <w:tc>
          <w:tcPr>
            <w:tcW w:w="1225" w:type="pct"/>
            <w:vAlign w:val="center"/>
          </w:tcPr>
          <w:p w14:paraId="1C917709">
            <w:pPr>
              <w:pStyle w:val="357"/>
            </w:pPr>
            <w:r>
              <w:t>日平均</w:t>
            </w:r>
          </w:p>
        </w:tc>
        <w:tc>
          <w:tcPr>
            <w:tcW w:w="707" w:type="pct"/>
            <w:vAlign w:val="center"/>
          </w:tcPr>
          <w:p w14:paraId="1617737A">
            <w:pPr>
              <w:pStyle w:val="357"/>
            </w:pPr>
            <w:r>
              <w:t>300</w:t>
            </w:r>
          </w:p>
        </w:tc>
        <w:tc>
          <w:tcPr>
            <w:tcW w:w="708" w:type="pct"/>
            <w:vAlign w:val="center"/>
          </w:tcPr>
          <w:p w14:paraId="59CF21DA">
            <w:pPr>
              <w:pStyle w:val="357"/>
            </w:pPr>
            <w:r>
              <w:t>120</w:t>
            </w:r>
          </w:p>
        </w:tc>
        <w:tc>
          <w:tcPr>
            <w:tcW w:w="1542" w:type="pct"/>
            <w:vMerge w:val="continue"/>
            <w:vAlign w:val="center"/>
          </w:tcPr>
          <w:p w14:paraId="13C77787">
            <w:pPr>
              <w:pStyle w:val="357"/>
            </w:pPr>
          </w:p>
        </w:tc>
      </w:tr>
      <w:tr w14:paraId="2126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Merge w:val="continue"/>
            <w:vAlign w:val="center"/>
          </w:tcPr>
          <w:p w14:paraId="0A2E38B3">
            <w:pPr>
              <w:pStyle w:val="357"/>
            </w:pPr>
          </w:p>
        </w:tc>
        <w:tc>
          <w:tcPr>
            <w:tcW w:w="1225" w:type="pct"/>
            <w:vAlign w:val="center"/>
          </w:tcPr>
          <w:p w14:paraId="1F6A7D7E">
            <w:pPr>
              <w:pStyle w:val="357"/>
            </w:pPr>
            <w:r>
              <w:t>年平均</w:t>
            </w:r>
          </w:p>
        </w:tc>
        <w:tc>
          <w:tcPr>
            <w:tcW w:w="707" w:type="pct"/>
            <w:vAlign w:val="center"/>
          </w:tcPr>
          <w:p w14:paraId="1FCAF917">
            <w:pPr>
              <w:pStyle w:val="357"/>
            </w:pPr>
            <w:r>
              <w:t>200</w:t>
            </w:r>
          </w:p>
        </w:tc>
        <w:tc>
          <w:tcPr>
            <w:tcW w:w="708" w:type="pct"/>
            <w:vAlign w:val="center"/>
          </w:tcPr>
          <w:p w14:paraId="5E98E61C">
            <w:pPr>
              <w:pStyle w:val="357"/>
            </w:pPr>
            <w:r>
              <w:t>80</w:t>
            </w:r>
          </w:p>
        </w:tc>
        <w:tc>
          <w:tcPr>
            <w:tcW w:w="1542" w:type="pct"/>
            <w:vMerge w:val="continue"/>
            <w:vAlign w:val="center"/>
          </w:tcPr>
          <w:p w14:paraId="178D0FD3">
            <w:pPr>
              <w:pStyle w:val="357"/>
            </w:pPr>
          </w:p>
        </w:tc>
      </w:tr>
      <w:tr w14:paraId="39BF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Align w:val="center"/>
          </w:tcPr>
          <w:p w14:paraId="4B3E044F">
            <w:pPr>
              <w:pStyle w:val="357"/>
            </w:pPr>
            <w:r>
              <w:rPr>
                <w:lang w:val="en-GB"/>
              </w:rPr>
              <w:t>H</w:t>
            </w:r>
            <w:r>
              <w:rPr>
                <w:vertAlign w:val="subscript"/>
                <w:lang w:val="en-GB"/>
              </w:rPr>
              <w:t>2</w:t>
            </w:r>
            <w:r>
              <w:rPr>
                <w:lang w:val="en-GB"/>
              </w:rPr>
              <w:t>S</w:t>
            </w:r>
          </w:p>
        </w:tc>
        <w:tc>
          <w:tcPr>
            <w:tcW w:w="1225" w:type="pct"/>
            <w:vAlign w:val="center"/>
          </w:tcPr>
          <w:p w14:paraId="368B679A">
            <w:pPr>
              <w:pStyle w:val="357"/>
            </w:pPr>
            <w:r>
              <w:t>小时平均</w:t>
            </w:r>
          </w:p>
        </w:tc>
        <w:tc>
          <w:tcPr>
            <w:tcW w:w="707" w:type="pct"/>
            <w:vAlign w:val="center"/>
          </w:tcPr>
          <w:p w14:paraId="7251C244">
            <w:pPr>
              <w:pStyle w:val="357"/>
            </w:pPr>
            <w:r>
              <w:t>10</w:t>
            </w:r>
          </w:p>
        </w:tc>
        <w:tc>
          <w:tcPr>
            <w:tcW w:w="708" w:type="pct"/>
            <w:vAlign w:val="center"/>
          </w:tcPr>
          <w:p w14:paraId="7ACCC1E3">
            <w:pPr>
              <w:pStyle w:val="357"/>
            </w:pPr>
            <w:r>
              <w:t>10</w:t>
            </w:r>
          </w:p>
        </w:tc>
        <w:tc>
          <w:tcPr>
            <w:tcW w:w="1542" w:type="pct"/>
            <w:vMerge w:val="restart"/>
            <w:vAlign w:val="center"/>
          </w:tcPr>
          <w:p w14:paraId="140062A7">
            <w:pPr>
              <w:pStyle w:val="357"/>
            </w:pPr>
            <w:r>
              <w:t>（HJ2.2—2018）附录D</w:t>
            </w:r>
          </w:p>
        </w:tc>
      </w:tr>
      <w:tr w14:paraId="479B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18" w:type="pct"/>
            <w:vAlign w:val="center"/>
          </w:tcPr>
          <w:p w14:paraId="4A1B0CFC">
            <w:pPr>
              <w:pStyle w:val="357"/>
            </w:pPr>
            <w:r>
              <w:rPr>
                <w:lang w:eastAsia="en-GB"/>
              </w:rPr>
              <w:t>NH</w:t>
            </w:r>
            <w:r>
              <w:rPr>
                <w:vertAlign w:val="subscript"/>
                <w:lang w:eastAsia="en-GB"/>
              </w:rPr>
              <w:t>3</w:t>
            </w:r>
          </w:p>
        </w:tc>
        <w:tc>
          <w:tcPr>
            <w:tcW w:w="1225" w:type="pct"/>
            <w:vAlign w:val="center"/>
          </w:tcPr>
          <w:p w14:paraId="1177DFA6">
            <w:pPr>
              <w:pStyle w:val="357"/>
            </w:pPr>
            <w:r>
              <w:t>小时平均</w:t>
            </w:r>
          </w:p>
        </w:tc>
        <w:tc>
          <w:tcPr>
            <w:tcW w:w="707" w:type="pct"/>
            <w:vAlign w:val="center"/>
          </w:tcPr>
          <w:p w14:paraId="44F19425">
            <w:pPr>
              <w:pStyle w:val="357"/>
            </w:pPr>
            <w:r>
              <w:t>200</w:t>
            </w:r>
          </w:p>
        </w:tc>
        <w:tc>
          <w:tcPr>
            <w:tcW w:w="708" w:type="pct"/>
            <w:vAlign w:val="center"/>
          </w:tcPr>
          <w:p w14:paraId="08901AAB">
            <w:pPr>
              <w:pStyle w:val="357"/>
            </w:pPr>
            <w:r>
              <w:t>200</w:t>
            </w:r>
          </w:p>
        </w:tc>
        <w:tc>
          <w:tcPr>
            <w:tcW w:w="1542" w:type="pct"/>
            <w:vMerge w:val="continue"/>
            <w:vAlign w:val="center"/>
          </w:tcPr>
          <w:p w14:paraId="79D9A621">
            <w:pPr>
              <w:pStyle w:val="357"/>
            </w:pPr>
          </w:p>
        </w:tc>
      </w:tr>
    </w:tbl>
    <w:p w14:paraId="7E450C92">
      <w:pPr>
        <w:pStyle w:val="12"/>
      </w:pPr>
      <w:r>
        <w:t>2.6.1.2地下水环境质量标准</w:t>
      </w:r>
    </w:p>
    <w:p w14:paraId="71F0E371">
      <w:pPr>
        <w:pStyle w:val="105"/>
        <w:ind w:firstLine="480"/>
      </w:pPr>
      <w:r>
        <w:t>地下水质量标准执行《地下水质量标准》（GB/T14848-2017）Ⅲ类标准。标准见下表。</w:t>
      </w:r>
    </w:p>
    <w:p w14:paraId="655FF360">
      <w:pPr>
        <w:spacing w:line="240" w:lineRule="auto"/>
        <w:ind w:firstLine="482"/>
        <w:jc w:val="center"/>
      </w:pPr>
      <w:r>
        <w:rPr>
          <w:b/>
          <w:bCs/>
        </w:rPr>
        <w:t>表2.6-2</w:t>
      </w:r>
      <w:r>
        <w:t xml:space="preserve">  </w:t>
      </w:r>
      <w:r>
        <w:rPr>
          <w:b/>
          <w:bCs/>
        </w:rPr>
        <w:t>《地下水质量标准》（GB/T14848-2017）Ⅲ类标准</w:t>
      </w:r>
    </w:p>
    <w:tbl>
      <w:tblPr>
        <w:tblStyle w:val="8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567"/>
        <w:gridCol w:w="1140"/>
        <w:gridCol w:w="713"/>
        <w:gridCol w:w="1301"/>
        <w:gridCol w:w="888"/>
        <w:gridCol w:w="629"/>
        <w:gridCol w:w="1306"/>
        <w:gridCol w:w="1171"/>
      </w:tblGrid>
      <w:tr w14:paraId="157D8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572" w:type="dxa"/>
            <w:tcBorders>
              <w:tl2br w:val="nil"/>
              <w:tr2bl w:val="nil"/>
            </w:tcBorders>
            <w:vAlign w:val="center"/>
          </w:tcPr>
          <w:p w14:paraId="66B8DB46">
            <w:pPr>
              <w:tabs>
                <w:tab w:val="left" w:pos="0"/>
              </w:tabs>
              <w:adjustRightInd w:val="0"/>
              <w:snapToGrid w:val="0"/>
              <w:spacing w:line="240" w:lineRule="auto"/>
              <w:ind w:firstLine="0" w:firstLineChars="0"/>
              <w:jc w:val="center"/>
              <w:textAlignment w:val="baseline"/>
              <w:rPr>
                <w:sz w:val="21"/>
                <w:szCs w:val="21"/>
              </w:rPr>
            </w:pPr>
            <w:r>
              <w:rPr>
                <w:sz w:val="21"/>
                <w:szCs w:val="21"/>
              </w:rPr>
              <w:t>序号</w:t>
            </w:r>
          </w:p>
        </w:tc>
        <w:tc>
          <w:tcPr>
            <w:tcW w:w="1567" w:type="dxa"/>
            <w:tcBorders>
              <w:tl2br w:val="nil"/>
              <w:tr2bl w:val="nil"/>
            </w:tcBorders>
            <w:vAlign w:val="center"/>
          </w:tcPr>
          <w:p w14:paraId="6371B43D">
            <w:pPr>
              <w:tabs>
                <w:tab w:val="left" w:pos="0"/>
              </w:tabs>
              <w:adjustRightInd w:val="0"/>
              <w:snapToGrid w:val="0"/>
              <w:spacing w:line="240" w:lineRule="auto"/>
              <w:ind w:firstLine="0" w:firstLineChars="0"/>
              <w:jc w:val="center"/>
              <w:textAlignment w:val="baseline"/>
              <w:rPr>
                <w:sz w:val="21"/>
                <w:szCs w:val="21"/>
              </w:rPr>
            </w:pPr>
            <w:r>
              <w:rPr>
                <w:sz w:val="21"/>
                <w:szCs w:val="21"/>
              </w:rPr>
              <w:t>项目</w:t>
            </w:r>
          </w:p>
        </w:tc>
        <w:tc>
          <w:tcPr>
            <w:tcW w:w="1140" w:type="dxa"/>
            <w:tcBorders>
              <w:tl2br w:val="nil"/>
              <w:tr2bl w:val="nil"/>
            </w:tcBorders>
            <w:vAlign w:val="center"/>
          </w:tcPr>
          <w:p w14:paraId="11094240">
            <w:pPr>
              <w:tabs>
                <w:tab w:val="left" w:pos="0"/>
              </w:tabs>
              <w:adjustRightInd w:val="0"/>
              <w:snapToGrid w:val="0"/>
              <w:spacing w:line="240" w:lineRule="auto"/>
              <w:ind w:firstLine="0" w:firstLineChars="0"/>
              <w:jc w:val="center"/>
              <w:textAlignment w:val="baseline"/>
              <w:rPr>
                <w:sz w:val="21"/>
                <w:szCs w:val="21"/>
              </w:rPr>
            </w:pPr>
            <w:r>
              <w:rPr>
                <w:sz w:val="21"/>
                <w:szCs w:val="21"/>
              </w:rPr>
              <w:t>标准限值mg/L</w:t>
            </w:r>
          </w:p>
        </w:tc>
        <w:tc>
          <w:tcPr>
            <w:tcW w:w="713" w:type="dxa"/>
            <w:tcBorders>
              <w:tl2br w:val="nil"/>
              <w:tr2bl w:val="nil"/>
            </w:tcBorders>
            <w:vAlign w:val="center"/>
          </w:tcPr>
          <w:p w14:paraId="72319804">
            <w:pPr>
              <w:tabs>
                <w:tab w:val="left" w:pos="0"/>
              </w:tabs>
              <w:adjustRightInd w:val="0"/>
              <w:snapToGrid w:val="0"/>
              <w:spacing w:line="240" w:lineRule="auto"/>
              <w:ind w:firstLine="0" w:firstLineChars="0"/>
              <w:jc w:val="center"/>
              <w:textAlignment w:val="baseline"/>
              <w:rPr>
                <w:sz w:val="21"/>
                <w:szCs w:val="21"/>
              </w:rPr>
            </w:pPr>
            <w:r>
              <w:rPr>
                <w:sz w:val="21"/>
                <w:szCs w:val="21"/>
              </w:rPr>
              <w:t>序号</w:t>
            </w:r>
          </w:p>
        </w:tc>
        <w:tc>
          <w:tcPr>
            <w:tcW w:w="1301" w:type="dxa"/>
            <w:tcBorders>
              <w:tl2br w:val="nil"/>
              <w:tr2bl w:val="nil"/>
            </w:tcBorders>
            <w:vAlign w:val="center"/>
          </w:tcPr>
          <w:p w14:paraId="79BA81DF">
            <w:pPr>
              <w:tabs>
                <w:tab w:val="left" w:pos="0"/>
              </w:tabs>
              <w:adjustRightInd w:val="0"/>
              <w:snapToGrid w:val="0"/>
              <w:spacing w:line="240" w:lineRule="auto"/>
              <w:ind w:firstLine="0" w:firstLineChars="0"/>
              <w:jc w:val="center"/>
              <w:textAlignment w:val="baseline"/>
              <w:rPr>
                <w:sz w:val="21"/>
                <w:szCs w:val="21"/>
              </w:rPr>
            </w:pPr>
            <w:r>
              <w:rPr>
                <w:sz w:val="21"/>
                <w:szCs w:val="21"/>
              </w:rPr>
              <w:t>项目</w:t>
            </w:r>
          </w:p>
        </w:tc>
        <w:tc>
          <w:tcPr>
            <w:tcW w:w="888" w:type="dxa"/>
            <w:tcBorders>
              <w:tl2br w:val="nil"/>
              <w:tr2bl w:val="nil"/>
            </w:tcBorders>
            <w:vAlign w:val="center"/>
          </w:tcPr>
          <w:p w14:paraId="13DA42BD">
            <w:pPr>
              <w:tabs>
                <w:tab w:val="left" w:pos="0"/>
              </w:tabs>
              <w:adjustRightInd w:val="0"/>
              <w:snapToGrid w:val="0"/>
              <w:spacing w:line="240" w:lineRule="auto"/>
              <w:ind w:firstLine="0" w:firstLineChars="0"/>
              <w:jc w:val="center"/>
              <w:textAlignment w:val="baseline"/>
              <w:rPr>
                <w:sz w:val="21"/>
                <w:szCs w:val="21"/>
              </w:rPr>
            </w:pPr>
            <w:r>
              <w:rPr>
                <w:sz w:val="21"/>
                <w:szCs w:val="21"/>
              </w:rPr>
              <w:t>标准限值mg/L</w:t>
            </w:r>
          </w:p>
        </w:tc>
        <w:tc>
          <w:tcPr>
            <w:tcW w:w="629" w:type="dxa"/>
            <w:tcBorders>
              <w:tl2br w:val="nil"/>
              <w:tr2bl w:val="nil"/>
            </w:tcBorders>
            <w:vAlign w:val="center"/>
          </w:tcPr>
          <w:p w14:paraId="18543BA7">
            <w:pPr>
              <w:tabs>
                <w:tab w:val="left" w:pos="0"/>
              </w:tabs>
              <w:adjustRightInd w:val="0"/>
              <w:snapToGrid w:val="0"/>
              <w:spacing w:line="240" w:lineRule="auto"/>
              <w:ind w:firstLine="0" w:firstLineChars="0"/>
              <w:jc w:val="center"/>
              <w:textAlignment w:val="baseline"/>
              <w:rPr>
                <w:sz w:val="21"/>
                <w:szCs w:val="21"/>
              </w:rPr>
            </w:pPr>
            <w:r>
              <w:rPr>
                <w:sz w:val="21"/>
                <w:szCs w:val="21"/>
              </w:rPr>
              <w:t>序号</w:t>
            </w:r>
          </w:p>
        </w:tc>
        <w:tc>
          <w:tcPr>
            <w:tcW w:w="1306" w:type="dxa"/>
            <w:tcBorders>
              <w:tl2br w:val="nil"/>
              <w:tr2bl w:val="nil"/>
            </w:tcBorders>
            <w:vAlign w:val="center"/>
          </w:tcPr>
          <w:p w14:paraId="0A29404B">
            <w:pPr>
              <w:tabs>
                <w:tab w:val="left" w:pos="0"/>
              </w:tabs>
              <w:adjustRightInd w:val="0"/>
              <w:snapToGrid w:val="0"/>
              <w:spacing w:line="240" w:lineRule="auto"/>
              <w:ind w:firstLine="0" w:firstLineChars="0"/>
              <w:jc w:val="center"/>
              <w:textAlignment w:val="baseline"/>
              <w:rPr>
                <w:sz w:val="21"/>
                <w:szCs w:val="21"/>
              </w:rPr>
            </w:pPr>
            <w:r>
              <w:rPr>
                <w:sz w:val="21"/>
                <w:szCs w:val="21"/>
              </w:rPr>
              <w:t>项目</w:t>
            </w:r>
          </w:p>
        </w:tc>
        <w:tc>
          <w:tcPr>
            <w:tcW w:w="1171" w:type="dxa"/>
            <w:tcBorders>
              <w:tl2br w:val="nil"/>
              <w:tr2bl w:val="nil"/>
            </w:tcBorders>
            <w:vAlign w:val="center"/>
          </w:tcPr>
          <w:p w14:paraId="32520B96">
            <w:pPr>
              <w:tabs>
                <w:tab w:val="left" w:pos="0"/>
              </w:tabs>
              <w:adjustRightInd w:val="0"/>
              <w:snapToGrid w:val="0"/>
              <w:spacing w:line="240" w:lineRule="auto"/>
              <w:ind w:firstLine="0" w:firstLineChars="0"/>
              <w:jc w:val="center"/>
              <w:textAlignment w:val="baseline"/>
              <w:rPr>
                <w:sz w:val="21"/>
                <w:szCs w:val="21"/>
              </w:rPr>
            </w:pPr>
            <w:r>
              <w:rPr>
                <w:sz w:val="21"/>
                <w:szCs w:val="21"/>
              </w:rPr>
              <w:t>标准限值mg/L</w:t>
            </w:r>
          </w:p>
        </w:tc>
      </w:tr>
      <w:tr w14:paraId="50E24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572" w:type="dxa"/>
            <w:tcBorders>
              <w:tl2br w:val="nil"/>
              <w:tr2bl w:val="nil"/>
            </w:tcBorders>
            <w:vAlign w:val="center"/>
          </w:tcPr>
          <w:p w14:paraId="42B399EB">
            <w:pPr>
              <w:tabs>
                <w:tab w:val="left" w:pos="0"/>
              </w:tabs>
              <w:adjustRightInd w:val="0"/>
              <w:spacing w:line="240" w:lineRule="auto"/>
              <w:ind w:firstLine="0" w:firstLineChars="0"/>
              <w:jc w:val="center"/>
              <w:textAlignment w:val="baseline"/>
              <w:rPr>
                <w:sz w:val="21"/>
                <w:szCs w:val="21"/>
              </w:rPr>
            </w:pPr>
            <w:r>
              <w:rPr>
                <w:sz w:val="21"/>
                <w:szCs w:val="21"/>
              </w:rPr>
              <w:t>1</w:t>
            </w:r>
          </w:p>
        </w:tc>
        <w:tc>
          <w:tcPr>
            <w:tcW w:w="1567" w:type="dxa"/>
            <w:tcBorders>
              <w:tl2br w:val="nil"/>
              <w:tr2bl w:val="nil"/>
            </w:tcBorders>
            <w:vAlign w:val="center"/>
          </w:tcPr>
          <w:p w14:paraId="5E0B160E">
            <w:pPr>
              <w:adjustRightInd w:val="0"/>
              <w:snapToGrid w:val="0"/>
              <w:spacing w:line="240" w:lineRule="auto"/>
              <w:ind w:firstLine="0" w:firstLineChars="0"/>
              <w:jc w:val="center"/>
              <w:rPr>
                <w:sz w:val="21"/>
                <w:szCs w:val="21"/>
              </w:rPr>
            </w:pPr>
            <w:r>
              <w:rPr>
                <w:sz w:val="21"/>
                <w:szCs w:val="21"/>
              </w:rPr>
              <w:t>色（铂钴色度单位）</w:t>
            </w:r>
          </w:p>
        </w:tc>
        <w:tc>
          <w:tcPr>
            <w:tcW w:w="1140" w:type="dxa"/>
            <w:tcBorders>
              <w:tl2br w:val="nil"/>
              <w:tr2bl w:val="nil"/>
            </w:tcBorders>
            <w:vAlign w:val="center"/>
          </w:tcPr>
          <w:p w14:paraId="1C26BD8A">
            <w:pPr>
              <w:adjustRightInd w:val="0"/>
              <w:snapToGrid w:val="0"/>
              <w:spacing w:line="240" w:lineRule="auto"/>
              <w:ind w:firstLine="0" w:firstLineChars="0"/>
              <w:jc w:val="center"/>
              <w:rPr>
                <w:sz w:val="21"/>
                <w:szCs w:val="21"/>
              </w:rPr>
            </w:pPr>
            <w:r>
              <w:rPr>
                <w:sz w:val="21"/>
                <w:szCs w:val="21"/>
              </w:rPr>
              <w:t>≤15</w:t>
            </w:r>
          </w:p>
        </w:tc>
        <w:tc>
          <w:tcPr>
            <w:tcW w:w="713" w:type="dxa"/>
            <w:tcBorders>
              <w:tl2br w:val="nil"/>
              <w:tr2bl w:val="nil"/>
            </w:tcBorders>
            <w:vAlign w:val="center"/>
          </w:tcPr>
          <w:p w14:paraId="64B0CE65">
            <w:pPr>
              <w:tabs>
                <w:tab w:val="left" w:pos="0"/>
              </w:tabs>
              <w:adjustRightInd w:val="0"/>
              <w:snapToGrid w:val="0"/>
              <w:spacing w:line="240" w:lineRule="auto"/>
              <w:ind w:firstLine="0" w:firstLineChars="0"/>
              <w:jc w:val="center"/>
              <w:textAlignment w:val="baseline"/>
              <w:rPr>
                <w:sz w:val="21"/>
                <w:szCs w:val="21"/>
              </w:rPr>
            </w:pPr>
            <w:r>
              <w:rPr>
                <w:sz w:val="21"/>
                <w:szCs w:val="21"/>
              </w:rPr>
              <w:t>17</w:t>
            </w:r>
          </w:p>
        </w:tc>
        <w:tc>
          <w:tcPr>
            <w:tcW w:w="1301" w:type="dxa"/>
            <w:tcBorders>
              <w:tl2br w:val="nil"/>
              <w:tr2bl w:val="nil"/>
            </w:tcBorders>
            <w:vAlign w:val="center"/>
          </w:tcPr>
          <w:p w14:paraId="18A5DB86">
            <w:pPr>
              <w:adjustRightInd w:val="0"/>
              <w:snapToGrid w:val="0"/>
              <w:spacing w:line="240" w:lineRule="auto"/>
              <w:ind w:firstLine="0" w:firstLineChars="0"/>
              <w:jc w:val="center"/>
              <w:rPr>
                <w:sz w:val="21"/>
                <w:szCs w:val="21"/>
              </w:rPr>
            </w:pPr>
            <w:r>
              <w:rPr>
                <w:sz w:val="21"/>
                <w:szCs w:val="21"/>
              </w:rPr>
              <w:t>耗氧量</w:t>
            </w:r>
          </w:p>
        </w:tc>
        <w:tc>
          <w:tcPr>
            <w:tcW w:w="888" w:type="dxa"/>
            <w:tcBorders>
              <w:tl2br w:val="nil"/>
              <w:tr2bl w:val="nil"/>
            </w:tcBorders>
            <w:vAlign w:val="center"/>
          </w:tcPr>
          <w:p w14:paraId="762B8719">
            <w:pPr>
              <w:adjustRightInd w:val="0"/>
              <w:snapToGrid w:val="0"/>
              <w:spacing w:line="240" w:lineRule="auto"/>
              <w:ind w:firstLine="0" w:firstLineChars="0"/>
              <w:jc w:val="center"/>
              <w:rPr>
                <w:sz w:val="21"/>
                <w:szCs w:val="21"/>
              </w:rPr>
            </w:pPr>
            <w:r>
              <w:rPr>
                <w:sz w:val="21"/>
                <w:szCs w:val="21"/>
              </w:rPr>
              <w:t>≤3.0</w:t>
            </w:r>
          </w:p>
        </w:tc>
        <w:tc>
          <w:tcPr>
            <w:tcW w:w="629" w:type="dxa"/>
            <w:tcBorders>
              <w:tl2br w:val="nil"/>
              <w:tr2bl w:val="nil"/>
            </w:tcBorders>
            <w:vAlign w:val="center"/>
          </w:tcPr>
          <w:p w14:paraId="1302D8A1">
            <w:pPr>
              <w:adjustRightInd w:val="0"/>
              <w:snapToGrid w:val="0"/>
              <w:spacing w:line="240" w:lineRule="auto"/>
              <w:ind w:firstLine="0" w:firstLineChars="0"/>
              <w:jc w:val="center"/>
              <w:rPr>
                <w:sz w:val="21"/>
                <w:szCs w:val="21"/>
              </w:rPr>
            </w:pPr>
            <w:r>
              <w:rPr>
                <w:sz w:val="21"/>
                <w:szCs w:val="21"/>
              </w:rPr>
              <w:t>33</w:t>
            </w:r>
          </w:p>
        </w:tc>
        <w:tc>
          <w:tcPr>
            <w:tcW w:w="1306" w:type="dxa"/>
            <w:tcBorders>
              <w:tl2br w:val="nil"/>
              <w:tr2bl w:val="nil"/>
            </w:tcBorders>
            <w:vAlign w:val="center"/>
          </w:tcPr>
          <w:p w14:paraId="033FD3D3">
            <w:pPr>
              <w:adjustRightInd w:val="0"/>
              <w:snapToGrid w:val="0"/>
              <w:spacing w:line="240" w:lineRule="auto"/>
              <w:ind w:firstLine="0" w:firstLineChars="0"/>
              <w:jc w:val="center"/>
              <w:rPr>
                <w:sz w:val="21"/>
                <w:szCs w:val="21"/>
              </w:rPr>
            </w:pPr>
            <w:r>
              <w:rPr>
                <w:sz w:val="21"/>
                <w:szCs w:val="21"/>
              </w:rPr>
              <w:t>铅</w:t>
            </w:r>
          </w:p>
        </w:tc>
        <w:tc>
          <w:tcPr>
            <w:tcW w:w="1171" w:type="dxa"/>
            <w:tcBorders>
              <w:tl2br w:val="nil"/>
              <w:tr2bl w:val="nil"/>
            </w:tcBorders>
            <w:vAlign w:val="center"/>
          </w:tcPr>
          <w:p w14:paraId="1AA3B2BF">
            <w:pPr>
              <w:adjustRightInd w:val="0"/>
              <w:snapToGrid w:val="0"/>
              <w:spacing w:line="240" w:lineRule="auto"/>
              <w:ind w:firstLine="0" w:firstLineChars="0"/>
              <w:jc w:val="center"/>
              <w:rPr>
                <w:sz w:val="21"/>
                <w:szCs w:val="21"/>
              </w:rPr>
            </w:pPr>
            <w:r>
              <w:rPr>
                <w:sz w:val="21"/>
                <w:szCs w:val="21"/>
              </w:rPr>
              <w:t>≤0.01</w:t>
            </w:r>
          </w:p>
        </w:tc>
      </w:tr>
      <w:tr w14:paraId="2842DD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572" w:type="dxa"/>
            <w:tcBorders>
              <w:tl2br w:val="nil"/>
              <w:tr2bl w:val="nil"/>
            </w:tcBorders>
            <w:vAlign w:val="center"/>
          </w:tcPr>
          <w:p w14:paraId="7A3E39DF">
            <w:pPr>
              <w:tabs>
                <w:tab w:val="left" w:pos="0"/>
              </w:tabs>
              <w:adjustRightInd w:val="0"/>
              <w:spacing w:line="240" w:lineRule="auto"/>
              <w:ind w:firstLine="0" w:firstLineChars="0"/>
              <w:jc w:val="center"/>
              <w:textAlignment w:val="baseline"/>
              <w:rPr>
                <w:sz w:val="21"/>
                <w:szCs w:val="21"/>
              </w:rPr>
            </w:pPr>
            <w:r>
              <w:rPr>
                <w:sz w:val="21"/>
                <w:szCs w:val="21"/>
              </w:rPr>
              <w:t>2</w:t>
            </w:r>
          </w:p>
        </w:tc>
        <w:tc>
          <w:tcPr>
            <w:tcW w:w="1567" w:type="dxa"/>
            <w:tcBorders>
              <w:tl2br w:val="nil"/>
              <w:tr2bl w:val="nil"/>
            </w:tcBorders>
            <w:vAlign w:val="center"/>
          </w:tcPr>
          <w:p w14:paraId="360093A8">
            <w:pPr>
              <w:adjustRightInd w:val="0"/>
              <w:snapToGrid w:val="0"/>
              <w:spacing w:line="240" w:lineRule="auto"/>
              <w:ind w:firstLine="0" w:firstLineChars="0"/>
              <w:jc w:val="center"/>
              <w:rPr>
                <w:sz w:val="21"/>
                <w:szCs w:val="21"/>
              </w:rPr>
            </w:pPr>
            <w:r>
              <w:rPr>
                <w:sz w:val="21"/>
                <w:szCs w:val="21"/>
              </w:rPr>
              <w:t>嗅和味</w:t>
            </w:r>
          </w:p>
        </w:tc>
        <w:tc>
          <w:tcPr>
            <w:tcW w:w="1140" w:type="dxa"/>
            <w:tcBorders>
              <w:tl2br w:val="nil"/>
              <w:tr2bl w:val="nil"/>
            </w:tcBorders>
            <w:vAlign w:val="center"/>
          </w:tcPr>
          <w:p w14:paraId="3CD61ACC">
            <w:pPr>
              <w:adjustRightInd w:val="0"/>
              <w:snapToGrid w:val="0"/>
              <w:spacing w:line="240" w:lineRule="auto"/>
              <w:ind w:firstLine="0" w:firstLineChars="0"/>
              <w:jc w:val="center"/>
              <w:rPr>
                <w:sz w:val="21"/>
                <w:szCs w:val="21"/>
              </w:rPr>
            </w:pPr>
            <w:r>
              <w:rPr>
                <w:sz w:val="21"/>
                <w:szCs w:val="21"/>
              </w:rPr>
              <w:t>无</w:t>
            </w:r>
          </w:p>
        </w:tc>
        <w:tc>
          <w:tcPr>
            <w:tcW w:w="713" w:type="dxa"/>
            <w:tcBorders>
              <w:tl2br w:val="nil"/>
              <w:tr2bl w:val="nil"/>
            </w:tcBorders>
            <w:vAlign w:val="center"/>
          </w:tcPr>
          <w:p w14:paraId="49D130BE">
            <w:pPr>
              <w:tabs>
                <w:tab w:val="left" w:pos="0"/>
              </w:tabs>
              <w:adjustRightInd w:val="0"/>
              <w:snapToGrid w:val="0"/>
              <w:spacing w:line="240" w:lineRule="auto"/>
              <w:ind w:firstLine="0" w:firstLineChars="0"/>
              <w:jc w:val="center"/>
              <w:textAlignment w:val="baseline"/>
              <w:rPr>
                <w:sz w:val="21"/>
                <w:szCs w:val="21"/>
              </w:rPr>
            </w:pPr>
            <w:r>
              <w:rPr>
                <w:sz w:val="21"/>
                <w:szCs w:val="21"/>
              </w:rPr>
              <w:t>18</w:t>
            </w:r>
          </w:p>
        </w:tc>
        <w:tc>
          <w:tcPr>
            <w:tcW w:w="1301" w:type="dxa"/>
            <w:tcBorders>
              <w:tl2br w:val="nil"/>
              <w:tr2bl w:val="nil"/>
            </w:tcBorders>
            <w:vAlign w:val="center"/>
          </w:tcPr>
          <w:p w14:paraId="0A325766">
            <w:pPr>
              <w:adjustRightInd w:val="0"/>
              <w:snapToGrid w:val="0"/>
              <w:spacing w:line="240" w:lineRule="auto"/>
              <w:ind w:firstLine="0" w:firstLineChars="0"/>
              <w:jc w:val="center"/>
              <w:rPr>
                <w:sz w:val="21"/>
                <w:szCs w:val="21"/>
              </w:rPr>
            </w:pPr>
            <w:r>
              <w:rPr>
                <w:sz w:val="21"/>
                <w:szCs w:val="21"/>
              </w:rPr>
              <w:t>氨氮</w:t>
            </w:r>
          </w:p>
        </w:tc>
        <w:tc>
          <w:tcPr>
            <w:tcW w:w="888" w:type="dxa"/>
            <w:tcBorders>
              <w:tl2br w:val="nil"/>
              <w:tr2bl w:val="nil"/>
            </w:tcBorders>
            <w:vAlign w:val="center"/>
          </w:tcPr>
          <w:p w14:paraId="0FB73F81">
            <w:pPr>
              <w:adjustRightInd w:val="0"/>
              <w:snapToGrid w:val="0"/>
              <w:spacing w:line="240" w:lineRule="auto"/>
              <w:ind w:firstLine="0" w:firstLineChars="0"/>
              <w:jc w:val="center"/>
              <w:rPr>
                <w:sz w:val="21"/>
                <w:szCs w:val="21"/>
              </w:rPr>
            </w:pPr>
            <w:r>
              <w:rPr>
                <w:sz w:val="21"/>
                <w:szCs w:val="21"/>
              </w:rPr>
              <w:t>≤0.50</w:t>
            </w:r>
          </w:p>
        </w:tc>
        <w:tc>
          <w:tcPr>
            <w:tcW w:w="629" w:type="dxa"/>
            <w:tcBorders>
              <w:tl2br w:val="nil"/>
              <w:tr2bl w:val="nil"/>
            </w:tcBorders>
            <w:vAlign w:val="center"/>
          </w:tcPr>
          <w:p w14:paraId="04B01AE8">
            <w:pPr>
              <w:adjustRightInd w:val="0"/>
              <w:snapToGrid w:val="0"/>
              <w:spacing w:line="240" w:lineRule="auto"/>
              <w:ind w:firstLine="0" w:firstLineChars="0"/>
              <w:jc w:val="center"/>
              <w:rPr>
                <w:sz w:val="21"/>
                <w:szCs w:val="21"/>
              </w:rPr>
            </w:pPr>
            <w:r>
              <w:rPr>
                <w:sz w:val="21"/>
                <w:szCs w:val="21"/>
              </w:rPr>
              <w:t>34</w:t>
            </w:r>
          </w:p>
        </w:tc>
        <w:tc>
          <w:tcPr>
            <w:tcW w:w="1306" w:type="dxa"/>
            <w:tcBorders>
              <w:tl2br w:val="nil"/>
              <w:tr2bl w:val="nil"/>
            </w:tcBorders>
            <w:vAlign w:val="center"/>
          </w:tcPr>
          <w:p w14:paraId="6DC69132">
            <w:pPr>
              <w:adjustRightInd w:val="0"/>
              <w:snapToGrid w:val="0"/>
              <w:spacing w:line="240" w:lineRule="auto"/>
              <w:ind w:firstLine="0" w:firstLineChars="0"/>
              <w:jc w:val="center"/>
              <w:rPr>
                <w:sz w:val="21"/>
                <w:szCs w:val="21"/>
              </w:rPr>
            </w:pPr>
            <w:r>
              <w:rPr>
                <w:sz w:val="21"/>
                <w:szCs w:val="21"/>
              </w:rPr>
              <w:t>三氯甲烷</w:t>
            </w:r>
          </w:p>
        </w:tc>
        <w:tc>
          <w:tcPr>
            <w:tcW w:w="1171" w:type="dxa"/>
            <w:tcBorders>
              <w:tl2br w:val="nil"/>
              <w:tr2bl w:val="nil"/>
            </w:tcBorders>
            <w:vAlign w:val="center"/>
          </w:tcPr>
          <w:p w14:paraId="4780F5D2">
            <w:pPr>
              <w:adjustRightInd w:val="0"/>
              <w:snapToGrid w:val="0"/>
              <w:spacing w:line="240" w:lineRule="auto"/>
              <w:ind w:firstLine="0" w:firstLineChars="0"/>
              <w:jc w:val="center"/>
              <w:rPr>
                <w:sz w:val="21"/>
                <w:szCs w:val="21"/>
              </w:rPr>
            </w:pPr>
            <w:r>
              <w:rPr>
                <w:sz w:val="21"/>
                <w:szCs w:val="21"/>
              </w:rPr>
              <w:t>≤60</w:t>
            </w:r>
          </w:p>
        </w:tc>
      </w:tr>
      <w:tr w14:paraId="313CCC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 w:hRule="atLeast"/>
          <w:jc w:val="center"/>
        </w:trPr>
        <w:tc>
          <w:tcPr>
            <w:tcW w:w="572" w:type="dxa"/>
            <w:tcBorders>
              <w:tl2br w:val="nil"/>
              <w:tr2bl w:val="nil"/>
            </w:tcBorders>
            <w:vAlign w:val="center"/>
          </w:tcPr>
          <w:p w14:paraId="4937716C">
            <w:pPr>
              <w:tabs>
                <w:tab w:val="left" w:pos="0"/>
              </w:tabs>
              <w:adjustRightInd w:val="0"/>
              <w:spacing w:line="240" w:lineRule="auto"/>
              <w:ind w:firstLine="0" w:firstLineChars="0"/>
              <w:jc w:val="center"/>
              <w:textAlignment w:val="baseline"/>
              <w:rPr>
                <w:sz w:val="21"/>
                <w:szCs w:val="21"/>
              </w:rPr>
            </w:pPr>
            <w:r>
              <w:rPr>
                <w:sz w:val="21"/>
                <w:szCs w:val="21"/>
              </w:rPr>
              <w:t>3</w:t>
            </w:r>
          </w:p>
        </w:tc>
        <w:tc>
          <w:tcPr>
            <w:tcW w:w="1567" w:type="dxa"/>
            <w:tcBorders>
              <w:tl2br w:val="nil"/>
              <w:tr2bl w:val="nil"/>
            </w:tcBorders>
            <w:vAlign w:val="center"/>
          </w:tcPr>
          <w:p w14:paraId="7E79952C">
            <w:pPr>
              <w:adjustRightInd w:val="0"/>
              <w:snapToGrid w:val="0"/>
              <w:spacing w:line="240" w:lineRule="auto"/>
              <w:ind w:firstLine="0" w:firstLineChars="0"/>
              <w:jc w:val="center"/>
              <w:rPr>
                <w:sz w:val="21"/>
                <w:szCs w:val="21"/>
              </w:rPr>
            </w:pPr>
            <w:r>
              <w:rPr>
                <w:sz w:val="21"/>
                <w:szCs w:val="21"/>
              </w:rPr>
              <w:t>浑浊度/NTU</w:t>
            </w:r>
          </w:p>
        </w:tc>
        <w:tc>
          <w:tcPr>
            <w:tcW w:w="1140" w:type="dxa"/>
            <w:tcBorders>
              <w:tl2br w:val="nil"/>
              <w:tr2bl w:val="nil"/>
            </w:tcBorders>
            <w:vAlign w:val="center"/>
          </w:tcPr>
          <w:p w14:paraId="5B1A677F">
            <w:pPr>
              <w:adjustRightInd w:val="0"/>
              <w:snapToGrid w:val="0"/>
              <w:spacing w:line="240" w:lineRule="auto"/>
              <w:ind w:firstLine="0" w:firstLineChars="0"/>
              <w:jc w:val="center"/>
              <w:rPr>
                <w:sz w:val="21"/>
                <w:szCs w:val="21"/>
              </w:rPr>
            </w:pPr>
            <w:r>
              <w:rPr>
                <w:sz w:val="21"/>
                <w:szCs w:val="21"/>
              </w:rPr>
              <w:t>≤3</w:t>
            </w:r>
          </w:p>
        </w:tc>
        <w:tc>
          <w:tcPr>
            <w:tcW w:w="713" w:type="dxa"/>
            <w:tcBorders>
              <w:tl2br w:val="nil"/>
              <w:tr2bl w:val="nil"/>
            </w:tcBorders>
            <w:vAlign w:val="center"/>
          </w:tcPr>
          <w:p w14:paraId="6CAE140B">
            <w:pPr>
              <w:adjustRightInd w:val="0"/>
              <w:snapToGrid w:val="0"/>
              <w:spacing w:line="240" w:lineRule="auto"/>
              <w:ind w:firstLine="0" w:firstLineChars="0"/>
              <w:jc w:val="center"/>
              <w:rPr>
                <w:sz w:val="21"/>
                <w:szCs w:val="21"/>
              </w:rPr>
            </w:pPr>
            <w:r>
              <w:rPr>
                <w:sz w:val="21"/>
                <w:szCs w:val="21"/>
              </w:rPr>
              <w:t>19</w:t>
            </w:r>
          </w:p>
        </w:tc>
        <w:tc>
          <w:tcPr>
            <w:tcW w:w="1301" w:type="dxa"/>
            <w:tcBorders>
              <w:tl2br w:val="nil"/>
              <w:tr2bl w:val="nil"/>
            </w:tcBorders>
            <w:vAlign w:val="center"/>
          </w:tcPr>
          <w:p w14:paraId="31E64DA2">
            <w:pPr>
              <w:adjustRightInd w:val="0"/>
              <w:snapToGrid w:val="0"/>
              <w:spacing w:line="240" w:lineRule="auto"/>
              <w:ind w:firstLine="0" w:firstLineChars="0"/>
              <w:jc w:val="center"/>
              <w:rPr>
                <w:sz w:val="21"/>
                <w:szCs w:val="21"/>
              </w:rPr>
            </w:pPr>
            <w:r>
              <w:rPr>
                <w:sz w:val="21"/>
                <w:szCs w:val="21"/>
              </w:rPr>
              <w:t>硫化物</w:t>
            </w:r>
          </w:p>
        </w:tc>
        <w:tc>
          <w:tcPr>
            <w:tcW w:w="888" w:type="dxa"/>
            <w:tcBorders>
              <w:tl2br w:val="nil"/>
              <w:tr2bl w:val="nil"/>
            </w:tcBorders>
            <w:vAlign w:val="center"/>
          </w:tcPr>
          <w:p w14:paraId="1C21259B">
            <w:pPr>
              <w:adjustRightInd w:val="0"/>
              <w:snapToGrid w:val="0"/>
              <w:spacing w:line="240" w:lineRule="auto"/>
              <w:ind w:firstLine="0" w:firstLineChars="0"/>
              <w:jc w:val="center"/>
              <w:rPr>
                <w:sz w:val="21"/>
                <w:szCs w:val="21"/>
              </w:rPr>
            </w:pPr>
            <w:r>
              <w:rPr>
                <w:sz w:val="21"/>
                <w:szCs w:val="21"/>
              </w:rPr>
              <w:t>≤0.02</w:t>
            </w:r>
          </w:p>
        </w:tc>
        <w:tc>
          <w:tcPr>
            <w:tcW w:w="629" w:type="dxa"/>
            <w:tcBorders>
              <w:tl2br w:val="nil"/>
              <w:tr2bl w:val="nil"/>
            </w:tcBorders>
            <w:vAlign w:val="center"/>
          </w:tcPr>
          <w:p w14:paraId="58F6FA58">
            <w:pPr>
              <w:adjustRightInd w:val="0"/>
              <w:snapToGrid w:val="0"/>
              <w:spacing w:line="240" w:lineRule="auto"/>
              <w:ind w:firstLine="0" w:firstLineChars="0"/>
              <w:jc w:val="center"/>
              <w:rPr>
                <w:sz w:val="21"/>
                <w:szCs w:val="21"/>
              </w:rPr>
            </w:pPr>
            <w:r>
              <w:rPr>
                <w:sz w:val="21"/>
                <w:szCs w:val="21"/>
              </w:rPr>
              <w:t>35</w:t>
            </w:r>
          </w:p>
        </w:tc>
        <w:tc>
          <w:tcPr>
            <w:tcW w:w="1306" w:type="dxa"/>
            <w:tcBorders>
              <w:tl2br w:val="nil"/>
              <w:tr2bl w:val="nil"/>
            </w:tcBorders>
            <w:vAlign w:val="center"/>
          </w:tcPr>
          <w:p w14:paraId="4AA0AB45">
            <w:pPr>
              <w:adjustRightInd w:val="0"/>
              <w:snapToGrid w:val="0"/>
              <w:spacing w:line="240" w:lineRule="auto"/>
              <w:ind w:firstLine="0" w:firstLineChars="0"/>
              <w:jc w:val="center"/>
              <w:rPr>
                <w:sz w:val="21"/>
                <w:szCs w:val="21"/>
              </w:rPr>
            </w:pPr>
            <w:r>
              <w:rPr>
                <w:sz w:val="21"/>
                <w:szCs w:val="21"/>
              </w:rPr>
              <w:t>四氯化碳</w:t>
            </w:r>
          </w:p>
        </w:tc>
        <w:tc>
          <w:tcPr>
            <w:tcW w:w="1171" w:type="dxa"/>
            <w:tcBorders>
              <w:tl2br w:val="nil"/>
              <w:tr2bl w:val="nil"/>
            </w:tcBorders>
            <w:vAlign w:val="center"/>
          </w:tcPr>
          <w:p w14:paraId="70D16700">
            <w:pPr>
              <w:adjustRightInd w:val="0"/>
              <w:snapToGrid w:val="0"/>
              <w:spacing w:line="240" w:lineRule="auto"/>
              <w:ind w:firstLine="0" w:firstLineChars="0"/>
              <w:jc w:val="center"/>
              <w:rPr>
                <w:sz w:val="21"/>
                <w:szCs w:val="21"/>
              </w:rPr>
            </w:pPr>
            <w:r>
              <w:rPr>
                <w:sz w:val="21"/>
                <w:szCs w:val="21"/>
              </w:rPr>
              <w:t>≤2.0</w:t>
            </w:r>
          </w:p>
        </w:tc>
      </w:tr>
      <w:tr w14:paraId="52902B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572" w:type="dxa"/>
            <w:tcBorders>
              <w:tl2br w:val="nil"/>
              <w:tr2bl w:val="nil"/>
            </w:tcBorders>
            <w:vAlign w:val="center"/>
          </w:tcPr>
          <w:p w14:paraId="60D8F0D2">
            <w:pPr>
              <w:tabs>
                <w:tab w:val="left" w:pos="0"/>
              </w:tabs>
              <w:adjustRightInd w:val="0"/>
              <w:spacing w:line="240" w:lineRule="auto"/>
              <w:ind w:firstLine="0" w:firstLineChars="0"/>
              <w:jc w:val="center"/>
              <w:textAlignment w:val="baseline"/>
              <w:rPr>
                <w:sz w:val="21"/>
                <w:szCs w:val="21"/>
              </w:rPr>
            </w:pPr>
            <w:r>
              <w:rPr>
                <w:sz w:val="21"/>
                <w:szCs w:val="21"/>
              </w:rPr>
              <w:t>4</w:t>
            </w:r>
          </w:p>
        </w:tc>
        <w:tc>
          <w:tcPr>
            <w:tcW w:w="1567" w:type="dxa"/>
            <w:tcBorders>
              <w:tl2br w:val="nil"/>
              <w:tr2bl w:val="nil"/>
            </w:tcBorders>
            <w:vAlign w:val="center"/>
          </w:tcPr>
          <w:p w14:paraId="39DD28A0">
            <w:pPr>
              <w:adjustRightInd w:val="0"/>
              <w:snapToGrid w:val="0"/>
              <w:spacing w:line="240" w:lineRule="auto"/>
              <w:ind w:firstLine="0" w:firstLineChars="0"/>
              <w:jc w:val="center"/>
              <w:rPr>
                <w:sz w:val="21"/>
                <w:szCs w:val="21"/>
              </w:rPr>
            </w:pPr>
            <w:r>
              <w:rPr>
                <w:sz w:val="21"/>
                <w:szCs w:val="21"/>
              </w:rPr>
              <w:t>肉眼可见物</w:t>
            </w:r>
          </w:p>
        </w:tc>
        <w:tc>
          <w:tcPr>
            <w:tcW w:w="1140" w:type="dxa"/>
            <w:tcBorders>
              <w:tl2br w:val="nil"/>
              <w:tr2bl w:val="nil"/>
            </w:tcBorders>
            <w:vAlign w:val="center"/>
          </w:tcPr>
          <w:p w14:paraId="41ECDCFC">
            <w:pPr>
              <w:adjustRightInd w:val="0"/>
              <w:snapToGrid w:val="0"/>
              <w:spacing w:line="240" w:lineRule="auto"/>
              <w:ind w:firstLine="0" w:firstLineChars="0"/>
              <w:jc w:val="center"/>
              <w:rPr>
                <w:sz w:val="21"/>
                <w:szCs w:val="21"/>
              </w:rPr>
            </w:pPr>
            <w:r>
              <w:rPr>
                <w:sz w:val="21"/>
                <w:szCs w:val="21"/>
              </w:rPr>
              <w:t>无</w:t>
            </w:r>
          </w:p>
        </w:tc>
        <w:tc>
          <w:tcPr>
            <w:tcW w:w="713" w:type="dxa"/>
            <w:tcBorders>
              <w:tl2br w:val="nil"/>
              <w:tr2bl w:val="nil"/>
            </w:tcBorders>
            <w:vAlign w:val="center"/>
          </w:tcPr>
          <w:p w14:paraId="0D734226">
            <w:pPr>
              <w:adjustRightInd w:val="0"/>
              <w:snapToGrid w:val="0"/>
              <w:spacing w:line="240" w:lineRule="auto"/>
              <w:ind w:firstLine="0" w:firstLineChars="0"/>
              <w:jc w:val="center"/>
              <w:rPr>
                <w:sz w:val="21"/>
                <w:szCs w:val="21"/>
              </w:rPr>
            </w:pPr>
            <w:r>
              <w:rPr>
                <w:sz w:val="21"/>
                <w:szCs w:val="21"/>
              </w:rPr>
              <w:t>20</w:t>
            </w:r>
          </w:p>
        </w:tc>
        <w:tc>
          <w:tcPr>
            <w:tcW w:w="1301" w:type="dxa"/>
            <w:tcBorders>
              <w:tl2br w:val="nil"/>
              <w:tr2bl w:val="nil"/>
            </w:tcBorders>
            <w:vAlign w:val="center"/>
          </w:tcPr>
          <w:p w14:paraId="40EB13EF">
            <w:pPr>
              <w:adjustRightInd w:val="0"/>
              <w:snapToGrid w:val="0"/>
              <w:spacing w:line="240" w:lineRule="auto"/>
              <w:ind w:firstLine="0" w:firstLineChars="0"/>
              <w:jc w:val="center"/>
              <w:rPr>
                <w:sz w:val="21"/>
                <w:szCs w:val="21"/>
              </w:rPr>
            </w:pPr>
            <w:r>
              <w:rPr>
                <w:sz w:val="21"/>
                <w:szCs w:val="21"/>
              </w:rPr>
              <w:t>钠</w:t>
            </w:r>
          </w:p>
        </w:tc>
        <w:tc>
          <w:tcPr>
            <w:tcW w:w="888" w:type="dxa"/>
            <w:tcBorders>
              <w:tl2br w:val="nil"/>
              <w:tr2bl w:val="nil"/>
            </w:tcBorders>
            <w:vAlign w:val="center"/>
          </w:tcPr>
          <w:p w14:paraId="66C68E35">
            <w:pPr>
              <w:adjustRightInd w:val="0"/>
              <w:snapToGrid w:val="0"/>
              <w:spacing w:line="240" w:lineRule="auto"/>
              <w:ind w:firstLine="0" w:firstLineChars="0"/>
              <w:jc w:val="center"/>
              <w:rPr>
                <w:sz w:val="21"/>
                <w:szCs w:val="21"/>
              </w:rPr>
            </w:pPr>
            <w:r>
              <w:rPr>
                <w:sz w:val="21"/>
                <w:szCs w:val="21"/>
              </w:rPr>
              <w:t>≤200</w:t>
            </w:r>
          </w:p>
        </w:tc>
        <w:tc>
          <w:tcPr>
            <w:tcW w:w="629" w:type="dxa"/>
            <w:tcBorders>
              <w:tl2br w:val="nil"/>
              <w:tr2bl w:val="nil"/>
            </w:tcBorders>
            <w:vAlign w:val="center"/>
          </w:tcPr>
          <w:p w14:paraId="5E1E02CE">
            <w:pPr>
              <w:adjustRightInd w:val="0"/>
              <w:snapToGrid w:val="0"/>
              <w:spacing w:line="240" w:lineRule="auto"/>
              <w:ind w:firstLine="0" w:firstLineChars="0"/>
              <w:jc w:val="center"/>
              <w:rPr>
                <w:sz w:val="21"/>
                <w:szCs w:val="21"/>
              </w:rPr>
            </w:pPr>
            <w:r>
              <w:rPr>
                <w:sz w:val="21"/>
                <w:szCs w:val="21"/>
              </w:rPr>
              <w:t>36</w:t>
            </w:r>
          </w:p>
        </w:tc>
        <w:tc>
          <w:tcPr>
            <w:tcW w:w="1306" w:type="dxa"/>
            <w:tcBorders>
              <w:tl2br w:val="nil"/>
              <w:tr2bl w:val="nil"/>
            </w:tcBorders>
            <w:vAlign w:val="center"/>
          </w:tcPr>
          <w:p w14:paraId="303B32AE">
            <w:pPr>
              <w:adjustRightInd w:val="0"/>
              <w:snapToGrid w:val="0"/>
              <w:spacing w:line="240" w:lineRule="auto"/>
              <w:ind w:firstLine="0" w:firstLineChars="0"/>
              <w:jc w:val="center"/>
              <w:rPr>
                <w:sz w:val="21"/>
                <w:szCs w:val="21"/>
              </w:rPr>
            </w:pPr>
            <w:r>
              <w:rPr>
                <w:sz w:val="21"/>
                <w:szCs w:val="21"/>
              </w:rPr>
              <w:t>苯</w:t>
            </w:r>
          </w:p>
        </w:tc>
        <w:tc>
          <w:tcPr>
            <w:tcW w:w="1171" w:type="dxa"/>
            <w:tcBorders>
              <w:tl2br w:val="nil"/>
              <w:tr2bl w:val="nil"/>
            </w:tcBorders>
            <w:vAlign w:val="center"/>
          </w:tcPr>
          <w:p w14:paraId="29707BF3">
            <w:pPr>
              <w:adjustRightInd w:val="0"/>
              <w:snapToGrid w:val="0"/>
              <w:spacing w:line="240" w:lineRule="auto"/>
              <w:ind w:firstLine="0" w:firstLineChars="0"/>
              <w:jc w:val="center"/>
              <w:rPr>
                <w:sz w:val="21"/>
                <w:szCs w:val="21"/>
              </w:rPr>
            </w:pPr>
            <w:r>
              <w:rPr>
                <w:sz w:val="21"/>
                <w:szCs w:val="21"/>
              </w:rPr>
              <w:t>≤10</w:t>
            </w:r>
          </w:p>
        </w:tc>
      </w:tr>
      <w:tr w14:paraId="63983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572" w:type="dxa"/>
            <w:tcBorders>
              <w:tl2br w:val="nil"/>
              <w:tr2bl w:val="nil"/>
            </w:tcBorders>
            <w:vAlign w:val="center"/>
          </w:tcPr>
          <w:p w14:paraId="3C95829D">
            <w:pPr>
              <w:tabs>
                <w:tab w:val="left" w:pos="0"/>
              </w:tabs>
              <w:adjustRightInd w:val="0"/>
              <w:spacing w:line="240" w:lineRule="auto"/>
              <w:ind w:firstLine="0" w:firstLineChars="0"/>
              <w:jc w:val="center"/>
              <w:textAlignment w:val="baseline"/>
              <w:rPr>
                <w:sz w:val="21"/>
                <w:szCs w:val="21"/>
              </w:rPr>
            </w:pPr>
            <w:r>
              <w:rPr>
                <w:sz w:val="21"/>
                <w:szCs w:val="21"/>
              </w:rPr>
              <w:t>5</w:t>
            </w:r>
          </w:p>
        </w:tc>
        <w:tc>
          <w:tcPr>
            <w:tcW w:w="1567" w:type="dxa"/>
            <w:tcBorders>
              <w:tl2br w:val="nil"/>
              <w:tr2bl w:val="nil"/>
            </w:tcBorders>
            <w:vAlign w:val="center"/>
          </w:tcPr>
          <w:p w14:paraId="7F659283">
            <w:pPr>
              <w:adjustRightInd w:val="0"/>
              <w:snapToGrid w:val="0"/>
              <w:spacing w:line="240" w:lineRule="auto"/>
              <w:ind w:firstLine="0" w:firstLineChars="0"/>
              <w:jc w:val="center"/>
              <w:rPr>
                <w:sz w:val="21"/>
                <w:szCs w:val="21"/>
              </w:rPr>
            </w:pPr>
            <w:r>
              <w:rPr>
                <w:sz w:val="21"/>
                <w:szCs w:val="21"/>
              </w:rPr>
              <w:t>pH（无量纲）</w:t>
            </w:r>
          </w:p>
        </w:tc>
        <w:tc>
          <w:tcPr>
            <w:tcW w:w="1140" w:type="dxa"/>
            <w:tcBorders>
              <w:tl2br w:val="nil"/>
              <w:tr2bl w:val="nil"/>
            </w:tcBorders>
            <w:vAlign w:val="center"/>
          </w:tcPr>
          <w:p w14:paraId="2AFA5FD1">
            <w:pPr>
              <w:adjustRightInd w:val="0"/>
              <w:snapToGrid w:val="0"/>
              <w:spacing w:line="240" w:lineRule="auto"/>
              <w:ind w:firstLine="0" w:firstLineChars="0"/>
              <w:jc w:val="center"/>
              <w:rPr>
                <w:sz w:val="21"/>
                <w:szCs w:val="21"/>
              </w:rPr>
            </w:pPr>
            <w:r>
              <w:rPr>
                <w:sz w:val="21"/>
                <w:szCs w:val="21"/>
              </w:rPr>
              <w:t>6.5～8.5</w:t>
            </w:r>
          </w:p>
        </w:tc>
        <w:tc>
          <w:tcPr>
            <w:tcW w:w="713" w:type="dxa"/>
            <w:tcBorders>
              <w:tl2br w:val="nil"/>
              <w:tr2bl w:val="nil"/>
            </w:tcBorders>
            <w:vAlign w:val="center"/>
          </w:tcPr>
          <w:p w14:paraId="5AFE220E">
            <w:pPr>
              <w:adjustRightInd w:val="0"/>
              <w:snapToGrid w:val="0"/>
              <w:spacing w:line="240" w:lineRule="auto"/>
              <w:ind w:firstLine="0" w:firstLineChars="0"/>
              <w:jc w:val="center"/>
              <w:rPr>
                <w:sz w:val="21"/>
                <w:szCs w:val="21"/>
              </w:rPr>
            </w:pPr>
            <w:r>
              <w:rPr>
                <w:sz w:val="21"/>
                <w:szCs w:val="21"/>
              </w:rPr>
              <w:t>21</w:t>
            </w:r>
          </w:p>
        </w:tc>
        <w:tc>
          <w:tcPr>
            <w:tcW w:w="1301" w:type="dxa"/>
            <w:tcBorders>
              <w:tl2br w:val="nil"/>
              <w:tr2bl w:val="nil"/>
            </w:tcBorders>
            <w:vAlign w:val="center"/>
          </w:tcPr>
          <w:p w14:paraId="69EEC549">
            <w:pPr>
              <w:adjustRightInd w:val="0"/>
              <w:snapToGrid w:val="0"/>
              <w:spacing w:line="240" w:lineRule="auto"/>
              <w:ind w:firstLine="0" w:firstLineChars="0"/>
              <w:jc w:val="center"/>
              <w:rPr>
                <w:sz w:val="21"/>
                <w:szCs w:val="21"/>
              </w:rPr>
            </w:pPr>
            <w:r>
              <w:rPr>
                <w:sz w:val="21"/>
                <w:szCs w:val="21"/>
              </w:rPr>
              <w:t>总大肠菌群</w:t>
            </w:r>
          </w:p>
        </w:tc>
        <w:tc>
          <w:tcPr>
            <w:tcW w:w="888" w:type="dxa"/>
            <w:tcBorders>
              <w:tl2br w:val="nil"/>
              <w:tr2bl w:val="nil"/>
            </w:tcBorders>
            <w:vAlign w:val="center"/>
          </w:tcPr>
          <w:p w14:paraId="7D4C878C">
            <w:pPr>
              <w:adjustRightInd w:val="0"/>
              <w:snapToGrid w:val="0"/>
              <w:spacing w:line="240" w:lineRule="auto"/>
              <w:ind w:firstLine="0" w:firstLineChars="0"/>
              <w:jc w:val="center"/>
              <w:rPr>
                <w:sz w:val="21"/>
                <w:szCs w:val="21"/>
              </w:rPr>
            </w:pPr>
            <w:r>
              <w:rPr>
                <w:sz w:val="21"/>
                <w:szCs w:val="21"/>
              </w:rPr>
              <w:t>≤3.0</w:t>
            </w:r>
          </w:p>
        </w:tc>
        <w:tc>
          <w:tcPr>
            <w:tcW w:w="629" w:type="dxa"/>
            <w:tcBorders>
              <w:tl2br w:val="nil"/>
              <w:tr2bl w:val="nil"/>
            </w:tcBorders>
            <w:vAlign w:val="center"/>
          </w:tcPr>
          <w:p w14:paraId="113BE144">
            <w:pPr>
              <w:adjustRightInd w:val="0"/>
              <w:snapToGrid w:val="0"/>
              <w:spacing w:line="240" w:lineRule="auto"/>
              <w:ind w:firstLine="0" w:firstLineChars="0"/>
              <w:jc w:val="center"/>
              <w:rPr>
                <w:sz w:val="21"/>
                <w:szCs w:val="21"/>
              </w:rPr>
            </w:pPr>
            <w:r>
              <w:rPr>
                <w:sz w:val="21"/>
                <w:szCs w:val="21"/>
              </w:rPr>
              <w:t>37</w:t>
            </w:r>
          </w:p>
        </w:tc>
        <w:tc>
          <w:tcPr>
            <w:tcW w:w="1306" w:type="dxa"/>
            <w:tcBorders>
              <w:tl2br w:val="nil"/>
              <w:tr2bl w:val="nil"/>
            </w:tcBorders>
            <w:vAlign w:val="center"/>
          </w:tcPr>
          <w:p w14:paraId="180BC7E2">
            <w:pPr>
              <w:adjustRightInd w:val="0"/>
              <w:snapToGrid w:val="0"/>
              <w:spacing w:line="240" w:lineRule="auto"/>
              <w:ind w:firstLine="0" w:firstLineChars="0"/>
              <w:jc w:val="center"/>
              <w:rPr>
                <w:sz w:val="21"/>
                <w:szCs w:val="21"/>
              </w:rPr>
            </w:pPr>
            <w:r>
              <w:rPr>
                <w:sz w:val="21"/>
                <w:szCs w:val="21"/>
              </w:rPr>
              <w:t>甲苯</w:t>
            </w:r>
          </w:p>
        </w:tc>
        <w:tc>
          <w:tcPr>
            <w:tcW w:w="1171" w:type="dxa"/>
            <w:tcBorders>
              <w:tl2br w:val="nil"/>
              <w:tr2bl w:val="nil"/>
            </w:tcBorders>
            <w:vAlign w:val="center"/>
          </w:tcPr>
          <w:p w14:paraId="3743A50F">
            <w:pPr>
              <w:adjustRightInd w:val="0"/>
              <w:snapToGrid w:val="0"/>
              <w:spacing w:line="240" w:lineRule="auto"/>
              <w:ind w:firstLine="0" w:firstLineChars="0"/>
              <w:jc w:val="center"/>
              <w:rPr>
                <w:sz w:val="21"/>
                <w:szCs w:val="21"/>
              </w:rPr>
            </w:pPr>
            <w:r>
              <w:rPr>
                <w:sz w:val="21"/>
                <w:szCs w:val="21"/>
              </w:rPr>
              <w:t>≤700</w:t>
            </w:r>
          </w:p>
        </w:tc>
      </w:tr>
      <w:tr w14:paraId="0C68B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572" w:type="dxa"/>
            <w:tcBorders>
              <w:tl2br w:val="nil"/>
              <w:tr2bl w:val="nil"/>
            </w:tcBorders>
            <w:vAlign w:val="center"/>
          </w:tcPr>
          <w:p w14:paraId="1A4BAAC4">
            <w:pPr>
              <w:tabs>
                <w:tab w:val="left" w:pos="0"/>
              </w:tabs>
              <w:adjustRightInd w:val="0"/>
              <w:spacing w:line="240" w:lineRule="auto"/>
              <w:ind w:firstLine="0" w:firstLineChars="0"/>
              <w:jc w:val="center"/>
              <w:textAlignment w:val="baseline"/>
              <w:rPr>
                <w:sz w:val="21"/>
                <w:szCs w:val="21"/>
              </w:rPr>
            </w:pPr>
            <w:r>
              <w:rPr>
                <w:sz w:val="21"/>
                <w:szCs w:val="21"/>
              </w:rPr>
              <w:t>6</w:t>
            </w:r>
          </w:p>
        </w:tc>
        <w:tc>
          <w:tcPr>
            <w:tcW w:w="1567" w:type="dxa"/>
            <w:tcBorders>
              <w:tl2br w:val="nil"/>
              <w:tr2bl w:val="nil"/>
            </w:tcBorders>
            <w:vAlign w:val="center"/>
          </w:tcPr>
          <w:p w14:paraId="033E7B58">
            <w:pPr>
              <w:adjustRightInd w:val="0"/>
              <w:snapToGrid w:val="0"/>
              <w:spacing w:line="240" w:lineRule="auto"/>
              <w:ind w:firstLine="0" w:firstLineChars="0"/>
              <w:jc w:val="center"/>
              <w:rPr>
                <w:sz w:val="21"/>
                <w:szCs w:val="21"/>
              </w:rPr>
            </w:pPr>
            <w:r>
              <w:rPr>
                <w:sz w:val="21"/>
                <w:szCs w:val="21"/>
              </w:rPr>
              <w:t>总硬度</w:t>
            </w:r>
          </w:p>
        </w:tc>
        <w:tc>
          <w:tcPr>
            <w:tcW w:w="1140" w:type="dxa"/>
            <w:tcBorders>
              <w:tl2br w:val="nil"/>
              <w:tr2bl w:val="nil"/>
            </w:tcBorders>
            <w:vAlign w:val="center"/>
          </w:tcPr>
          <w:p w14:paraId="5BA24C7F">
            <w:pPr>
              <w:adjustRightInd w:val="0"/>
              <w:snapToGrid w:val="0"/>
              <w:spacing w:line="240" w:lineRule="auto"/>
              <w:ind w:firstLine="0" w:firstLineChars="0"/>
              <w:jc w:val="center"/>
              <w:rPr>
                <w:sz w:val="21"/>
                <w:szCs w:val="21"/>
              </w:rPr>
            </w:pPr>
            <w:r>
              <w:rPr>
                <w:sz w:val="21"/>
                <w:szCs w:val="21"/>
              </w:rPr>
              <w:t>≤450</w:t>
            </w:r>
          </w:p>
        </w:tc>
        <w:tc>
          <w:tcPr>
            <w:tcW w:w="713" w:type="dxa"/>
            <w:tcBorders>
              <w:tl2br w:val="nil"/>
              <w:tr2bl w:val="nil"/>
            </w:tcBorders>
            <w:vAlign w:val="center"/>
          </w:tcPr>
          <w:p w14:paraId="5CD6BDD2">
            <w:pPr>
              <w:adjustRightInd w:val="0"/>
              <w:snapToGrid w:val="0"/>
              <w:spacing w:line="240" w:lineRule="auto"/>
              <w:ind w:firstLine="0" w:firstLineChars="0"/>
              <w:jc w:val="center"/>
              <w:rPr>
                <w:sz w:val="21"/>
                <w:szCs w:val="21"/>
              </w:rPr>
            </w:pPr>
            <w:r>
              <w:rPr>
                <w:sz w:val="21"/>
                <w:szCs w:val="21"/>
              </w:rPr>
              <w:t>22</w:t>
            </w:r>
          </w:p>
        </w:tc>
        <w:tc>
          <w:tcPr>
            <w:tcW w:w="1301" w:type="dxa"/>
            <w:tcBorders>
              <w:tl2br w:val="nil"/>
              <w:tr2bl w:val="nil"/>
            </w:tcBorders>
            <w:vAlign w:val="center"/>
          </w:tcPr>
          <w:p w14:paraId="58E5F2CB">
            <w:pPr>
              <w:adjustRightInd w:val="0"/>
              <w:snapToGrid w:val="0"/>
              <w:spacing w:line="240" w:lineRule="auto"/>
              <w:ind w:firstLine="0" w:firstLineChars="0"/>
              <w:jc w:val="center"/>
              <w:rPr>
                <w:sz w:val="21"/>
                <w:szCs w:val="21"/>
              </w:rPr>
            </w:pPr>
            <w:r>
              <w:rPr>
                <w:sz w:val="21"/>
                <w:szCs w:val="21"/>
              </w:rPr>
              <w:t>菌落总数</w:t>
            </w:r>
          </w:p>
        </w:tc>
        <w:tc>
          <w:tcPr>
            <w:tcW w:w="888" w:type="dxa"/>
            <w:tcBorders>
              <w:tl2br w:val="nil"/>
              <w:tr2bl w:val="nil"/>
            </w:tcBorders>
            <w:vAlign w:val="center"/>
          </w:tcPr>
          <w:p w14:paraId="26814F66">
            <w:pPr>
              <w:adjustRightInd w:val="0"/>
              <w:snapToGrid w:val="0"/>
              <w:spacing w:line="240" w:lineRule="auto"/>
              <w:ind w:firstLine="0" w:firstLineChars="0"/>
              <w:jc w:val="center"/>
              <w:rPr>
                <w:sz w:val="21"/>
                <w:szCs w:val="21"/>
              </w:rPr>
            </w:pPr>
            <w:r>
              <w:rPr>
                <w:sz w:val="21"/>
                <w:szCs w:val="21"/>
              </w:rPr>
              <w:t>≤100</w:t>
            </w:r>
          </w:p>
        </w:tc>
        <w:tc>
          <w:tcPr>
            <w:tcW w:w="629" w:type="dxa"/>
            <w:tcBorders>
              <w:tl2br w:val="nil"/>
              <w:tr2bl w:val="nil"/>
            </w:tcBorders>
            <w:vAlign w:val="center"/>
          </w:tcPr>
          <w:p w14:paraId="129E3D83">
            <w:pPr>
              <w:adjustRightInd w:val="0"/>
              <w:snapToGrid w:val="0"/>
              <w:spacing w:line="240" w:lineRule="auto"/>
              <w:ind w:firstLine="0" w:firstLineChars="0"/>
              <w:jc w:val="center"/>
              <w:rPr>
                <w:sz w:val="21"/>
                <w:szCs w:val="21"/>
              </w:rPr>
            </w:pPr>
            <w:r>
              <w:rPr>
                <w:sz w:val="21"/>
                <w:szCs w:val="21"/>
              </w:rPr>
              <w:t>38</w:t>
            </w:r>
          </w:p>
        </w:tc>
        <w:tc>
          <w:tcPr>
            <w:tcW w:w="1306" w:type="dxa"/>
            <w:tcBorders>
              <w:tl2br w:val="nil"/>
              <w:tr2bl w:val="nil"/>
            </w:tcBorders>
            <w:vAlign w:val="center"/>
          </w:tcPr>
          <w:p w14:paraId="1A97862C">
            <w:pPr>
              <w:adjustRightInd w:val="0"/>
              <w:snapToGrid w:val="0"/>
              <w:spacing w:line="240" w:lineRule="auto"/>
              <w:ind w:firstLine="0" w:firstLineChars="0"/>
              <w:jc w:val="center"/>
              <w:rPr>
                <w:sz w:val="21"/>
                <w:szCs w:val="21"/>
              </w:rPr>
            </w:pPr>
            <w:r>
              <w:rPr>
                <w:sz w:val="21"/>
                <w:szCs w:val="21"/>
              </w:rPr>
              <w:t>总α放射性</w:t>
            </w:r>
          </w:p>
        </w:tc>
        <w:tc>
          <w:tcPr>
            <w:tcW w:w="1171" w:type="dxa"/>
            <w:tcBorders>
              <w:tl2br w:val="nil"/>
              <w:tr2bl w:val="nil"/>
            </w:tcBorders>
            <w:vAlign w:val="center"/>
          </w:tcPr>
          <w:p w14:paraId="55B95129">
            <w:pPr>
              <w:adjustRightInd w:val="0"/>
              <w:snapToGrid w:val="0"/>
              <w:spacing w:line="240" w:lineRule="auto"/>
              <w:ind w:firstLine="0" w:firstLineChars="0"/>
              <w:jc w:val="center"/>
              <w:rPr>
                <w:sz w:val="21"/>
                <w:szCs w:val="21"/>
              </w:rPr>
            </w:pPr>
            <w:r>
              <w:rPr>
                <w:sz w:val="21"/>
                <w:szCs w:val="21"/>
              </w:rPr>
              <w:t>≤0.5</w:t>
            </w:r>
          </w:p>
        </w:tc>
      </w:tr>
      <w:tr w14:paraId="5B96E5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572" w:type="dxa"/>
            <w:tcBorders>
              <w:tl2br w:val="nil"/>
              <w:tr2bl w:val="nil"/>
            </w:tcBorders>
            <w:vAlign w:val="center"/>
          </w:tcPr>
          <w:p w14:paraId="423F6F82">
            <w:pPr>
              <w:tabs>
                <w:tab w:val="left" w:pos="0"/>
              </w:tabs>
              <w:adjustRightInd w:val="0"/>
              <w:spacing w:line="240" w:lineRule="auto"/>
              <w:ind w:firstLine="0" w:firstLineChars="0"/>
              <w:jc w:val="center"/>
              <w:textAlignment w:val="baseline"/>
              <w:rPr>
                <w:sz w:val="21"/>
                <w:szCs w:val="21"/>
              </w:rPr>
            </w:pPr>
            <w:r>
              <w:rPr>
                <w:sz w:val="21"/>
                <w:szCs w:val="21"/>
              </w:rPr>
              <w:t>7</w:t>
            </w:r>
          </w:p>
        </w:tc>
        <w:tc>
          <w:tcPr>
            <w:tcW w:w="1567" w:type="dxa"/>
            <w:tcBorders>
              <w:tl2br w:val="nil"/>
              <w:tr2bl w:val="nil"/>
            </w:tcBorders>
            <w:vAlign w:val="center"/>
          </w:tcPr>
          <w:p w14:paraId="7D1311FF">
            <w:pPr>
              <w:adjustRightInd w:val="0"/>
              <w:snapToGrid w:val="0"/>
              <w:spacing w:line="240" w:lineRule="auto"/>
              <w:ind w:firstLine="0" w:firstLineChars="0"/>
              <w:jc w:val="center"/>
              <w:rPr>
                <w:sz w:val="21"/>
                <w:szCs w:val="21"/>
              </w:rPr>
            </w:pPr>
            <w:r>
              <w:rPr>
                <w:sz w:val="21"/>
                <w:szCs w:val="21"/>
              </w:rPr>
              <w:t>溶解性总固体</w:t>
            </w:r>
          </w:p>
        </w:tc>
        <w:tc>
          <w:tcPr>
            <w:tcW w:w="1140" w:type="dxa"/>
            <w:tcBorders>
              <w:tl2br w:val="nil"/>
              <w:tr2bl w:val="nil"/>
            </w:tcBorders>
            <w:vAlign w:val="center"/>
          </w:tcPr>
          <w:p w14:paraId="3A29AEF6">
            <w:pPr>
              <w:adjustRightInd w:val="0"/>
              <w:snapToGrid w:val="0"/>
              <w:spacing w:line="240" w:lineRule="auto"/>
              <w:ind w:firstLine="0" w:firstLineChars="0"/>
              <w:jc w:val="center"/>
              <w:rPr>
                <w:sz w:val="21"/>
                <w:szCs w:val="21"/>
              </w:rPr>
            </w:pPr>
            <w:r>
              <w:rPr>
                <w:sz w:val="21"/>
                <w:szCs w:val="21"/>
              </w:rPr>
              <w:t>≤1000</w:t>
            </w:r>
          </w:p>
        </w:tc>
        <w:tc>
          <w:tcPr>
            <w:tcW w:w="713" w:type="dxa"/>
            <w:tcBorders>
              <w:tl2br w:val="nil"/>
              <w:tr2bl w:val="nil"/>
            </w:tcBorders>
            <w:vAlign w:val="center"/>
          </w:tcPr>
          <w:p w14:paraId="4F169369">
            <w:pPr>
              <w:adjustRightInd w:val="0"/>
              <w:snapToGrid w:val="0"/>
              <w:spacing w:line="240" w:lineRule="auto"/>
              <w:ind w:firstLine="0" w:firstLineChars="0"/>
              <w:jc w:val="center"/>
              <w:rPr>
                <w:sz w:val="21"/>
                <w:szCs w:val="21"/>
              </w:rPr>
            </w:pPr>
            <w:r>
              <w:rPr>
                <w:sz w:val="21"/>
                <w:szCs w:val="21"/>
              </w:rPr>
              <w:t>23</w:t>
            </w:r>
          </w:p>
        </w:tc>
        <w:tc>
          <w:tcPr>
            <w:tcW w:w="1301" w:type="dxa"/>
            <w:tcBorders>
              <w:tl2br w:val="nil"/>
              <w:tr2bl w:val="nil"/>
            </w:tcBorders>
            <w:vAlign w:val="center"/>
          </w:tcPr>
          <w:p w14:paraId="79EC4026">
            <w:pPr>
              <w:adjustRightInd w:val="0"/>
              <w:snapToGrid w:val="0"/>
              <w:spacing w:line="240" w:lineRule="auto"/>
              <w:ind w:firstLine="0" w:firstLineChars="0"/>
              <w:jc w:val="center"/>
              <w:rPr>
                <w:sz w:val="21"/>
                <w:szCs w:val="21"/>
              </w:rPr>
            </w:pPr>
            <w:r>
              <w:rPr>
                <w:sz w:val="21"/>
                <w:szCs w:val="21"/>
              </w:rPr>
              <w:t>亚硝酸盐</w:t>
            </w:r>
          </w:p>
        </w:tc>
        <w:tc>
          <w:tcPr>
            <w:tcW w:w="888" w:type="dxa"/>
            <w:tcBorders>
              <w:tl2br w:val="nil"/>
              <w:tr2bl w:val="nil"/>
            </w:tcBorders>
            <w:vAlign w:val="center"/>
          </w:tcPr>
          <w:p w14:paraId="254ED470">
            <w:pPr>
              <w:adjustRightInd w:val="0"/>
              <w:snapToGrid w:val="0"/>
              <w:spacing w:line="240" w:lineRule="auto"/>
              <w:ind w:firstLine="0" w:firstLineChars="0"/>
              <w:jc w:val="center"/>
              <w:rPr>
                <w:sz w:val="21"/>
                <w:szCs w:val="21"/>
              </w:rPr>
            </w:pPr>
            <w:r>
              <w:rPr>
                <w:sz w:val="21"/>
                <w:szCs w:val="21"/>
              </w:rPr>
              <w:t>≤1.00</w:t>
            </w:r>
          </w:p>
        </w:tc>
        <w:tc>
          <w:tcPr>
            <w:tcW w:w="629" w:type="dxa"/>
            <w:tcBorders>
              <w:tl2br w:val="nil"/>
              <w:tr2bl w:val="nil"/>
            </w:tcBorders>
            <w:vAlign w:val="center"/>
          </w:tcPr>
          <w:p w14:paraId="37F8CB59">
            <w:pPr>
              <w:adjustRightInd w:val="0"/>
              <w:snapToGrid w:val="0"/>
              <w:spacing w:line="240" w:lineRule="auto"/>
              <w:ind w:firstLine="0" w:firstLineChars="0"/>
              <w:jc w:val="center"/>
              <w:rPr>
                <w:sz w:val="21"/>
                <w:szCs w:val="21"/>
              </w:rPr>
            </w:pPr>
            <w:r>
              <w:rPr>
                <w:sz w:val="21"/>
                <w:szCs w:val="21"/>
              </w:rPr>
              <w:t>39</w:t>
            </w:r>
          </w:p>
        </w:tc>
        <w:tc>
          <w:tcPr>
            <w:tcW w:w="1306" w:type="dxa"/>
            <w:tcBorders>
              <w:tl2br w:val="nil"/>
              <w:tr2bl w:val="nil"/>
            </w:tcBorders>
            <w:vAlign w:val="center"/>
          </w:tcPr>
          <w:p w14:paraId="1B321CE8">
            <w:pPr>
              <w:adjustRightInd w:val="0"/>
              <w:snapToGrid w:val="0"/>
              <w:spacing w:line="240" w:lineRule="auto"/>
              <w:ind w:firstLine="0" w:firstLineChars="0"/>
              <w:jc w:val="center"/>
              <w:rPr>
                <w:sz w:val="21"/>
                <w:szCs w:val="21"/>
              </w:rPr>
            </w:pPr>
            <w:r>
              <w:rPr>
                <w:sz w:val="21"/>
                <w:szCs w:val="21"/>
              </w:rPr>
              <w:t>总β放射性</w:t>
            </w:r>
          </w:p>
        </w:tc>
        <w:tc>
          <w:tcPr>
            <w:tcW w:w="1171" w:type="dxa"/>
            <w:tcBorders>
              <w:tl2br w:val="nil"/>
              <w:tr2bl w:val="nil"/>
            </w:tcBorders>
            <w:vAlign w:val="center"/>
          </w:tcPr>
          <w:p w14:paraId="5408FABB">
            <w:pPr>
              <w:adjustRightInd w:val="0"/>
              <w:snapToGrid w:val="0"/>
              <w:spacing w:line="240" w:lineRule="auto"/>
              <w:ind w:firstLine="0" w:firstLineChars="0"/>
              <w:jc w:val="center"/>
              <w:rPr>
                <w:sz w:val="21"/>
                <w:szCs w:val="21"/>
              </w:rPr>
            </w:pPr>
            <w:r>
              <w:rPr>
                <w:sz w:val="21"/>
                <w:szCs w:val="21"/>
              </w:rPr>
              <w:t>≤1.0</w:t>
            </w:r>
          </w:p>
        </w:tc>
      </w:tr>
      <w:tr w14:paraId="4A4D9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2C74972D">
            <w:pPr>
              <w:tabs>
                <w:tab w:val="left" w:pos="0"/>
              </w:tabs>
              <w:adjustRightInd w:val="0"/>
              <w:spacing w:line="240" w:lineRule="auto"/>
              <w:ind w:firstLine="0" w:firstLineChars="0"/>
              <w:jc w:val="center"/>
              <w:textAlignment w:val="baseline"/>
              <w:rPr>
                <w:sz w:val="21"/>
                <w:szCs w:val="21"/>
              </w:rPr>
            </w:pPr>
            <w:r>
              <w:rPr>
                <w:sz w:val="21"/>
                <w:szCs w:val="21"/>
              </w:rPr>
              <w:t>8</w:t>
            </w:r>
          </w:p>
        </w:tc>
        <w:tc>
          <w:tcPr>
            <w:tcW w:w="1567" w:type="dxa"/>
            <w:tcBorders>
              <w:tl2br w:val="nil"/>
              <w:tr2bl w:val="nil"/>
            </w:tcBorders>
            <w:vAlign w:val="center"/>
          </w:tcPr>
          <w:p w14:paraId="77D6878B">
            <w:pPr>
              <w:adjustRightInd w:val="0"/>
              <w:snapToGrid w:val="0"/>
              <w:spacing w:line="240" w:lineRule="auto"/>
              <w:ind w:firstLine="0" w:firstLineChars="0"/>
              <w:jc w:val="center"/>
              <w:rPr>
                <w:sz w:val="21"/>
                <w:szCs w:val="21"/>
              </w:rPr>
            </w:pPr>
            <w:r>
              <w:rPr>
                <w:sz w:val="21"/>
                <w:szCs w:val="21"/>
              </w:rPr>
              <w:t>硫酸盐</w:t>
            </w:r>
          </w:p>
        </w:tc>
        <w:tc>
          <w:tcPr>
            <w:tcW w:w="1140" w:type="dxa"/>
            <w:tcBorders>
              <w:tl2br w:val="nil"/>
              <w:tr2bl w:val="nil"/>
            </w:tcBorders>
            <w:vAlign w:val="center"/>
          </w:tcPr>
          <w:p w14:paraId="26C1C191">
            <w:pPr>
              <w:adjustRightInd w:val="0"/>
              <w:snapToGrid w:val="0"/>
              <w:spacing w:line="240" w:lineRule="auto"/>
              <w:ind w:firstLine="0" w:firstLineChars="0"/>
              <w:jc w:val="center"/>
              <w:rPr>
                <w:sz w:val="21"/>
                <w:szCs w:val="21"/>
              </w:rPr>
            </w:pPr>
            <w:r>
              <w:rPr>
                <w:sz w:val="21"/>
                <w:szCs w:val="21"/>
              </w:rPr>
              <w:t>≤250</w:t>
            </w:r>
          </w:p>
        </w:tc>
        <w:tc>
          <w:tcPr>
            <w:tcW w:w="713" w:type="dxa"/>
            <w:tcBorders>
              <w:tl2br w:val="nil"/>
              <w:tr2bl w:val="nil"/>
            </w:tcBorders>
            <w:vAlign w:val="center"/>
          </w:tcPr>
          <w:p w14:paraId="2B3E8A95">
            <w:pPr>
              <w:adjustRightInd w:val="0"/>
              <w:snapToGrid w:val="0"/>
              <w:spacing w:line="240" w:lineRule="auto"/>
              <w:ind w:firstLine="0" w:firstLineChars="0"/>
              <w:jc w:val="center"/>
              <w:rPr>
                <w:sz w:val="21"/>
                <w:szCs w:val="21"/>
              </w:rPr>
            </w:pPr>
            <w:r>
              <w:rPr>
                <w:sz w:val="21"/>
                <w:szCs w:val="21"/>
              </w:rPr>
              <w:t>24</w:t>
            </w:r>
          </w:p>
        </w:tc>
        <w:tc>
          <w:tcPr>
            <w:tcW w:w="1301" w:type="dxa"/>
            <w:tcBorders>
              <w:tl2br w:val="nil"/>
              <w:tr2bl w:val="nil"/>
            </w:tcBorders>
            <w:vAlign w:val="center"/>
          </w:tcPr>
          <w:p w14:paraId="3A916E58">
            <w:pPr>
              <w:adjustRightInd w:val="0"/>
              <w:snapToGrid w:val="0"/>
              <w:spacing w:line="240" w:lineRule="auto"/>
              <w:ind w:firstLine="0" w:firstLineChars="0"/>
              <w:jc w:val="center"/>
              <w:rPr>
                <w:sz w:val="21"/>
                <w:szCs w:val="21"/>
              </w:rPr>
            </w:pPr>
            <w:r>
              <w:rPr>
                <w:sz w:val="21"/>
                <w:szCs w:val="21"/>
              </w:rPr>
              <w:t>硝酸盐</w:t>
            </w:r>
          </w:p>
        </w:tc>
        <w:tc>
          <w:tcPr>
            <w:tcW w:w="888" w:type="dxa"/>
            <w:tcBorders>
              <w:tl2br w:val="nil"/>
              <w:tr2bl w:val="nil"/>
            </w:tcBorders>
            <w:vAlign w:val="center"/>
          </w:tcPr>
          <w:p w14:paraId="4B9687C4">
            <w:pPr>
              <w:adjustRightInd w:val="0"/>
              <w:snapToGrid w:val="0"/>
              <w:spacing w:line="240" w:lineRule="auto"/>
              <w:ind w:firstLine="0" w:firstLineChars="0"/>
              <w:jc w:val="center"/>
              <w:rPr>
                <w:sz w:val="21"/>
                <w:szCs w:val="21"/>
              </w:rPr>
            </w:pPr>
            <w:r>
              <w:rPr>
                <w:sz w:val="21"/>
                <w:szCs w:val="21"/>
              </w:rPr>
              <w:t>≤20.0</w:t>
            </w:r>
          </w:p>
        </w:tc>
        <w:tc>
          <w:tcPr>
            <w:tcW w:w="629" w:type="dxa"/>
            <w:tcBorders>
              <w:tl2br w:val="nil"/>
              <w:tr2bl w:val="nil"/>
            </w:tcBorders>
            <w:vAlign w:val="center"/>
          </w:tcPr>
          <w:p w14:paraId="2A7A53B2">
            <w:pPr>
              <w:adjustRightInd w:val="0"/>
              <w:snapToGrid w:val="0"/>
              <w:spacing w:line="240" w:lineRule="auto"/>
              <w:ind w:firstLine="0" w:firstLineChars="0"/>
              <w:jc w:val="center"/>
              <w:rPr>
                <w:sz w:val="21"/>
                <w:szCs w:val="21"/>
              </w:rPr>
            </w:pPr>
            <w:r>
              <w:rPr>
                <w:sz w:val="21"/>
                <w:szCs w:val="21"/>
              </w:rPr>
              <w:t>40</w:t>
            </w:r>
          </w:p>
        </w:tc>
        <w:tc>
          <w:tcPr>
            <w:tcW w:w="1306" w:type="dxa"/>
            <w:tcBorders>
              <w:tl2br w:val="nil"/>
              <w:tr2bl w:val="nil"/>
            </w:tcBorders>
            <w:vAlign w:val="center"/>
          </w:tcPr>
          <w:p w14:paraId="52780BA9">
            <w:pPr>
              <w:adjustRightInd w:val="0"/>
              <w:snapToGrid w:val="0"/>
              <w:spacing w:line="240" w:lineRule="auto"/>
              <w:ind w:firstLine="0" w:firstLineChars="0"/>
              <w:jc w:val="center"/>
              <w:rPr>
                <w:sz w:val="21"/>
                <w:szCs w:val="21"/>
              </w:rPr>
            </w:pPr>
            <w:r>
              <w:rPr>
                <w:sz w:val="21"/>
                <w:szCs w:val="21"/>
              </w:rPr>
              <w:t>Na</w:t>
            </w:r>
            <w:r>
              <w:rPr>
                <w:sz w:val="21"/>
                <w:szCs w:val="21"/>
                <w:vertAlign w:val="superscript"/>
              </w:rPr>
              <w:t>+</w:t>
            </w:r>
          </w:p>
        </w:tc>
        <w:tc>
          <w:tcPr>
            <w:tcW w:w="1171" w:type="dxa"/>
            <w:tcBorders>
              <w:tl2br w:val="nil"/>
              <w:tr2bl w:val="nil"/>
            </w:tcBorders>
            <w:vAlign w:val="center"/>
          </w:tcPr>
          <w:p w14:paraId="7B0282C5">
            <w:pPr>
              <w:adjustRightInd w:val="0"/>
              <w:snapToGrid w:val="0"/>
              <w:spacing w:line="240" w:lineRule="auto"/>
              <w:ind w:firstLine="0" w:firstLineChars="0"/>
              <w:jc w:val="center"/>
              <w:rPr>
                <w:sz w:val="21"/>
                <w:szCs w:val="21"/>
              </w:rPr>
            </w:pPr>
            <w:r>
              <w:rPr>
                <w:sz w:val="21"/>
                <w:szCs w:val="21"/>
              </w:rPr>
              <w:t>≤200</w:t>
            </w:r>
          </w:p>
        </w:tc>
      </w:tr>
      <w:tr w14:paraId="362B6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04BD50E2">
            <w:pPr>
              <w:tabs>
                <w:tab w:val="left" w:pos="0"/>
              </w:tabs>
              <w:adjustRightInd w:val="0"/>
              <w:spacing w:line="240" w:lineRule="auto"/>
              <w:ind w:firstLine="0" w:firstLineChars="0"/>
              <w:jc w:val="center"/>
              <w:textAlignment w:val="baseline"/>
              <w:rPr>
                <w:sz w:val="21"/>
                <w:szCs w:val="21"/>
              </w:rPr>
            </w:pPr>
            <w:r>
              <w:rPr>
                <w:sz w:val="21"/>
                <w:szCs w:val="21"/>
              </w:rPr>
              <w:t>9</w:t>
            </w:r>
          </w:p>
        </w:tc>
        <w:tc>
          <w:tcPr>
            <w:tcW w:w="1567" w:type="dxa"/>
            <w:tcBorders>
              <w:tl2br w:val="nil"/>
              <w:tr2bl w:val="nil"/>
            </w:tcBorders>
            <w:vAlign w:val="center"/>
          </w:tcPr>
          <w:p w14:paraId="2C3AAAD2">
            <w:pPr>
              <w:adjustRightInd w:val="0"/>
              <w:snapToGrid w:val="0"/>
              <w:spacing w:line="240" w:lineRule="auto"/>
              <w:ind w:firstLine="0" w:firstLineChars="0"/>
              <w:jc w:val="center"/>
              <w:rPr>
                <w:sz w:val="21"/>
                <w:szCs w:val="21"/>
              </w:rPr>
            </w:pPr>
            <w:r>
              <w:rPr>
                <w:sz w:val="21"/>
                <w:szCs w:val="21"/>
              </w:rPr>
              <w:t>氯化物</w:t>
            </w:r>
          </w:p>
        </w:tc>
        <w:tc>
          <w:tcPr>
            <w:tcW w:w="1140" w:type="dxa"/>
            <w:tcBorders>
              <w:tl2br w:val="nil"/>
              <w:tr2bl w:val="nil"/>
            </w:tcBorders>
            <w:vAlign w:val="center"/>
          </w:tcPr>
          <w:p w14:paraId="5CD2D2F9">
            <w:pPr>
              <w:adjustRightInd w:val="0"/>
              <w:snapToGrid w:val="0"/>
              <w:spacing w:line="240" w:lineRule="auto"/>
              <w:ind w:firstLine="0" w:firstLineChars="0"/>
              <w:jc w:val="center"/>
              <w:rPr>
                <w:sz w:val="21"/>
                <w:szCs w:val="21"/>
              </w:rPr>
            </w:pPr>
            <w:r>
              <w:rPr>
                <w:sz w:val="21"/>
                <w:szCs w:val="21"/>
              </w:rPr>
              <w:t>≤250</w:t>
            </w:r>
          </w:p>
        </w:tc>
        <w:tc>
          <w:tcPr>
            <w:tcW w:w="713" w:type="dxa"/>
            <w:tcBorders>
              <w:tl2br w:val="nil"/>
              <w:tr2bl w:val="nil"/>
            </w:tcBorders>
            <w:vAlign w:val="center"/>
          </w:tcPr>
          <w:p w14:paraId="2984DAF8">
            <w:pPr>
              <w:adjustRightInd w:val="0"/>
              <w:snapToGrid w:val="0"/>
              <w:spacing w:line="240" w:lineRule="auto"/>
              <w:ind w:firstLine="0" w:firstLineChars="0"/>
              <w:jc w:val="center"/>
              <w:rPr>
                <w:sz w:val="21"/>
                <w:szCs w:val="21"/>
              </w:rPr>
            </w:pPr>
            <w:r>
              <w:rPr>
                <w:sz w:val="21"/>
                <w:szCs w:val="21"/>
              </w:rPr>
              <w:t>25</w:t>
            </w:r>
          </w:p>
        </w:tc>
        <w:tc>
          <w:tcPr>
            <w:tcW w:w="1301" w:type="dxa"/>
            <w:tcBorders>
              <w:tl2br w:val="nil"/>
              <w:tr2bl w:val="nil"/>
            </w:tcBorders>
            <w:vAlign w:val="center"/>
          </w:tcPr>
          <w:p w14:paraId="4A1A00BA">
            <w:pPr>
              <w:adjustRightInd w:val="0"/>
              <w:snapToGrid w:val="0"/>
              <w:spacing w:line="240" w:lineRule="auto"/>
              <w:ind w:firstLine="0" w:firstLineChars="0"/>
              <w:jc w:val="center"/>
              <w:rPr>
                <w:sz w:val="21"/>
                <w:szCs w:val="21"/>
              </w:rPr>
            </w:pPr>
            <w:r>
              <w:rPr>
                <w:sz w:val="21"/>
                <w:szCs w:val="21"/>
              </w:rPr>
              <w:t>氰化物</w:t>
            </w:r>
          </w:p>
        </w:tc>
        <w:tc>
          <w:tcPr>
            <w:tcW w:w="888" w:type="dxa"/>
            <w:tcBorders>
              <w:tl2br w:val="nil"/>
              <w:tr2bl w:val="nil"/>
            </w:tcBorders>
            <w:vAlign w:val="center"/>
          </w:tcPr>
          <w:p w14:paraId="2B0E98E8">
            <w:pPr>
              <w:adjustRightInd w:val="0"/>
              <w:snapToGrid w:val="0"/>
              <w:spacing w:line="240" w:lineRule="auto"/>
              <w:ind w:firstLine="0" w:firstLineChars="0"/>
              <w:jc w:val="center"/>
              <w:rPr>
                <w:sz w:val="21"/>
                <w:szCs w:val="21"/>
              </w:rPr>
            </w:pPr>
            <w:r>
              <w:rPr>
                <w:sz w:val="21"/>
                <w:szCs w:val="21"/>
              </w:rPr>
              <w:t>≤0.05 mg/L</w:t>
            </w:r>
          </w:p>
        </w:tc>
        <w:tc>
          <w:tcPr>
            <w:tcW w:w="629" w:type="dxa"/>
            <w:tcBorders>
              <w:tl2br w:val="nil"/>
              <w:tr2bl w:val="nil"/>
            </w:tcBorders>
            <w:vAlign w:val="center"/>
          </w:tcPr>
          <w:p w14:paraId="56141532">
            <w:pPr>
              <w:adjustRightInd w:val="0"/>
              <w:snapToGrid w:val="0"/>
              <w:spacing w:line="240" w:lineRule="auto"/>
              <w:ind w:firstLine="0" w:firstLineChars="0"/>
              <w:jc w:val="center"/>
              <w:rPr>
                <w:sz w:val="21"/>
                <w:szCs w:val="21"/>
              </w:rPr>
            </w:pPr>
            <w:r>
              <w:rPr>
                <w:sz w:val="21"/>
                <w:szCs w:val="21"/>
              </w:rPr>
              <w:t>41</w:t>
            </w:r>
          </w:p>
        </w:tc>
        <w:tc>
          <w:tcPr>
            <w:tcW w:w="1306" w:type="dxa"/>
            <w:tcBorders>
              <w:tl2br w:val="nil"/>
              <w:tr2bl w:val="nil"/>
            </w:tcBorders>
            <w:vAlign w:val="center"/>
          </w:tcPr>
          <w:p w14:paraId="30D3B870">
            <w:pPr>
              <w:adjustRightInd w:val="0"/>
              <w:snapToGrid w:val="0"/>
              <w:spacing w:line="240" w:lineRule="auto"/>
              <w:ind w:firstLine="0" w:firstLineChars="0"/>
              <w:jc w:val="center"/>
              <w:rPr>
                <w:sz w:val="21"/>
                <w:szCs w:val="21"/>
              </w:rPr>
            </w:pPr>
            <w:r>
              <w:rPr>
                <w:sz w:val="21"/>
                <w:szCs w:val="21"/>
              </w:rPr>
              <w:t>Ca</w:t>
            </w:r>
            <w:r>
              <w:rPr>
                <w:sz w:val="21"/>
                <w:szCs w:val="21"/>
                <w:vertAlign w:val="superscript"/>
              </w:rPr>
              <w:t>2+</w:t>
            </w:r>
          </w:p>
        </w:tc>
        <w:tc>
          <w:tcPr>
            <w:tcW w:w="1171" w:type="dxa"/>
            <w:tcBorders>
              <w:tl2br w:val="nil"/>
              <w:tr2bl w:val="nil"/>
            </w:tcBorders>
            <w:vAlign w:val="center"/>
          </w:tcPr>
          <w:p w14:paraId="043A5578">
            <w:pPr>
              <w:adjustRightInd w:val="0"/>
              <w:snapToGrid w:val="0"/>
              <w:spacing w:line="240" w:lineRule="auto"/>
              <w:ind w:firstLine="0" w:firstLineChars="0"/>
              <w:jc w:val="center"/>
              <w:rPr>
                <w:sz w:val="21"/>
                <w:szCs w:val="21"/>
              </w:rPr>
            </w:pPr>
            <w:r>
              <w:rPr>
                <w:sz w:val="21"/>
                <w:szCs w:val="21"/>
              </w:rPr>
              <w:t>/</w:t>
            </w:r>
          </w:p>
        </w:tc>
      </w:tr>
      <w:tr w14:paraId="50D46E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6272C138">
            <w:pPr>
              <w:tabs>
                <w:tab w:val="left" w:pos="0"/>
              </w:tabs>
              <w:adjustRightInd w:val="0"/>
              <w:spacing w:line="240" w:lineRule="auto"/>
              <w:ind w:firstLine="0" w:firstLineChars="0"/>
              <w:jc w:val="center"/>
              <w:textAlignment w:val="baseline"/>
              <w:rPr>
                <w:sz w:val="21"/>
                <w:szCs w:val="21"/>
              </w:rPr>
            </w:pPr>
            <w:r>
              <w:rPr>
                <w:sz w:val="21"/>
                <w:szCs w:val="21"/>
              </w:rPr>
              <w:t>10</w:t>
            </w:r>
          </w:p>
        </w:tc>
        <w:tc>
          <w:tcPr>
            <w:tcW w:w="1567" w:type="dxa"/>
            <w:tcBorders>
              <w:tl2br w:val="nil"/>
              <w:tr2bl w:val="nil"/>
            </w:tcBorders>
            <w:vAlign w:val="center"/>
          </w:tcPr>
          <w:p w14:paraId="3F85AC57">
            <w:pPr>
              <w:adjustRightInd w:val="0"/>
              <w:snapToGrid w:val="0"/>
              <w:spacing w:line="240" w:lineRule="auto"/>
              <w:ind w:firstLine="0" w:firstLineChars="0"/>
              <w:jc w:val="center"/>
              <w:rPr>
                <w:sz w:val="21"/>
                <w:szCs w:val="21"/>
              </w:rPr>
            </w:pPr>
            <w:r>
              <w:rPr>
                <w:sz w:val="21"/>
                <w:szCs w:val="21"/>
              </w:rPr>
              <w:t>铁</w:t>
            </w:r>
          </w:p>
        </w:tc>
        <w:tc>
          <w:tcPr>
            <w:tcW w:w="1140" w:type="dxa"/>
            <w:tcBorders>
              <w:tl2br w:val="nil"/>
              <w:tr2bl w:val="nil"/>
            </w:tcBorders>
            <w:vAlign w:val="center"/>
          </w:tcPr>
          <w:p w14:paraId="401B1A35">
            <w:pPr>
              <w:adjustRightInd w:val="0"/>
              <w:snapToGrid w:val="0"/>
              <w:spacing w:line="240" w:lineRule="auto"/>
              <w:ind w:firstLine="0" w:firstLineChars="0"/>
              <w:jc w:val="center"/>
              <w:rPr>
                <w:sz w:val="21"/>
                <w:szCs w:val="21"/>
              </w:rPr>
            </w:pPr>
            <w:r>
              <w:rPr>
                <w:sz w:val="21"/>
                <w:szCs w:val="21"/>
              </w:rPr>
              <w:t>≤0.3</w:t>
            </w:r>
          </w:p>
        </w:tc>
        <w:tc>
          <w:tcPr>
            <w:tcW w:w="713" w:type="dxa"/>
            <w:tcBorders>
              <w:tl2br w:val="nil"/>
              <w:tr2bl w:val="nil"/>
            </w:tcBorders>
            <w:vAlign w:val="center"/>
          </w:tcPr>
          <w:p w14:paraId="310208A6">
            <w:pPr>
              <w:adjustRightInd w:val="0"/>
              <w:snapToGrid w:val="0"/>
              <w:spacing w:line="240" w:lineRule="auto"/>
              <w:ind w:firstLine="0" w:firstLineChars="0"/>
              <w:jc w:val="center"/>
              <w:rPr>
                <w:sz w:val="21"/>
                <w:szCs w:val="21"/>
              </w:rPr>
            </w:pPr>
            <w:r>
              <w:rPr>
                <w:sz w:val="21"/>
                <w:szCs w:val="21"/>
              </w:rPr>
              <w:t>26</w:t>
            </w:r>
          </w:p>
        </w:tc>
        <w:tc>
          <w:tcPr>
            <w:tcW w:w="1301" w:type="dxa"/>
            <w:tcBorders>
              <w:tl2br w:val="nil"/>
              <w:tr2bl w:val="nil"/>
            </w:tcBorders>
            <w:vAlign w:val="center"/>
          </w:tcPr>
          <w:p w14:paraId="19428BAB">
            <w:pPr>
              <w:adjustRightInd w:val="0"/>
              <w:snapToGrid w:val="0"/>
              <w:spacing w:line="240" w:lineRule="auto"/>
              <w:ind w:firstLine="0" w:firstLineChars="0"/>
              <w:jc w:val="center"/>
              <w:rPr>
                <w:sz w:val="21"/>
                <w:szCs w:val="21"/>
              </w:rPr>
            </w:pPr>
            <w:r>
              <w:rPr>
                <w:sz w:val="21"/>
                <w:szCs w:val="21"/>
              </w:rPr>
              <w:t>氟化物</w:t>
            </w:r>
          </w:p>
        </w:tc>
        <w:tc>
          <w:tcPr>
            <w:tcW w:w="888" w:type="dxa"/>
            <w:tcBorders>
              <w:tl2br w:val="nil"/>
              <w:tr2bl w:val="nil"/>
            </w:tcBorders>
            <w:vAlign w:val="center"/>
          </w:tcPr>
          <w:p w14:paraId="2EC97380">
            <w:pPr>
              <w:adjustRightInd w:val="0"/>
              <w:snapToGrid w:val="0"/>
              <w:spacing w:line="240" w:lineRule="auto"/>
              <w:ind w:firstLine="0" w:firstLineChars="0"/>
              <w:jc w:val="center"/>
              <w:rPr>
                <w:sz w:val="21"/>
                <w:szCs w:val="21"/>
              </w:rPr>
            </w:pPr>
            <w:r>
              <w:rPr>
                <w:sz w:val="21"/>
                <w:szCs w:val="21"/>
              </w:rPr>
              <w:t>≤1.0</w:t>
            </w:r>
          </w:p>
        </w:tc>
        <w:tc>
          <w:tcPr>
            <w:tcW w:w="629" w:type="dxa"/>
            <w:tcBorders>
              <w:tl2br w:val="nil"/>
              <w:tr2bl w:val="nil"/>
            </w:tcBorders>
            <w:vAlign w:val="center"/>
          </w:tcPr>
          <w:p w14:paraId="766D66F2">
            <w:pPr>
              <w:adjustRightInd w:val="0"/>
              <w:snapToGrid w:val="0"/>
              <w:spacing w:line="240" w:lineRule="auto"/>
              <w:ind w:firstLine="0" w:firstLineChars="0"/>
              <w:jc w:val="center"/>
              <w:rPr>
                <w:sz w:val="21"/>
                <w:szCs w:val="21"/>
              </w:rPr>
            </w:pPr>
            <w:r>
              <w:rPr>
                <w:sz w:val="21"/>
                <w:szCs w:val="21"/>
              </w:rPr>
              <w:t>42</w:t>
            </w:r>
          </w:p>
        </w:tc>
        <w:tc>
          <w:tcPr>
            <w:tcW w:w="1306" w:type="dxa"/>
            <w:tcBorders>
              <w:tl2br w:val="nil"/>
              <w:tr2bl w:val="nil"/>
            </w:tcBorders>
            <w:vAlign w:val="center"/>
          </w:tcPr>
          <w:p w14:paraId="43C503DA">
            <w:pPr>
              <w:adjustRightInd w:val="0"/>
              <w:snapToGrid w:val="0"/>
              <w:spacing w:line="240" w:lineRule="auto"/>
              <w:ind w:firstLine="0" w:firstLineChars="0"/>
              <w:jc w:val="center"/>
              <w:rPr>
                <w:sz w:val="21"/>
                <w:szCs w:val="21"/>
              </w:rPr>
            </w:pPr>
            <w:r>
              <w:rPr>
                <w:sz w:val="21"/>
                <w:szCs w:val="21"/>
              </w:rPr>
              <w:t>Mg</w:t>
            </w:r>
            <w:r>
              <w:rPr>
                <w:sz w:val="21"/>
                <w:szCs w:val="21"/>
                <w:vertAlign w:val="superscript"/>
              </w:rPr>
              <w:t>2+</w:t>
            </w:r>
          </w:p>
        </w:tc>
        <w:tc>
          <w:tcPr>
            <w:tcW w:w="1171" w:type="dxa"/>
            <w:tcBorders>
              <w:tl2br w:val="nil"/>
              <w:tr2bl w:val="nil"/>
            </w:tcBorders>
            <w:vAlign w:val="center"/>
          </w:tcPr>
          <w:p w14:paraId="37579197">
            <w:pPr>
              <w:adjustRightInd w:val="0"/>
              <w:snapToGrid w:val="0"/>
              <w:spacing w:line="240" w:lineRule="auto"/>
              <w:ind w:firstLine="0" w:firstLineChars="0"/>
              <w:jc w:val="center"/>
              <w:rPr>
                <w:sz w:val="21"/>
                <w:szCs w:val="21"/>
              </w:rPr>
            </w:pPr>
            <w:r>
              <w:rPr>
                <w:sz w:val="21"/>
                <w:szCs w:val="21"/>
              </w:rPr>
              <w:t>/</w:t>
            </w:r>
          </w:p>
        </w:tc>
      </w:tr>
      <w:tr w14:paraId="1F4DA0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185DAD47">
            <w:pPr>
              <w:tabs>
                <w:tab w:val="left" w:pos="0"/>
              </w:tabs>
              <w:adjustRightInd w:val="0"/>
              <w:snapToGrid w:val="0"/>
              <w:spacing w:line="240" w:lineRule="auto"/>
              <w:ind w:firstLine="0" w:firstLineChars="0"/>
              <w:jc w:val="center"/>
              <w:textAlignment w:val="baseline"/>
              <w:rPr>
                <w:sz w:val="21"/>
                <w:szCs w:val="21"/>
              </w:rPr>
            </w:pPr>
            <w:r>
              <w:rPr>
                <w:sz w:val="21"/>
                <w:szCs w:val="21"/>
              </w:rPr>
              <w:t>11</w:t>
            </w:r>
          </w:p>
        </w:tc>
        <w:tc>
          <w:tcPr>
            <w:tcW w:w="1567" w:type="dxa"/>
            <w:tcBorders>
              <w:tl2br w:val="nil"/>
              <w:tr2bl w:val="nil"/>
            </w:tcBorders>
            <w:vAlign w:val="center"/>
          </w:tcPr>
          <w:p w14:paraId="7BFBAA2E">
            <w:pPr>
              <w:adjustRightInd w:val="0"/>
              <w:snapToGrid w:val="0"/>
              <w:spacing w:line="240" w:lineRule="auto"/>
              <w:ind w:firstLine="0" w:firstLineChars="0"/>
              <w:jc w:val="center"/>
              <w:rPr>
                <w:sz w:val="21"/>
                <w:szCs w:val="21"/>
              </w:rPr>
            </w:pPr>
            <w:r>
              <w:rPr>
                <w:sz w:val="21"/>
                <w:szCs w:val="21"/>
              </w:rPr>
              <w:t>锰</w:t>
            </w:r>
          </w:p>
        </w:tc>
        <w:tc>
          <w:tcPr>
            <w:tcW w:w="1140" w:type="dxa"/>
            <w:tcBorders>
              <w:tl2br w:val="nil"/>
              <w:tr2bl w:val="nil"/>
            </w:tcBorders>
            <w:vAlign w:val="center"/>
          </w:tcPr>
          <w:p w14:paraId="3EC44C28">
            <w:pPr>
              <w:adjustRightInd w:val="0"/>
              <w:snapToGrid w:val="0"/>
              <w:spacing w:line="240" w:lineRule="auto"/>
              <w:ind w:firstLine="0" w:firstLineChars="0"/>
              <w:jc w:val="center"/>
              <w:rPr>
                <w:sz w:val="21"/>
                <w:szCs w:val="21"/>
              </w:rPr>
            </w:pPr>
            <w:r>
              <w:rPr>
                <w:sz w:val="21"/>
                <w:szCs w:val="21"/>
              </w:rPr>
              <w:t>≤0.10</w:t>
            </w:r>
          </w:p>
        </w:tc>
        <w:tc>
          <w:tcPr>
            <w:tcW w:w="713" w:type="dxa"/>
            <w:tcBorders>
              <w:tl2br w:val="nil"/>
              <w:tr2bl w:val="nil"/>
            </w:tcBorders>
            <w:vAlign w:val="center"/>
          </w:tcPr>
          <w:p w14:paraId="2D53CE0E">
            <w:pPr>
              <w:adjustRightInd w:val="0"/>
              <w:snapToGrid w:val="0"/>
              <w:spacing w:line="240" w:lineRule="auto"/>
              <w:ind w:firstLine="0" w:firstLineChars="0"/>
              <w:jc w:val="center"/>
              <w:rPr>
                <w:sz w:val="21"/>
                <w:szCs w:val="21"/>
              </w:rPr>
            </w:pPr>
            <w:r>
              <w:rPr>
                <w:sz w:val="21"/>
                <w:szCs w:val="21"/>
              </w:rPr>
              <w:t>27</w:t>
            </w:r>
          </w:p>
        </w:tc>
        <w:tc>
          <w:tcPr>
            <w:tcW w:w="1301" w:type="dxa"/>
            <w:tcBorders>
              <w:tl2br w:val="nil"/>
              <w:tr2bl w:val="nil"/>
            </w:tcBorders>
            <w:vAlign w:val="center"/>
          </w:tcPr>
          <w:p w14:paraId="7DF377FF">
            <w:pPr>
              <w:adjustRightInd w:val="0"/>
              <w:snapToGrid w:val="0"/>
              <w:spacing w:line="240" w:lineRule="auto"/>
              <w:ind w:firstLine="0" w:firstLineChars="0"/>
              <w:jc w:val="center"/>
              <w:rPr>
                <w:sz w:val="21"/>
                <w:szCs w:val="21"/>
              </w:rPr>
            </w:pPr>
            <w:r>
              <w:rPr>
                <w:sz w:val="21"/>
                <w:szCs w:val="21"/>
              </w:rPr>
              <w:t>碘化物</w:t>
            </w:r>
          </w:p>
        </w:tc>
        <w:tc>
          <w:tcPr>
            <w:tcW w:w="888" w:type="dxa"/>
            <w:tcBorders>
              <w:tl2br w:val="nil"/>
              <w:tr2bl w:val="nil"/>
            </w:tcBorders>
            <w:vAlign w:val="center"/>
          </w:tcPr>
          <w:p w14:paraId="63316967">
            <w:pPr>
              <w:adjustRightInd w:val="0"/>
              <w:snapToGrid w:val="0"/>
              <w:spacing w:line="240" w:lineRule="auto"/>
              <w:ind w:firstLine="0" w:firstLineChars="0"/>
              <w:jc w:val="center"/>
              <w:rPr>
                <w:sz w:val="21"/>
                <w:szCs w:val="21"/>
              </w:rPr>
            </w:pPr>
            <w:r>
              <w:rPr>
                <w:sz w:val="21"/>
                <w:szCs w:val="21"/>
              </w:rPr>
              <w:t>≤0.08</w:t>
            </w:r>
          </w:p>
        </w:tc>
        <w:tc>
          <w:tcPr>
            <w:tcW w:w="629" w:type="dxa"/>
            <w:tcBorders>
              <w:tl2br w:val="nil"/>
              <w:tr2bl w:val="nil"/>
            </w:tcBorders>
            <w:vAlign w:val="center"/>
          </w:tcPr>
          <w:p w14:paraId="269FDCC3">
            <w:pPr>
              <w:adjustRightInd w:val="0"/>
              <w:snapToGrid w:val="0"/>
              <w:spacing w:line="240" w:lineRule="auto"/>
              <w:ind w:firstLine="0" w:firstLineChars="0"/>
              <w:jc w:val="center"/>
              <w:rPr>
                <w:sz w:val="21"/>
                <w:szCs w:val="21"/>
              </w:rPr>
            </w:pPr>
            <w:r>
              <w:rPr>
                <w:sz w:val="21"/>
                <w:szCs w:val="21"/>
              </w:rPr>
              <w:t>43</w:t>
            </w:r>
          </w:p>
        </w:tc>
        <w:tc>
          <w:tcPr>
            <w:tcW w:w="1306" w:type="dxa"/>
            <w:tcBorders>
              <w:tl2br w:val="nil"/>
              <w:tr2bl w:val="nil"/>
            </w:tcBorders>
            <w:vAlign w:val="center"/>
          </w:tcPr>
          <w:p w14:paraId="5F6F7502">
            <w:pPr>
              <w:adjustRightInd w:val="0"/>
              <w:snapToGrid w:val="0"/>
              <w:spacing w:line="240" w:lineRule="auto"/>
              <w:ind w:firstLine="0" w:firstLineChars="0"/>
              <w:jc w:val="center"/>
              <w:rPr>
                <w:sz w:val="21"/>
                <w:szCs w:val="21"/>
              </w:rPr>
            </w:pPr>
            <w:r>
              <w:rPr>
                <w:sz w:val="21"/>
                <w:szCs w:val="21"/>
              </w:rPr>
              <w:t>K</w:t>
            </w:r>
            <w:r>
              <w:rPr>
                <w:sz w:val="21"/>
                <w:szCs w:val="21"/>
                <w:vertAlign w:val="superscript"/>
              </w:rPr>
              <w:t>+</w:t>
            </w:r>
          </w:p>
        </w:tc>
        <w:tc>
          <w:tcPr>
            <w:tcW w:w="1171" w:type="dxa"/>
            <w:tcBorders>
              <w:tl2br w:val="nil"/>
              <w:tr2bl w:val="nil"/>
            </w:tcBorders>
            <w:vAlign w:val="center"/>
          </w:tcPr>
          <w:p w14:paraId="42D68249">
            <w:pPr>
              <w:adjustRightInd w:val="0"/>
              <w:snapToGrid w:val="0"/>
              <w:spacing w:line="240" w:lineRule="auto"/>
              <w:ind w:firstLine="0" w:firstLineChars="0"/>
              <w:jc w:val="center"/>
              <w:rPr>
                <w:sz w:val="21"/>
                <w:szCs w:val="21"/>
              </w:rPr>
            </w:pPr>
            <w:r>
              <w:rPr>
                <w:sz w:val="21"/>
                <w:szCs w:val="21"/>
              </w:rPr>
              <w:t>/</w:t>
            </w:r>
          </w:p>
        </w:tc>
      </w:tr>
      <w:tr w14:paraId="74A8A4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4B657A4F">
            <w:pPr>
              <w:tabs>
                <w:tab w:val="left" w:pos="0"/>
              </w:tabs>
              <w:adjustRightInd w:val="0"/>
              <w:snapToGrid w:val="0"/>
              <w:spacing w:line="240" w:lineRule="auto"/>
              <w:ind w:firstLine="0" w:firstLineChars="0"/>
              <w:jc w:val="center"/>
              <w:textAlignment w:val="baseline"/>
              <w:rPr>
                <w:sz w:val="21"/>
                <w:szCs w:val="21"/>
              </w:rPr>
            </w:pPr>
            <w:r>
              <w:rPr>
                <w:sz w:val="21"/>
                <w:szCs w:val="21"/>
              </w:rPr>
              <w:t>12</w:t>
            </w:r>
          </w:p>
        </w:tc>
        <w:tc>
          <w:tcPr>
            <w:tcW w:w="1567" w:type="dxa"/>
            <w:tcBorders>
              <w:tl2br w:val="nil"/>
              <w:tr2bl w:val="nil"/>
            </w:tcBorders>
            <w:vAlign w:val="center"/>
          </w:tcPr>
          <w:p w14:paraId="04B5DF47">
            <w:pPr>
              <w:adjustRightInd w:val="0"/>
              <w:snapToGrid w:val="0"/>
              <w:spacing w:line="240" w:lineRule="auto"/>
              <w:ind w:firstLine="0" w:firstLineChars="0"/>
              <w:jc w:val="center"/>
              <w:rPr>
                <w:sz w:val="21"/>
                <w:szCs w:val="21"/>
              </w:rPr>
            </w:pPr>
            <w:r>
              <w:rPr>
                <w:sz w:val="21"/>
                <w:szCs w:val="21"/>
              </w:rPr>
              <w:t>铜</w:t>
            </w:r>
          </w:p>
        </w:tc>
        <w:tc>
          <w:tcPr>
            <w:tcW w:w="1140" w:type="dxa"/>
            <w:tcBorders>
              <w:tl2br w:val="nil"/>
              <w:tr2bl w:val="nil"/>
            </w:tcBorders>
            <w:vAlign w:val="center"/>
          </w:tcPr>
          <w:p w14:paraId="035231D5">
            <w:pPr>
              <w:adjustRightInd w:val="0"/>
              <w:snapToGrid w:val="0"/>
              <w:spacing w:line="240" w:lineRule="auto"/>
              <w:ind w:firstLine="0" w:firstLineChars="0"/>
              <w:jc w:val="center"/>
              <w:rPr>
                <w:sz w:val="21"/>
                <w:szCs w:val="21"/>
              </w:rPr>
            </w:pPr>
            <w:r>
              <w:rPr>
                <w:sz w:val="21"/>
                <w:szCs w:val="21"/>
              </w:rPr>
              <w:t>≤1.00</w:t>
            </w:r>
          </w:p>
        </w:tc>
        <w:tc>
          <w:tcPr>
            <w:tcW w:w="713" w:type="dxa"/>
            <w:tcBorders>
              <w:tl2br w:val="nil"/>
              <w:tr2bl w:val="nil"/>
            </w:tcBorders>
            <w:vAlign w:val="center"/>
          </w:tcPr>
          <w:p w14:paraId="5E3AE9EF">
            <w:pPr>
              <w:adjustRightInd w:val="0"/>
              <w:snapToGrid w:val="0"/>
              <w:spacing w:line="240" w:lineRule="auto"/>
              <w:ind w:firstLine="0" w:firstLineChars="0"/>
              <w:jc w:val="center"/>
              <w:rPr>
                <w:sz w:val="21"/>
                <w:szCs w:val="21"/>
              </w:rPr>
            </w:pPr>
            <w:r>
              <w:rPr>
                <w:sz w:val="21"/>
                <w:szCs w:val="21"/>
              </w:rPr>
              <w:t>28</w:t>
            </w:r>
          </w:p>
        </w:tc>
        <w:tc>
          <w:tcPr>
            <w:tcW w:w="1301" w:type="dxa"/>
            <w:tcBorders>
              <w:tl2br w:val="nil"/>
              <w:tr2bl w:val="nil"/>
            </w:tcBorders>
            <w:vAlign w:val="center"/>
          </w:tcPr>
          <w:p w14:paraId="3B7CA188">
            <w:pPr>
              <w:adjustRightInd w:val="0"/>
              <w:snapToGrid w:val="0"/>
              <w:spacing w:line="240" w:lineRule="auto"/>
              <w:ind w:firstLine="0" w:firstLineChars="0"/>
              <w:jc w:val="center"/>
              <w:rPr>
                <w:sz w:val="21"/>
                <w:szCs w:val="21"/>
              </w:rPr>
            </w:pPr>
            <w:r>
              <w:rPr>
                <w:sz w:val="21"/>
                <w:szCs w:val="21"/>
              </w:rPr>
              <w:t>汞</w:t>
            </w:r>
          </w:p>
        </w:tc>
        <w:tc>
          <w:tcPr>
            <w:tcW w:w="888" w:type="dxa"/>
            <w:tcBorders>
              <w:tl2br w:val="nil"/>
              <w:tr2bl w:val="nil"/>
            </w:tcBorders>
            <w:vAlign w:val="center"/>
          </w:tcPr>
          <w:p w14:paraId="049DB539">
            <w:pPr>
              <w:adjustRightInd w:val="0"/>
              <w:snapToGrid w:val="0"/>
              <w:spacing w:line="240" w:lineRule="auto"/>
              <w:ind w:firstLine="0" w:firstLineChars="0"/>
              <w:jc w:val="center"/>
              <w:rPr>
                <w:sz w:val="21"/>
                <w:szCs w:val="21"/>
              </w:rPr>
            </w:pPr>
            <w:r>
              <w:rPr>
                <w:sz w:val="21"/>
                <w:szCs w:val="21"/>
              </w:rPr>
              <w:t>≤0.001</w:t>
            </w:r>
          </w:p>
        </w:tc>
        <w:tc>
          <w:tcPr>
            <w:tcW w:w="629" w:type="dxa"/>
            <w:tcBorders>
              <w:tl2br w:val="nil"/>
              <w:tr2bl w:val="nil"/>
            </w:tcBorders>
            <w:vAlign w:val="center"/>
          </w:tcPr>
          <w:p w14:paraId="6BE2774D">
            <w:pPr>
              <w:adjustRightInd w:val="0"/>
              <w:snapToGrid w:val="0"/>
              <w:spacing w:line="240" w:lineRule="auto"/>
              <w:ind w:firstLine="0" w:firstLineChars="0"/>
              <w:jc w:val="center"/>
              <w:rPr>
                <w:sz w:val="21"/>
                <w:szCs w:val="21"/>
              </w:rPr>
            </w:pPr>
            <w:r>
              <w:rPr>
                <w:sz w:val="21"/>
                <w:szCs w:val="21"/>
              </w:rPr>
              <w:t>44</w:t>
            </w:r>
          </w:p>
        </w:tc>
        <w:tc>
          <w:tcPr>
            <w:tcW w:w="1306" w:type="dxa"/>
            <w:tcBorders>
              <w:tl2br w:val="nil"/>
              <w:tr2bl w:val="nil"/>
            </w:tcBorders>
            <w:vAlign w:val="center"/>
          </w:tcPr>
          <w:p w14:paraId="5D0F6C71">
            <w:pPr>
              <w:adjustRightInd w:val="0"/>
              <w:snapToGrid w:val="0"/>
              <w:spacing w:line="240" w:lineRule="auto"/>
              <w:ind w:firstLine="0" w:firstLineChars="0"/>
              <w:jc w:val="center"/>
              <w:rPr>
                <w:sz w:val="21"/>
                <w:szCs w:val="21"/>
              </w:rPr>
            </w:pPr>
            <w:r>
              <w:rPr>
                <w:sz w:val="21"/>
                <w:szCs w:val="21"/>
              </w:rPr>
              <w:t>Cl</w:t>
            </w:r>
            <w:r>
              <w:rPr>
                <w:sz w:val="21"/>
                <w:szCs w:val="21"/>
                <w:vertAlign w:val="superscript"/>
              </w:rPr>
              <w:t>-</w:t>
            </w:r>
          </w:p>
        </w:tc>
        <w:tc>
          <w:tcPr>
            <w:tcW w:w="1171" w:type="dxa"/>
            <w:tcBorders>
              <w:tl2br w:val="nil"/>
              <w:tr2bl w:val="nil"/>
            </w:tcBorders>
            <w:vAlign w:val="center"/>
          </w:tcPr>
          <w:p w14:paraId="34C896B2">
            <w:pPr>
              <w:adjustRightInd w:val="0"/>
              <w:snapToGrid w:val="0"/>
              <w:spacing w:line="240" w:lineRule="auto"/>
              <w:ind w:firstLine="0" w:firstLineChars="0"/>
              <w:jc w:val="center"/>
              <w:rPr>
                <w:sz w:val="21"/>
                <w:szCs w:val="21"/>
              </w:rPr>
            </w:pPr>
            <w:r>
              <w:rPr>
                <w:sz w:val="21"/>
                <w:szCs w:val="21"/>
              </w:rPr>
              <w:t>/</w:t>
            </w:r>
          </w:p>
        </w:tc>
      </w:tr>
      <w:tr w14:paraId="3E5B35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05C02BC3">
            <w:pPr>
              <w:tabs>
                <w:tab w:val="left" w:pos="0"/>
              </w:tabs>
              <w:adjustRightInd w:val="0"/>
              <w:snapToGrid w:val="0"/>
              <w:spacing w:line="240" w:lineRule="auto"/>
              <w:ind w:firstLine="0" w:firstLineChars="0"/>
              <w:jc w:val="center"/>
              <w:textAlignment w:val="baseline"/>
              <w:rPr>
                <w:sz w:val="21"/>
                <w:szCs w:val="21"/>
              </w:rPr>
            </w:pPr>
            <w:r>
              <w:rPr>
                <w:sz w:val="21"/>
                <w:szCs w:val="21"/>
              </w:rPr>
              <w:t>13</w:t>
            </w:r>
          </w:p>
        </w:tc>
        <w:tc>
          <w:tcPr>
            <w:tcW w:w="1567" w:type="dxa"/>
            <w:tcBorders>
              <w:tl2br w:val="nil"/>
              <w:tr2bl w:val="nil"/>
            </w:tcBorders>
            <w:vAlign w:val="center"/>
          </w:tcPr>
          <w:p w14:paraId="277C0790">
            <w:pPr>
              <w:adjustRightInd w:val="0"/>
              <w:snapToGrid w:val="0"/>
              <w:spacing w:line="240" w:lineRule="auto"/>
              <w:ind w:firstLine="0" w:firstLineChars="0"/>
              <w:jc w:val="center"/>
              <w:rPr>
                <w:sz w:val="21"/>
                <w:szCs w:val="21"/>
              </w:rPr>
            </w:pPr>
            <w:r>
              <w:rPr>
                <w:sz w:val="21"/>
                <w:szCs w:val="21"/>
              </w:rPr>
              <w:t>锌</w:t>
            </w:r>
          </w:p>
        </w:tc>
        <w:tc>
          <w:tcPr>
            <w:tcW w:w="1140" w:type="dxa"/>
            <w:tcBorders>
              <w:tl2br w:val="nil"/>
              <w:tr2bl w:val="nil"/>
            </w:tcBorders>
            <w:vAlign w:val="center"/>
          </w:tcPr>
          <w:p w14:paraId="3DBB14A9">
            <w:pPr>
              <w:adjustRightInd w:val="0"/>
              <w:snapToGrid w:val="0"/>
              <w:spacing w:line="240" w:lineRule="auto"/>
              <w:ind w:firstLine="0" w:firstLineChars="0"/>
              <w:jc w:val="center"/>
              <w:rPr>
                <w:sz w:val="21"/>
                <w:szCs w:val="21"/>
              </w:rPr>
            </w:pPr>
            <w:r>
              <w:rPr>
                <w:sz w:val="21"/>
                <w:szCs w:val="21"/>
              </w:rPr>
              <w:t>≤1.00</w:t>
            </w:r>
          </w:p>
        </w:tc>
        <w:tc>
          <w:tcPr>
            <w:tcW w:w="713" w:type="dxa"/>
            <w:tcBorders>
              <w:tl2br w:val="nil"/>
              <w:tr2bl w:val="nil"/>
            </w:tcBorders>
            <w:vAlign w:val="center"/>
          </w:tcPr>
          <w:p w14:paraId="445E6582">
            <w:pPr>
              <w:adjustRightInd w:val="0"/>
              <w:snapToGrid w:val="0"/>
              <w:spacing w:line="240" w:lineRule="auto"/>
              <w:ind w:firstLine="0" w:firstLineChars="0"/>
              <w:jc w:val="center"/>
              <w:rPr>
                <w:sz w:val="21"/>
                <w:szCs w:val="21"/>
              </w:rPr>
            </w:pPr>
            <w:r>
              <w:rPr>
                <w:sz w:val="21"/>
                <w:szCs w:val="21"/>
              </w:rPr>
              <w:t>29</w:t>
            </w:r>
          </w:p>
        </w:tc>
        <w:tc>
          <w:tcPr>
            <w:tcW w:w="1301" w:type="dxa"/>
            <w:tcBorders>
              <w:tl2br w:val="nil"/>
              <w:tr2bl w:val="nil"/>
            </w:tcBorders>
            <w:vAlign w:val="center"/>
          </w:tcPr>
          <w:p w14:paraId="0309479F">
            <w:pPr>
              <w:adjustRightInd w:val="0"/>
              <w:snapToGrid w:val="0"/>
              <w:spacing w:line="240" w:lineRule="auto"/>
              <w:ind w:firstLine="0" w:firstLineChars="0"/>
              <w:jc w:val="center"/>
              <w:rPr>
                <w:sz w:val="21"/>
                <w:szCs w:val="21"/>
              </w:rPr>
            </w:pPr>
            <w:r>
              <w:rPr>
                <w:sz w:val="21"/>
                <w:szCs w:val="21"/>
              </w:rPr>
              <w:t>砷</w:t>
            </w:r>
          </w:p>
        </w:tc>
        <w:tc>
          <w:tcPr>
            <w:tcW w:w="888" w:type="dxa"/>
            <w:tcBorders>
              <w:tl2br w:val="nil"/>
              <w:tr2bl w:val="nil"/>
            </w:tcBorders>
            <w:vAlign w:val="center"/>
          </w:tcPr>
          <w:p w14:paraId="0BDF7710">
            <w:pPr>
              <w:adjustRightInd w:val="0"/>
              <w:snapToGrid w:val="0"/>
              <w:spacing w:line="240" w:lineRule="auto"/>
              <w:ind w:firstLine="0" w:firstLineChars="0"/>
              <w:jc w:val="center"/>
              <w:rPr>
                <w:sz w:val="21"/>
                <w:szCs w:val="21"/>
              </w:rPr>
            </w:pPr>
            <w:r>
              <w:rPr>
                <w:sz w:val="21"/>
                <w:szCs w:val="21"/>
              </w:rPr>
              <w:t>≤0.01</w:t>
            </w:r>
          </w:p>
        </w:tc>
        <w:tc>
          <w:tcPr>
            <w:tcW w:w="629" w:type="dxa"/>
            <w:tcBorders>
              <w:tl2br w:val="nil"/>
              <w:tr2bl w:val="nil"/>
            </w:tcBorders>
            <w:vAlign w:val="center"/>
          </w:tcPr>
          <w:p w14:paraId="2000E562">
            <w:pPr>
              <w:adjustRightInd w:val="0"/>
              <w:snapToGrid w:val="0"/>
              <w:spacing w:line="240" w:lineRule="auto"/>
              <w:ind w:firstLine="0" w:firstLineChars="0"/>
              <w:jc w:val="center"/>
              <w:rPr>
                <w:sz w:val="21"/>
                <w:szCs w:val="21"/>
              </w:rPr>
            </w:pPr>
            <w:r>
              <w:rPr>
                <w:sz w:val="21"/>
                <w:szCs w:val="21"/>
              </w:rPr>
              <w:t>45</w:t>
            </w:r>
          </w:p>
        </w:tc>
        <w:tc>
          <w:tcPr>
            <w:tcW w:w="1306" w:type="dxa"/>
            <w:tcBorders>
              <w:tl2br w:val="nil"/>
              <w:tr2bl w:val="nil"/>
            </w:tcBorders>
            <w:vAlign w:val="center"/>
          </w:tcPr>
          <w:p w14:paraId="40B1DD83">
            <w:pPr>
              <w:adjustRightInd w:val="0"/>
              <w:snapToGrid w:val="0"/>
              <w:spacing w:line="240" w:lineRule="auto"/>
              <w:ind w:firstLine="0" w:firstLineChars="0"/>
              <w:jc w:val="center"/>
              <w:rPr>
                <w:sz w:val="21"/>
                <w:szCs w:val="21"/>
              </w:rPr>
            </w:pPr>
            <w:r>
              <w:rPr>
                <w:sz w:val="21"/>
                <w:szCs w:val="21"/>
              </w:rPr>
              <w:t>SO</w:t>
            </w:r>
            <w:r>
              <w:rPr>
                <w:sz w:val="21"/>
                <w:szCs w:val="21"/>
                <w:vertAlign w:val="subscript"/>
              </w:rPr>
              <w:t>4</w:t>
            </w:r>
            <w:r>
              <w:rPr>
                <w:sz w:val="21"/>
                <w:szCs w:val="21"/>
                <w:vertAlign w:val="superscript"/>
              </w:rPr>
              <w:t>2-</w:t>
            </w:r>
          </w:p>
        </w:tc>
        <w:tc>
          <w:tcPr>
            <w:tcW w:w="1171" w:type="dxa"/>
            <w:tcBorders>
              <w:tl2br w:val="nil"/>
              <w:tr2bl w:val="nil"/>
            </w:tcBorders>
            <w:vAlign w:val="center"/>
          </w:tcPr>
          <w:p w14:paraId="64EE3229">
            <w:pPr>
              <w:adjustRightInd w:val="0"/>
              <w:snapToGrid w:val="0"/>
              <w:spacing w:line="240" w:lineRule="auto"/>
              <w:ind w:firstLine="0" w:firstLineChars="0"/>
              <w:jc w:val="center"/>
              <w:rPr>
                <w:sz w:val="21"/>
                <w:szCs w:val="21"/>
              </w:rPr>
            </w:pPr>
            <w:r>
              <w:rPr>
                <w:sz w:val="21"/>
                <w:szCs w:val="21"/>
              </w:rPr>
              <w:t>/</w:t>
            </w:r>
          </w:p>
        </w:tc>
      </w:tr>
      <w:tr w14:paraId="5EC16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2AA00434">
            <w:pPr>
              <w:tabs>
                <w:tab w:val="left" w:pos="0"/>
              </w:tabs>
              <w:adjustRightInd w:val="0"/>
              <w:snapToGrid w:val="0"/>
              <w:spacing w:line="240" w:lineRule="auto"/>
              <w:ind w:firstLine="0" w:firstLineChars="0"/>
              <w:jc w:val="center"/>
              <w:textAlignment w:val="baseline"/>
              <w:rPr>
                <w:sz w:val="21"/>
                <w:szCs w:val="21"/>
              </w:rPr>
            </w:pPr>
            <w:r>
              <w:rPr>
                <w:sz w:val="21"/>
                <w:szCs w:val="21"/>
              </w:rPr>
              <w:t>14</w:t>
            </w:r>
          </w:p>
        </w:tc>
        <w:tc>
          <w:tcPr>
            <w:tcW w:w="1567" w:type="dxa"/>
            <w:tcBorders>
              <w:tl2br w:val="nil"/>
              <w:tr2bl w:val="nil"/>
            </w:tcBorders>
            <w:vAlign w:val="center"/>
          </w:tcPr>
          <w:p w14:paraId="68616BA4">
            <w:pPr>
              <w:adjustRightInd w:val="0"/>
              <w:snapToGrid w:val="0"/>
              <w:spacing w:line="240" w:lineRule="auto"/>
              <w:ind w:firstLine="0" w:firstLineChars="0"/>
              <w:jc w:val="center"/>
              <w:rPr>
                <w:sz w:val="21"/>
                <w:szCs w:val="21"/>
              </w:rPr>
            </w:pPr>
            <w:r>
              <w:rPr>
                <w:sz w:val="21"/>
                <w:szCs w:val="21"/>
              </w:rPr>
              <w:t>铝</w:t>
            </w:r>
          </w:p>
        </w:tc>
        <w:tc>
          <w:tcPr>
            <w:tcW w:w="1140" w:type="dxa"/>
            <w:tcBorders>
              <w:tl2br w:val="nil"/>
              <w:tr2bl w:val="nil"/>
            </w:tcBorders>
            <w:vAlign w:val="center"/>
          </w:tcPr>
          <w:p w14:paraId="79011785">
            <w:pPr>
              <w:adjustRightInd w:val="0"/>
              <w:snapToGrid w:val="0"/>
              <w:spacing w:line="240" w:lineRule="auto"/>
              <w:ind w:firstLine="0" w:firstLineChars="0"/>
              <w:jc w:val="center"/>
              <w:rPr>
                <w:sz w:val="21"/>
                <w:szCs w:val="21"/>
              </w:rPr>
            </w:pPr>
            <w:r>
              <w:rPr>
                <w:sz w:val="21"/>
                <w:szCs w:val="21"/>
              </w:rPr>
              <w:t>≤0.20</w:t>
            </w:r>
          </w:p>
        </w:tc>
        <w:tc>
          <w:tcPr>
            <w:tcW w:w="713" w:type="dxa"/>
            <w:tcBorders>
              <w:tl2br w:val="nil"/>
              <w:tr2bl w:val="nil"/>
            </w:tcBorders>
            <w:vAlign w:val="center"/>
          </w:tcPr>
          <w:p w14:paraId="4E4CE413">
            <w:pPr>
              <w:adjustRightInd w:val="0"/>
              <w:snapToGrid w:val="0"/>
              <w:spacing w:line="240" w:lineRule="auto"/>
              <w:ind w:firstLine="0" w:firstLineChars="0"/>
              <w:jc w:val="center"/>
              <w:rPr>
                <w:sz w:val="21"/>
                <w:szCs w:val="21"/>
              </w:rPr>
            </w:pPr>
            <w:r>
              <w:rPr>
                <w:sz w:val="21"/>
                <w:szCs w:val="21"/>
              </w:rPr>
              <w:t>30</w:t>
            </w:r>
          </w:p>
        </w:tc>
        <w:tc>
          <w:tcPr>
            <w:tcW w:w="1301" w:type="dxa"/>
            <w:tcBorders>
              <w:tl2br w:val="nil"/>
              <w:tr2bl w:val="nil"/>
            </w:tcBorders>
            <w:vAlign w:val="center"/>
          </w:tcPr>
          <w:p w14:paraId="40212B52">
            <w:pPr>
              <w:adjustRightInd w:val="0"/>
              <w:snapToGrid w:val="0"/>
              <w:spacing w:line="240" w:lineRule="auto"/>
              <w:ind w:firstLine="0" w:firstLineChars="0"/>
              <w:jc w:val="center"/>
              <w:rPr>
                <w:sz w:val="21"/>
                <w:szCs w:val="21"/>
              </w:rPr>
            </w:pPr>
            <w:r>
              <w:rPr>
                <w:sz w:val="21"/>
                <w:szCs w:val="21"/>
              </w:rPr>
              <w:t>硒</w:t>
            </w:r>
          </w:p>
        </w:tc>
        <w:tc>
          <w:tcPr>
            <w:tcW w:w="888" w:type="dxa"/>
            <w:tcBorders>
              <w:tl2br w:val="nil"/>
              <w:tr2bl w:val="nil"/>
            </w:tcBorders>
            <w:vAlign w:val="center"/>
          </w:tcPr>
          <w:p w14:paraId="01431B15">
            <w:pPr>
              <w:adjustRightInd w:val="0"/>
              <w:snapToGrid w:val="0"/>
              <w:spacing w:line="240" w:lineRule="auto"/>
              <w:ind w:firstLine="0" w:firstLineChars="0"/>
              <w:jc w:val="center"/>
              <w:rPr>
                <w:sz w:val="21"/>
                <w:szCs w:val="21"/>
              </w:rPr>
            </w:pPr>
            <w:r>
              <w:rPr>
                <w:sz w:val="21"/>
                <w:szCs w:val="21"/>
              </w:rPr>
              <w:t>≤0.01</w:t>
            </w:r>
          </w:p>
        </w:tc>
        <w:tc>
          <w:tcPr>
            <w:tcW w:w="629" w:type="dxa"/>
            <w:tcBorders>
              <w:tl2br w:val="nil"/>
              <w:tr2bl w:val="nil"/>
            </w:tcBorders>
            <w:vAlign w:val="center"/>
          </w:tcPr>
          <w:p w14:paraId="446A974F">
            <w:pPr>
              <w:adjustRightInd w:val="0"/>
              <w:snapToGrid w:val="0"/>
              <w:spacing w:line="240" w:lineRule="auto"/>
              <w:ind w:firstLine="0" w:firstLineChars="0"/>
              <w:jc w:val="center"/>
              <w:rPr>
                <w:sz w:val="21"/>
                <w:szCs w:val="21"/>
              </w:rPr>
            </w:pPr>
            <w:r>
              <w:rPr>
                <w:sz w:val="21"/>
                <w:szCs w:val="21"/>
              </w:rPr>
              <w:t>46</w:t>
            </w:r>
          </w:p>
        </w:tc>
        <w:tc>
          <w:tcPr>
            <w:tcW w:w="1306" w:type="dxa"/>
            <w:tcBorders>
              <w:tl2br w:val="nil"/>
              <w:tr2bl w:val="nil"/>
            </w:tcBorders>
            <w:vAlign w:val="center"/>
          </w:tcPr>
          <w:p w14:paraId="3E1CF3D2">
            <w:pPr>
              <w:adjustRightInd w:val="0"/>
              <w:snapToGrid w:val="0"/>
              <w:spacing w:line="240" w:lineRule="auto"/>
              <w:ind w:firstLine="0" w:firstLineChars="0"/>
              <w:jc w:val="center"/>
              <w:rPr>
                <w:sz w:val="21"/>
                <w:szCs w:val="21"/>
              </w:rPr>
            </w:pPr>
            <w:r>
              <w:rPr>
                <w:sz w:val="21"/>
                <w:szCs w:val="21"/>
              </w:rPr>
              <w:t>CO</w:t>
            </w:r>
            <w:r>
              <w:rPr>
                <w:sz w:val="21"/>
                <w:szCs w:val="21"/>
                <w:vertAlign w:val="subscript"/>
              </w:rPr>
              <w:t>3</w:t>
            </w:r>
            <w:r>
              <w:rPr>
                <w:sz w:val="21"/>
                <w:szCs w:val="21"/>
                <w:vertAlign w:val="superscript"/>
              </w:rPr>
              <w:t>2-</w:t>
            </w:r>
          </w:p>
        </w:tc>
        <w:tc>
          <w:tcPr>
            <w:tcW w:w="1171" w:type="dxa"/>
            <w:tcBorders>
              <w:tl2br w:val="nil"/>
              <w:tr2bl w:val="nil"/>
            </w:tcBorders>
            <w:vAlign w:val="center"/>
          </w:tcPr>
          <w:p w14:paraId="2CCCE735">
            <w:pPr>
              <w:adjustRightInd w:val="0"/>
              <w:snapToGrid w:val="0"/>
              <w:spacing w:line="240" w:lineRule="auto"/>
              <w:ind w:firstLine="0" w:firstLineChars="0"/>
              <w:jc w:val="center"/>
              <w:rPr>
                <w:sz w:val="21"/>
                <w:szCs w:val="21"/>
              </w:rPr>
            </w:pPr>
            <w:r>
              <w:rPr>
                <w:sz w:val="21"/>
                <w:szCs w:val="21"/>
              </w:rPr>
              <w:t>/</w:t>
            </w:r>
          </w:p>
        </w:tc>
      </w:tr>
      <w:tr w14:paraId="79AA9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5F8EE0C1">
            <w:pPr>
              <w:tabs>
                <w:tab w:val="left" w:pos="0"/>
              </w:tabs>
              <w:adjustRightInd w:val="0"/>
              <w:snapToGrid w:val="0"/>
              <w:spacing w:line="240" w:lineRule="auto"/>
              <w:ind w:firstLine="0" w:firstLineChars="0"/>
              <w:jc w:val="center"/>
              <w:textAlignment w:val="baseline"/>
              <w:rPr>
                <w:sz w:val="21"/>
                <w:szCs w:val="21"/>
              </w:rPr>
            </w:pPr>
            <w:r>
              <w:rPr>
                <w:sz w:val="21"/>
                <w:szCs w:val="21"/>
              </w:rPr>
              <w:t>15</w:t>
            </w:r>
          </w:p>
        </w:tc>
        <w:tc>
          <w:tcPr>
            <w:tcW w:w="1567" w:type="dxa"/>
            <w:tcBorders>
              <w:tl2br w:val="nil"/>
              <w:tr2bl w:val="nil"/>
            </w:tcBorders>
            <w:vAlign w:val="center"/>
          </w:tcPr>
          <w:p w14:paraId="0B410A05">
            <w:pPr>
              <w:adjustRightInd w:val="0"/>
              <w:snapToGrid w:val="0"/>
              <w:spacing w:line="240" w:lineRule="auto"/>
              <w:ind w:firstLine="0" w:firstLineChars="0"/>
              <w:jc w:val="center"/>
              <w:rPr>
                <w:sz w:val="21"/>
                <w:szCs w:val="21"/>
              </w:rPr>
            </w:pPr>
            <w:r>
              <w:rPr>
                <w:sz w:val="21"/>
                <w:szCs w:val="21"/>
              </w:rPr>
              <w:t>挥发酚</w:t>
            </w:r>
          </w:p>
        </w:tc>
        <w:tc>
          <w:tcPr>
            <w:tcW w:w="1140" w:type="dxa"/>
            <w:tcBorders>
              <w:tl2br w:val="nil"/>
              <w:tr2bl w:val="nil"/>
            </w:tcBorders>
            <w:vAlign w:val="center"/>
          </w:tcPr>
          <w:p w14:paraId="466705A4">
            <w:pPr>
              <w:adjustRightInd w:val="0"/>
              <w:snapToGrid w:val="0"/>
              <w:spacing w:line="240" w:lineRule="auto"/>
              <w:ind w:firstLine="0" w:firstLineChars="0"/>
              <w:jc w:val="center"/>
              <w:rPr>
                <w:sz w:val="21"/>
                <w:szCs w:val="21"/>
              </w:rPr>
            </w:pPr>
            <w:r>
              <w:rPr>
                <w:sz w:val="21"/>
                <w:szCs w:val="21"/>
              </w:rPr>
              <w:t>≤0.002</w:t>
            </w:r>
          </w:p>
        </w:tc>
        <w:tc>
          <w:tcPr>
            <w:tcW w:w="713" w:type="dxa"/>
            <w:tcBorders>
              <w:tl2br w:val="nil"/>
              <w:tr2bl w:val="nil"/>
            </w:tcBorders>
            <w:vAlign w:val="center"/>
          </w:tcPr>
          <w:p w14:paraId="492BB272">
            <w:pPr>
              <w:adjustRightInd w:val="0"/>
              <w:snapToGrid w:val="0"/>
              <w:spacing w:line="240" w:lineRule="auto"/>
              <w:ind w:firstLine="0" w:firstLineChars="0"/>
              <w:jc w:val="center"/>
              <w:rPr>
                <w:sz w:val="21"/>
                <w:szCs w:val="21"/>
              </w:rPr>
            </w:pPr>
            <w:r>
              <w:rPr>
                <w:sz w:val="21"/>
                <w:szCs w:val="21"/>
              </w:rPr>
              <w:t>31</w:t>
            </w:r>
          </w:p>
        </w:tc>
        <w:tc>
          <w:tcPr>
            <w:tcW w:w="1301" w:type="dxa"/>
            <w:tcBorders>
              <w:tl2br w:val="nil"/>
              <w:tr2bl w:val="nil"/>
            </w:tcBorders>
            <w:vAlign w:val="center"/>
          </w:tcPr>
          <w:p w14:paraId="418D9D98">
            <w:pPr>
              <w:adjustRightInd w:val="0"/>
              <w:snapToGrid w:val="0"/>
              <w:spacing w:line="240" w:lineRule="auto"/>
              <w:ind w:firstLine="0" w:firstLineChars="0"/>
              <w:jc w:val="center"/>
              <w:rPr>
                <w:sz w:val="21"/>
                <w:szCs w:val="21"/>
              </w:rPr>
            </w:pPr>
            <w:r>
              <w:rPr>
                <w:kern w:val="0"/>
                <w:sz w:val="21"/>
                <w:szCs w:val="21"/>
              </w:rPr>
              <w:t>镉</w:t>
            </w:r>
          </w:p>
        </w:tc>
        <w:tc>
          <w:tcPr>
            <w:tcW w:w="888" w:type="dxa"/>
            <w:tcBorders>
              <w:tl2br w:val="nil"/>
              <w:tr2bl w:val="nil"/>
            </w:tcBorders>
            <w:vAlign w:val="center"/>
          </w:tcPr>
          <w:p w14:paraId="5C8D3484">
            <w:pPr>
              <w:adjustRightInd w:val="0"/>
              <w:snapToGrid w:val="0"/>
              <w:spacing w:line="240" w:lineRule="auto"/>
              <w:ind w:firstLine="0" w:firstLineChars="0"/>
              <w:jc w:val="center"/>
              <w:rPr>
                <w:sz w:val="21"/>
                <w:szCs w:val="21"/>
              </w:rPr>
            </w:pPr>
            <w:r>
              <w:rPr>
                <w:sz w:val="21"/>
                <w:szCs w:val="21"/>
              </w:rPr>
              <w:t>≤0.005</w:t>
            </w:r>
          </w:p>
        </w:tc>
        <w:tc>
          <w:tcPr>
            <w:tcW w:w="629" w:type="dxa"/>
            <w:tcBorders>
              <w:tl2br w:val="nil"/>
              <w:tr2bl w:val="nil"/>
            </w:tcBorders>
            <w:vAlign w:val="center"/>
          </w:tcPr>
          <w:p w14:paraId="508560B5">
            <w:pPr>
              <w:adjustRightInd w:val="0"/>
              <w:snapToGrid w:val="0"/>
              <w:spacing w:line="240" w:lineRule="auto"/>
              <w:ind w:firstLine="0" w:firstLineChars="0"/>
              <w:jc w:val="center"/>
              <w:rPr>
                <w:sz w:val="21"/>
                <w:szCs w:val="21"/>
              </w:rPr>
            </w:pPr>
            <w:r>
              <w:rPr>
                <w:sz w:val="21"/>
                <w:szCs w:val="21"/>
              </w:rPr>
              <w:t>47</w:t>
            </w:r>
          </w:p>
        </w:tc>
        <w:tc>
          <w:tcPr>
            <w:tcW w:w="1306" w:type="dxa"/>
            <w:tcBorders>
              <w:tl2br w:val="nil"/>
              <w:tr2bl w:val="nil"/>
            </w:tcBorders>
            <w:vAlign w:val="center"/>
          </w:tcPr>
          <w:p w14:paraId="053231A7">
            <w:pPr>
              <w:adjustRightInd w:val="0"/>
              <w:snapToGrid w:val="0"/>
              <w:spacing w:line="240" w:lineRule="auto"/>
              <w:ind w:firstLine="0" w:firstLineChars="0"/>
              <w:jc w:val="center"/>
              <w:rPr>
                <w:sz w:val="21"/>
                <w:szCs w:val="21"/>
              </w:rPr>
            </w:pPr>
            <w:r>
              <w:rPr>
                <w:sz w:val="21"/>
                <w:szCs w:val="21"/>
              </w:rPr>
              <w:t>HCO</w:t>
            </w:r>
            <w:r>
              <w:rPr>
                <w:sz w:val="21"/>
                <w:szCs w:val="21"/>
                <w:vertAlign w:val="subscript"/>
              </w:rPr>
              <w:t>3</w:t>
            </w:r>
            <w:r>
              <w:rPr>
                <w:sz w:val="21"/>
                <w:szCs w:val="21"/>
                <w:vertAlign w:val="superscript"/>
              </w:rPr>
              <w:t>-</w:t>
            </w:r>
          </w:p>
        </w:tc>
        <w:tc>
          <w:tcPr>
            <w:tcW w:w="1171" w:type="dxa"/>
            <w:tcBorders>
              <w:tl2br w:val="nil"/>
              <w:tr2bl w:val="nil"/>
            </w:tcBorders>
            <w:vAlign w:val="center"/>
          </w:tcPr>
          <w:p w14:paraId="3B4840B7">
            <w:pPr>
              <w:adjustRightInd w:val="0"/>
              <w:snapToGrid w:val="0"/>
              <w:spacing w:line="240" w:lineRule="auto"/>
              <w:ind w:firstLine="0" w:firstLineChars="0"/>
              <w:jc w:val="center"/>
              <w:rPr>
                <w:sz w:val="21"/>
                <w:szCs w:val="21"/>
              </w:rPr>
            </w:pPr>
            <w:r>
              <w:rPr>
                <w:sz w:val="21"/>
                <w:szCs w:val="21"/>
              </w:rPr>
              <w:t>/</w:t>
            </w:r>
          </w:p>
        </w:tc>
      </w:tr>
      <w:tr w14:paraId="1FF7B0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72" w:type="dxa"/>
            <w:tcBorders>
              <w:tl2br w:val="nil"/>
              <w:tr2bl w:val="nil"/>
            </w:tcBorders>
            <w:vAlign w:val="center"/>
          </w:tcPr>
          <w:p w14:paraId="61ECCAE2">
            <w:pPr>
              <w:tabs>
                <w:tab w:val="left" w:pos="0"/>
              </w:tabs>
              <w:adjustRightInd w:val="0"/>
              <w:snapToGrid w:val="0"/>
              <w:spacing w:line="240" w:lineRule="auto"/>
              <w:ind w:firstLine="0" w:firstLineChars="0"/>
              <w:jc w:val="center"/>
              <w:textAlignment w:val="baseline"/>
              <w:rPr>
                <w:sz w:val="21"/>
                <w:szCs w:val="21"/>
              </w:rPr>
            </w:pPr>
            <w:r>
              <w:rPr>
                <w:sz w:val="21"/>
                <w:szCs w:val="21"/>
              </w:rPr>
              <w:t>16</w:t>
            </w:r>
          </w:p>
        </w:tc>
        <w:tc>
          <w:tcPr>
            <w:tcW w:w="1567" w:type="dxa"/>
            <w:tcBorders>
              <w:tl2br w:val="nil"/>
              <w:tr2bl w:val="nil"/>
            </w:tcBorders>
            <w:vAlign w:val="center"/>
          </w:tcPr>
          <w:p w14:paraId="2D60DACD">
            <w:pPr>
              <w:adjustRightInd w:val="0"/>
              <w:snapToGrid w:val="0"/>
              <w:spacing w:line="240" w:lineRule="auto"/>
              <w:ind w:firstLine="0" w:firstLineChars="0"/>
              <w:jc w:val="center"/>
              <w:rPr>
                <w:sz w:val="21"/>
                <w:szCs w:val="21"/>
              </w:rPr>
            </w:pPr>
            <w:r>
              <w:rPr>
                <w:sz w:val="21"/>
                <w:szCs w:val="21"/>
              </w:rPr>
              <w:t>阴离子表面活性剂</w:t>
            </w:r>
          </w:p>
        </w:tc>
        <w:tc>
          <w:tcPr>
            <w:tcW w:w="1140" w:type="dxa"/>
            <w:tcBorders>
              <w:tl2br w:val="nil"/>
              <w:tr2bl w:val="nil"/>
            </w:tcBorders>
            <w:vAlign w:val="center"/>
          </w:tcPr>
          <w:p w14:paraId="2AD8DC4F">
            <w:pPr>
              <w:adjustRightInd w:val="0"/>
              <w:snapToGrid w:val="0"/>
              <w:spacing w:line="240" w:lineRule="auto"/>
              <w:ind w:firstLine="0" w:firstLineChars="0"/>
              <w:jc w:val="center"/>
              <w:rPr>
                <w:sz w:val="21"/>
                <w:szCs w:val="21"/>
              </w:rPr>
            </w:pPr>
            <w:r>
              <w:rPr>
                <w:sz w:val="21"/>
                <w:szCs w:val="21"/>
              </w:rPr>
              <w:t>≤0.3</w:t>
            </w:r>
          </w:p>
        </w:tc>
        <w:tc>
          <w:tcPr>
            <w:tcW w:w="713" w:type="dxa"/>
            <w:tcBorders>
              <w:tl2br w:val="nil"/>
              <w:tr2bl w:val="nil"/>
            </w:tcBorders>
            <w:vAlign w:val="center"/>
          </w:tcPr>
          <w:p w14:paraId="20D25471">
            <w:pPr>
              <w:adjustRightInd w:val="0"/>
              <w:snapToGrid w:val="0"/>
              <w:spacing w:line="240" w:lineRule="auto"/>
              <w:ind w:firstLine="0" w:firstLineChars="0"/>
              <w:jc w:val="center"/>
              <w:rPr>
                <w:sz w:val="21"/>
                <w:szCs w:val="21"/>
              </w:rPr>
            </w:pPr>
            <w:r>
              <w:rPr>
                <w:sz w:val="21"/>
                <w:szCs w:val="21"/>
              </w:rPr>
              <w:t>32</w:t>
            </w:r>
          </w:p>
        </w:tc>
        <w:tc>
          <w:tcPr>
            <w:tcW w:w="1301" w:type="dxa"/>
            <w:tcBorders>
              <w:tl2br w:val="nil"/>
              <w:tr2bl w:val="nil"/>
            </w:tcBorders>
            <w:vAlign w:val="center"/>
          </w:tcPr>
          <w:p w14:paraId="76858033">
            <w:pPr>
              <w:adjustRightInd w:val="0"/>
              <w:snapToGrid w:val="0"/>
              <w:spacing w:line="240" w:lineRule="auto"/>
              <w:ind w:firstLine="0" w:firstLineChars="0"/>
              <w:jc w:val="center"/>
              <w:rPr>
                <w:sz w:val="21"/>
                <w:szCs w:val="21"/>
              </w:rPr>
            </w:pPr>
            <w:r>
              <w:rPr>
                <w:sz w:val="21"/>
                <w:szCs w:val="21"/>
              </w:rPr>
              <w:t>六价铬</w:t>
            </w:r>
          </w:p>
        </w:tc>
        <w:tc>
          <w:tcPr>
            <w:tcW w:w="888" w:type="dxa"/>
            <w:tcBorders>
              <w:tl2br w:val="nil"/>
              <w:tr2bl w:val="nil"/>
            </w:tcBorders>
            <w:vAlign w:val="center"/>
          </w:tcPr>
          <w:p w14:paraId="3B29AA57">
            <w:pPr>
              <w:adjustRightInd w:val="0"/>
              <w:snapToGrid w:val="0"/>
              <w:spacing w:line="240" w:lineRule="auto"/>
              <w:ind w:firstLine="0" w:firstLineChars="0"/>
              <w:jc w:val="center"/>
              <w:rPr>
                <w:sz w:val="21"/>
                <w:szCs w:val="21"/>
              </w:rPr>
            </w:pPr>
            <w:r>
              <w:rPr>
                <w:sz w:val="21"/>
                <w:szCs w:val="21"/>
              </w:rPr>
              <w:t>≤0.05</w:t>
            </w:r>
          </w:p>
        </w:tc>
        <w:tc>
          <w:tcPr>
            <w:tcW w:w="629" w:type="dxa"/>
            <w:tcBorders>
              <w:tl2br w:val="nil"/>
              <w:tr2bl w:val="nil"/>
            </w:tcBorders>
            <w:vAlign w:val="center"/>
          </w:tcPr>
          <w:p w14:paraId="250507FF">
            <w:pPr>
              <w:adjustRightInd w:val="0"/>
              <w:snapToGrid w:val="0"/>
              <w:spacing w:line="240" w:lineRule="auto"/>
              <w:ind w:firstLine="0" w:firstLineChars="0"/>
              <w:jc w:val="center"/>
              <w:rPr>
                <w:sz w:val="21"/>
                <w:szCs w:val="21"/>
              </w:rPr>
            </w:pPr>
          </w:p>
        </w:tc>
        <w:tc>
          <w:tcPr>
            <w:tcW w:w="1306" w:type="dxa"/>
            <w:tcBorders>
              <w:tl2br w:val="nil"/>
              <w:tr2bl w:val="nil"/>
            </w:tcBorders>
            <w:vAlign w:val="center"/>
          </w:tcPr>
          <w:p w14:paraId="7AF2707F">
            <w:pPr>
              <w:adjustRightInd w:val="0"/>
              <w:snapToGrid w:val="0"/>
              <w:spacing w:line="240" w:lineRule="auto"/>
              <w:ind w:firstLine="0" w:firstLineChars="0"/>
              <w:jc w:val="center"/>
              <w:rPr>
                <w:sz w:val="21"/>
                <w:szCs w:val="21"/>
              </w:rPr>
            </w:pPr>
          </w:p>
        </w:tc>
        <w:tc>
          <w:tcPr>
            <w:tcW w:w="1171" w:type="dxa"/>
            <w:tcBorders>
              <w:tl2br w:val="nil"/>
              <w:tr2bl w:val="nil"/>
            </w:tcBorders>
            <w:vAlign w:val="center"/>
          </w:tcPr>
          <w:p w14:paraId="14C54B41">
            <w:pPr>
              <w:adjustRightInd w:val="0"/>
              <w:snapToGrid w:val="0"/>
              <w:spacing w:line="240" w:lineRule="auto"/>
              <w:ind w:firstLine="0" w:firstLineChars="0"/>
              <w:jc w:val="center"/>
              <w:rPr>
                <w:sz w:val="21"/>
                <w:szCs w:val="21"/>
              </w:rPr>
            </w:pPr>
          </w:p>
        </w:tc>
      </w:tr>
    </w:tbl>
    <w:p w14:paraId="5CEF5A7A">
      <w:pPr>
        <w:pStyle w:val="12"/>
      </w:pPr>
      <w:r>
        <w:t>2.6.1.3声环境质量标准</w:t>
      </w:r>
    </w:p>
    <w:p w14:paraId="006704BF">
      <w:pPr>
        <w:pStyle w:val="105"/>
        <w:ind w:firstLine="480"/>
        <w:jc w:val="both"/>
      </w:pPr>
      <w:r>
        <w:rPr>
          <w:rFonts w:hint="eastAsia"/>
        </w:rPr>
        <w:t>根据《声环境功能区划分技术规范》（GB/T15190-2014）中8.1区划的划分次序要求，区划宜首先对0、1、3类声环境功能区确认划分，余下区域划分为2类声环境功能区，在此基础上划分4类声环境功能区。依据《声环境功能区划分技术规范》（GB/T15190-2014）中8.2 0~3类声环境功能区划分如下：</w:t>
      </w:r>
    </w:p>
    <w:p w14:paraId="79BA2ED7">
      <w:pPr>
        <w:pStyle w:val="105"/>
        <w:ind w:firstLine="480"/>
      </w:pPr>
      <w:r>
        <w:rPr>
          <w:rFonts w:hint="eastAsia"/>
        </w:rPr>
        <w:t>0类声环境功能区：适用于康复疗养区等特别需要安静的区域。该区域内及附近区域应无明显噪声源，区域界限明确。</w:t>
      </w:r>
    </w:p>
    <w:p w14:paraId="3734E384">
      <w:pPr>
        <w:pStyle w:val="105"/>
        <w:ind w:firstLine="480"/>
      </w:pPr>
      <w:r>
        <w:rPr>
          <w:rFonts w:hint="eastAsia"/>
        </w:rPr>
        <w:t>1类声环境功能区：适用于城市用地已形成一定规模或近期规划已明确主要功能的区域，其用地性质符合1类声环境功能区规定的区域；或者</w:t>
      </w:r>
      <w:r>
        <w:rPr>
          <w:rFonts w:hint="eastAsia" w:ascii="微软雅黑" w:hAnsi="微软雅黑" w:eastAsia="微软雅黑" w:cs="微软雅黑"/>
        </w:rPr>
        <w:t>Ⅰ</w:t>
      </w:r>
      <w:r>
        <w:rPr>
          <w:rFonts w:hint="eastAsia"/>
        </w:rPr>
        <w:t>类用地占地率大于70%（含70%）的混合用地区域。</w:t>
      </w:r>
    </w:p>
    <w:p w14:paraId="7A354307">
      <w:pPr>
        <w:pStyle w:val="105"/>
        <w:ind w:firstLine="480"/>
      </w:pPr>
      <w:r>
        <w:rPr>
          <w:rFonts w:hint="eastAsia"/>
        </w:rPr>
        <w:t>2类声环境功能区：适用于适用于城市用地已形成一定规模或近期规划已明确主要功能的区域，其用地性质符合2类声环境功能区规定的区域；或者划定的0、1、3类声环境功能区以外居住、商业、工业混杂区域。</w:t>
      </w:r>
    </w:p>
    <w:p w14:paraId="31E1A4E5">
      <w:pPr>
        <w:pStyle w:val="105"/>
        <w:ind w:firstLine="480"/>
      </w:pPr>
      <w:r>
        <w:rPr>
          <w:rFonts w:hint="eastAsia"/>
        </w:rPr>
        <w:t>3类声环境功能区：适用于城市用地已形成一定规模或近期规划已明确主要功能的区域，其用地性质符合3类声环境功能区规定的区域；或者</w:t>
      </w:r>
      <w:r>
        <w:rPr>
          <w:rFonts w:hint="eastAsia" w:ascii="微软雅黑" w:hAnsi="微软雅黑" w:eastAsia="微软雅黑" w:cs="微软雅黑"/>
        </w:rPr>
        <w:t>Ⅱ</w:t>
      </w:r>
      <w:r>
        <w:rPr>
          <w:rFonts w:hint="eastAsia"/>
        </w:rPr>
        <w:t>类用地占地率大于70%（含70%）的混合用地区域。</w:t>
      </w:r>
    </w:p>
    <w:p w14:paraId="32359D4F">
      <w:pPr>
        <w:ind w:firstLine="480"/>
        <w:jc w:val="both"/>
      </w:pPr>
      <w:r>
        <w:rPr>
          <w:rFonts w:hint="eastAsia"/>
        </w:rPr>
        <w:t>综上所述本项目所在地不符合0、1、3类声环境功能区要求，因此根据《声环境功能区划分技术规范》（GB/T15190-2014）中8.1区划的划分次序要求划分本项目声环境功能区为2类</w:t>
      </w:r>
      <w:r>
        <w:t>，</w:t>
      </w:r>
      <w:r>
        <w:rPr>
          <w:rFonts w:hint="eastAsia"/>
        </w:rPr>
        <w:t>声</w:t>
      </w:r>
      <w:r>
        <w:t>环境执行《声环境质量标准》（GB3096-2008）2类标准，标准值见表2.6-3所示。</w:t>
      </w:r>
    </w:p>
    <w:p w14:paraId="1E86A8CA">
      <w:pPr>
        <w:spacing w:line="240" w:lineRule="auto"/>
        <w:ind w:firstLine="482"/>
        <w:jc w:val="center"/>
      </w:pPr>
      <w:r>
        <w:rPr>
          <w:b/>
          <w:bCs/>
        </w:rPr>
        <w:t>表2.6-3</w:t>
      </w:r>
      <w:r>
        <w:t xml:space="preserve">  </w:t>
      </w:r>
      <w:r>
        <w:rPr>
          <w:b/>
          <w:bCs/>
        </w:rPr>
        <w:t>《声环境质量标准》（GB3096-2008）</w:t>
      </w:r>
    </w:p>
    <w:tbl>
      <w:tblPr>
        <w:tblStyle w:val="82"/>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86"/>
        <w:gridCol w:w="1781"/>
        <w:gridCol w:w="2780"/>
        <w:gridCol w:w="2836"/>
      </w:tblGrid>
      <w:tr w14:paraId="21621B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l2br w:val="nil"/>
              <w:tr2bl w:val="nil"/>
            </w:tcBorders>
          </w:tcPr>
          <w:p w14:paraId="6B059EA9">
            <w:pPr>
              <w:spacing w:line="240" w:lineRule="auto"/>
              <w:ind w:firstLine="420"/>
              <w:jc w:val="center"/>
              <w:rPr>
                <w:sz w:val="21"/>
                <w:szCs w:val="21"/>
              </w:rPr>
            </w:pPr>
            <w:r>
              <w:rPr>
                <w:sz w:val="21"/>
                <w:szCs w:val="21"/>
              </w:rPr>
              <w:t>功能区</w:t>
            </w:r>
          </w:p>
        </w:tc>
        <w:tc>
          <w:tcPr>
            <w:tcW w:w="959" w:type="pct"/>
            <w:tcBorders>
              <w:tl2br w:val="nil"/>
              <w:tr2bl w:val="nil"/>
            </w:tcBorders>
          </w:tcPr>
          <w:p w14:paraId="144D7E21">
            <w:pPr>
              <w:spacing w:line="240" w:lineRule="auto"/>
              <w:ind w:firstLine="420"/>
              <w:jc w:val="center"/>
              <w:rPr>
                <w:sz w:val="21"/>
                <w:szCs w:val="21"/>
              </w:rPr>
            </w:pPr>
            <w:r>
              <w:rPr>
                <w:sz w:val="21"/>
                <w:szCs w:val="21"/>
              </w:rPr>
              <w:t>单位</w:t>
            </w:r>
          </w:p>
        </w:tc>
        <w:tc>
          <w:tcPr>
            <w:tcW w:w="1497" w:type="pct"/>
            <w:tcBorders>
              <w:tl2br w:val="nil"/>
              <w:tr2bl w:val="nil"/>
            </w:tcBorders>
          </w:tcPr>
          <w:p w14:paraId="54748023">
            <w:pPr>
              <w:spacing w:line="240" w:lineRule="auto"/>
              <w:ind w:firstLine="420"/>
              <w:jc w:val="center"/>
              <w:rPr>
                <w:sz w:val="21"/>
                <w:szCs w:val="21"/>
              </w:rPr>
            </w:pPr>
            <w:r>
              <w:rPr>
                <w:sz w:val="21"/>
                <w:szCs w:val="21"/>
              </w:rPr>
              <w:t>昼间</w:t>
            </w:r>
          </w:p>
        </w:tc>
        <w:tc>
          <w:tcPr>
            <w:tcW w:w="1527" w:type="pct"/>
            <w:tcBorders>
              <w:tl2br w:val="nil"/>
              <w:tr2bl w:val="nil"/>
            </w:tcBorders>
          </w:tcPr>
          <w:p w14:paraId="6B7CA4E5">
            <w:pPr>
              <w:spacing w:line="240" w:lineRule="auto"/>
              <w:ind w:firstLine="420"/>
              <w:jc w:val="center"/>
              <w:rPr>
                <w:sz w:val="21"/>
                <w:szCs w:val="21"/>
              </w:rPr>
            </w:pPr>
            <w:r>
              <w:rPr>
                <w:sz w:val="21"/>
                <w:szCs w:val="21"/>
              </w:rPr>
              <w:t>夜间</w:t>
            </w:r>
          </w:p>
        </w:tc>
      </w:tr>
      <w:tr w14:paraId="35476F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l2br w:val="nil"/>
              <w:tr2bl w:val="nil"/>
            </w:tcBorders>
          </w:tcPr>
          <w:p w14:paraId="100C320D">
            <w:pPr>
              <w:spacing w:line="240" w:lineRule="auto"/>
              <w:ind w:firstLine="420"/>
              <w:jc w:val="center"/>
              <w:rPr>
                <w:sz w:val="21"/>
                <w:szCs w:val="21"/>
              </w:rPr>
            </w:pPr>
            <w:r>
              <w:rPr>
                <w:sz w:val="21"/>
                <w:szCs w:val="21"/>
              </w:rPr>
              <w:t>2类区</w:t>
            </w:r>
          </w:p>
        </w:tc>
        <w:tc>
          <w:tcPr>
            <w:tcW w:w="959" w:type="pct"/>
            <w:tcBorders>
              <w:tl2br w:val="nil"/>
              <w:tr2bl w:val="nil"/>
            </w:tcBorders>
          </w:tcPr>
          <w:p w14:paraId="44CB57D9">
            <w:pPr>
              <w:spacing w:line="240" w:lineRule="auto"/>
              <w:ind w:firstLine="420"/>
              <w:jc w:val="center"/>
              <w:rPr>
                <w:sz w:val="21"/>
                <w:szCs w:val="21"/>
              </w:rPr>
            </w:pPr>
            <w:r>
              <w:rPr>
                <w:sz w:val="21"/>
                <w:szCs w:val="21"/>
              </w:rPr>
              <w:t>dB(A)</w:t>
            </w:r>
          </w:p>
        </w:tc>
        <w:tc>
          <w:tcPr>
            <w:tcW w:w="1497" w:type="pct"/>
            <w:tcBorders>
              <w:tl2br w:val="nil"/>
              <w:tr2bl w:val="nil"/>
            </w:tcBorders>
          </w:tcPr>
          <w:p w14:paraId="62AD2F91">
            <w:pPr>
              <w:spacing w:line="240" w:lineRule="auto"/>
              <w:ind w:firstLine="420"/>
              <w:jc w:val="center"/>
              <w:rPr>
                <w:sz w:val="21"/>
                <w:szCs w:val="21"/>
              </w:rPr>
            </w:pPr>
            <w:r>
              <w:rPr>
                <w:sz w:val="21"/>
                <w:szCs w:val="21"/>
              </w:rPr>
              <w:t>60</w:t>
            </w:r>
          </w:p>
        </w:tc>
        <w:tc>
          <w:tcPr>
            <w:tcW w:w="1527" w:type="pct"/>
            <w:tcBorders>
              <w:tl2br w:val="nil"/>
              <w:tr2bl w:val="nil"/>
            </w:tcBorders>
          </w:tcPr>
          <w:p w14:paraId="060CF9FE">
            <w:pPr>
              <w:spacing w:line="240" w:lineRule="auto"/>
              <w:ind w:firstLine="420"/>
              <w:jc w:val="center"/>
              <w:rPr>
                <w:sz w:val="21"/>
                <w:szCs w:val="21"/>
              </w:rPr>
            </w:pPr>
            <w:r>
              <w:rPr>
                <w:sz w:val="21"/>
                <w:szCs w:val="21"/>
              </w:rPr>
              <w:t>50</w:t>
            </w:r>
          </w:p>
        </w:tc>
      </w:tr>
    </w:tbl>
    <w:p w14:paraId="369FF694">
      <w:pPr>
        <w:pStyle w:val="12"/>
      </w:pPr>
      <w:r>
        <w:t>2.6.1.4 土壤环境质量标准</w:t>
      </w:r>
    </w:p>
    <w:p w14:paraId="66E3151D">
      <w:pPr>
        <w:autoSpaceDE w:val="0"/>
        <w:autoSpaceDN w:val="0"/>
        <w:ind w:firstLine="480"/>
        <w:rPr>
          <w:szCs w:val="32"/>
        </w:rPr>
      </w:pPr>
      <w:r>
        <w:rPr>
          <w:szCs w:val="32"/>
        </w:rPr>
        <w:t>土壤环境质量执行《土壤环境质量农用地土壤污染风险管控标准（试行）》（GB15618-2018）中的土壤污染风险筛选值标准，具体值见表</w:t>
      </w:r>
      <w:r>
        <w:rPr>
          <w:bCs/>
          <w:szCs w:val="32"/>
        </w:rPr>
        <w:t>2.6-4</w:t>
      </w:r>
      <w:r>
        <w:rPr>
          <w:szCs w:val="32"/>
        </w:rPr>
        <w:t>。</w:t>
      </w:r>
    </w:p>
    <w:p w14:paraId="08B960A4">
      <w:pPr>
        <w:spacing w:line="240" w:lineRule="auto"/>
        <w:ind w:firstLine="0" w:firstLineChars="0"/>
        <w:jc w:val="center"/>
        <w:rPr>
          <w:b/>
          <w:bCs/>
        </w:rPr>
      </w:pPr>
      <w:r>
        <w:rPr>
          <w:b/>
          <w:bCs/>
        </w:rPr>
        <w:t>表2.6-4  《土壤环境质量农用地土壤污染风险管控标准（试行）》（GB15618-2018）</w:t>
      </w:r>
    </w:p>
    <w:tbl>
      <w:tblPr>
        <w:tblStyle w:val="82"/>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820"/>
        <w:gridCol w:w="3308"/>
        <w:gridCol w:w="3155"/>
      </w:tblGrid>
      <w:tr w14:paraId="7601B2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blHeader/>
          <w:jc w:val="center"/>
        </w:trPr>
        <w:tc>
          <w:tcPr>
            <w:tcW w:w="1519" w:type="pct"/>
            <w:tcBorders>
              <w:tl2br w:val="nil"/>
              <w:tr2bl w:val="nil"/>
            </w:tcBorders>
            <w:vAlign w:val="center"/>
          </w:tcPr>
          <w:p w14:paraId="5762B0EE">
            <w:pPr>
              <w:autoSpaceDE w:val="0"/>
              <w:autoSpaceDN w:val="0"/>
              <w:adjustRightInd w:val="0"/>
              <w:snapToGrid w:val="0"/>
              <w:spacing w:line="240" w:lineRule="auto"/>
              <w:ind w:firstLine="420"/>
              <w:jc w:val="center"/>
              <w:rPr>
                <w:sz w:val="21"/>
                <w:szCs w:val="21"/>
                <w:lang w:val="zh-CN"/>
              </w:rPr>
            </w:pPr>
            <w:r>
              <w:rPr>
                <w:sz w:val="21"/>
                <w:szCs w:val="21"/>
                <w:lang w:val="zh-CN"/>
              </w:rPr>
              <w:t>项目</w:t>
            </w:r>
          </w:p>
        </w:tc>
        <w:tc>
          <w:tcPr>
            <w:tcW w:w="1782" w:type="pct"/>
            <w:tcBorders>
              <w:tl2br w:val="nil"/>
              <w:tr2bl w:val="nil"/>
            </w:tcBorders>
            <w:vAlign w:val="center"/>
          </w:tcPr>
          <w:p w14:paraId="40533BBF">
            <w:pPr>
              <w:autoSpaceDE w:val="0"/>
              <w:autoSpaceDN w:val="0"/>
              <w:adjustRightInd w:val="0"/>
              <w:snapToGrid w:val="0"/>
              <w:spacing w:line="240" w:lineRule="auto"/>
              <w:ind w:firstLine="420"/>
              <w:jc w:val="center"/>
              <w:rPr>
                <w:sz w:val="21"/>
                <w:szCs w:val="21"/>
                <w:lang w:val="zh-CN"/>
              </w:rPr>
            </w:pPr>
            <w:r>
              <w:rPr>
                <w:sz w:val="21"/>
                <w:szCs w:val="21"/>
                <w:lang w:val="zh-CN"/>
              </w:rPr>
              <w:t>风险筛选值</w:t>
            </w:r>
          </w:p>
        </w:tc>
        <w:tc>
          <w:tcPr>
            <w:tcW w:w="1699" w:type="pct"/>
            <w:tcBorders>
              <w:tl2br w:val="nil"/>
              <w:tr2bl w:val="nil"/>
            </w:tcBorders>
            <w:vAlign w:val="center"/>
          </w:tcPr>
          <w:p w14:paraId="2B81DED2">
            <w:pPr>
              <w:autoSpaceDE w:val="0"/>
              <w:autoSpaceDN w:val="0"/>
              <w:adjustRightInd w:val="0"/>
              <w:snapToGrid w:val="0"/>
              <w:spacing w:line="240" w:lineRule="auto"/>
              <w:ind w:firstLine="420"/>
              <w:jc w:val="center"/>
              <w:rPr>
                <w:sz w:val="21"/>
                <w:szCs w:val="21"/>
                <w:lang w:val="zh-CN"/>
              </w:rPr>
            </w:pPr>
            <w:r>
              <w:rPr>
                <w:sz w:val="21"/>
                <w:szCs w:val="21"/>
                <w:lang w:val="zh-CN"/>
              </w:rPr>
              <w:t>单位</w:t>
            </w:r>
          </w:p>
        </w:tc>
      </w:tr>
      <w:tr w14:paraId="061189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71522F2D">
            <w:pPr>
              <w:pStyle w:val="357"/>
              <w:ind w:firstLine="210"/>
              <w:rPr>
                <w:snapToGrid w:val="0"/>
                <w:szCs w:val="21"/>
              </w:rPr>
            </w:pPr>
            <w:r>
              <w:rPr>
                <w:snapToGrid w:val="0"/>
                <w:szCs w:val="21"/>
              </w:rPr>
              <w:t>pH值</w:t>
            </w:r>
          </w:p>
        </w:tc>
        <w:tc>
          <w:tcPr>
            <w:tcW w:w="1782" w:type="pct"/>
            <w:tcBorders>
              <w:tl2br w:val="nil"/>
              <w:tr2bl w:val="nil"/>
            </w:tcBorders>
            <w:vAlign w:val="center"/>
          </w:tcPr>
          <w:p w14:paraId="1D1F548E">
            <w:pPr>
              <w:pStyle w:val="357"/>
              <w:ind w:firstLine="210"/>
              <w:rPr>
                <w:snapToGrid w:val="0"/>
                <w:szCs w:val="21"/>
              </w:rPr>
            </w:pPr>
            <w:r>
              <w:rPr>
                <w:snapToGrid w:val="0"/>
                <w:szCs w:val="21"/>
              </w:rPr>
              <w:t>6.5＜pH≤7.5</w:t>
            </w:r>
          </w:p>
        </w:tc>
        <w:tc>
          <w:tcPr>
            <w:tcW w:w="1699" w:type="pct"/>
            <w:tcBorders>
              <w:tl2br w:val="nil"/>
              <w:tr2bl w:val="nil"/>
            </w:tcBorders>
            <w:vAlign w:val="center"/>
          </w:tcPr>
          <w:p w14:paraId="7D9E97A0">
            <w:pPr>
              <w:pStyle w:val="357"/>
              <w:ind w:firstLine="210"/>
              <w:rPr>
                <w:snapToGrid w:val="0"/>
                <w:szCs w:val="21"/>
              </w:rPr>
            </w:pPr>
            <w:r>
              <w:rPr>
                <w:snapToGrid w:val="0"/>
                <w:szCs w:val="21"/>
                <w:lang w:val="zh-CN"/>
              </w:rPr>
              <w:t>mg/kg</w:t>
            </w:r>
          </w:p>
        </w:tc>
      </w:tr>
      <w:tr w14:paraId="7FA7F6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0A81518A">
            <w:pPr>
              <w:pStyle w:val="357"/>
              <w:ind w:firstLine="210"/>
              <w:rPr>
                <w:snapToGrid w:val="0"/>
                <w:szCs w:val="21"/>
              </w:rPr>
            </w:pPr>
            <w:r>
              <w:rPr>
                <w:snapToGrid w:val="0"/>
                <w:szCs w:val="21"/>
              </w:rPr>
              <w:t>镉</w:t>
            </w:r>
          </w:p>
        </w:tc>
        <w:tc>
          <w:tcPr>
            <w:tcW w:w="1782" w:type="pct"/>
            <w:tcBorders>
              <w:tl2br w:val="nil"/>
              <w:tr2bl w:val="nil"/>
            </w:tcBorders>
            <w:vAlign w:val="center"/>
          </w:tcPr>
          <w:p w14:paraId="31E82229">
            <w:pPr>
              <w:pStyle w:val="357"/>
              <w:ind w:firstLine="210"/>
              <w:rPr>
                <w:snapToGrid w:val="0"/>
                <w:szCs w:val="21"/>
              </w:rPr>
            </w:pPr>
            <w:r>
              <w:rPr>
                <w:snapToGrid w:val="0"/>
                <w:szCs w:val="21"/>
              </w:rPr>
              <w:t>0.6</w:t>
            </w:r>
          </w:p>
        </w:tc>
        <w:tc>
          <w:tcPr>
            <w:tcW w:w="1699" w:type="pct"/>
            <w:tcBorders>
              <w:tl2br w:val="nil"/>
              <w:tr2bl w:val="nil"/>
            </w:tcBorders>
            <w:vAlign w:val="center"/>
          </w:tcPr>
          <w:p w14:paraId="2F71FF56">
            <w:pPr>
              <w:spacing w:line="240" w:lineRule="auto"/>
              <w:ind w:firstLine="420"/>
              <w:jc w:val="center"/>
              <w:rPr>
                <w:snapToGrid w:val="0"/>
                <w:kern w:val="0"/>
                <w:sz w:val="21"/>
                <w:szCs w:val="21"/>
              </w:rPr>
            </w:pPr>
            <w:r>
              <w:rPr>
                <w:sz w:val="21"/>
                <w:szCs w:val="21"/>
                <w:lang w:val="zh-CN"/>
              </w:rPr>
              <w:t>mg/kg</w:t>
            </w:r>
          </w:p>
        </w:tc>
      </w:tr>
      <w:tr w14:paraId="6E726C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3E3FFC62">
            <w:pPr>
              <w:pStyle w:val="357"/>
              <w:ind w:firstLine="210"/>
              <w:rPr>
                <w:snapToGrid w:val="0"/>
                <w:szCs w:val="21"/>
              </w:rPr>
            </w:pPr>
            <w:r>
              <w:rPr>
                <w:snapToGrid w:val="0"/>
                <w:szCs w:val="21"/>
              </w:rPr>
              <w:t>汞</w:t>
            </w:r>
          </w:p>
        </w:tc>
        <w:tc>
          <w:tcPr>
            <w:tcW w:w="1782" w:type="pct"/>
            <w:tcBorders>
              <w:tl2br w:val="nil"/>
              <w:tr2bl w:val="nil"/>
            </w:tcBorders>
            <w:vAlign w:val="center"/>
          </w:tcPr>
          <w:p w14:paraId="6E25A7E7">
            <w:pPr>
              <w:pStyle w:val="357"/>
              <w:ind w:firstLine="210"/>
              <w:rPr>
                <w:snapToGrid w:val="0"/>
                <w:szCs w:val="21"/>
              </w:rPr>
            </w:pPr>
            <w:r>
              <w:rPr>
                <w:snapToGrid w:val="0"/>
                <w:szCs w:val="21"/>
              </w:rPr>
              <w:t>3.4</w:t>
            </w:r>
          </w:p>
        </w:tc>
        <w:tc>
          <w:tcPr>
            <w:tcW w:w="1699" w:type="pct"/>
            <w:tcBorders>
              <w:tl2br w:val="nil"/>
              <w:tr2bl w:val="nil"/>
            </w:tcBorders>
            <w:vAlign w:val="center"/>
          </w:tcPr>
          <w:p w14:paraId="4B508B42">
            <w:pPr>
              <w:spacing w:line="240" w:lineRule="auto"/>
              <w:ind w:firstLine="420"/>
              <w:jc w:val="center"/>
              <w:rPr>
                <w:snapToGrid w:val="0"/>
                <w:kern w:val="0"/>
                <w:sz w:val="21"/>
                <w:szCs w:val="21"/>
              </w:rPr>
            </w:pPr>
            <w:r>
              <w:rPr>
                <w:sz w:val="21"/>
                <w:szCs w:val="21"/>
                <w:lang w:val="zh-CN"/>
              </w:rPr>
              <w:t>mg/kg</w:t>
            </w:r>
          </w:p>
        </w:tc>
      </w:tr>
      <w:tr w14:paraId="6C0171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540B461B">
            <w:pPr>
              <w:pStyle w:val="357"/>
              <w:ind w:firstLine="210"/>
              <w:rPr>
                <w:snapToGrid w:val="0"/>
                <w:szCs w:val="21"/>
              </w:rPr>
            </w:pPr>
            <w:r>
              <w:rPr>
                <w:snapToGrid w:val="0"/>
                <w:szCs w:val="21"/>
              </w:rPr>
              <w:t>砷</w:t>
            </w:r>
          </w:p>
        </w:tc>
        <w:tc>
          <w:tcPr>
            <w:tcW w:w="1782" w:type="pct"/>
            <w:tcBorders>
              <w:tl2br w:val="nil"/>
              <w:tr2bl w:val="nil"/>
            </w:tcBorders>
            <w:vAlign w:val="center"/>
          </w:tcPr>
          <w:p w14:paraId="7AAF4A56">
            <w:pPr>
              <w:pStyle w:val="357"/>
              <w:ind w:firstLine="210"/>
              <w:rPr>
                <w:snapToGrid w:val="0"/>
                <w:szCs w:val="21"/>
              </w:rPr>
            </w:pPr>
            <w:r>
              <w:rPr>
                <w:snapToGrid w:val="0"/>
                <w:szCs w:val="21"/>
              </w:rPr>
              <w:t>25</w:t>
            </w:r>
          </w:p>
        </w:tc>
        <w:tc>
          <w:tcPr>
            <w:tcW w:w="1699" w:type="pct"/>
            <w:tcBorders>
              <w:tl2br w:val="nil"/>
              <w:tr2bl w:val="nil"/>
            </w:tcBorders>
            <w:vAlign w:val="center"/>
          </w:tcPr>
          <w:p w14:paraId="6EC207F9">
            <w:pPr>
              <w:spacing w:line="240" w:lineRule="auto"/>
              <w:ind w:firstLine="420"/>
              <w:jc w:val="center"/>
              <w:rPr>
                <w:snapToGrid w:val="0"/>
                <w:kern w:val="0"/>
                <w:sz w:val="21"/>
                <w:szCs w:val="21"/>
              </w:rPr>
            </w:pPr>
            <w:r>
              <w:rPr>
                <w:sz w:val="21"/>
                <w:szCs w:val="21"/>
                <w:lang w:val="zh-CN"/>
              </w:rPr>
              <w:t>mg/kg</w:t>
            </w:r>
          </w:p>
        </w:tc>
      </w:tr>
      <w:tr w14:paraId="00E522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76A0A165">
            <w:pPr>
              <w:pStyle w:val="357"/>
              <w:ind w:firstLine="210"/>
              <w:rPr>
                <w:snapToGrid w:val="0"/>
                <w:szCs w:val="21"/>
              </w:rPr>
            </w:pPr>
            <w:r>
              <w:rPr>
                <w:snapToGrid w:val="0"/>
                <w:szCs w:val="21"/>
              </w:rPr>
              <w:t>铅</w:t>
            </w:r>
          </w:p>
        </w:tc>
        <w:tc>
          <w:tcPr>
            <w:tcW w:w="1782" w:type="pct"/>
            <w:tcBorders>
              <w:tl2br w:val="nil"/>
              <w:tr2bl w:val="nil"/>
            </w:tcBorders>
            <w:vAlign w:val="center"/>
          </w:tcPr>
          <w:p w14:paraId="3EBB3275">
            <w:pPr>
              <w:pStyle w:val="357"/>
              <w:ind w:firstLine="210"/>
              <w:rPr>
                <w:snapToGrid w:val="0"/>
                <w:szCs w:val="21"/>
              </w:rPr>
            </w:pPr>
            <w:r>
              <w:rPr>
                <w:snapToGrid w:val="0"/>
                <w:szCs w:val="21"/>
              </w:rPr>
              <w:t>170</w:t>
            </w:r>
          </w:p>
        </w:tc>
        <w:tc>
          <w:tcPr>
            <w:tcW w:w="1699" w:type="pct"/>
            <w:tcBorders>
              <w:tl2br w:val="nil"/>
              <w:tr2bl w:val="nil"/>
            </w:tcBorders>
            <w:vAlign w:val="center"/>
          </w:tcPr>
          <w:p w14:paraId="750DB092">
            <w:pPr>
              <w:spacing w:line="240" w:lineRule="auto"/>
              <w:ind w:firstLine="420"/>
              <w:jc w:val="center"/>
              <w:rPr>
                <w:snapToGrid w:val="0"/>
                <w:kern w:val="0"/>
                <w:sz w:val="21"/>
                <w:szCs w:val="21"/>
              </w:rPr>
            </w:pPr>
            <w:r>
              <w:rPr>
                <w:sz w:val="21"/>
                <w:szCs w:val="21"/>
                <w:lang w:val="zh-CN"/>
              </w:rPr>
              <w:t>mg/kg</w:t>
            </w:r>
          </w:p>
        </w:tc>
      </w:tr>
      <w:tr w14:paraId="2B63B6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5CCB8017">
            <w:pPr>
              <w:pStyle w:val="357"/>
              <w:ind w:firstLine="210"/>
              <w:rPr>
                <w:snapToGrid w:val="0"/>
                <w:szCs w:val="21"/>
              </w:rPr>
            </w:pPr>
            <w:r>
              <w:rPr>
                <w:snapToGrid w:val="0"/>
                <w:szCs w:val="21"/>
              </w:rPr>
              <w:t>铬</w:t>
            </w:r>
          </w:p>
        </w:tc>
        <w:tc>
          <w:tcPr>
            <w:tcW w:w="1782" w:type="pct"/>
            <w:tcBorders>
              <w:tl2br w:val="nil"/>
              <w:tr2bl w:val="nil"/>
            </w:tcBorders>
            <w:vAlign w:val="center"/>
          </w:tcPr>
          <w:p w14:paraId="2E43DECC">
            <w:pPr>
              <w:pStyle w:val="357"/>
              <w:ind w:firstLine="210"/>
              <w:rPr>
                <w:snapToGrid w:val="0"/>
                <w:szCs w:val="21"/>
              </w:rPr>
            </w:pPr>
            <w:r>
              <w:rPr>
                <w:snapToGrid w:val="0"/>
                <w:szCs w:val="21"/>
              </w:rPr>
              <w:t>250</w:t>
            </w:r>
          </w:p>
        </w:tc>
        <w:tc>
          <w:tcPr>
            <w:tcW w:w="1699" w:type="pct"/>
            <w:tcBorders>
              <w:tl2br w:val="nil"/>
              <w:tr2bl w:val="nil"/>
            </w:tcBorders>
            <w:vAlign w:val="center"/>
          </w:tcPr>
          <w:p w14:paraId="500D68FB">
            <w:pPr>
              <w:spacing w:line="240" w:lineRule="auto"/>
              <w:ind w:firstLine="420"/>
              <w:jc w:val="center"/>
              <w:rPr>
                <w:snapToGrid w:val="0"/>
                <w:kern w:val="0"/>
                <w:sz w:val="21"/>
                <w:szCs w:val="21"/>
              </w:rPr>
            </w:pPr>
            <w:r>
              <w:rPr>
                <w:sz w:val="21"/>
                <w:szCs w:val="21"/>
                <w:lang w:val="zh-CN"/>
              </w:rPr>
              <w:t>mg/kg</w:t>
            </w:r>
          </w:p>
        </w:tc>
      </w:tr>
      <w:tr w14:paraId="509379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7B5B10E8">
            <w:pPr>
              <w:pStyle w:val="357"/>
              <w:ind w:firstLine="210"/>
              <w:rPr>
                <w:snapToGrid w:val="0"/>
                <w:szCs w:val="21"/>
              </w:rPr>
            </w:pPr>
            <w:r>
              <w:rPr>
                <w:snapToGrid w:val="0"/>
                <w:szCs w:val="21"/>
              </w:rPr>
              <w:t>铜</w:t>
            </w:r>
          </w:p>
        </w:tc>
        <w:tc>
          <w:tcPr>
            <w:tcW w:w="1782" w:type="pct"/>
            <w:tcBorders>
              <w:tl2br w:val="nil"/>
              <w:tr2bl w:val="nil"/>
            </w:tcBorders>
            <w:vAlign w:val="center"/>
          </w:tcPr>
          <w:p w14:paraId="219833D3">
            <w:pPr>
              <w:pStyle w:val="357"/>
              <w:ind w:firstLine="210"/>
              <w:rPr>
                <w:snapToGrid w:val="0"/>
                <w:szCs w:val="21"/>
              </w:rPr>
            </w:pPr>
            <w:r>
              <w:rPr>
                <w:snapToGrid w:val="0"/>
                <w:szCs w:val="21"/>
              </w:rPr>
              <w:t>100</w:t>
            </w:r>
          </w:p>
        </w:tc>
        <w:tc>
          <w:tcPr>
            <w:tcW w:w="1699" w:type="pct"/>
            <w:tcBorders>
              <w:tl2br w:val="nil"/>
              <w:tr2bl w:val="nil"/>
            </w:tcBorders>
            <w:vAlign w:val="center"/>
          </w:tcPr>
          <w:p w14:paraId="04C587AF">
            <w:pPr>
              <w:spacing w:line="240" w:lineRule="auto"/>
              <w:ind w:firstLine="420"/>
              <w:jc w:val="center"/>
              <w:rPr>
                <w:snapToGrid w:val="0"/>
                <w:kern w:val="0"/>
                <w:sz w:val="21"/>
                <w:szCs w:val="21"/>
              </w:rPr>
            </w:pPr>
            <w:r>
              <w:rPr>
                <w:sz w:val="21"/>
                <w:szCs w:val="21"/>
                <w:lang w:val="zh-CN"/>
              </w:rPr>
              <w:t>mg/kg</w:t>
            </w:r>
          </w:p>
        </w:tc>
      </w:tr>
      <w:tr w14:paraId="5637BC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7B5BCA8C">
            <w:pPr>
              <w:pStyle w:val="357"/>
              <w:ind w:firstLine="210"/>
              <w:rPr>
                <w:snapToGrid w:val="0"/>
                <w:szCs w:val="21"/>
              </w:rPr>
            </w:pPr>
            <w:r>
              <w:rPr>
                <w:snapToGrid w:val="0"/>
                <w:szCs w:val="21"/>
              </w:rPr>
              <w:t>镍</w:t>
            </w:r>
          </w:p>
        </w:tc>
        <w:tc>
          <w:tcPr>
            <w:tcW w:w="1782" w:type="pct"/>
            <w:tcBorders>
              <w:tl2br w:val="nil"/>
              <w:tr2bl w:val="nil"/>
            </w:tcBorders>
            <w:vAlign w:val="center"/>
          </w:tcPr>
          <w:p w14:paraId="1B46C7BB">
            <w:pPr>
              <w:pStyle w:val="357"/>
              <w:ind w:firstLine="210"/>
              <w:rPr>
                <w:snapToGrid w:val="0"/>
                <w:szCs w:val="21"/>
              </w:rPr>
            </w:pPr>
            <w:r>
              <w:rPr>
                <w:snapToGrid w:val="0"/>
                <w:szCs w:val="21"/>
              </w:rPr>
              <w:t>190</w:t>
            </w:r>
          </w:p>
        </w:tc>
        <w:tc>
          <w:tcPr>
            <w:tcW w:w="1699" w:type="pct"/>
            <w:tcBorders>
              <w:tl2br w:val="nil"/>
              <w:tr2bl w:val="nil"/>
            </w:tcBorders>
            <w:vAlign w:val="center"/>
          </w:tcPr>
          <w:p w14:paraId="1A534CC3">
            <w:pPr>
              <w:spacing w:line="240" w:lineRule="auto"/>
              <w:ind w:firstLine="420"/>
              <w:jc w:val="center"/>
              <w:rPr>
                <w:snapToGrid w:val="0"/>
                <w:kern w:val="0"/>
                <w:sz w:val="21"/>
                <w:szCs w:val="21"/>
              </w:rPr>
            </w:pPr>
            <w:r>
              <w:rPr>
                <w:sz w:val="21"/>
                <w:szCs w:val="21"/>
                <w:lang w:val="zh-CN"/>
              </w:rPr>
              <w:t>mg/kg</w:t>
            </w:r>
          </w:p>
        </w:tc>
      </w:tr>
      <w:tr w14:paraId="2DAED7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519" w:type="pct"/>
            <w:tcBorders>
              <w:tl2br w:val="nil"/>
              <w:tr2bl w:val="nil"/>
            </w:tcBorders>
            <w:vAlign w:val="center"/>
          </w:tcPr>
          <w:p w14:paraId="1D8676A5">
            <w:pPr>
              <w:pStyle w:val="357"/>
              <w:ind w:firstLine="210"/>
              <w:rPr>
                <w:snapToGrid w:val="0"/>
                <w:szCs w:val="21"/>
              </w:rPr>
            </w:pPr>
            <w:r>
              <w:rPr>
                <w:snapToGrid w:val="0"/>
                <w:szCs w:val="21"/>
              </w:rPr>
              <w:t>锌</w:t>
            </w:r>
          </w:p>
        </w:tc>
        <w:tc>
          <w:tcPr>
            <w:tcW w:w="1782" w:type="pct"/>
            <w:tcBorders>
              <w:tl2br w:val="nil"/>
              <w:tr2bl w:val="nil"/>
            </w:tcBorders>
            <w:vAlign w:val="center"/>
          </w:tcPr>
          <w:p w14:paraId="517FFDA7">
            <w:pPr>
              <w:pStyle w:val="357"/>
              <w:ind w:firstLine="210"/>
              <w:rPr>
                <w:snapToGrid w:val="0"/>
                <w:szCs w:val="21"/>
              </w:rPr>
            </w:pPr>
            <w:r>
              <w:rPr>
                <w:snapToGrid w:val="0"/>
                <w:szCs w:val="21"/>
              </w:rPr>
              <w:t>300</w:t>
            </w:r>
          </w:p>
        </w:tc>
        <w:tc>
          <w:tcPr>
            <w:tcW w:w="1699" w:type="pct"/>
            <w:tcBorders>
              <w:tl2br w:val="nil"/>
              <w:tr2bl w:val="nil"/>
            </w:tcBorders>
            <w:vAlign w:val="center"/>
          </w:tcPr>
          <w:p w14:paraId="369A76A6">
            <w:pPr>
              <w:spacing w:line="240" w:lineRule="auto"/>
              <w:ind w:firstLine="420"/>
              <w:jc w:val="center"/>
              <w:rPr>
                <w:snapToGrid w:val="0"/>
                <w:kern w:val="0"/>
                <w:sz w:val="21"/>
                <w:szCs w:val="21"/>
              </w:rPr>
            </w:pPr>
            <w:r>
              <w:rPr>
                <w:sz w:val="21"/>
                <w:szCs w:val="21"/>
                <w:lang w:val="zh-CN"/>
              </w:rPr>
              <w:t>mg/kg</w:t>
            </w:r>
          </w:p>
        </w:tc>
      </w:tr>
    </w:tbl>
    <w:p w14:paraId="0A6C445E">
      <w:pPr>
        <w:pStyle w:val="11"/>
      </w:pPr>
      <w:bookmarkStart w:id="159" w:name="_Toc4566"/>
      <w:bookmarkStart w:id="160" w:name="_Toc16337"/>
      <w:bookmarkStart w:id="161" w:name="_Toc166572259"/>
      <w:r>
        <w:t>2.6.2污染物排放标准</w:t>
      </w:r>
      <w:bookmarkEnd w:id="159"/>
      <w:bookmarkEnd w:id="160"/>
      <w:bookmarkEnd w:id="161"/>
    </w:p>
    <w:p w14:paraId="0BA08ED2">
      <w:pPr>
        <w:pStyle w:val="12"/>
      </w:pPr>
      <w:bookmarkStart w:id="162" w:name="_Toc2925"/>
      <w:bookmarkStart w:id="163" w:name="_Toc8288"/>
      <w:r>
        <w:t>2.6.2.1大气污染物排放标准</w:t>
      </w:r>
      <w:bookmarkEnd w:id="162"/>
      <w:bookmarkEnd w:id="163"/>
    </w:p>
    <w:p w14:paraId="7248EEDE">
      <w:pPr>
        <w:pStyle w:val="105"/>
        <w:ind w:firstLine="480"/>
      </w:pPr>
      <w:r>
        <w:t>施工期无组织扬尘执行《大气污染物综合排放标准》（GB16297-1996）中表2中相关标准。</w:t>
      </w:r>
    </w:p>
    <w:p w14:paraId="05525CD0">
      <w:pPr>
        <w:pStyle w:val="105"/>
        <w:ind w:firstLine="480"/>
        <w:rPr>
          <w:kern w:val="0"/>
          <w:lang w:bidi="ar"/>
        </w:rPr>
      </w:pPr>
      <w:r>
        <w:t>运营期</w:t>
      </w:r>
      <w:r>
        <w:rPr>
          <w:kern w:val="0"/>
          <w:lang w:bidi="ar"/>
        </w:rPr>
        <w:t>硫化氢、氨执行《恶臭污染物排放标准》（</w:t>
      </w:r>
      <w:r>
        <w:t>GB14554-93</w:t>
      </w:r>
      <w:r>
        <w:rPr>
          <w:kern w:val="0"/>
          <w:lang w:bidi="ar"/>
        </w:rPr>
        <w:t>）中</w:t>
      </w:r>
      <w:r>
        <w:t>表1二级中新扩改建标准限值及表2中相关要求</w:t>
      </w:r>
      <w:r>
        <w:rPr>
          <w:kern w:val="0"/>
          <w:lang w:bidi="ar"/>
        </w:rPr>
        <w:t>，臭气浓度执行</w:t>
      </w:r>
      <w:r>
        <w:t>《畜禽养殖业污染物排放标准》（GB18596-2001）中表7相关要求；</w:t>
      </w:r>
    </w:p>
    <w:p w14:paraId="6A03AFAC">
      <w:pPr>
        <w:pStyle w:val="105"/>
        <w:ind w:firstLine="480"/>
        <w:jc w:val="both"/>
      </w:pPr>
      <w:r>
        <w:rPr>
          <w:kern w:val="0"/>
          <w:lang w:bidi="ar"/>
        </w:rPr>
        <w:t>饲料加工车间</w:t>
      </w:r>
      <w:r>
        <w:rPr>
          <w:rFonts w:hint="eastAsia"/>
          <w:kern w:val="0"/>
          <w:lang w:bidi="ar"/>
        </w:rPr>
        <w:t>、有机肥加工车间</w:t>
      </w:r>
      <w:r>
        <w:rPr>
          <w:kern w:val="0"/>
          <w:lang w:bidi="ar"/>
        </w:rPr>
        <w:t>粉尘排放执行《大气污染物综合排放标准》（GB16297-1996）表2中的相关标准要求；</w:t>
      </w:r>
      <w:r>
        <w:t>燃气锅炉废气执行《锅炉大气污染物排放标准》（GB13271-2014）表3大气污染物特别排放限值。</w:t>
      </w:r>
    </w:p>
    <w:p w14:paraId="15480F19">
      <w:pPr>
        <w:pStyle w:val="743"/>
        <w:rPr>
          <w:rFonts w:cs="Times New Roman"/>
        </w:rPr>
      </w:pPr>
    </w:p>
    <w:p w14:paraId="545C24D6">
      <w:pPr>
        <w:pStyle w:val="743"/>
        <w:rPr>
          <w:rFonts w:cs="Times New Roman"/>
        </w:rPr>
      </w:pPr>
      <w:r>
        <w:rPr>
          <w:rFonts w:cs="Times New Roman"/>
        </w:rPr>
        <w:t>表2.6-5《恶臭污染物排放标准》（GB14554-93）表1（厂界标准限值）</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3"/>
        <w:gridCol w:w="2322"/>
        <w:gridCol w:w="2322"/>
        <w:gridCol w:w="2990"/>
      </w:tblGrid>
      <w:tr w14:paraId="3425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90" w:type="pct"/>
            <w:vMerge w:val="restart"/>
            <w:vAlign w:val="center"/>
          </w:tcPr>
          <w:p w14:paraId="6E188A2F">
            <w:pPr>
              <w:pStyle w:val="357"/>
            </w:pPr>
            <w:r>
              <w:t>污染物</w:t>
            </w:r>
          </w:p>
        </w:tc>
        <w:tc>
          <w:tcPr>
            <w:tcW w:w="2500" w:type="pct"/>
            <w:gridSpan w:val="2"/>
            <w:vAlign w:val="center"/>
          </w:tcPr>
          <w:p w14:paraId="514FC480">
            <w:pPr>
              <w:pStyle w:val="357"/>
            </w:pPr>
            <w:r>
              <w:t>排放标准</w:t>
            </w:r>
          </w:p>
        </w:tc>
        <w:tc>
          <w:tcPr>
            <w:tcW w:w="1610" w:type="pct"/>
            <w:vAlign w:val="center"/>
          </w:tcPr>
          <w:p w14:paraId="54EC6D4F">
            <w:pPr>
              <w:pStyle w:val="357"/>
            </w:pPr>
            <w:r>
              <w:t>厂界标准值（二级）</w:t>
            </w:r>
          </w:p>
        </w:tc>
      </w:tr>
      <w:tr w14:paraId="6E45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90" w:type="pct"/>
            <w:vMerge w:val="continue"/>
            <w:vAlign w:val="center"/>
          </w:tcPr>
          <w:p w14:paraId="55A6B9BD">
            <w:pPr>
              <w:pStyle w:val="357"/>
            </w:pPr>
          </w:p>
        </w:tc>
        <w:tc>
          <w:tcPr>
            <w:tcW w:w="1250" w:type="pct"/>
            <w:vAlign w:val="center"/>
          </w:tcPr>
          <w:p w14:paraId="09B1BB1E">
            <w:pPr>
              <w:pStyle w:val="357"/>
            </w:pPr>
            <w:r>
              <w:t>排气筒高度(m)</w:t>
            </w:r>
          </w:p>
        </w:tc>
        <w:tc>
          <w:tcPr>
            <w:tcW w:w="1250" w:type="pct"/>
            <w:vAlign w:val="center"/>
          </w:tcPr>
          <w:p w14:paraId="5EBA0809">
            <w:pPr>
              <w:pStyle w:val="357"/>
            </w:pPr>
            <w:r>
              <w:t>排放速率，kg/h</w:t>
            </w:r>
          </w:p>
        </w:tc>
        <w:tc>
          <w:tcPr>
            <w:tcW w:w="1610" w:type="pct"/>
            <w:vAlign w:val="center"/>
          </w:tcPr>
          <w:p w14:paraId="3649E3CC">
            <w:pPr>
              <w:pStyle w:val="357"/>
            </w:pPr>
            <w:r>
              <w:t>浓度mg/m</w:t>
            </w:r>
            <w:r>
              <w:rPr>
                <w:vertAlign w:val="superscript"/>
              </w:rPr>
              <w:t>3</w:t>
            </w:r>
          </w:p>
        </w:tc>
      </w:tr>
      <w:tr w14:paraId="09AB4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90" w:type="pct"/>
            <w:vAlign w:val="center"/>
          </w:tcPr>
          <w:p w14:paraId="01171503">
            <w:pPr>
              <w:pStyle w:val="357"/>
            </w:pPr>
            <w:r>
              <w:t>硫化氢</w:t>
            </w:r>
          </w:p>
        </w:tc>
        <w:tc>
          <w:tcPr>
            <w:tcW w:w="1250" w:type="pct"/>
            <w:vAlign w:val="center"/>
          </w:tcPr>
          <w:p w14:paraId="50C151AA">
            <w:pPr>
              <w:pStyle w:val="357"/>
            </w:pPr>
            <w:r>
              <w:t>15</w:t>
            </w:r>
          </w:p>
        </w:tc>
        <w:tc>
          <w:tcPr>
            <w:tcW w:w="1250" w:type="pct"/>
            <w:vAlign w:val="center"/>
          </w:tcPr>
          <w:p w14:paraId="76400BF6">
            <w:pPr>
              <w:pStyle w:val="357"/>
            </w:pPr>
            <w:r>
              <w:t>0.33</w:t>
            </w:r>
          </w:p>
        </w:tc>
        <w:tc>
          <w:tcPr>
            <w:tcW w:w="1610" w:type="pct"/>
            <w:vAlign w:val="center"/>
          </w:tcPr>
          <w:p w14:paraId="6F7C1BAA">
            <w:pPr>
              <w:pStyle w:val="357"/>
            </w:pPr>
            <w:r>
              <w:t>0.06</w:t>
            </w:r>
          </w:p>
        </w:tc>
      </w:tr>
      <w:tr w14:paraId="4F51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90" w:type="pct"/>
            <w:vAlign w:val="center"/>
          </w:tcPr>
          <w:p w14:paraId="4B530CED">
            <w:pPr>
              <w:pStyle w:val="357"/>
            </w:pPr>
            <w:r>
              <w:t>氨</w:t>
            </w:r>
          </w:p>
        </w:tc>
        <w:tc>
          <w:tcPr>
            <w:tcW w:w="1250" w:type="pct"/>
            <w:vAlign w:val="center"/>
          </w:tcPr>
          <w:p w14:paraId="68C8067E">
            <w:pPr>
              <w:pStyle w:val="357"/>
            </w:pPr>
            <w:r>
              <w:t>15</w:t>
            </w:r>
          </w:p>
        </w:tc>
        <w:tc>
          <w:tcPr>
            <w:tcW w:w="1250" w:type="pct"/>
            <w:vAlign w:val="center"/>
          </w:tcPr>
          <w:p w14:paraId="3304F874">
            <w:pPr>
              <w:pStyle w:val="357"/>
            </w:pPr>
            <w:r>
              <w:t>4.9</w:t>
            </w:r>
          </w:p>
        </w:tc>
        <w:tc>
          <w:tcPr>
            <w:tcW w:w="1610" w:type="pct"/>
            <w:vAlign w:val="center"/>
          </w:tcPr>
          <w:p w14:paraId="4AD6F42F">
            <w:pPr>
              <w:pStyle w:val="357"/>
            </w:pPr>
            <w:r>
              <w:t>1.5</w:t>
            </w:r>
          </w:p>
        </w:tc>
      </w:tr>
    </w:tbl>
    <w:p w14:paraId="47C9497D">
      <w:pPr>
        <w:pStyle w:val="743"/>
        <w:rPr>
          <w:rFonts w:cs="Times New Roman"/>
        </w:rPr>
      </w:pPr>
      <w:r>
        <w:rPr>
          <w:rFonts w:cs="Times New Roman"/>
        </w:rPr>
        <w:t>表2.6-6《畜禽养殖业污染物排放标准》（GB18596-2001）</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4"/>
      </w:tblGrid>
      <w:tr w14:paraId="6E48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6709B08E">
            <w:pPr>
              <w:pStyle w:val="357"/>
            </w:pPr>
            <w:r>
              <w:t>控制项目</w:t>
            </w:r>
          </w:p>
        </w:tc>
        <w:tc>
          <w:tcPr>
            <w:tcW w:w="2500" w:type="pct"/>
            <w:vAlign w:val="center"/>
          </w:tcPr>
          <w:p w14:paraId="2653D0CE">
            <w:pPr>
              <w:pStyle w:val="357"/>
            </w:pPr>
            <w:r>
              <w:t>标准值</w:t>
            </w:r>
          </w:p>
        </w:tc>
      </w:tr>
      <w:tr w14:paraId="0D50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752E6EB3">
            <w:pPr>
              <w:pStyle w:val="357"/>
            </w:pPr>
            <w:r>
              <w:t>臭气浓度（无量纲）</w:t>
            </w:r>
          </w:p>
        </w:tc>
        <w:tc>
          <w:tcPr>
            <w:tcW w:w="2500" w:type="pct"/>
            <w:vAlign w:val="center"/>
          </w:tcPr>
          <w:p w14:paraId="70F5A93A">
            <w:pPr>
              <w:pStyle w:val="357"/>
            </w:pPr>
            <w:r>
              <w:t>70</w:t>
            </w:r>
          </w:p>
        </w:tc>
      </w:tr>
    </w:tbl>
    <w:p w14:paraId="4DF4188E">
      <w:pPr>
        <w:pStyle w:val="743"/>
        <w:rPr>
          <w:rFonts w:cs="Times New Roman"/>
        </w:rPr>
      </w:pPr>
      <w:r>
        <w:rPr>
          <w:rFonts w:cs="Times New Roman"/>
        </w:rPr>
        <w:t>表2.6-7大气污染物综合排放标准限值</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1787"/>
        <w:gridCol w:w="2010"/>
        <w:gridCol w:w="940"/>
        <w:gridCol w:w="1750"/>
        <w:gridCol w:w="1726"/>
      </w:tblGrid>
      <w:tr w14:paraId="4DE6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79" w:type="pct"/>
            <w:vMerge w:val="restart"/>
            <w:vAlign w:val="center"/>
          </w:tcPr>
          <w:p w14:paraId="34FFA3D2">
            <w:pPr>
              <w:pStyle w:val="357"/>
            </w:pPr>
            <w:r>
              <w:t>污染物</w:t>
            </w:r>
          </w:p>
        </w:tc>
        <w:tc>
          <w:tcPr>
            <w:tcW w:w="962" w:type="pct"/>
            <w:vMerge w:val="restart"/>
            <w:vAlign w:val="center"/>
          </w:tcPr>
          <w:p w14:paraId="6D286B1F">
            <w:pPr>
              <w:pStyle w:val="357"/>
              <w:rPr>
                <w:lang w:eastAsia="zh-CN"/>
              </w:rPr>
            </w:pPr>
            <w:r>
              <w:rPr>
                <w:lang w:eastAsia="zh-CN"/>
              </w:rPr>
              <w:t>最高允许浓</w:t>
            </w:r>
          </w:p>
          <w:p w14:paraId="4835C0D4">
            <w:pPr>
              <w:pStyle w:val="357"/>
              <w:rPr>
                <w:lang w:eastAsia="zh-CN"/>
              </w:rPr>
            </w:pPr>
            <w:r>
              <w:rPr>
                <w:lang w:eastAsia="zh-CN"/>
              </w:rPr>
              <w:t>度（mg/m</w:t>
            </w:r>
            <w:r>
              <w:rPr>
                <w:vertAlign w:val="superscript"/>
                <w:lang w:eastAsia="zh-CN"/>
              </w:rPr>
              <w:t>3</w:t>
            </w:r>
            <w:r>
              <w:rPr>
                <w:lang w:eastAsia="zh-CN"/>
              </w:rPr>
              <w:t>）</w:t>
            </w:r>
          </w:p>
        </w:tc>
        <w:tc>
          <w:tcPr>
            <w:tcW w:w="1588" w:type="pct"/>
            <w:gridSpan w:val="2"/>
            <w:vAlign w:val="center"/>
          </w:tcPr>
          <w:p w14:paraId="2EFE4F03">
            <w:pPr>
              <w:pStyle w:val="357"/>
            </w:pPr>
            <w:r>
              <w:t>最高允许排放速率kg/h</w:t>
            </w:r>
          </w:p>
        </w:tc>
        <w:tc>
          <w:tcPr>
            <w:tcW w:w="1871" w:type="pct"/>
            <w:gridSpan w:val="2"/>
            <w:vAlign w:val="center"/>
          </w:tcPr>
          <w:p w14:paraId="15C82D7B">
            <w:pPr>
              <w:pStyle w:val="357"/>
              <w:rPr>
                <w:lang w:eastAsia="zh-CN"/>
              </w:rPr>
            </w:pPr>
            <w:r>
              <w:rPr>
                <w:lang w:eastAsia="zh-CN"/>
              </w:rPr>
              <w:t>无组织排放监控点浓度限值</w:t>
            </w:r>
          </w:p>
        </w:tc>
      </w:tr>
      <w:tr w14:paraId="2E2D7CD2">
        <w:tblPrEx>
          <w:tblCellMar>
            <w:top w:w="0" w:type="dxa"/>
            <w:left w:w="108" w:type="dxa"/>
            <w:bottom w:w="0" w:type="dxa"/>
            <w:right w:w="108" w:type="dxa"/>
          </w:tblCellMar>
        </w:tblPrEx>
        <w:trPr>
          <w:cantSplit/>
          <w:trHeight w:val="20" w:hRule="atLeast"/>
          <w:jc w:val="center"/>
        </w:trPr>
        <w:tc>
          <w:tcPr>
            <w:tcW w:w="579" w:type="pct"/>
            <w:vMerge w:val="continue"/>
            <w:vAlign w:val="center"/>
          </w:tcPr>
          <w:p w14:paraId="0C847EE9">
            <w:pPr>
              <w:pStyle w:val="357"/>
              <w:rPr>
                <w:lang w:eastAsia="zh-CN"/>
              </w:rPr>
            </w:pPr>
          </w:p>
        </w:tc>
        <w:tc>
          <w:tcPr>
            <w:tcW w:w="962" w:type="pct"/>
            <w:vMerge w:val="continue"/>
            <w:vAlign w:val="center"/>
          </w:tcPr>
          <w:p w14:paraId="693800B1">
            <w:pPr>
              <w:pStyle w:val="357"/>
              <w:rPr>
                <w:lang w:eastAsia="zh-CN"/>
              </w:rPr>
            </w:pPr>
          </w:p>
        </w:tc>
        <w:tc>
          <w:tcPr>
            <w:tcW w:w="1082" w:type="pct"/>
            <w:vAlign w:val="center"/>
          </w:tcPr>
          <w:p w14:paraId="21521E6B">
            <w:pPr>
              <w:pStyle w:val="357"/>
            </w:pPr>
            <w:r>
              <w:t>排气筒高(m)</w:t>
            </w:r>
          </w:p>
        </w:tc>
        <w:tc>
          <w:tcPr>
            <w:tcW w:w="506" w:type="pct"/>
            <w:vAlign w:val="center"/>
          </w:tcPr>
          <w:p w14:paraId="52E93A79">
            <w:pPr>
              <w:pStyle w:val="357"/>
            </w:pPr>
            <w:r>
              <w:t>限值</w:t>
            </w:r>
          </w:p>
        </w:tc>
        <w:tc>
          <w:tcPr>
            <w:tcW w:w="942" w:type="pct"/>
            <w:vAlign w:val="center"/>
          </w:tcPr>
          <w:p w14:paraId="14D8C322">
            <w:pPr>
              <w:pStyle w:val="357"/>
            </w:pPr>
            <w:r>
              <w:t>监控点</w:t>
            </w:r>
          </w:p>
        </w:tc>
        <w:tc>
          <w:tcPr>
            <w:tcW w:w="929" w:type="pct"/>
            <w:vAlign w:val="center"/>
          </w:tcPr>
          <w:p w14:paraId="22A7D9F7">
            <w:pPr>
              <w:pStyle w:val="357"/>
            </w:pPr>
            <w:r>
              <w:t>浓度mg/m</w:t>
            </w:r>
            <w:r>
              <w:rPr>
                <w:vertAlign w:val="superscript"/>
              </w:rPr>
              <w:t>3</w:t>
            </w:r>
          </w:p>
        </w:tc>
      </w:tr>
      <w:tr w14:paraId="1A1F83BB">
        <w:tblPrEx>
          <w:tblCellMar>
            <w:top w:w="0" w:type="dxa"/>
            <w:left w:w="108" w:type="dxa"/>
            <w:bottom w:w="0" w:type="dxa"/>
            <w:right w:w="108" w:type="dxa"/>
          </w:tblCellMar>
        </w:tblPrEx>
        <w:trPr>
          <w:cantSplit/>
          <w:trHeight w:val="20" w:hRule="atLeast"/>
          <w:jc w:val="center"/>
        </w:trPr>
        <w:tc>
          <w:tcPr>
            <w:tcW w:w="579" w:type="pct"/>
            <w:vAlign w:val="center"/>
          </w:tcPr>
          <w:p w14:paraId="17F661C6">
            <w:pPr>
              <w:pStyle w:val="357"/>
            </w:pPr>
            <w:r>
              <w:t>颗粒物</w:t>
            </w:r>
          </w:p>
        </w:tc>
        <w:tc>
          <w:tcPr>
            <w:tcW w:w="962" w:type="pct"/>
            <w:vAlign w:val="center"/>
          </w:tcPr>
          <w:p w14:paraId="47672047">
            <w:pPr>
              <w:pStyle w:val="357"/>
            </w:pPr>
            <w:r>
              <w:t>120</w:t>
            </w:r>
          </w:p>
        </w:tc>
        <w:tc>
          <w:tcPr>
            <w:tcW w:w="1082" w:type="pct"/>
            <w:vAlign w:val="center"/>
          </w:tcPr>
          <w:p w14:paraId="29F475FC">
            <w:pPr>
              <w:pStyle w:val="357"/>
            </w:pPr>
            <w:r>
              <w:t>15</w:t>
            </w:r>
          </w:p>
        </w:tc>
        <w:tc>
          <w:tcPr>
            <w:tcW w:w="506" w:type="pct"/>
            <w:vAlign w:val="center"/>
          </w:tcPr>
          <w:p w14:paraId="4C1AC64E">
            <w:pPr>
              <w:pStyle w:val="357"/>
            </w:pPr>
            <w:r>
              <w:t>3.5</w:t>
            </w:r>
          </w:p>
        </w:tc>
        <w:tc>
          <w:tcPr>
            <w:tcW w:w="942" w:type="pct"/>
            <w:vAlign w:val="center"/>
          </w:tcPr>
          <w:p w14:paraId="7F7767B8">
            <w:pPr>
              <w:pStyle w:val="357"/>
            </w:pPr>
            <w:r>
              <w:t>周界外浓度</w:t>
            </w:r>
          </w:p>
          <w:p w14:paraId="31C142A0">
            <w:pPr>
              <w:pStyle w:val="357"/>
            </w:pPr>
            <w:r>
              <w:t>最高点</w:t>
            </w:r>
          </w:p>
        </w:tc>
        <w:tc>
          <w:tcPr>
            <w:tcW w:w="929" w:type="pct"/>
            <w:vAlign w:val="center"/>
          </w:tcPr>
          <w:p w14:paraId="78C3D32C">
            <w:pPr>
              <w:pStyle w:val="357"/>
            </w:pPr>
            <w:r>
              <w:t>1.0</w:t>
            </w:r>
          </w:p>
        </w:tc>
      </w:tr>
    </w:tbl>
    <w:p w14:paraId="7BD79D5C">
      <w:pPr>
        <w:pStyle w:val="743"/>
        <w:rPr>
          <w:rFonts w:cs="Times New Roman"/>
        </w:rPr>
      </w:pPr>
      <w:r>
        <w:rPr>
          <w:rFonts w:cs="Times New Roman"/>
        </w:rPr>
        <w:t>表2.6-8新建锅炉大气污染物排放浓度限值标准</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2"/>
        <w:gridCol w:w="3336"/>
        <w:gridCol w:w="3026"/>
        <w:gridCol w:w="1213"/>
      </w:tblGrid>
      <w:tr w14:paraId="432D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pct"/>
            <w:vAlign w:val="center"/>
          </w:tcPr>
          <w:p w14:paraId="76117BA8">
            <w:pPr>
              <w:pStyle w:val="357"/>
            </w:pPr>
            <w:r>
              <w:t>类型</w:t>
            </w:r>
          </w:p>
        </w:tc>
        <w:tc>
          <w:tcPr>
            <w:tcW w:w="1796" w:type="pct"/>
            <w:vAlign w:val="center"/>
          </w:tcPr>
          <w:p w14:paraId="49831238">
            <w:pPr>
              <w:pStyle w:val="357"/>
            </w:pPr>
            <w:r>
              <w:t>污染物类型(mg/Nm</w:t>
            </w:r>
            <w:r>
              <w:rPr>
                <w:vertAlign w:val="superscript"/>
              </w:rPr>
              <w:t>3</w:t>
            </w:r>
            <w:r>
              <w:t>)</w:t>
            </w:r>
          </w:p>
        </w:tc>
        <w:tc>
          <w:tcPr>
            <w:tcW w:w="1629" w:type="pct"/>
            <w:vAlign w:val="center"/>
          </w:tcPr>
          <w:p w14:paraId="2F717847">
            <w:pPr>
              <w:pStyle w:val="357"/>
            </w:pPr>
            <w:r>
              <w:t>浓度限值(mg/Nm</w:t>
            </w:r>
            <w:r>
              <w:rPr>
                <w:vertAlign w:val="superscript"/>
              </w:rPr>
              <w:t>3</w:t>
            </w:r>
            <w:r>
              <w:t>)</w:t>
            </w:r>
          </w:p>
        </w:tc>
        <w:tc>
          <w:tcPr>
            <w:tcW w:w="653" w:type="pct"/>
            <w:vAlign w:val="center"/>
          </w:tcPr>
          <w:p w14:paraId="4B893B49">
            <w:pPr>
              <w:pStyle w:val="357"/>
            </w:pPr>
            <w:r>
              <w:t>烟囱高度</w:t>
            </w:r>
          </w:p>
        </w:tc>
      </w:tr>
      <w:tr w14:paraId="01962869">
        <w:tblPrEx>
          <w:tblCellMar>
            <w:top w:w="0" w:type="dxa"/>
            <w:left w:w="108" w:type="dxa"/>
            <w:bottom w:w="0" w:type="dxa"/>
            <w:right w:w="108" w:type="dxa"/>
          </w:tblCellMar>
        </w:tblPrEx>
        <w:tc>
          <w:tcPr>
            <w:tcW w:w="922" w:type="pct"/>
            <w:vMerge w:val="restart"/>
            <w:vAlign w:val="center"/>
          </w:tcPr>
          <w:p w14:paraId="7EB91DBA">
            <w:pPr>
              <w:pStyle w:val="357"/>
            </w:pPr>
            <w:r>
              <w:t>燃气</w:t>
            </w:r>
          </w:p>
        </w:tc>
        <w:tc>
          <w:tcPr>
            <w:tcW w:w="1796" w:type="pct"/>
            <w:vAlign w:val="center"/>
          </w:tcPr>
          <w:p w14:paraId="2C3732A2">
            <w:pPr>
              <w:pStyle w:val="357"/>
            </w:pPr>
            <w:r>
              <w:t>SO</w:t>
            </w:r>
            <w:r>
              <w:rPr>
                <w:vertAlign w:val="subscript"/>
              </w:rPr>
              <w:t>2</w:t>
            </w:r>
          </w:p>
        </w:tc>
        <w:tc>
          <w:tcPr>
            <w:tcW w:w="1629" w:type="pct"/>
            <w:vAlign w:val="center"/>
          </w:tcPr>
          <w:p w14:paraId="2CE46090">
            <w:pPr>
              <w:pStyle w:val="357"/>
            </w:pPr>
            <w:r>
              <w:t>50</w:t>
            </w:r>
          </w:p>
        </w:tc>
        <w:tc>
          <w:tcPr>
            <w:tcW w:w="653" w:type="pct"/>
            <w:vMerge w:val="restart"/>
            <w:vAlign w:val="center"/>
          </w:tcPr>
          <w:p w14:paraId="5C68B1B8">
            <w:pPr>
              <w:pStyle w:val="357"/>
            </w:pPr>
            <w:r>
              <w:rPr>
                <w:rFonts w:hint="eastAsia"/>
                <w:lang w:eastAsia="zh-CN"/>
              </w:rPr>
              <w:t>8</w:t>
            </w:r>
            <w:r>
              <w:t>m</w:t>
            </w:r>
          </w:p>
        </w:tc>
      </w:tr>
      <w:tr w14:paraId="2060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pct"/>
            <w:vMerge w:val="continue"/>
            <w:vAlign w:val="center"/>
          </w:tcPr>
          <w:p w14:paraId="59A516CF">
            <w:pPr>
              <w:pStyle w:val="357"/>
            </w:pPr>
          </w:p>
        </w:tc>
        <w:tc>
          <w:tcPr>
            <w:tcW w:w="1796" w:type="pct"/>
            <w:vAlign w:val="center"/>
          </w:tcPr>
          <w:p w14:paraId="380A81D8">
            <w:pPr>
              <w:pStyle w:val="357"/>
            </w:pPr>
            <w:r>
              <w:t>NOx</w:t>
            </w:r>
          </w:p>
        </w:tc>
        <w:tc>
          <w:tcPr>
            <w:tcW w:w="1629" w:type="pct"/>
            <w:vAlign w:val="center"/>
          </w:tcPr>
          <w:p w14:paraId="542444E8">
            <w:pPr>
              <w:pStyle w:val="357"/>
            </w:pPr>
            <w:r>
              <w:t>150</w:t>
            </w:r>
          </w:p>
        </w:tc>
        <w:tc>
          <w:tcPr>
            <w:tcW w:w="653" w:type="pct"/>
            <w:vMerge w:val="continue"/>
            <w:vAlign w:val="center"/>
          </w:tcPr>
          <w:p w14:paraId="7C77FF2D">
            <w:pPr>
              <w:pStyle w:val="357"/>
            </w:pPr>
          </w:p>
        </w:tc>
      </w:tr>
      <w:tr w14:paraId="7CFA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2" w:type="pct"/>
            <w:vMerge w:val="continue"/>
            <w:vAlign w:val="center"/>
          </w:tcPr>
          <w:p w14:paraId="58196A71">
            <w:pPr>
              <w:pStyle w:val="357"/>
            </w:pPr>
          </w:p>
        </w:tc>
        <w:tc>
          <w:tcPr>
            <w:tcW w:w="1796" w:type="pct"/>
            <w:vAlign w:val="center"/>
          </w:tcPr>
          <w:p w14:paraId="6013E159">
            <w:pPr>
              <w:pStyle w:val="357"/>
            </w:pPr>
            <w:r>
              <w:t>颗粒物</w:t>
            </w:r>
          </w:p>
        </w:tc>
        <w:tc>
          <w:tcPr>
            <w:tcW w:w="1629" w:type="pct"/>
            <w:vAlign w:val="center"/>
          </w:tcPr>
          <w:p w14:paraId="3CE3E2A1">
            <w:pPr>
              <w:pStyle w:val="357"/>
            </w:pPr>
            <w:r>
              <w:t>20</w:t>
            </w:r>
          </w:p>
        </w:tc>
        <w:tc>
          <w:tcPr>
            <w:tcW w:w="653" w:type="pct"/>
            <w:vMerge w:val="continue"/>
            <w:vAlign w:val="center"/>
          </w:tcPr>
          <w:p w14:paraId="1F3739C9">
            <w:pPr>
              <w:pStyle w:val="357"/>
            </w:pPr>
          </w:p>
        </w:tc>
      </w:tr>
    </w:tbl>
    <w:p w14:paraId="63620F40">
      <w:pPr>
        <w:pStyle w:val="12"/>
      </w:pPr>
      <w:r>
        <w:t>2.6.2.2 水污染物排放标准</w:t>
      </w:r>
    </w:p>
    <w:p w14:paraId="2FA8812B">
      <w:pPr>
        <w:ind w:firstLine="480"/>
      </w:pPr>
      <w:r>
        <w:t>废水执行《城市污水再生利用城市杂用水水质》（GB/T 18920-2020）</w:t>
      </w:r>
      <w:r>
        <w:rPr>
          <w:rFonts w:hint="eastAsia"/>
        </w:rPr>
        <w:t>中城市绿化限值要求后</w:t>
      </w:r>
      <w:r>
        <w:t>用作</w:t>
      </w:r>
      <w:r>
        <w:rPr>
          <w:rFonts w:hint="eastAsia"/>
        </w:rPr>
        <w:t>厂区绿化、鸡舍冲洗、湿帘降温和洒水抑尘</w:t>
      </w:r>
      <w:r>
        <w:t>，具体见下表。</w:t>
      </w:r>
    </w:p>
    <w:p w14:paraId="5D201F28">
      <w:pPr>
        <w:pStyle w:val="369"/>
      </w:pPr>
      <w:r>
        <w:t>表2.6-</w:t>
      </w:r>
      <w:r>
        <w:rPr>
          <w:rFonts w:hint="eastAsia"/>
        </w:rPr>
        <w:t>9</w:t>
      </w:r>
      <w:r>
        <w:t xml:space="preserve">  废水污染物执行标准</w:t>
      </w:r>
    </w:p>
    <w:p w14:paraId="7C6546B5">
      <w:pPr>
        <w:widowControl w:val="0"/>
        <w:kinsoku w:val="0"/>
        <w:overflowPunct w:val="0"/>
        <w:autoSpaceDE w:val="0"/>
        <w:autoSpaceDN w:val="0"/>
        <w:adjustRightInd w:val="0"/>
        <w:spacing w:before="2" w:line="240" w:lineRule="auto"/>
        <w:ind w:firstLine="0" w:firstLineChars="0"/>
        <w:rPr>
          <w:kern w:val="0"/>
          <w:sz w:val="5"/>
          <w:szCs w:val="5"/>
        </w:rPr>
      </w:pPr>
    </w:p>
    <w:tbl>
      <w:tblPr>
        <w:tblStyle w:val="82"/>
        <w:tblW w:w="5002" w:type="pct"/>
        <w:tblInd w:w="0" w:type="dxa"/>
        <w:tblLayout w:type="autofit"/>
        <w:tblCellMar>
          <w:top w:w="0" w:type="dxa"/>
          <w:left w:w="0" w:type="dxa"/>
          <w:bottom w:w="0" w:type="dxa"/>
          <w:right w:w="0" w:type="dxa"/>
        </w:tblCellMar>
      </w:tblPr>
      <w:tblGrid>
        <w:gridCol w:w="2788"/>
        <w:gridCol w:w="6297"/>
      </w:tblGrid>
      <w:tr w14:paraId="32CBA717">
        <w:tblPrEx>
          <w:tblCellMar>
            <w:top w:w="0" w:type="dxa"/>
            <w:left w:w="0" w:type="dxa"/>
            <w:bottom w:w="0" w:type="dxa"/>
            <w:right w:w="0" w:type="dxa"/>
          </w:tblCellMar>
        </w:tblPrEx>
        <w:trPr>
          <w:trHeight w:val="319"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3BCEF850">
            <w:pPr>
              <w:pStyle w:val="766"/>
              <w:adjustRightInd w:val="0"/>
              <w:rPr>
                <w:color w:val="auto"/>
                <w:szCs w:val="24"/>
              </w:rPr>
            </w:pPr>
            <w:r>
              <w:rPr>
                <w:color w:val="auto"/>
              </w:rPr>
              <w:t>项目</w:t>
            </w:r>
          </w:p>
        </w:tc>
        <w:tc>
          <w:tcPr>
            <w:tcW w:w="3465" w:type="pct"/>
            <w:tcBorders>
              <w:top w:val="single" w:color="000000" w:sz="4" w:space="0"/>
              <w:left w:val="single" w:color="000000" w:sz="4" w:space="0"/>
              <w:bottom w:val="single" w:color="000000" w:sz="4" w:space="0"/>
              <w:right w:val="single" w:color="000000" w:sz="4" w:space="0"/>
            </w:tcBorders>
            <w:vAlign w:val="center"/>
          </w:tcPr>
          <w:p w14:paraId="07C0D768">
            <w:pPr>
              <w:pStyle w:val="766"/>
              <w:adjustRightInd w:val="0"/>
              <w:rPr>
                <w:color w:val="auto"/>
                <w:szCs w:val="24"/>
              </w:rPr>
            </w:pPr>
            <w:r>
              <w:rPr>
                <w:color w:val="auto"/>
              </w:rPr>
              <w:t>《城市污水再生利用城市杂用水水质》（GB/T18920-2020）</w:t>
            </w:r>
            <w:r>
              <w:rPr>
                <w:rFonts w:hint="eastAsia"/>
                <w:color w:val="auto"/>
              </w:rPr>
              <w:t>城市绿化</w:t>
            </w:r>
          </w:p>
        </w:tc>
      </w:tr>
      <w:tr w14:paraId="69C45493">
        <w:tblPrEx>
          <w:tblCellMar>
            <w:top w:w="0" w:type="dxa"/>
            <w:left w:w="0" w:type="dxa"/>
            <w:bottom w:w="0" w:type="dxa"/>
            <w:right w:w="0" w:type="dxa"/>
          </w:tblCellMar>
        </w:tblPrEx>
        <w:trPr>
          <w:trHeight w:val="286"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3605255E">
            <w:pPr>
              <w:pStyle w:val="766"/>
              <w:adjustRightInd w:val="0"/>
              <w:rPr>
                <w:color w:val="auto"/>
              </w:rPr>
            </w:pPr>
            <w:r>
              <w:rPr>
                <w:color w:val="auto"/>
              </w:rPr>
              <w:t>pH</w:t>
            </w:r>
          </w:p>
        </w:tc>
        <w:tc>
          <w:tcPr>
            <w:tcW w:w="3465" w:type="pct"/>
            <w:tcBorders>
              <w:top w:val="single" w:color="000000" w:sz="4" w:space="0"/>
              <w:left w:val="single" w:color="000000" w:sz="4" w:space="0"/>
              <w:bottom w:val="single" w:color="000000" w:sz="4" w:space="0"/>
              <w:right w:val="single" w:color="000000" w:sz="4" w:space="0"/>
            </w:tcBorders>
            <w:vAlign w:val="center"/>
          </w:tcPr>
          <w:p w14:paraId="39D03B67">
            <w:pPr>
              <w:pStyle w:val="766"/>
              <w:adjustRightInd w:val="0"/>
              <w:rPr>
                <w:color w:val="auto"/>
                <w:szCs w:val="24"/>
              </w:rPr>
            </w:pPr>
            <w:r>
              <w:rPr>
                <w:color w:val="auto"/>
              </w:rPr>
              <w:t>6</w:t>
            </w:r>
            <w:r>
              <w:rPr>
                <w:rFonts w:hint="eastAsia"/>
                <w:color w:val="auto"/>
              </w:rPr>
              <w:t>.0</w:t>
            </w:r>
            <w:r>
              <w:rPr>
                <w:color w:val="auto"/>
              </w:rPr>
              <w:t>~9</w:t>
            </w:r>
            <w:r>
              <w:rPr>
                <w:rFonts w:hint="eastAsia"/>
                <w:color w:val="auto"/>
              </w:rPr>
              <w:t>.0</w:t>
            </w:r>
          </w:p>
        </w:tc>
      </w:tr>
      <w:tr w14:paraId="141BA020">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0850F365">
            <w:pPr>
              <w:pStyle w:val="766"/>
              <w:adjustRightInd w:val="0"/>
              <w:rPr>
                <w:color w:val="auto"/>
              </w:rPr>
            </w:pPr>
            <w:r>
              <w:rPr>
                <w:rFonts w:hint="eastAsia"/>
                <w:color w:val="auto"/>
              </w:rPr>
              <w:t>水温（℃）</w:t>
            </w:r>
          </w:p>
        </w:tc>
        <w:tc>
          <w:tcPr>
            <w:tcW w:w="3465" w:type="pct"/>
            <w:tcBorders>
              <w:top w:val="single" w:color="000000" w:sz="4" w:space="0"/>
              <w:left w:val="single" w:color="000000" w:sz="4" w:space="0"/>
              <w:bottom w:val="single" w:color="000000" w:sz="4" w:space="0"/>
              <w:right w:val="single" w:color="000000" w:sz="4" w:space="0"/>
            </w:tcBorders>
            <w:vAlign w:val="center"/>
          </w:tcPr>
          <w:p w14:paraId="2873AE21">
            <w:pPr>
              <w:pStyle w:val="766"/>
              <w:adjustRightInd w:val="0"/>
              <w:rPr>
                <w:color w:val="auto"/>
              </w:rPr>
            </w:pPr>
            <w:r>
              <w:rPr>
                <w:rFonts w:hint="eastAsia"/>
                <w:color w:val="auto"/>
              </w:rPr>
              <w:t>/</w:t>
            </w:r>
          </w:p>
        </w:tc>
      </w:tr>
      <w:tr w14:paraId="79760775">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7E5502BB">
            <w:pPr>
              <w:pStyle w:val="766"/>
              <w:adjustRightInd w:val="0"/>
              <w:rPr>
                <w:color w:val="auto"/>
              </w:rPr>
            </w:pPr>
            <w:r>
              <w:rPr>
                <w:rFonts w:hint="eastAsia"/>
                <w:color w:val="auto"/>
              </w:rPr>
              <w:t>悬浮物（mg/L）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13636F0B">
            <w:pPr>
              <w:pStyle w:val="766"/>
              <w:adjustRightInd w:val="0"/>
              <w:rPr>
                <w:color w:val="auto"/>
              </w:rPr>
            </w:pPr>
            <w:r>
              <w:rPr>
                <w:rFonts w:hint="eastAsia"/>
                <w:color w:val="auto"/>
              </w:rPr>
              <w:t>/</w:t>
            </w:r>
          </w:p>
        </w:tc>
      </w:tr>
      <w:tr w14:paraId="769064AD">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499E053B">
            <w:pPr>
              <w:pStyle w:val="766"/>
              <w:adjustRightInd w:val="0"/>
              <w:rPr>
                <w:color w:val="auto"/>
              </w:rPr>
            </w:pPr>
            <w:r>
              <w:rPr>
                <w:color w:val="auto"/>
              </w:rPr>
              <w:t>色度</w:t>
            </w:r>
          </w:p>
        </w:tc>
        <w:tc>
          <w:tcPr>
            <w:tcW w:w="3465" w:type="pct"/>
            <w:tcBorders>
              <w:top w:val="single" w:color="000000" w:sz="4" w:space="0"/>
              <w:left w:val="single" w:color="000000" w:sz="4" w:space="0"/>
              <w:bottom w:val="single" w:color="000000" w:sz="4" w:space="0"/>
              <w:right w:val="single" w:color="000000" w:sz="4" w:space="0"/>
            </w:tcBorders>
            <w:vAlign w:val="center"/>
          </w:tcPr>
          <w:p w14:paraId="77043C09">
            <w:pPr>
              <w:pStyle w:val="766"/>
              <w:adjustRightInd w:val="0"/>
              <w:rPr>
                <w:color w:val="auto"/>
                <w:szCs w:val="24"/>
              </w:rPr>
            </w:pPr>
            <w:r>
              <w:rPr>
                <w:color w:val="auto"/>
              </w:rPr>
              <w:t>30</w:t>
            </w:r>
          </w:p>
        </w:tc>
      </w:tr>
      <w:tr w14:paraId="10B36E47">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26222F1D">
            <w:pPr>
              <w:pStyle w:val="766"/>
              <w:adjustRightInd w:val="0"/>
              <w:rPr>
                <w:color w:val="auto"/>
              </w:rPr>
            </w:pPr>
            <w:r>
              <w:rPr>
                <w:color w:val="auto"/>
              </w:rPr>
              <w:t>嗅</w:t>
            </w:r>
          </w:p>
        </w:tc>
        <w:tc>
          <w:tcPr>
            <w:tcW w:w="3465" w:type="pct"/>
            <w:tcBorders>
              <w:top w:val="single" w:color="000000" w:sz="4" w:space="0"/>
              <w:left w:val="single" w:color="000000" w:sz="4" w:space="0"/>
              <w:bottom w:val="single" w:color="000000" w:sz="4" w:space="0"/>
              <w:right w:val="single" w:color="000000" w:sz="4" w:space="0"/>
            </w:tcBorders>
            <w:vAlign w:val="center"/>
          </w:tcPr>
          <w:p w14:paraId="78E9CC26">
            <w:pPr>
              <w:pStyle w:val="766"/>
              <w:adjustRightInd w:val="0"/>
              <w:rPr>
                <w:color w:val="auto"/>
                <w:szCs w:val="24"/>
              </w:rPr>
            </w:pPr>
            <w:r>
              <w:rPr>
                <w:color w:val="auto"/>
              </w:rPr>
              <w:t>无不快感</w:t>
            </w:r>
          </w:p>
        </w:tc>
      </w:tr>
      <w:tr w14:paraId="2E630513">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7B408EF5">
            <w:pPr>
              <w:pStyle w:val="766"/>
              <w:adjustRightInd w:val="0"/>
              <w:rPr>
                <w:color w:val="auto"/>
              </w:rPr>
            </w:pPr>
            <w:r>
              <w:rPr>
                <w:color w:val="auto"/>
              </w:rPr>
              <w:t>浊度</w:t>
            </w:r>
          </w:p>
        </w:tc>
        <w:tc>
          <w:tcPr>
            <w:tcW w:w="3465" w:type="pct"/>
            <w:tcBorders>
              <w:top w:val="single" w:color="000000" w:sz="4" w:space="0"/>
              <w:left w:val="single" w:color="000000" w:sz="4" w:space="0"/>
              <w:bottom w:val="single" w:color="000000" w:sz="4" w:space="0"/>
              <w:right w:val="single" w:color="000000" w:sz="4" w:space="0"/>
            </w:tcBorders>
            <w:vAlign w:val="center"/>
          </w:tcPr>
          <w:p w14:paraId="17157652">
            <w:pPr>
              <w:pStyle w:val="766"/>
              <w:adjustRightInd w:val="0"/>
              <w:rPr>
                <w:color w:val="auto"/>
                <w:szCs w:val="24"/>
              </w:rPr>
            </w:pPr>
            <w:r>
              <w:rPr>
                <w:color w:val="auto"/>
              </w:rPr>
              <w:t>10</w:t>
            </w:r>
          </w:p>
        </w:tc>
      </w:tr>
      <w:tr w14:paraId="46456289">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2D45C222">
            <w:pPr>
              <w:pStyle w:val="766"/>
              <w:adjustRightInd w:val="0"/>
              <w:rPr>
                <w:color w:val="auto"/>
                <w:szCs w:val="24"/>
              </w:rPr>
            </w:pPr>
            <w:r>
              <w:rPr>
                <w:color w:val="auto"/>
                <w:position w:val="2"/>
              </w:rPr>
              <w:t>BOD</w:t>
            </w:r>
            <w:r>
              <w:rPr>
                <w:color w:val="auto"/>
                <w:sz w:val="13"/>
                <w:szCs w:val="13"/>
              </w:rPr>
              <w:t>5</w:t>
            </w:r>
            <w:r>
              <w:rPr>
                <w:color w:val="auto"/>
                <w:position w:val="2"/>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56314DC9">
            <w:pPr>
              <w:pStyle w:val="766"/>
              <w:adjustRightInd w:val="0"/>
              <w:rPr>
                <w:color w:val="auto"/>
                <w:szCs w:val="24"/>
              </w:rPr>
            </w:pPr>
            <w:r>
              <w:rPr>
                <w:color w:val="auto"/>
              </w:rPr>
              <w:t>10</w:t>
            </w:r>
          </w:p>
        </w:tc>
      </w:tr>
      <w:tr w14:paraId="4548BAB1">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3FE53B9F">
            <w:pPr>
              <w:pStyle w:val="766"/>
              <w:adjustRightInd w:val="0"/>
              <w:rPr>
                <w:color w:val="auto"/>
                <w:position w:val="2"/>
              </w:rPr>
            </w:pPr>
            <w:r>
              <w:rPr>
                <w:rFonts w:hint="eastAsia"/>
                <w:color w:val="auto"/>
                <w:position w:val="2"/>
              </w:rPr>
              <w:t>COD</w:t>
            </w:r>
            <w:r>
              <w:rPr>
                <w:rFonts w:hint="eastAsia"/>
                <w:color w:val="auto"/>
                <w:position w:val="2"/>
                <w:vertAlign w:val="subscript"/>
              </w:rPr>
              <w:t>Cr</w:t>
            </w:r>
            <w:r>
              <w:rPr>
                <w:rFonts w:hint="eastAsia"/>
                <w:color w:val="auto"/>
                <w:position w:val="2"/>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35A3B6BA">
            <w:pPr>
              <w:pStyle w:val="766"/>
              <w:adjustRightInd w:val="0"/>
              <w:rPr>
                <w:color w:val="auto"/>
              </w:rPr>
            </w:pPr>
            <w:r>
              <w:rPr>
                <w:rFonts w:hint="eastAsia"/>
                <w:color w:val="auto"/>
              </w:rPr>
              <w:t>/</w:t>
            </w:r>
          </w:p>
        </w:tc>
      </w:tr>
      <w:tr w14:paraId="275837BD">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7932918D">
            <w:pPr>
              <w:pStyle w:val="766"/>
              <w:adjustRightInd w:val="0"/>
              <w:rPr>
                <w:color w:val="auto"/>
                <w:szCs w:val="24"/>
              </w:rPr>
            </w:pPr>
            <w:r>
              <w:rPr>
                <w:color w:val="auto"/>
              </w:rPr>
              <w:t>氨氮（mg/L）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6A3DD80C">
            <w:pPr>
              <w:pStyle w:val="766"/>
              <w:adjustRightInd w:val="0"/>
              <w:rPr>
                <w:color w:val="auto"/>
                <w:szCs w:val="24"/>
              </w:rPr>
            </w:pPr>
            <w:r>
              <w:rPr>
                <w:color w:val="auto"/>
                <w:w w:val="99"/>
              </w:rPr>
              <w:t>8</w:t>
            </w:r>
          </w:p>
        </w:tc>
      </w:tr>
      <w:tr w14:paraId="35BC95F5">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3F925D13">
            <w:pPr>
              <w:pStyle w:val="766"/>
              <w:adjustRightInd w:val="0"/>
              <w:rPr>
                <w:color w:val="auto"/>
                <w:szCs w:val="24"/>
              </w:rPr>
            </w:pPr>
            <w:r>
              <w:rPr>
                <w:color w:val="auto"/>
              </w:rPr>
              <w:t>阴离子表面活性剂（mg/L）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3A1F6E10">
            <w:pPr>
              <w:pStyle w:val="766"/>
              <w:adjustRightInd w:val="0"/>
              <w:rPr>
                <w:color w:val="auto"/>
                <w:szCs w:val="24"/>
              </w:rPr>
            </w:pPr>
            <w:r>
              <w:rPr>
                <w:color w:val="auto"/>
              </w:rPr>
              <w:t>0.5</w:t>
            </w:r>
          </w:p>
        </w:tc>
      </w:tr>
      <w:tr w14:paraId="5DBF68C9">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5EFAB14E">
            <w:pPr>
              <w:pStyle w:val="766"/>
              <w:adjustRightInd w:val="0"/>
              <w:rPr>
                <w:color w:val="auto"/>
              </w:rPr>
            </w:pPr>
            <w:r>
              <w:rPr>
                <w:rFonts w:hint="eastAsia"/>
                <w:color w:val="auto"/>
              </w:rPr>
              <w:t>氯化物（以Cl</w:t>
            </w:r>
            <w:r>
              <w:rPr>
                <w:rFonts w:hint="eastAsia"/>
                <w:color w:val="auto"/>
                <w:vertAlign w:val="superscript"/>
              </w:rPr>
              <w:t>-</w:t>
            </w:r>
            <w:r>
              <w:rPr>
                <w:rFonts w:hint="eastAsia"/>
                <w:color w:val="auto"/>
              </w:rPr>
              <w:t>计）</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3CA1109F">
            <w:pPr>
              <w:pStyle w:val="766"/>
              <w:adjustRightInd w:val="0"/>
              <w:rPr>
                <w:color w:val="auto"/>
              </w:rPr>
            </w:pPr>
            <w:r>
              <w:rPr>
                <w:rFonts w:hint="eastAsia"/>
                <w:color w:val="auto"/>
              </w:rPr>
              <w:t>/</w:t>
            </w:r>
          </w:p>
        </w:tc>
      </w:tr>
      <w:tr w14:paraId="303E75DC">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3446AC0C">
            <w:pPr>
              <w:pStyle w:val="766"/>
              <w:adjustRightInd w:val="0"/>
              <w:rPr>
                <w:color w:val="auto"/>
              </w:rPr>
            </w:pPr>
            <w:r>
              <w:rPr>
                <w:rFonts w:hint="eastAsia"/>
                <w:color w:val="auto"/>
              </w:rPr>
              <w:t>硫化物（以S</w:t>
            </w:r>
            <w:r>
              <w:rPr>
                <w:rFonts w:hint="eastAsia"/>
                <w:color w:val="auto"/>
                <w:vertAlign w:val="superscript"/>
              </w:rPr>
              <w:t>2-</w:t>
            </w:r>
            <w:r>
              <w:rPr>
                <w:rFonts w:hint="eastAsia"/>
                <w:color w:val="auto"/>
              </w:rPr>
              <w:t>计）</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07465037">
            <w:pPr>
              <w:pStyle w:val="766"/>
              <w:adjustRightInd w:val="0"/>
              <w:rPr>
                <w:color w:val="auto"/>
              </w:rPr>
            </w:pPr>
            <w:r>
              <w:rPr>
                <w:rFonts w:hint="eastAsia"/>
                <w:color w:val="auto"/>
              </w:rPr>
              <w:t>/</w:t>
            </w:r>
          </w:p>
        </w:tc>
      </w:tr>
      <w:tr w14:paraId="516ED6C2">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2092DF5D">
            <w:pPr>
              <w:pStyle w:val="766"/>
              <w:adjustRightInd w:val="0"/>
              <w:rPr>
                <w:color w:val="auto"/>
                <w:szCs w:val="24"/>
              </w:rPr>
            </w:pPr>
            <w:r>
              <w:rPr>
                <w:color w:val="auto"/>
              </w:rPr>
              <w:t>铁（mg/L）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0F5F074E">
            <w:pPr>
              <w:pStyle w:val="766"/>
              <w:adjustRightInd w:val="0"/>
              <w:rPr>
                <w:color w:val="auto"/>
                <w:szCs w:val="24"/>
              </w:rPr>
            </w:pPr>
            <w:r>
              <w:rPr>
                <w:rFonts w:hint="eastAsia"/>
                <w:color w:val="auto"/>
                <w:w w:val="99"/>
              </w:rPr>
              <w:t>/</w:t>
            </w:r>
          </w:p>
        </w:tc>
      </w:tr>
      <w:tr w14:paraId="605F2BFC">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5CE46B70">
            <w:pPr>
              <w:pStyle w:val="766"/>
              <w:adjustRightInd w:val="0"/>
              <w:rPr>
                <w:color w:val="auto"/>
                <w:szCs w:val="24"/>
              </w:rPr>
            </w:pPr>
            <w:r>
              <w:rPr>
                <w:color w:val="auto"/>
              </w:rPr>
              <w:t>锰（mg/L）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1E84469D">
            <w:pPr>
              <w:pStyle w:val="766"/>
              <w:adjustRightInd w:val="0"/>
              <w:rPr>
                <w:color w:val="auto"/>
                <w:szCs w:val="24"/>
              </w:rPr>
            </w:pPr>
            <w:r>
              <w:rPr>
                <w:rFonts w:hint="eastAsia"/>
                <w:color w:val="auto"/>
                <w:w w:val="99"/>
              </w:rPr>
              <w:t>/</w:t>
            </w:r>
          </w:p>
        </w:tc>
      </w:tr>
      <w:tr w14:paraId="56BEFA50">
        <w:tblPrEx>
          <w:tblCellMar>
            <w:top w:w="0" w:type="dxa"/>
            <w:left w:w="0" w:type="dxa"/>
            <w:bottom w:w="0" w:type="dxa"/>
            <w:right w:w="0" w:type="dxa"/>
          </w:tblCellMar>
        </w:tblPrEx>
        <w:trPr>
          <w:trHeight w:val="282"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37F625BB">
            <w:pPr>
              <w:pStyle w:val="766"/>
              <w:adjustRightInd w:val="0"/>
              <w:rPr>
                <w:color w:val="auto"/>
                <w:szCs w:val="24"/>
              </w:rPr>
            </w:pPr>
            <w:r>
              <w:rPr>
                <w:color w:val="auto"/>
              </w:rPr>
              <w:t>溶解性总固体（mg/L）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6A4BE87B">
            <w:pPr>
              <w:pStyle w:val="766"/>
              <w:adjustRightInd w:val="0"/>
              <w:rPr>
                <w:color w:val="auto"/>
                <w:szCs w:val="24"/>
              </w:rPr>
            </w:pPr>
            <w:r>
              <w:rPr>
                <w:color w:val="auto"/>
              </w:rPr>
              <w:t>1000（2000</w:t>
            </w:r>
            <w:r>
              <w:rPr>
                <w:rFonts w:hint="eastAsia"/>
                <w:color w:val="auto"/>
              </w:rPr>
              <w:t>，沿海或本地水源中溶解性固体含量较高</w:t>
            </w:r>
            <w:r>
              <w:rPr>
                <w:color w:val="auto"/>
              </w:rPr>
              <w:t>）</w:t>
            </w:r>
          </w:p>
        </w:tc>
      </w:tr>
      <w:tr w14:paraId="498A5EA7">
        <w:tblPrEx>
          <w:tblCellMar>
            <w:top w:w="0" w:type="dxa"/>
            <w:left w:w="0" w:type="dxa"/>
            <w:bottom w:w="0" w:type="dxa"/>
            <w:right w:w="0" w:type="dxa"/>
          </w:tblCellMar>
        </w:tblPrEx>
        <w:trPr>
          <w:trHeight w:val="239"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07531820">
            <w:pPr>
              <w:pStyle w:val="766"/>
              <w:adjustRightInd w:val="0"/>
              <w:rPr>
                <w:color w:val="auto"/>
              </w:rPr>
            </w:pPr>
            <w:r>
              <w:rPr>
                <w:rFonts w:hint="eastAsia"/>
                <w:color w:val="auto"/>
              </w:rPr>
              <w:t>全盐量/</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68D559AE">
            <w:pPr>
              <w:pStyle w:val="766"/>
              <w:adjustRightInd w:val="0"/>
              <w:rPr>
                <w:color w:val="auto"/>
              </w:rPr>
            </w:pPr>
            <w:r>
              <w:rPr>
                <w:rFonts w:hint="eastAsia"/>
                <w:color w:val="auto"/>
              </w:rPr>
              <w:t>/</w:t>
            </w:r>
          </w:p>
        </w:tc>
      </w:tr>
      <w:tr w14:paraId="7DD2BD40">
        <w:tblPrEx>
          <w:tblCellMar>
            <w:top w:w="0" w:type="dxa"/>
            <w:left w:w="0" w:type="dxa"/>
            <w:bottom w:w="0" w:type="dxa"/>
            <w:right w:w="0" w:type="dxa"/>
          </w:tblCellMar>
        </w:tblPrEx>
        <w:trPr>
          <w:trHeight w:val="320"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53E89D1F">
            <w:pPr>
              <w:pStyle w:val="766"/>
              <w:adjustRightInd w:val="0"/>
              <w:rPr>
                <w:color w:val="auto"/>
                <w:szCs w:val="24"/>
              </w:rPr>
            </w:pPr>
            <w:r>
              <w:rPr>
                <w:color w:val="auto"/>
              </w:rPr>
              <w:t>溶解氧（mg/L）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56A1A0C5">
            <w:pPr>
              <w:pStyle w:val="766"/>
              <w:adjustRightInd w:val="0"/>
              <w:rPr>
                <w:color w:val="auto"/>
                <w:szCs w:val="24"/>
              </w:rPr>
            </w:pPr>
            <w:r>
              <w:rPr>
                <w:color w:val="auto"/>
                <w:w w:val="99"/>
              </w:rPr>
              <w:t>2</w:t>
            </w:r>
            <w:r>
              <w:rPr>
                <w:rFonts w:hint="eastAsia"/>
                <w:color w:val="auto"/>
                <w:w w:val="99"/>
              </w:rPr>
              <w:t>.0</w:t>
            </w:r>
          </w:p>
        </w:tc>
      </w:tr>
      <w:tr w14:paraId="04C0D03B">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0984C49B">
            <w:pPr>
              <w:pStyle w:val="766"/>
              <w:adjustRightInd w:val="0"/>
              <w:rPr>
                <w:color w:val="auto"/>
                <w:szCs w:val="24"/>
              </w:rPr>
            </w:pPr>
            <w:r>
              <w:rPr>
                <w:color w:val="auto"/>
              </w:rPr>
              <w:t>总氯（mg/L）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67153633">
            <w:pPr>
              <w:pStyle w:val="766"/>
              <w:adjustRightInd w:val="0"/>
              <w:rPr>
                <w:color w:val="auto"/>
                <w:szCs w:val="24"/>
              </w:rPr>
            </w:pPr>
            <w:r>
              <w:rPr>
                <w:color w:val="auto"/>
                <w:spacing w:val="-3"/>
              </w:rPr>
              <w:t>1.0（出厂）、0.2</w:t>
            </w:r>
            <w:r>
              <w:rPr>
                <w:color w:val="auto"/>
                <w:spacing w:val="-3"/>
                <w:position w:val="7"/>
                <w:sz w:val="13"/>
                <w:szCs w:val="13"/>
              </w:rPr>
              <w:t>b</w:t>
            </w:r>
            <w:r>
              <w:rPr>
                <w:color w:val="auto"/>
                <w:spacing w:val="-3"/>
              </w:rPr>
              <w:t>（管</w:t>
            </w:r>
            <w:r>
              <w:rPr>
                <w:color w:val="auto"/>
              </w:rPr>
              <w:t>网末端）</w:t>
            </w:r>
          </w:p>
        </w:tc>
      </w:tr>
      <w:tr w14:paraId="5725949D">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3526080C">
            <w:pPr>
              <w:pStyle w:val="766"/>
              <w:adjustRightInd w:val="0"/>
              <w:rPr>
                <w:color w:val="auto"/>
              </w:rPr>
            </w:pPr>
            <w:r>
              <w:rPr>
                <w:rFonts w:hint="eastAsia"/>
                <w:color w:val="auto"/>
              </w:rPr>
              <w:t>总铅</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7D65514D">
            <w:pPr>
              <w:pStyle w:val="766"/>
              <w:adjustRightInd w:val="0"/>
              <w:rPr>
                <w:color w:val="auto"/>
              </w:rPr>
            </w:pPr>
            <w:r>
              <w:rPr>
                <w:rFonts w:hint="eastAsia"/>
                <w:color w:val="auto"/>
              </w:rPr>
              <w:t>/</w:t>
            </w:r>
          </w:p>
        </w:tc>
      </w:tr>
      <w:tr w14:paraId="0FB77590">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5F60E538">
            <w:pPr>
              <w:pStyle w:val="766"/>
              <w:adjustRightInd w:val="0"/>
              <w:rPr>
                <w:color w:val="auto"/>
              </w:rPr>
            </w:pPr>
            <w:r>
              <w:rPr>
                <w:rFonts w:hint="eastAsia"/>
                <w:color w:val="auto"/>
              </w:rPr>
              <w:t>总镉</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2F8A50BA">
            <w:pPr>
              <w:pStyle w:val="766"/>
              <w:adjustRightInd w:val="0"/>
              <w:rPr>
                <w:color w:val="auto"/>
              </w:rPr>
            </w:pPr>
            <w:r>
              <w:rPr>
                <w:rFonts w:hint="eastAsia"/>
                <w:color w:val="auto"/>
              </w:rPr>
              <w:t>/</w:t>
            </w:r>
          </w:p>
        </w:tc>
      </w:tr>
      <w:tr w14:paraId="72204E64">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18CA53E4">
            <w:pPr>
              <w:pStyle w:val="766"/>
              <w:adjustRightInd w:val="0"/>
              <w:rPr>
                <w:color w:val="auto"/>
              </w:rPr>
            </w:pPr>
            <w:r>
              <w:rPr>
                <w:rFonts w:hint="eastAsia"/>
                <w:color w:val="auto"/>
              </w:rPr>
              <w:t>铬（六价）</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258CDE2F">
            <w:pPr>
              <w:pStyle w:val="766"/>
              <w:adjustRightInd w:val="0"/>
              <w:rPr>
                <w:color w:val="auto"/>
              </w:rPr>
            </w:pPr>
            <w:r>
              <w:rPr>
                <w:rFonts w:hint="eastAsia"/>
                <w:color w:val="auto"/>
              </w:rPr>
              <w:t>/</w:t>
            </w:r>
          </w:p>
        </w:tc>
      </w:tr>
      <w:tr w14:paraId="1813B217">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5ED05E56">
            <w:pPr>
              <w:pStyle w:val="766"/>
              <w:adjustRightInd w:val="0"/>
              <w:rPr>
                <w:color w:val="auto"/>
              </w:rPr>
            </w:pPr>
            <w:r>
              <w:rPr>
                <w:rFonts w:hint="eastAsia"/>
                <w:color w:val="auto"/>
              </w:rPr>
              <w:t>总汞</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6BD0A1B8">
            <w:pPr>
              <w:pStyle w:val="766"/>
              <w:adjustRightInd w:val="0"/>
              <w:rPr>
                <w:color w:val="auto"/>
              </w:rPr>
            </w:pPr>
            <w:r>
              <w:rPr>
                <w:rFonts w:hint="eastAsia"/>
                <w:color w:val="auto"/>
              </w:rPr>
              <w:t>/</w:t>
            </w:r>
          </w:p>
        </w:tc>
      </w:tr>
      <w:tr w14:paraId="06A11A0C">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71F21EDA">
            <w:pPr>
              <w:pStyle w:val="766"/>
              <w:adjustRightInd w:val="0"/>
              <w:rPr>
                <w:color w:val="auto"/>
              </w:rPr>
            </w:pPr>
            <w:r>
              <w:rPr>
                <w:rFonts w:hint="eastAsia"/>
                <w:color w:val="auto"/>
              </w:rPr>
              <w:t>总砷</w:t>
            </w:r>
            <w:r>
              <w:rPr>
                <w:color w:val="auto"/>
              </w:rPr>
              <w:t>（mg/L）</w:t>
            </w:r>
          </w:p>
        </w:tc>
        <w:tc>
          <w:tcPr>
            <w:tcW w:w="3465" w:type="pct"/>
            <w:tcBorders>
              <w:top w:val="single" w:color="000000" w:sz="4" w:space="0"/>
              <w:left w:val="single" w:color="000000" w:sz="4" w:space="0"/>
              <w:bottom w:val="single" w:color="000000" w:sz="4" w:space="0"/>
              <w:right w:val="single" w:color="000000" w:sz="4" w:space="0"/>
            </w:tcBorders>
            <w:vAlign w:val="center"/>
          </w:tcPr>
          <w:p w14:paraId="28A3F8C3">
            <w:pPr>
              <w:pStyle w:val="766"/>
              <w:adjustRightInd w:val="0"/>
              <w:rPr>
                <w:color w:val="auto"/>
              </w:rPr>
            </w:pPr>
            <w:r>
              <w:rPr>
                <w:rFonts w:hint="eastAsia"/>
                <w:color w:val="auto"/>
              </w:rPr>
              <w:t>/</w:t>
            </w:r>
          </w:p>
        </w:tc>
      </w:tr>
      <w:tr w14:paraId="6D0C03C6">
        <w:tblPrEx>
          <w:tblCellMar>
            <w:top w:w="0" w:type="dxa"/>
            <w:left w:w="0" w:type="dxa"/>
            <w:bottom w:w="0" w:type="dxa"/>
            <w:right w:w="0" w:type="dxa"/>
          </w:tblCellMar>
        </w:tblPrEx>
        <w:trPr>
          <w:trHeight w:val="187"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436AD3C6">
            <w:pPr>
              <w:pStyle w:val="766"/>
              <w:adjustRightInd w:val="0"/>
              <w:rPr>
                <w:color w:val="auto"/>
                <w:szCs w:val="24"/>
              </w:rPr>
            </w:pPr>
            <w:r>
              <w:rPr>
                <w:color w:val="auto"/>
              </w:rPr>
              <w:t>大肠埃希氏菌（MPN/100mL）</w:t>
            </w:r>
          </w:p>
        </w:tc>
        <w:tc>
          <w:tcPr>
            <w:tcW w:w="3465" w:type="pct"/>
            <w:tcBorders>
              <w:top w:val="single" w:color="000000" w:sz="4" w:space="0"/>
              <w:left w:val="single" w:color="000000" w:sz="4" w:space="0"/>
              <w:bottom w:val="single" w:color="000000" w:sz="4" w:space="0"/>
              <w:right w:val="single" w:color="000000" w:sz="4" w:space="0"/>
            </w:tcBorders>
            <w:vAlign w:val="center"/>
          </w:tcPr>
          <w:p w14:paraId="21EDD66A">
            <w:pPr>
              <w:pStyle w:val="766"/>
              <w:adjustRightInd w:val="0"/>
              <w:rPr>
                <w:color w:val="auto"/>
                <w:szCs w:val="24"/>
              </w:rPr>
            </w:pPr>
            <w:r>
              <w:rPr>
                <w:color w:val="auto"/>
                <w:position w:val="-7"/>
              </w:rPr>
              <w:t>无</w:t>
            </w:r>
            <w:r>
              <w:rPr>
                <w:color w:val="auto"/>
                <w:spacing w:val="-53"/>
                <w:position w:val="-7"/>
              </w:rPr>
              <w:t xml:space="preserve"> </w:t>
            </w:r>
          </w:p>
        </w:tc>
      </w:tr>
      <w:tr w14:paraId="32899018">
        <w:tblPrEx>
          <w:tblCellMar>
            <w:top w:w="0" w:type="dxa"/>
            <w:left w:w="0" w:type="dxa"/>
            <w:bottom w:w="0" w:type="dxa"/>
            <w:right w:w="0" w:type="dxa"/>
          </w:tblCellMar>
        </w:tblPrEx>
        <w:trPr>
          <w:trHeight w:val="315"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09CF08C9">
            <w:pPr>
              <w:pStyle w:val="766"/>
              <w:adjustRightInd w:val="0"/>
              <w:rPr>
                <w:color w:val="auto"/>
              </w:rPr>
            </w:pPr>
            <w:r>
              <w:rPr>
                <w:rFonts w:hint="eastAsia"/>
                <w:color w:val="auto"/>
              </w:rPr>
              <w:t>粪大肠菌群数</w:t>
            </w:r>
            <w:r>
              <w:rPr>
                <w:color w:val="auto"/>
              </w:rPr>
              <w:t>（MPN/L）</w:t>
            </w:r>
          </w:p>
        </w:tc>
        <w:tc>
          <w:tcPr>
            <w:tcW w:w="3465" w:type="pct"/>
            <w:tcBorders>
              <w:top w:val="single" w:color="000000" w:sz="4" w:space="0"/>
              <w:left w:val="single" w:color="000000" w:sz="4" w:space="0"/>
              <w:bottom w:val="single" w:color="000000" w:sz="4" w:space="0"/>
              <w:right w:val="single" w:color="000000" w:sz="4" w:space="0"/>
            </w:tcBorders>
            <w:vAlign w:val="center"/>
          </w:tcPr>
          <w:p w14:paraId="1E414CA2">
            <w:pPr>
              <w:pStyle w:val="766"/>
              <w:adjustRightInd w:val="0"/>
              <w:rPr>
                <w:color w:val="auto"/>
                <w:position w:val="-7"/>
              </w:rPr>
            </w:pPr>
            <w:r>
              <w:rPr>
                <w:rFonts w:hint="eastAsia"/>
                <w:color w:val="auto"/>
                <w:position w:val="-7"/>
              </w:rPr>
              <w:t>/</w:t>
            </w:r>
          </w:p>
        </w:tc>
      </w:tr>
      <w:tr w14:paraId="1A7B7B92">
        <w:tblPrEx>
          <w:tblCellMar>
            <w:top w:w="0" w:type="dxa"/>
            <w:left w:w="0" w:type="dxa"/>
            <w:bottom w:w="0" w:type="dxa"/>
            <w:right w:w="0" w:type="dxa"/>
          </w:tblCellMar>
        </w:tblPrEx>
        <w:trPr>
          <w:trHeight w:val="327" w:hRule="atLeast"/>
        </w:trPr>
        <w:tc>
          <w:tcPr>
            <w:tcW w:w="1534" w:type="pct"/>
            <w:tcBorders>
              <w:top w:val="single" w:color="000000" w:sz="4" w:space="0"/>
              <w:left w:val="single" w:color="000000" w:sz="4" w:space="0"/>
              <w:bottom w:val="single" w:color="000000" w:sz="4" w:space="0"/>
              <w:right w:val="single" w:color="000000" w:sz="4" w:space="0"/>
            </w:tcBorders>
            <w:vAlign w:val="center"/>
          </w:tcPr>
          <w:p w14:paraId="0DAC16DF">
            <w:pPr>
              <w:pStyle w:val="766"/>
              <w:adjustRightInd w:val="0"/>
              <w:rPr>
                <w:color w:val="auto"/>
              </w:rPr>
            </w:pPr>
            <w:r>
              <w:rPr>
                <w:rFonts w:hint="eastAsia"/>
                <w:color w:val="auto"/>
              </w:rPr>
              <w:t>蛔虫卵书（个/10L）</w:t>
            </w:r>
          </w:p>
        </w:tc>
        <w:tc>
          <w:tcPr>
            <w:tcW w:w="3465" w:type="pct"/>
            <w:tcBorders>
              <w:top w:val="single" w:color="000000" w:sz="4" w:space="0"/>
              <w:left w:val="single" w:color="000000" w:sz="4" w:space="0"/>
              <w:bottom w:val="single" w:color="000000" w:sz="4" w:space="0"/>
              <w:right w:val="single" w:color="000000" w:sz="4" w:space="0"/>
            </w:tcBorders>
            <w:vAlign w:val="center"/>
          </w:tcPr>
          <w:p w14:paraId="085E36C1">
            <w:pPr>
              <w:pStyle w:val="766"/>
              <w:adjustRightInd w:val="0"/>
              <w:rPr>
                <w:color w:val="auto"/>
                <w:position w:val="-7"/>
              </w:rPr>
            </w:pPr>
            <w:r>
              <w:rPr>
                <w:rFonts w:hint="eastAsia"/>
                <w:color w:val="auto"/>
                <w:position w:val="-7"/>
              </w:rPr>
              <w:t>/</w:t>
            </w:r>
          </w:p>
        </w:tc>
      </w:tr>
    </w:tbl>
    <w:p w14:paraId="68D12FE6">
      <w:pPr>
        <w:pStyle w:val="12"/>
      </w:pPr>
      <w:r>
        <w:t>2.6.2.3 噪声排放标准</w:t>
      </w:r>
    </w:p>
    <w:p w14:paraId="6A3E57EF">
      <w:pPr>
        <w:pStyle w:val="105"/>
        <w:ind w:firstLine="480"/>
      </w:pPr>
      <w:r>
        <w:t>施工期噪声排放执行《建筑施工场界环境噪声排放标准》（GB12523－2011），项目运营期噪声排放执行《工业企业厂界环境噪声排放标准》（GB12348-2008）2类标准。</w:t>
      </w:r>
    </w:p>
    <w:p w14:paraId="010D8F25">
      <w:pPr>
        <w:pStyle w:val="743"/>
        <w:rPr>
          <w:rFonts w:cs="Times New Roman"/>
        </w:rPr>
      </w:pPr>
      <w:r>
        <w:rPr>
          <w:rFonts w:cs="Times New Roman"/>
        </w:rPr>
        <w:t>表2.6-</w:t>
      </w:r>
      <w:r>
        <w:rPr>
          <w:rFonts w:hint="eastAsia" w:cs="Times New Roman"/>
        </w:rPr>
        <w:t>10</w:t>
      </w:r>
      <w:r>
        <w:rPr>
          <w:rFonts w:cs="Times New Roman"/>
        </w:rPr>
        <w:t>建筑施工场界环境噪声排放标准（GB12523－2011）</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4"/>
      </w:tblGrid>
      <w:tr w14:paraId="7C1D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500" w:type="pct"/>
            <w:vAlign w:val="center"/>
          </w:tcPr>
          <w:p w14:paraId="4CAB86D3">
            <w:pPr>
              <w:pStyle w:val="357"/>
            </w:pPr>
            <w:r>
              <w:t>昼间</w:t>
            </w:r>
          </w:p>
        </w:tc>
        <w:tc>
          <w:tcPr>
            <w:tcW w:w="2500" w:type="pct"/>
            <w:vAlign w:val="center"/>
          </w:tcPr>
          <w:p w14:paraId="6018EBB6">
            <w:pPr>
              <w:pStyle w:val="357"/>
            </w:pPr>
            <w:r>
              <w:t>夜间</w:t>
            </w:r>
          </w:p>
        </w:tc>
      </w:tr>
      <w:tr w14:paraId="65E5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500" w:type="pct"/>
            <w:vAlign w:val="center"/>
          </w:tcPr>
          <w:p w14:paraId="4F2FF06C">
            <w:pPr>
              <w:pStyle w:val="357"/>
            </w:pPr>
            <w:r>
              <w:t>70dB(A)</w:t>
            </w:r>
          </w:p>
        </w:tc>
        <w:tc>
          <w:tcPr>
            <w:tcW w:w="2500" w:type="pct"/>
            <w:vAlign w:val="center"/>
          </w:tcPr>
          <w:p w14:paraId="6CC7443D">
            <w:pPr>
              <w:pStyle w:val="357"/>
            </w:pPr>
            <w:r>
              <w:t>55dB(A)</w:t>
            </w:r>
          </w:p>
        </w:tc>
      </w:tr>
    </w:tbl>
    <w:p w14:paraId="4E94E652">
      <w:pPr>
        <w:pStyle w:val="743"/>
        <w:rPr>
          <w:rFonts w:cs="Times New Roman"/>
        </w:rPr>
      </w:pPr>
      <w:r>
        <w:rPr>
          <w:rFonts w:cs="Times New Roman"/>
        </w:rPr>
        <w:t>表2.6-1</w:t>
      </w:r>
      <w:r>
        <w:rPr>
          <w:rFonts w:hint="eastAsia" w:cs="Times New Roman"/>
        </w:rPr>
        <w:t>1</w:t>
      </w:r>
      <w:r>
        <w:rPr>
          <w:rFonts w:cs="Times New Roman"/>
        </w:rPr>
        <w:t>工业企业厂界环境噪声排放标准</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5"/>
        <w:gridCol w:w="3104"/>
        <w:gridCol w:w="2678"/>
      </w:tblGrid>
      <w:tr w14:paraId="46B4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87" w:type="pct"/>
            <w:vMerge w:val="restart"/>
            <w:vAlign w:val="center"/>
          </w:tcPr>
          <w:p w14:paraId="46B0AC35">
            <w:pPr>
              <w:pStyle w:val="357"/>
            </w:pPr>
            <w:r>
              <w:t>执行的标准及级别</w:t>
            </w:r>
          </w:p>
        </w:tc>
        <w:tc>
          <w:tcPr>
            <w:tcW w:w="3113" w:type="pct"/>
            <w:gridSpan w:val="2"/>
            <w:vAlign w:val="center"/>
          </w:tcPr>
          <w:p w14:paraId="35FAD9F2">
            <w:pPr>
              <w:pStyle w:val="357"/>
            </w:pPr>
            <w:r>
              <w:t>标准值dB(A)</w:t>
            </w:r>
          </w:p>
        </w:tc>
      </w:tr>
      <w:tr w14:paraId="346769D3">
        <w:tblPrEx>
          <w:tblCellMar>
            <w:top w:w="0" w:type="dxa"/>
            <w:left w:w="108" w:type="dxa"/>
            <w:bottom w:w="0" w:type="dxa"/>
            <w:right w:w="108" w:type="dxa"/>
          </w:tblCellMar>
        </w:tblPrEx>
        <w:trPr>
          <w:cantSplit/>
          <w:trHeight w:val="20" w:hRule="atLeast"/>
          <w:jc w:val="center"/>
        </w:trPr>
        <w:tc>
          <w:tcPr>
            <w:tcW w:w="1887" w:type="pct"/>
            <w:vMerge w:val="continue"/>
            <w:vAlign w:val="center"/>
          </w:tcPr>
          <w:p w14:paraId="23A25385">
            <w:pPr>
              <w:pStyle w:val="357"/>
            </w:pPr>
          </w:p>
        </w:tc>
        <w:tc>
          <w:tcPr>
            <w:tcW w:w="1671" w:type="pct"/>
            <w:vAlign w:val="center"/>
          </w:tcPr>
          <w:p w14:paraId="4D156E99">
            <w:pPr>
              <w:pStyle w:val="357"/>
            </w:pPr>
            <w:r>
              <w:t>昼间</w:t>
            </w:r>
          </w:p>
        </w:tc>
        <w:tc>
          <w:tcPr>
            <w:tcW w:w="1442" w:type="pct"/>
            <w:vAlign w:val="center"/>
          </w:tcPr>
          <w:p w14:paraId="758D93E2">
            <w:pPr>
              <w:pStyle w:val="357"/>
            </w:pPr>
            <w:r>
              <w:t>夜间</w:t>
            </w:r>
          </w:p>
        </w:tc>
      </w:tr>
      <w:tr w14:paraId="7941DE1A">
        <w:tblPrEx>
          <w:tblCellMar>
            <w:top w:w="0" w:type="dxa"/>
            <w:left w:w="108" w:type="dxa"/>
            <w:bottom w:w="0" w:type="dxa"/>
            <w:right w:w="108" w:type="dxa"/>
          </w:tblCellMar>
        </w:tblPrEx>
        <w:trPr>
          <w:cantSplit/>
          <w:trHeight w:val="20" w:hRule="atLeast"/>
          <w:jc w:val="center"/>
        </w:trPr>
        <w:tc>
          <w:tcPr>
            <w:tcW w:w="1887" w:type="pct"/>
            <w:vAlign w:val="center"/>
          </w:tcPr>
          <w:p w14:paraId="2E13C47E">
            <w:pPr>
              <w:pStyle w:val="357"/>
            </w:pPr>
            <w:r>
              <w:t>2类区</w:t>
            </w:r>
          </w:p>
        </w:tc>
        <w:tc>
          <w:tcPr>
            <w:tcW w:w="1671" w:type="pct"/>
            <w:vAlign w:val="center"/>
          </w:tcPr>
          <w:p w14:paraId="4B86648F">
            <w:pPr>
              <w:pStyle w:val="357"/>
            </w:pPr>
            <w:r>
              <w:t>60</w:t>
            </w:r>
          </w:p>
        </w:tc>
        <w:tc>
          <w:tcPr>
            <w:tcW w:w="1442" w:type="pct"/>
            <w:vAlign w:val="center"/>
          </w:tcPr>
          <w:p w14:paraId="3F020C1B">
            <w:pPr>
              <w:pStyle w:val="357"/>
            </w:pPr>
            <w:r>
              <w:t>50</w:t>
            </w:r>
          </w:p>
        </w:tc>
      </w:tr>
    </w:tbl>
    <w:p w14:paraId="5AB679D8">
      <w:pPr>
        <w:pStyle w:val="12"/>
      </w:pPr>
      <w:r>
        <w:t>2.6.2.4 固体废物排放标准</w:t>
      </w:r>
    </w:p>
    <w:p w14:paraId="021E601E">
      <w:pPr>
        <w:ind w:firstLine="480"/>
        <w:rPr>
          <w:szCs w:val="32"/>
        </w:rPr>
      </w:pPr>
      <w:r>
        <w:rPr>
          <w:szCs w:val="32"/>
        </w:rPr>
        <w:t>一般固废执行《一般工业固体废物贮存和填埋污染控制标准》（GB18599-2020）；</w:t>
      </w:r>
    </w:p>
    <w:p w14:paraId="749A161E">
      <w:pPr>
        <w:ind w:firstLine="480"/>
        <w:rPr>
          <w:szCs w:val="32"/>
        </w:rPr>
      </w:pPr>
      <w:r>
        <w:rPr>
          <w:szCs w:val="32"/>
        </w:rPr>
        <w:t>病死鸡处理执行《病害畜禽和病害畜禽产品无害化处理管理办法》（中华人民共和国农业农村部令2022年第3号）和《畜禽养殖业污染防治技术规范》（HJ/T81-2001）；粪便</w:t>
      </w:r>
      <w:r>
        <w:rPr>
          <w:rFonts w:hint="eastAsia"/>
          <w:szCs w:val="32"/>
        </w:rPr>
        <w:t>经无害化处理后</w:t>
      </w:r>
      <w:r>
        <w:rPr>
          <w:szCs w:val="32"/>
        </w:rPr>
        <w:t>执行《畜禽粪便无害化处理技术规范》（GB/T36195-2018）和《</w:t>
      </w:r>
      <w:r>
        <w:rPr>
          <w:rFonts w:hint="eastAsia"/>
          <w:szCs w:val="32"/>
        </w:rPr>
        <w:t>畜禽粪便还田技术规范》（GB/T25246-2010）</w:t>
      </w:r>
      <w:r>
        <w:rPr>
          <w:szCs w:val="32"/>
        </w:rPr>
        <w:t>；危险废物执行《危险废物贮存污染物控制标准》（GB18597-2023）中相关要求。</w:t>
      </w:r>
    </w:p>
    <w:p w14:paraId="06942E55">
      <w:pPr>
        <w:pStyle w:val="10"/>
      </w:pPr>
      <w:bookmarkStart w:id="164" w:name="_Toc12746"/>
      <w:bookmarkStart w:id="165" w:name="_Toc166572260"/>
      <w:r>
        <w:t>2.7环境保护目标</w:t>
      </w:r>
      <w:bookmarkEnd w:id="164"/>
      <w:bookmarkEnd w:id="165"/>
    </w:p>
    <w:p w14:paraId="57B1F950">
      <w:pPr>
        <w:pStyle w:val="105"/>
        <w:ind w:firstLine="480"/>
      </w:pPr>
      <w:r>
        <w:t>本项目位于</w:t>
      </w:r>
      <w:r>
        <w:rPr>
          <w:lang w:val="zh-CN"/>
        </w:rPr>
        <w:t>鄂尔多斯市鄂托克旗蒙西镇，</w:t>
      </w:r>
      <w:r>
        <w:rPr>
          <w:rFonts w:hint="eastAsia"/>
        </w:rPr>
        <w:t>本项目不涉及生态保护红线、不占用耕地、永久基本农田、天然林、公益林和基本草原；项目涉及集中式饮用水水源地，伊克布拉格水源地位于本项目侧方位，距离伊克布拉格水源地保护区1.227km，伊克布拉格水源地开采层位为潜水含水层，伊克布拉格水源地负责蒙西范围内城镇居民生活用水、机关、行政办公用水、政府绿化用水、工业企业生活用水、基建用水和商业用水，供水人口书约26000人；</w:t>
      </w:r>
      <w:r>
        <w:t>项目评价区内主要保护目标为西鄂尔多斯国家级保护区</w:t>
      </w:r>
      <w:r>
        <w:rPr>
          <w:rFonts w:hint="eastAsia"/>
        </w:rPr>
        <w:t>，本项目距离西鄂尔多斯国家级自然保护区实验区0.57km，距离保护区缓冲区1.39km，距离保护区核心区2.39km；本项目距离鄂托克恐龙遗迹化石国家级自然保护区直线距离118.32km</w:t>
      </w:r>
      <w:r>
        <w:t>。具体环境保护目标情况见下表。</w:t>
      </w:r>
    </w:p>
    <w:p w14:paraId="356884BA">
      <w:pPr>
        <w:pStyle w:val="369"/>
      </w:pPr>
      <w:r>
        <w:rPr>
          <w:rFonts w:hint="eastAsia"/>
          <w:bCs/>
        </w:rPr>
        <w:t>表2.7-1 评价区内环境保护目标一览</w:t>
      </w:r>
      <w:r>
        <w:t>表</w:t>
      </w:r>
    </w:p>
    <w:tbl>
      <w:tblPr>
        <w:tblStyle w:val="83"/>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671"/>
        <w:gridCol w:w="594"/>
        <w:gridCol w:w="234"/>
        <w:gridCol w:w="838"/>
        <w:gridCol w:w="93"/>
        <w:gridCol w:w="793"/>
        <w:gridCol w:w="301"/>
        <w:gridCol w:w="556"/>
        <w:gridCol w:w="212"/>
        <w:gridCol w:w="716"/>
        <w:gridCol w:w="470"/>
        <w:gridCol w:w="259"/>
        <w:gridCol w:w="312"/>
        <w:gridCol w:w="589"/>
        <w:gridCol w:w="1932"/>
      </w:tblGrid>
      <w:tr w14:paraId="79ED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dxa"/>
            <w:vMerge w:val="restart"/>
            <w:vAlign w:val="center"/>
          </w:tcPr>
          <w:p w14:paraId="3EC28C54">
            <w:pPr>
              <w:widowControl w:val="0"/>
              <w:adjustRightInd w:val="0"/>
              <w:snapToGrid w:val="0"/>
              <w:spacing w:line="240" w:lineRule="auto"/>
              <w:ind w:firstLine="0" w:firstLineChars="0"/>
              <w:jc w:val="center"/>
              <w:rPr>
                <w:sz w:val="21"/>
                <w:szCs w:val="21"/>
              </w:rPr>
            </w:pPr>
            <w:r>
              <w:rPr>
                <w:rFonts w:hint="eastAsia"/>
                <w:sz w:val="21"/>
                <w:szCs w:val="21"/>
              </w:rPr>
              <w:t>环境要素</w:t>
            </w:r>
          </w:p>
        </w:tc>
        <w:tc>
          <w:tcPr>
            <w:tcW w:w="1265" w:type="dxa"/>
            <w:gridSpan w:val="2"/>
            <w:vMerge w:val="restart"/>
            <w:vAlign w:val="center"/>
          </w:tcPr>
          <w:p w14:paraId="40550299">
            <w:pPr>
              <w:widowControl w:val="0"/>
              <w:adjustRightInd w:val="0"/>
              <w:snapToGrid w:val="0"/>
              <w:spacing w:line="240" w:lineRule="auto"/>
              <w:ind w:firstLine="0" w:firstLineChars="0"/>
              <w:jc w:val="center"/>
              <w:rPr>
                <w:sz w:val="21"/>
                <w:szCs w:val="21"/>
              </w:rPr>
            </w:pPr>
            <w:r>
              <w:rPr>
                <w:rFonts w:hint="eastAsia"/>
                <w:sz w:val="21"/>
                <w:szCs w:val="21"/>
              </w:rPr>
              <w:t>保护目标名称</w:t>
            </w:r>
          </w:p>
        </w:tc>
        <w:tc>
          <w:tcPr>
            <w:tcW w:w="2259" w:type="dxa"/>
            <w:gridSpan w:val="5"/>
            <w:vAlign w:val="center"/>
          </w:tcPr>
          <w:p w14:paraId="44D4FA52">
            <w:pPr>
              <w:widowControl w:val="0"/>
              <w:adjustRightInd w:val="0"/>
              <w:snapToGrid w:val="0"/>
              <w:spacing w:line="240" w:lineRule="auto"/>
              <w:ind w:firstLine="0" w:firstLineChars="0"/>
              <w:jc w:val="center"/>
              <w:rPr>
                <w:sz w:val="21"/>
                <w:szCs w:val="21"/>
              </w:rPr>
            </w:pPr>
            <w:r>
              <w:rPr>
                <w:rFonts w:hint="eastAsia"/>
                <w:sz w:val="21"/>
                <w:szCs w:val="21"/>
              </w:rPr>
              <w:t>坐标（°）</w:t>
            </w:r>
          </w:p>
        </w:tc>
        <w:tc>
          <w:tcPr>
            <w:tcW w:w="3114" w:type="dxa"/>
            <w:gridSpan w:val="7"/>
            <w:vAlign w:val="center"/>
          </w:tcPr>
          <w:p w14:paraId="45D63A5C">
            <w:pPr>
              <w:widowControl w:val="0"/>
              <w:adjustRightInd w:val="0"/>
              <w:snapToGrid w:val="0"/>
              <w:spacing w:line="240" w:lineRule="auto"/>
              <w:ind w:firstLine="0" w:firstLineChars="0"/>
              <w:jc w:val="center"/>
              <w:rPr>
                <w:sz w:val="21"/>
                <w:szCs w:val="21"/>
              </w:rPr>
            </w:pPr>
            <w:r>
              <w:rPr>
                <w:rFonts w:hint="eastAsia"/>
                <w:sz w:val="21"/>
                <w:szCs w:val="21"/>
              </w:rPr>
              <w:t>相对厂址</w:t>
            </w:r>
          </w:p>
        </w:tc>
        <w:tc>
          <w:tcPr>
            <w:tcW w:w="1932" w:type="dxa"/>
            <w:vMerge w:val="restart"/>
            <w:vAlign w:val="center"/>
          </w:tcPr>
          <w:p w14:paraId="1EE8C728">
            <w:pPr>
              <w:widowControl w:val="0"/>
              <w:adjustRightInd w:val="0"/>
              <w:snapToGrid w:val="0"/>
              <w:spacing w:line="240" w:lineRule="auto"/>
              <w:ind w:firstLine="0" w:firstLineChars="0"/>
              <w:jc w:val="center"/>
              <w:rPr>
                <w:sz w:val="21"/>
                <w:szCs w:val="21"/>
              </w:rPr>
            </w:pPr>
            <w:r>
              <w:rPr>
                <w:rFonts w:hint="eastAsia"/>
                <w:sz w:val="21"/>
                <w:szCs w:val="21"/>
              </w:rPr>
              <w:t>执行标准</w:t>
            </w:r>
          </w:p>
        </w:tc>
      </w:tr>
      <w:tr w14:paraId="0245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dxa"/>
            <w:vMerge w:val="continue"/>
            <w:vAlign w:val="center"/>
          </w:tcPr>
          <w:p w14:paraId="1B481739">
            <w:pPr>
              <w:widowControl w:val="0"/>
              <w:adjustRightInd w:val="0"/>
              <w:snapToGrid w:val="0"/>
              <w:spacing w:line="240" w:lineRule="auto"/>
              <w:ind w:firstLine="0" w:firstLineChars="0"/>
              <w:jc w:val="center"/>
              <w:rPr>
                <w:sz w:val="21"/>
                <w:szCs w:val="21"/>
              </w:rPr>
            </w:pPr>
          </w:p>
        </w:tc>
        <w:tc>
          <w:tcPr>
            <w:tcW w:w="1265" w:type="dxa"/>
            <w:gridSpan w:val="2"/>
            <w:vMerge w:val="continue"/>
            <w:vAlign w:val="center"/>
          </w:tcPr>
          <w:p w14:paraId="0C178182">
            <w:pPr>
              <w:widowControl w:val="0"/>
              <w:adjustRightInd w:val="0"/>
              <w:snapToGrid w:val="0"/>
              <w:spacing w:line="240" w:lineRule="auto"/>
              <w:ind w:firstLine="0" w:firstLineChars="0"/>
              <w:jc w:val="center"/>
              <w:rPr>
                <w:sz w:val="21"/>
                <w:szCs w:val="21"/>
              </w:rPr>
            </w:pPr>
          </w:p>
        </w:tc>
        <w:tc>
          <w:tcPr>
            <w:tcW w:w="1165" w:type="dxa"/>
            <w:gridSpan w:val="3"/>
            <w:vAlign w:val="center"/>
          </w:tcPr>
          <w:p w14:paraId="02952B68">
            <w:pPr>
              <w:widowControl w:val="0"/>
              <w:adjustRightInd w:val="0"/>
              <w:snapToGrid w:val="0"/>
              <w:spacing w:line="240" w:lineRule="auto"/>
              <w:ind w:firstLine="0" w:firstLineChars="0"/>
              <w:jc w:val="center"/>
              <w:rPr>
                <w:sz w:val="21"/>
                <w:szCs w:val="21"/>
              </w:rPr>
            </w:pPr>
            <w:r>
              <w:rPr>
                <w:rFonts w:hint="eastAsia"/>
                <w:sz w:val="21"/>
                <w:szCs w:val="21"/>
              </w:rPr>
              <w:t>经度</w:t>
            </w:r>
          </w:p>
        </w:tc>
        <w:tc>
          <w:tcPr>
            <w:tcW w:w="1094" w:type="dxa"/>
            <w:gridSpan w:val="2"/>
            <w:vAlign w:val="center"/>
          </w:tcPr>
          <w:p w14:paraId="398ACD79">
            <w:pPr>
              <w:widowControl w:val="0"/>
              <w:adjustRightInd w:val="0"/>
              <w:snapToGrid w:val="0"/>
              <w:spacing w:line="240" w:lineRule="auto"/>
              <w:ind w:firstLine="0" w:firstLineChars="0"/>
              <w:jc w:val="center"/>
              <w:rPr>
                <w:sz w:val="21"/>
                <w:szCs w:val="21"/>
              </w:rPr>
            </w:pPr>
            <w:r>
              <w:rPr>
                <w:rFonts w:hint="eastAsia"/>
                <w:sz w:val="21"/>
                <w:szCs w:val="21"/>
              </w:rPr>
              <w:t>纬度</w:t>
            </w:r>
          </w:p>
        </w:tc>
        <w:tc>
          <w:tcPr>
            <w:tcW w:w="768" w:type="dxa"/>
            <w:gridSpan w:val="2"/>
            <w:vAlign w:val="center"/>
          </w:tcPr>
          <w:p w14:paraId="56C0EA5E">
            <w:pPr>
              <w:widowControl w:val="0"/>
              <w:adjustRightInd w:val="0"/>
              <w:snapToGrid w:val="0"/>
              <w:spacing w:line="240" w:lineRule="auto"/>
              <w:ind w:firstLine="0" w:firstLineChars="0"/>
              <w:jc w:val="center"/>
              <w:rPr>
                <w:sz w:val="21"/>
                <w:szCs w:val="21"/>
              </w:rPr>
            </w:pPr>
            <w:r>
              <w:rPr>
                <w:rFonts w:hint="eastAsia"/>
                <w:sz w:val="21"/>
                <w:szCs w:val="21"/>
              </w:rPr>
              <w:t>方位</w:t>
            </w:r>
          </w:p>
        </w:tc>
        <w:tc>
          <w:tcPr>
            <w:tcW w:w="1186" w:type="dxa"/>
            <w:gridSpan w:val="2"/>
            <w:vAlign w:val="center"/>
          </w:tcPr>
          <w:p w14:paraId="40F6248E">
            <w:pPr>
              <w:widowControl w:val="0"/>
              <w:adjustRightInd w:val="0"/>
              <w:snapToGrid w:val="0"/>
              <w:spacing w:line="240" w:lineRule="auto"/>
              <w:ind w:firstLine="0" w:firstLineChars="0"/>
              <w:jc w:val="center"/>
              <w:rPr>
                <w:rFonts w:cstheme="minorBidi"/>
                <w:sz w:val="21"/>
                <w:szCs w:val="21"/>
              </w:rPr>
            </w:pPr>
            <w:r>
              <w:rPr>
                <w:rFonts w:hint="eastAsia"/>
                <w:sz w:val="21"/>
                <w:szCs w:val="21"/>
              </w:rPr>
              <w:t>与项目相对距离（m）</w:t>
            </w:r>
          </w:p>
        </w:tc>
        <w:tc>
          <w:tcPr>
            <w:tcW w:w="571" w:type="dxa"/>
            <w:gridSpan w:val="2"/>
            <w:vAlign w:val="center"/>
          </w:tcPr>
          <w:p w14:paraId="2D4C55CB">
            <w:pPr>
              <w:widowControl w:val="0"/>
              <w:adjustRightInd w:val="0"/>
              <w:snapToGrid w:val="0"/>
              <w:spacing w:line="240" w:lineRule="auto"/>
              <w:ind w:firstLine="0" w:firstLineChars="0"/>
              <w:jc w:val="center"/>
              <w:rPr>
                <w:sz w:val="21"/>
                <w:szCs w:val="21"/>
              </w:rPr>
            </w:pPr>
            <w:r>
              <w:rPr>
                <w:rFonts w:hint="eastAsia"/>
                <w:sz w:val="21"/>
                <w:szCs w:val="21"/>
              </w:rPr>
              <w:t>户数</w:t>
            </w:r>
          </w:p>
        </w:tc>
        <w:tc>
          <w:tcPr>
            <w:tcW w:w="589" w:type="dxa"/>
            <w:vAlign w:val="center"/>
          </w:tcPr>
          <w:p w14:paraId="4F833045">
            <w:pPr>
              <w:widowControl w:val="0"/>
              <w:adjustRightInd w:val="0"/>
              <w:snapToGrid w:val="0"/>
              <w:spacing w:line="240" w:lineRule="auto"/>
              <w:ind w:firstLine="0" w:firstLineChars="0"/>
              <w:jc w:val="center"/>
              <w:rPr>
                <w:sz w:val="21"/>
                <w:szCs w:val="21"/>
              </w:rPr>
            </w:pPr>
            <w:r>
              <w:rPr>
                <w:rFonts w:hint="eastAsia"/>
                <w:sz w:val="21"/>
                <w:szCs w:val="21"/>
              </w:rPr>
              <w:t>人数</w:t>
            </w:r>
          </w:p>
        </w:tc>
        <w:tc>
          <w:tcPr>
            <w:tcW w:w="1932" w:type="dxa"/>
            <w:vMerge w:val="continue"/>
            <w:vAlign w:val="center"/>
          </w:tcPr>
          <w:p w14:paraId="15003837">
            <w:pPr>
              <w:widowControl w:val="0"/>
              <w:adjustRightInd w:val="0"/>
              <w:snapToGrid w:val="0"/>
              <w:spacing w:line="240" w:lineRule="auto"/>
              <w:ind w:firstLine="0" w:firstLineChars="0"/>
              <w:jc w:val="center"/>
              <w:rPr>
                <w:sz w:val="21"/>
                <w:szCs w:val="21"/>
              </w:rPr>
            </w:pPr>
          </w:p>
        </w:tc>
      </w:tr>
      <w:tr w14:paraId="38A1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507" w:type="dxa"/>
            <w:vMerge w:val="restart"/>
            <w:vAlign w:val="center"/>
          </w:tcPr>
          <w:p w14:paraId="06F8D889">
            <w:pPr>
              <w:widowControl w:val="0"/>
              <w:adjustRightInd w:val="0"/>
              <w:snapToGrid w:val="0"/>
              <w:spacing w:line="240" w:lineRule="auto"/>
              <w:ind w:firstLine="0" w:firstLineChars="0"/>
              <w:jc w:val="center"/>
              <w:rPr>
                <w:sz w:val="21"/>
                <w:szCs w:val="21"/>
              </w:rPr>
            </w:pPr>
            <w:r>
              <w:rPr>
                <w:rFonts w:hint="eastAsia"/>
                <w:sz w:val="21"/>
                <w:szCs w:val="21"/>
              </w:rPr>
              <w:t>大气环境</w:t>
            </w:r>
          </w:p>
        </w:tc>
        <w:tc>
          <w:tcPr>
            <w:tcW w:w="1265" w:type="dxa"/>
            <w:gridSpan w:val="2"/>
            <w:vAlign w:val="center"/>
          </w:tcPr>
          <w:p w14:paraId="2E5537CF">
            <w:pPr>
              <w:widowControl w:val="0"/>
              <w:adjustRightInd w:val="0"/>
              <w:snapToGrid w:val="0"/>
              <w:spacing w:line="240" w:lineRule="auto"/>
              <w:ind w:firstLine="0" w:firstLineChars="0"/>
              <w:jc w:val="center"/>
              <w:rPr>
                <w:rFonts w:cstheme="minorBidi"/>
                <w:sz w:val="21"/>
                <w:szCs w:val="21"/>
              </w:rPr>
            </w:pPr>
            <w:r>
              <w:rPr>
                <w:rFonts w:hint="eastAsia"/>
                <w:sz w:val="21"/>
                <w:szCs w:val="21"/>
              </w:rPr>
              <w:t>散户1</w:t>
            </w:r>
          </w:p>
        </w:tc>
        <w:tc>
          <w:tcPr>
            <w:tcW w:w="1165" w:type="dxa"/>
            <w:gridSpan w:val="3"/>
            <w:vAlign w:val="center"/>
          </w:tcPr>
          <w:p w14:paraId="0A425437">
            <w:pPr>
              <w:widowControl w:val="0"/>
              <w:adjustRightInd w:val="0"/>
              <w:snapToGrid w:val="0"/>
              <w:spacing w:line="240" w:lineRule="auto"/>
              <w:ind w:firstLine="0" w:firstLineChars="0"/>
              <w:jc w:val="center"/>
              <w:rPr>
                <w:rFonts w:cstheme="minorBidi"/>
                <w:sz w:val="21"/>
                <w:szCs w:val="21"/>
              </w:rPr>
            </w:pPr>
            <w:r>
              <w:rPr>
                <w:rFonts w:hint="eastAsia"/>
                <w:sz w:val="21"/>
                <w:szCs w:val="21"/>
              </w:rPr>
              <w:t>106.817</w:t>
            </w:r>
          </w:p>
        </w:tc>
        <w:tc>
          <w:tcPr>
            <w:tcW w:w="1094" w:type="dxa"/>
            <w:gridSpan w:val="2"/>
            <w:vAlign w:val="center"/>
          </w:tcPr>
          <w:p w14:paraId="3627BB52">
            <w:pPr>
              <w:widowControl w:val="0"/>
              <w:adjustRightInd w:val="0"/>
              <w:snapToGrid w:val="0"/>
              <w:spacing w:line="240" w:lineRule="auto"/>
              <w:ind w:firstLine="0" w:firstLineChars="0"/>
              <w:jc w:val="center"/>
              <w:rPr>
                <w:rFonts w:cstheme="minorBidi"/>
                <w:sz w:val="21"/>
                <w:szCs w:val="21"/>
              </w:rPr>
            </w:pPr>
            <w:r>
              <w:rPr>
                <w:rFonts w:hint="eastAsia"/>
                <w:sz w:val="21"/>
                <w:szCs w:val="21"/>
              </w:rPr>
              <w:t>40.023</w:t>
            </w:r>
          </w:p>
        </w:tc>
        <w:tc>
          <w:tcPr>
            <w:tcW w:w="768" w:type="dxa"/>
            <w:gridSpan w:val="2"/>
            <w:vAlign w:val="center"/>
          </w:tcPr>
          <w:p w14:paraId="67835588">
            <w:pPr>
              <w:widowControl w:val="0"/>
              <w:adjustRightInd w:val="0"/>
              <w:snapToGrid w:val="0"/>
              <w:spacing w:line="240" w:lineRule="auto"/>
              <w:ind w:firstLine="0" w:firstLineChars="0"/>
              <w:jc w:val="center"/>
              <w:rPr>
                <w:rFonts w:cstheme="minorBidi"/>
                <w:sz w:val="21"/>
                <w:szCs w:val="21"/>
              </w:rPr>
            </w:pPr>
            <w:r>
              <w:rPr>
                <w:rFonts w:hint="eastAsia"/>
                <w:sz w:val="21"/>
                <w:szCs w:val="21"/>
              </w:rPr>
              <w:t>东北</w:t>
            </w:r>
          </w:p>
        </w:tc>
        <w:tc>
          <w:tcPr>
            <w:tcW w:w="1186" w:type="dxa"/>
            <w:gridSpan w:val="2"/>
            <w:vAlign w:val="center"/>
          </w:tcPr>
          <w:p w14:paraId="019A392B">
            <w:pPr>
              <w:widowControl w:val="0"/>
              <w:adjustRightInd w:val="0"/>
              <w:snapToGrid w:val="0"/>
              <w:spacing w:line="240" w:lineRule="auto"/>
              <w:ind w:firstLine="0" w:firstLineChars="0"/>
              <w:jc w:val="center"/>
              <w:rPr>
                <w:rFonts w:cstheme="minorBidi"/>
                <w:sz w:val="21"/>
                <w:szCs w:val="21"/>
              </w:rPr>
            </w:pPr>
            <w:r>
              <w:rPr>
                <w:rFonts w:hint="eastAsia"/>
                <w:sz w:val="21"/>
                <w:szCs w:val="21"/>
              </w:rPr>
              <w:t>900</w:t>
            </w:r>
          </w:p>
        </w:tc>
        <w:tc>
          <w:tcPr>
            <w:tcW w:w="571" w:type="dxa"/>
            <w:gridSpan w:val="2"/>
            <w:vAlign w:val="center"/>
          </w:tcPr>
          <w:p w14:paraId="69628551">
            <w:pPr>
              <w:widowControl w:val="0"/>
              <w:adjustRightInd w:val="0"/>
              <w:snapToGrid w:val="0"/>
              <w:spacing w:line="240" w:lineRule="auto"/>
              <w:ind w:firstLine="0" w:firstLineChars="0"/>
              <w:jc w:val="center"/>
              <w:rPr>
                <w:rFonts w:cstheme="minorBidi"/>
                <w:sz w:val="21"/>
                <w:szCs w:val="21"/>
              </w:rPr>
            </w:pPr>
            <w:r>
              <w:rPr>
                <w:rFonts w:hint="eastAsia"/>
                <w:sz w:val="21"/>
                <w:szCs w:val="21"/>
              </w:rPr>
              <w:t>1</w:t>
            </w:r>
          </w:p>
        </w:tc>
        <w:tc>
          <w:tcPr>
            <w:tcW w:w="589" w:type="dxa"/>
            <w:vAlign w:val="center"/>
          </w:tcPr>
          <w:p w14:paraId="31260128">
            <w:pPr>
              <w:widowControl w:val="0"/>
              <w:adjustRightInd w:val="0"/>
              <w:snapToGrid w:val="0"/>
              <w:spacing w:line="240" w:lineRule="auto"/>
              <w:ind w:firstLine="0" w:firstLineChars="0"/>
              <w:jc w:val="center"/>
              <w:rPr>
                <w:rFonts w:cstheme="minorBidi"/>
                <w:sz w:val="21"/>
                <w:szCs w:val="21"/>
              </w:rPr>
            </w:pPr>
            <w:r>
              <w:rPr>
                <w:rFonts w:hint="eastAsia"/>
                <w:sz w:val="21"/>
                <w:szCs w:val="21"/>
              </w:rPr>
              <w:t>2</w:t>
            </w:r>
          </w:p>
        </w:tc>
        <w:tc>
          <w:tcPr>
            <w:tcW w:w="1932" w:type="dxa"/>
            <w:vMerge w:val="restart"/>
            <w:vAlign w:val="center"/>
          </w:tcPr>
          <w:p w14:paraId="3183A533">
            <w:pPr>
              <w:widowControl w:val="0"/>
              <w:adjustRightInd w:val="0"/>
              <w:snapToGrid w:val="0"/>
              <w:spacing w:line="240" w:lineRule="auto"/>
              <w:ind w:firstLine="0" w:firstLineChars="0"/>
              <w:jc w:val="both"/>
              <w:rPr>
                <w:sz w:val="21"/>
                <w:szCs w:val="21"/>
              </w:rPr>
            </w:pPr>
            <w:r>
              <w:rPr>
                <w:rFonts w:hint="eastAsia"/>
                <w:sz w:val="21"/>
                <w:szCs w:val="21"/>
              </w:rPr>
              <w:t>《环境空气质量标准》（GB3095-2012）二级标准及其修改单</w:t>
            </w:r>
          </w:p>
        </w:tc>
      </w:tr>
      <w:tr w14:paraId="7695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7" w:type="dxa"/>
            <w:vMerge w:val="continue"/>
            <w:vAlign w:val="center"/>
          </w:tcPr>
          <w:p w14:paraId="764B04B1">
            <w:pPr>
              <w:widowControl w:val="0"/>
              <w:adjustRightInd w:val="0"/>
              <w:snapToGrid w:val="0"/>
              <w:spacing w:line="240" w:lineRule="auto"/>
              <w:ind w:firstLine="0" w:firstLineChars="0"/>
              <w:jc w:val="center"/>
              <w:rPr>
                <w:sz w:val="21"/>
                <w:szCs w:val="21"/>
              </w:rPr>
            </w:pPr>
          </w:p>
        </w:tc>
        <w:tc>
          <w:tcPr>
            <w:tcW w:w="1265" w:type="dxa"/>
            <w:gridSpan w:val="2"/>
            <w:vAlign w:val="center"/>
          </w:tcPr>
          <w:p w14:paraId="7AA73457">
            <w:pPr>
              <w:widowControl w:val="0"/>
              <w:adjustRightInd w:val="0"/>
              <w:snapToGrid w:val="0"/>
              <w:spacing w:line="240" w:lineRule="auto"/>
              <w:ind w:firstLine="0" w:firstLineChars="0"/>
              <w:jc w:val="center"/>
              <w:rPr>
                <w:sz w:val="21"/>
                <w:szCs w:val="21"/>
              </w:rPr>
            </w:pPr>
            <w:r>
              <w:rPr>
                <w:rFonts w:hint="eastAsia"/>
                <w:sz w:val="21"/>
                <w:szCs w:val="21"/>
              </w:rPr>
              <w:t>散户2</w:t>
            </w:r>
          </w:p>
        </w:tc>
        <w:tc>
          <w:tcPr>
            <w:tcW w:w="1165" w:type="dxa"/>
            <w:gridSpan w:val="3"/>
            <w:vAlign w:val="center"/>
          </w:tcPr>
          <w:p w14:paraId="485FCF3D">
            <w:pPr>
              <w:widowControl w:val="0"/>
              <w:adjustRightInd w:val="0"/>
              <w:snapToGrid w:val="0"/>
              <w:spacing w:line="240" w:lineRule="auto"/>
              <w:ind w:firstLine="0" w:firstLineChars="0"/>
              <w:jc w:val="center"/>
              <w:rPr>
                <w:sz w:val="21"/>
                <w:szCs w:val="21"/>
              </w:rPr>
            </w:pPr>
            <w:r>
              <w:rPr>
                <w:rFonts w:hint="eastAsia"/>
                <w:sz w:val="21"/>
                <w:szCs w:val="21"/>
              </w:rPr>
              <w:t>106.776</w:t>
            </w:r>
          </w:p>
        </w:tc>
        <w:tc>
          <w:tcPr>
            <w:tcW w:w="1094" w:type="dxa"/>
            <w:gridSpan w:val="2"/>
            <w:vAlign w:val="center"/>
          </w:tcPr>
          <w:p w14:paraId="53D7FAFB">
            <w:pPr>
              <w:widowControl w:val="0"/>
              <w:adjustRightInd w:val="0"/>
              <w:snapToGrid w:val="0"/>
              <w:spacing w:line="240" w:lineRule="auto"/>
              <w:ind w:firstLine="0" w:firstLineChars="0"/>
              <w:jc w:val="center"/>
              <w:rPr>
                <w:sz w:val="21"/>
                <w:szCs w:val="21"/>
              </w:rPr>
            </w:pPr>
            <w:r>
              <w:rPr>
                <w:rFonts w:hint="eastAsia"/>
                <w:sz w:val="21"/>
                <w:szCs w:val="21"/>
              </w:rPr>
              <w:t>40.043</w:t>
            </w:r>
          </w:p>
        </w:tc>
        <w:tc>
          <w:tcPr>
            <w:tcW w:w="768" w:type="dxa"/>
            <w:gridSpan w:val="2"/>
            <w:vAlign w:val="center"/>
          </w:tcPr>
          <w:p w14:paraId="206C1E47">
            <w:pPr>
              <w:widowControl w:val="0"/>
              <w:adjustRightInd w:val="0"/>
              <w:snapToGrid w:val="0"/>
              <w:spacing w:line="240" w:lineRule="auto"/>
              <w:ind w:firstLine="0" w:firstLineChars="0"/>
              <w:jc w:val="center"/>
              <w:rPr>
                <w:sz w:val="21"/>
                <w:szCs w:val="21"/>
              </w:rPr>
            </w:pPr>
            <w:r>
              <w:rPr>
                <w:rFonts w:hint="eastAsia"/>
                <w:sz w:val="21"/>
                <w:szCs w:val="21"/>
              </w:rPr>
              <w:t>西北</w:t>
            </w:r>
          </w:p>
        </w:tc>
        <w:tc>
          <w:tcPr>
            <w:tcW w:w="1186" w:type="dxa"/>
            <w:gridSpan w:val="2"/>
            <w:vAlign w:val="center"/>
          </w:tcPr>
          <w:p w14:paraId="42093E7E">
            <w:pPr>
              <w:widowControl w:val="0"/>
              <w:adjustRightInd w:val="0"/>
              <w:snapToGrid w:val="0"/>
              <w:spacing w:line="240" w:lineRule="auto"/>
              <w:ind w:firstLine="0" w:firstLineChars="0"/>
              <w:jc w:val="center"/>
              <w:rPr>
                <w:rFonts w:cstheme="minorBidi"/>
                <w:sz w:val="21"/>
                <w:szCs w:val="21"/>
              </w:rPr>
            </w:pPr>
            <w:r>
              <w:rPr>
                <w:rFonts w:hint="eastAsia"/>
                <w:sz w:val="21"/>
                <w:szCs w:val="21"/>
              </w:rPr>
              <w:t>3100</w:t>
            </w:r>
          </w:p>
        </w:tc>
        <w:tc>
          <w:tcPr>
            <w:tcW w:w="571" w:type="dxa"/>
            <w:gridSpan w:val="2"/>
            <w:vAlign w:val="center"/>
          </w:tcPr>
          <w:p w14:paraId="6527FC39">
            <w:pPr>
              <w:widowControl w:val="0"/>
              <w:adjustRightInd w:val="0"/>
              <w:snapToGrid w:val="0"/>
              <w:spacing w:line="240" w:lineRule="auto"/>
              <w:ind w:firstLine="0" w:firstLineChars="0"/>
              <w:jc w:val="center"/>
              <w:rPr>
                <w:sz w:val="21"/>
                <w:szCs w:val="21"/>
              </w:rPr>
            </w:pPr>
            <w:r>
              <w:rPr>
                <w:rFonts w:hint="eastAsia"/>
                <w:sz w:val="21"/>
                <w:szCs w:val="21"/>
              </w:rPr>
              <w:t>1</w:t>
            </w:r>
          </w:p>
        </w:tc>
        <w:tc>
          <w:tcPr>
            <w:tcW w:w="589" w:type="dxa"/>
            <w:vAlign w:val="center"/>
          </w:tcPr>
          <w:p w14:paraId="3E4D9753">
            <w:pPr>
              <w:widowControl w:val="0"/>
              <w:adjustRightInd w:val="0"/>
              <w:snapToGrid w:val="0"/>
              <w:spacing w:line="240" w:lineRule="auto"/>
              <w:ind w:firstLine="0" w:firstLineChars="0"/>
              <w:jc w:val="center"/>
              <w:rPr>
                <w:sz w:val="21"/>
                <w:szCs w:val="21"/>
              </w:rPr>
            </w:pPr>
            <w:r>
              <w:rPr>
                <w:rFonts w:hint="eastAsia"/>
                <w:sz w:val="21"/>
                <w:szCs w:val="21"/>
              </w:rPr>
              <w:t>2</w:t>
            </w:r>
          </w:p>
        </w:tc>
        <w:tc>
          <w:tcPr>
            <w:tcW w:w="1932" w:type="dxa"/>
            <w:vMerge w:val="continue"/>
            <w:vAlign w:val="center"/>
          </w:tcPr>
          <w:p w14:paraId="373FFBA2">
            <w:pPr>
              <w:widowControl w:val="0"/>
              <w:adjustRightInd w:val="0"/>
              <w:snapToGrid w:val="0"/>
              <w:spacing w:line="240" w:lineRule="auto"/>
              <w:ind w:firstLine="0" w:firstLineChars="0"/>
              <w:jc w:val="center"/>
              <w:rPr>
                <w:sz w:val="21"/>
                <w:szCs w:val="21"/>
              </w:rPr>
            </w:pPr>
          </w:p>
        </w:tc>
      </w:tr>
      <w:tr w14:paraId="22C9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7" w:type="dxa"/>
            <w:vMerge w:val="continue"/>
            <w:vAlign w:val="center"/>
          </w:tcPr>
          <w:p w14:paraId="389763EB">
            <w:pPr>
              <w:widowControl w:val="0"/>
              <w:adjustRightInd w:val="0"/>
              <w:snapToGrid w:val="0"/>
              <w:spacing w:line="240" w:lineRule="auto"/>
              <w:ind w:firstLine="0" w:firstLineChars="0"/>
              <w:jc w:val="center"/>
              <w:rPr>
                <w:sz w:val="21"/>
                <w:szCs w:val="21"/>
              </w:rPr>
            </w:pPr>
          </w:p>
        </w:tc>
        <w:tc>
          <w:tcPr>
            <w:tcW w:w="1265" w:type="dxa"/>
            <w:gridSpan w:val="2"/>
            <w:vAlign w:val="center"/>
          </w:tcPr>
          <w:p w14:paraId="29D816E4">
            <w:pPr>
              <w:widowControl w:val="0"/>
              <w:adjustRightInd w:val="0"/>
              <w:snapToGrid w:val="0"/>
              <w:spacing w:line="240" w:lineRule="auto"/>
              <w:ind w:firstLine="0" w:firstLineChars="0"/>
              <w:jc w:val="center"/>
              <w:rPr>
                <w:sz w:val="21"/>
                <w:szCs w:val="21"/>
              </w:rPr>
            </w:pPr>
            <w:r>
              <w:rPr>
                <w:sz w:val="21"/>
                <w:szCs w:val="21"/>
              </w:rPr>
              <w:t>西鄂尔多斯国家级自然保护区</w:t>
            </w:r>
          </w:p>
        </w:tc>
        <w:tc>
          <w:tcPr>
            <w:tcW w:w="1165" w:type="dxa"/>
            <w:gridSpan w:val="3"/>
            <w:vAlign w:val="center"/>
          </w:tcPr>
          <w:p w14:paraId="2DA70FDC">
            <w:pPr>
              <w:widowControl w:val="0"/>
              <w:adjustRightInd w:val="0"/>
              <w:snapToGrid w:val="0"/>
              <w:spacing w:line="240" w:lineRule="auto"/>
              <w:ind w:firstLine="0" w:firstLineChars="0"/>
              <w:jc w:val="center"/>
              <w:rPr>
                <w:sz w:val="21"/>
                <w:szCs w:val="21"/>
              </w:rPr>
            </w:pPr>
            <w:r>
              <w:rPr>
                <w:rFonts w:hint="eastAsia"/>
                <w:sz w:val="21"/>
                <w:szCs w:val="21"/>
              </w:rPr>
              <w:t>110.641</w:t>
            </w:r>
          </w:p>
        </w:tc>
        <w:tc>
          <w:tcPr>
            <w:tcW w:w="1094" w:type="dxa"/>
            <w:gridSpan w:val="2"/>
            <w:vAlign w:val="center"/>
          </w:tcPr>
          <w:p w14:paraId="3F78F19B">
            <w:pPr>
              <w:widowControl w:val="0"/>
              <w:adjustRightInd w:val="0"/>
              <w:snapToGrid w:val="0"/>
              <w:spacing w:line="240" w:lineRule="auto"/>
              <w:ind w:firstLine="0" w:firstLineChars="0"/>
              <w:jc w:val="center"/>
              <w:rPr>
                <w:sz w:val="21"/>
                <w:szCs w:val="21"/>
              </w:rPr>
            </w:pPr>
            <w:r>
              <w:rPr>
                <w:rFonts w:hint="eastAsia"/>
                <w:sz w:val="21"/>
                <w:szCs w:val="21"/>
              </w:rPr>
              <w:t>39.422</w:t>
            </w:r>
          </w:p>
        </w:tc>
        <w:tc>
          <w:tcPr>
            <w:tcW w:w="768" w:type="dxa"/>
            <w:gridSpan w:val="2"/>
            <w:vAlign w:val="center"/>
          </w:tcPr>
          <w:p w14:paraId="0EDF6890">
            <w:pPr>
              <w:widowControl w:val="0"/>
              <w:adjustRightInd w:val="0"/>
              <w:snapToGrid w:val="0"/>
              <w:spacing w:line="240" w:lineRule="auto"/>
              <w:ind w:firstLine="0" w:firstLineChars="0"/>
              <w:jc w:val="center"/>
              <w:rPr>
                <w:sz w:val="21"/>
                <w:szCs w:val="21"/>
              </w:rPr>
            </w:pPr>
            <w:r>
              <w:rPr>
                <w:rFonts w:hint="eastAsia"/>
                <w:sz w:val="21"/>
                <w:szCs w:val="21"/>
              </w:rPr>
              <w:t>东南</w:t>
            </w:r>
          </w:p>
        </w:tc>
        <w:tc>
          <w:tcPr>
            <w:tcW w:w="1186" w:type="dxa"/>
            <w:gridSpan w:val="2"/>
            <w:vAlign w:val="center"/>
          </w:tcPr>
          <w:p w14:paraId="71F16EBB">
            <w:pPr>
              <w:widowControl w:val="0"/>
              <w:adjustRightInd w:val="0"/>
              <w:snapToGrid w:val="0"/>
              <w:spacing w:line="240" w:lineRule="auto"/>
              <w:ind w:firstLine="0" w:firstLineChars="0"/>
              <w:jc w:val="center"/>
              <w:rPr>
                <w:sz w:val="21"/>
                <w:szCs w:val="21"/>
              </w:rPr>
            </w:pPr>
            <w:r>
              <w:rPr>
                <w:rFonts w:hint="eastAsia"/>
                <w:sz w:val="21"/>
                <w:szCs w:val="21"/>
              </w:rPr>
              <w:t>570</w:t>
            </w:r>
          </w:p>
        </w:tc>
        <w:tc>
          <w:tcPr>
            <w:tcW w:w="571" w:type="dxa"/>
            <w:gridSpan w:val="2"/>
            <w:vAlign w:val="center"/>
          </w:tcPr>
          <w:p w14:paraId="02472894">
            <w:pPr>
              <w:widowControl w:val="0"/>
              <w:adjustRightInd w:val="0"/>
              <w:snapToGrid w:val="0"/>
              <w:spacing w:line="240" w:lineRule="auto"/>
              <w:ind w:firstLine="0" w:firstLineChars="0"/>
              <w:jc w:val="center"/>
              <w:rPr>
                <w:sz w:val="21"/>
                <w:szCs w:val="21"/>
              </w:rPr>
            </w:pPr>
            <w:r>
              <w:rPr>
                <w:rFonts w:hint="eastAsia"/>
                <w:sz w:val="21"/>
                <w:szCs w:val="21"/>
              </w:rPr>
              <w:t>/</w:t>
            </w:r>
          </w:p>
        </w:tc>
        <w:tc>
          <w:tcPr>
            <w:tcW w:w="589" w:type="dxa"/>
            <w:vAlign w:val="center"/>
          </w:tcPr>
          <w:p w14:paraId="3BE4FB8E">
            <w:pPr>
              <w:widowControl w:val="0"/>
              <w:adjustRightInd w:val="0"/>
              <w:snapToGrid w:val="0"/>
              <w:spacing w:line="240" w:lineRule="auto"/>
              <w:ind w:firstLine="0" w:firstLineChars="0"/>
              <w:jc w:val="center"/>
              <w:rPr>
                <w:sz w:val="21"/>
                <w:szCs w:val="21"/>
              </w:rPr>
            </w:pPr>
            <w:r>
              <w:rPr>
                <w:rFonts w:hint="eastAsia"/>
                <w:sz w:val="21"/>
                <w:szCs w:val="21"/>
              </w:rPr>
              <w:t>/</w:t>
            </w:r>
          </w:p>
        </w:tc>
        <w:tc>
          <w:tcPr>
            <w:tcW w:w="1932" w:type="dxa"/>
            <w:vAlign w:val="center"/>
          </w:tcPr>
          <w:p w14:paraId="3042068F">
            <w:pPr>
              <w:widowControl w:val="0"/>
              <w:adjustRightInd w:val="0"/>
              <w:snapToGrid w:val="0"/>
              <w:spacing w:line="240" w:lineRule="auto"/>
              <w:ind w:firstLine="0" w:firstLineChars="0"/>
              <w:jc w:val="both"/>
              <w:rPr>
                <w:sz w:val="21"/>
                <w:szCs w:val="21"/>
              </w:rPr>
            </w:pPr>
            <w:r>
              <w:rPr>
                <w:rFonts w:hint="eastAsia"/>
                <w:sz w:val="21"/>
                <w:szCs w:val="21"/>
              </w:rPr>
              <w:t>《环境空气质量标准》（GB3095-2012）一级标准及其修改单</w:t>
            </w:r>
          </w:p>
        </w:tc>
      </w:tr>
      <w:tr w14:paraId="1837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507" w:type="dxa"/>
            <w:vAlign w:val="center"/>
          </w:tcPr>
          <w:p w14:paraId="6054C2F2">
            <w:pPr>
              <w:widowControl w:val="0"/>
              <w:adjustRightInd w:val="0"/>
              <w:snapToGrid w:val="0"/>
              <w:spacing w:line="240" w:lineRule="auto"/>
              <w:ind w:firstLine="0" w:firstLineChars="0"/>
              <w:jc w:val="center"/>
              <w:rPr>
                <w:sz w:val="21"/>
                <w:szCs w:val="21"/>
              </w:rPr>
            </w:pPr>
            <w:r>
              <w:rPr>
                <w:rFonts w:hint="eastAsia"/>
                <w:sz w:val="21"/>
                <w:szCs w:val="21"/>
              </w:rPr>
              <w:t>声环境</w:t>
            </w:r>
          </w:p>
        </w:tc>
        <w:tc>
          <w:tcPr>
            <w:tcW w:w="6638" w:type="dxa"/>
            <w:gridSpan w:val="14"/>
            <w:vAlign w:val="center"/>
          </w:tcPr>
          <w:p w14:paraId="1D15FAC6">
            <w:pPr>
              <w:widowControl w:val="0"/>
              <w:adjustRightInd w:val="0"/>
              <w:snapToGrid w:val="0"/>
              <w:spacing w:line="240" w:lineRule="auto"/>
              <w:ind w:firstLine="0" w:firstLineChars="0"/>
              <w:jc w:val="center"/>
              <w:rPr>
                <w:sz w:val="21"/>
                <w:szCs w:val="21"/>
              </w:rPr>
            </w:pPr>
            <w:r>
              <w:rPr>
                <w:rFonts w:hint="eastAsia"/>
                <w:sz w:val="21"/>
                <w:szCs w:val="21"/>
              </w:rPr>
              <w:t>项目区域200m范围内无声环境保护目标</w:t>
            </w:r>
          </w:p>
        </w:tc>
        <w:tc>
          <w:tcPr>
            <w:tcW w:w="1932" w:type="dxa"/>
            <w:vAlign w:val="center"/>
          </w:tcPr>
          <w:p w14:paraId="03B75ECC">
            <w:pPr>
              <w:widowControl w:val="0"/>
              <w:adjustRightInd w:val="0"/>
              <w:snapToGrid w:val="0"/>
              <w:spacing w:line="240" w:lineRule="auto"/>
              <w:ind w:firstLine="0" w:firstLineChars="0"/>
              <w:jc w:val="both"/>
              <w:rPr>
                <w:sz w:val="21"/>
                <w:szCs w:val="21"/>
              </w:rPr>
            </w:pPr>
            <w:r>
              <w:rPr>
                <w:rFonts w:hint="eastAsia"/>
                <w:sz w:val="21"/>
                <w:szCs w:val="21"/>
              </w:rPr>
              <w:t>《声环境质量标准》（GB3096-2008）</w:t>
            </w:r>
            <w:r>
              <w:rPr>
                <w:rStyle w:val="502"/>
                <w:rFonts w:ascii="Times New Roman" w:hAnsi="Times New Roman" w:eastAsia="宋体"/>
                <w:sz w:val="21"/>
                <w:szCs w:val="21"/>
              </w:rPr>
              <w:t>2类</w:t>
            </w:r>
            <w:r>
              <w:rPr>
                <w:rFonts w:hint="eastAsia"/>
                <w:sz w:val="21"/>
                <w:szCs w:val="21"/>
              </w:rPr>
              <w:t>标准</w:t>
            </w:r>
          </w:p>
        </w:tc>
      </w:tr>
      <w:tr w14:paraId="1362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7" w:type="dxa"/>
            <w:vMerge w:val="restart"/>
            <w:vAlign w:val="center"/>
          </w:tcPr>
          <w:p w14:paraId="26314BA2">
            <w:pPr>
              <w:widowControl w:val="0"/>
              <w:adjustRightInd w:val="0"/>
              <w:snapToGrid w:val="0"/>
              <w:spacing w:line="240" w:lineRule="auto"/>
              <w:ind w:firstLine="0" w:firstLineChars="0"/>
              <w:jc w:val="center"/>
              <w:rPr>
                <w:sz w:val="21"/>
                <w:szCs w:val="21"/>
              </w:rPr>
            </w:pPr>
            <w:r>
              <w:rPr>
                <w:rFonts w:hint="eastAsia"/>
                <w:sz w:val="21"/>
                <w:szCs w:val="21"/>
              </w:rPr>
              <w:t>地下水</w:t>
            </w:r>
          </w:p>
        </w:tc>
        <w:tc>
          <w:tcPr>
            <w:tcW w:w="671" w:type="dxa"/>
            <w:vMerge w:val="restart"/>
            <w:vAlign w:val="center"/>
          </w:tcPr>
          <w:p w14:paraId="53EF204D">
            <w:pPr>
              <w:widowControl w:val="0"/>
              <w:adjustRightInd w:val="0"/>
              <w:snapToGrid w:val="0"/>
              <w:spacing w:line="240" w:lineRule="auto"/>
              <w:ind w:firstLine="0" w:firstLineChars="0"/>
              <w:jc w:val="center"/>
              <w:rPr>
                <w:sz w:val="21"/>
                <w:szCs w:val="21"/>
              </w:rPr>
            </w:pPr>
            <w:r>
              <w:rPr>
                <w:rFonts w:hint="eastAsia"/>
                <w:sz w:val="21"/>
                <w:szCs w:val="21"/>
              </w:rPr>
              <w:t>牧民水井</w:t>
            </w:r>
          </w:p>
        </w:tc>
        <w:tc>
          <w:tcPr>
            <w:tcW w:w="5967" w:type="dxa"/>
            <w:gridSpan w:val="13"/>
            <w:vAlign w:val="center"/>
          </w:tcPr>
          <w:p w14:paraId="29C726EF">
            <w:pPr>
              <w:widowControl w:val="0"/>
              <w:adjustRightInd w:val="0"/>
              <w:snapToGrid w:val="0"/>
              <w:spacing w:line="240" w:lineRule="auto"/>
              <w:ind w:firstLine="0" w:firstLineChars="0"/>
              <w:jc w:val="center"/>
              <w:rPr>
                <w:sz w:val="21"/>
                <w:szCs w:val="21"/>
              </w:rPr>
            </w:pPr>
            <w:r>
              <w:rPr>
                <w:rFonts w:hint="eastAsia"/>
                <w:sz w:val="21"/>
                <w:szCs w:val="21"/>
              </w:rPr>
              <w:t>坐标（106°49′18.664″，40°1′27.332″）</w:t>
            </w:r>
          </w:p>
        </w:tc>
        <w:tc>
          <w:tcPr>
            <w:tcW w:w="1932" w:type="dxa"/>
            <w:vMerge w:val="restart"/>
            <w:vAlign w:val="center"/>
          </w:tcPr>
          <w:p w14:paraId="205C5BB7">
            <w:pPr>
              <w:widowControl w:val="0"/>
              <w:adjustRightInd w:val="0"/>
              <w:snapToGrid w:val="0"/>
              <w:spacing w:line="240" w:lineRule="auto"/>
              <w:ind w:firstLine="0" w:firstLineChars="0"/>
              <w:jc w:val="both"/>
              <w:rPr>
                <w:sz w:val="21"/>
                <w:szCs w:val="21"/>
              </w:rPr>
            </w:pPr>
            <w:r>
              <w:rPr>
                <w:sz w:val="21"/>
                <w:szCs w:val="21"/>
              </w:rPr>
              <w:t>《地下水质量标准》（GB/T14848-93）Ⅲ类标准</w:t>
            </w:r>
          </w:p>
        </w:tc>
      </w:tr>
      <w:tr w14:paraId="5BBD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507" w:type="dxa"/>
            <w:vMerge w:val="continue"/>
            <w:vAlign w:val="center"/>
          </w:tcPr>
          <w:p w14:paraId="06C62365">
            <w:pPr>
              <w:widowControl w:val="0"/>
              <w:adjustRightInd w:val="0"/>
              <w:snapToGrid w:val="0"/>
              <w:spacing w:line="240" w:lineRule="auto"/>
              <w:ind w:firstLine="0" w:firstLineChars="0"/>
              <w:jc w:val="center"/>
              <w:rPr>
                <w:sz w:val="21"/>
                <w:szCs w:val="21"/>
              </w:rPr>
            </w:pPr>
          </w:p>
        </w:tc>
        <w:tc>
          <w:tcPr>
            <w:tcW w:w="671" w:type="dxa"/>
            <w:vMerge w:val="continue"/>
            <w:vAlign w:val="center"/>
          </w:tcPr>
          <w:p w14:paraId="5D379F03">
            <w:pPr>
              <w:widowControl w:val="0"/>
              <w:adjustRightInd w:val="0"/>
              <w:snapToGrid w:val="0"/>
              <w:spacing w:line="240" w:lineRule="auto"/>
              <w:ind w:firstLine="0" w:firstLineChars="0"/>
              <w:jc w:val="center"/>
              <w:rPr>
                <w:sz w:val="21"/>
                <w:szCs w:val="21"/>
              </w:rPr>
            </w:pPr>
          </w:p>
        </w:tc>
        <w:tc>
          <w:tcPr>
            <w:tcW w:w="828" w:type="dxa"/>
            <w:gridSpan w:val="2"/>
            <w:vAlign w:val="center"/>
          </w:tcPr>
          <w:p w14:paraId="2E5E8AF6">
            <w:pPr>
              <w:widowControl w:val="0"/>
              <w:adjustRightInd w:val="0"/>
              <w:snapToGrid w:val="0"/>
              <w:spacing w:line="240" w:lineRule="auto"/>
              <w:ind w:firstLine="0" w:firstLineChars="0"/>
              <w:jc w:val="center"/>
              <w:rPr>
                <w:sz w:val="21"/>
                <w:szCs w:val="21"/>
              </w:rPr>
            </w:pPr>
            <w:r>
              <w:rPr>
                <w:rFonts w:hint="eastAsia"/>
                <w:sz w:val="21"/>
                <w:szCs w:val="21"/>
              </w:rPr>
              <w:t>相对位置</w:t>
            </w:r>
          </w:p>
        </w:tc>
        <w:tc>
          <w:tcPr>
            <w:tcW w:w="838" w:type="dxa"/>
            <w:vAlign w:val="center"/>
          </w:tcPr>
          <w:p w14:paraId="2DB3046A">
            <w:pPr>
              <w:widowControl w:val="0"/>
              <w:adjustRightInd w:val="0"/>
              <w:snapToGrid w:val="0"/>
              <w:spacing w:line="240" w:lineRule="auto"/>
              <w:ind w:firstLine="0" w:firstLineChars="0"/>
              <w:jc w:val="center"/>
              <w:rPr>
                <w:sz w:val="21"/>
                <w:szCs w:val="21"/>
              </w:rPr>
            </w:pPr>
            <w:r>
              <w:rPr>
                <w:rFonts w:hint="eastAsia"/>
                <w:sz w:val="21"/>
                <w:szCs w:val="21"/>
              </w:rPr>
              <w:t>距离</w:t>
            </w:r>
          </w:p>
        </w:tc>
        <w:tc>
          <w:tcPr>
            <w:tcW w:w="886" w:type="dxa"/>
            <w:gridSpan w:val="2"/>
            <w:vAlign w:val="center"/>
          </w:tcPr>
          <w:p w14:paraId="255A3771">
            <w:pPr>
              <w:widowControl w:val="0"/>
              <w:adjustRightInd w:val="0"/>
              <w:snapToGrid w:val="0"/>
              <w:spacing w:line="240" w:lineRule="auto"/>
              <w:ind w:firstLine="0" w:firstLineChars="0"/>
              <w:jc w:val="center"/>
              <w:rPr>
                <w:sz w:val="21"/>
                <w:szCs w:val="21"/>
              </w:rPr>
            </w:pPr>
            <w:r>
              <w:rPr>
                <w:rFonts w:hint="eastAsia"/>
                <w:sz w:val="21"/>
                <w:szCs w:val="21"/>
              </w:rPr>
              <w:t>井深</w:t>
            </w:r>
          </w:p>
        </w:tc>
        <w:tc>
          <w:tcPr>
            <w:tcW w:w="857" w:type="dxa"/>
            <w:gridSpan w:val="2"/>
            <w:vAlign w:val="center"/>
          </w:tcPr>
          <w:p w14:paraId="2A059AE3">
            <w:pPr>
              <w:widowControl w:val="0"/>
              <w:adjustRightInd w:val="0"/>
              <w:snapToGrid w:val="0"/>
              <w:spacing w:line="240" w:lineRule="auto"/>
              <w:ind w:firstLine="0" w:firstLineChars="0"/>
              <w:jc w:val="center"/>
              <w:rPr>
                <w:sz w:val="21"/>
                <w:szCs w:val="21"/>
              </w:rPr>
            </w:pPr>
            <w:r>
              <w:rPr>
                <w:rFonts w:hint="eastAsia"/>
                <w:sz w:val="21"/>
                <w:szCs w:val="21"/>
              </w:rPr>
              <w:t>水位埋深</w:t>
            </w:r>
          </w:p>
        </w:tc>
        <w:tc>
          <w:tcPr>
            <w:tcW w:w="928" w:type="dxa"/>
            <w:gridSpan w:val="2"/>
            <w:vAlign w:val="center"/>
          </w:tcPr>
          <w:p w14:paraId="2A70D7E5">
            <w:pPr>
              <w:widowControl w:val="0"/>
              <w:adjustRightInd w:val="0"/>
              <w:snapToGrid w:val="0"/>
              <w:spacing w:line="240" w:lineRule="auto"/>
              <w:ind w:firstLine="0" w:firstLineChars="0"/>
              <w:jc w:val="center"/>
              <w:rPr>
                <w:sz w:val="21"/>
                <w:szCs w:val="21"/>
              </w:rPr>
            </w:pPr>
            <w:r>
              <w:rPr>
                <w:rFonts w:hint="eastAsia"/>
                <w:sz w:val="21"/>
                <w:szCs w:val="21"/>
              </w:rPr>
              <w:t>用途</w:t>
            </w:r>
          </w:p>
        </w:tc>
        <w:tc>
          <w:tcPr>
            <w:tcW w:w="729" w:type="dxa"/>
            <w:gridSpan w:val="2"/>
            <w:vAlign w:val="center"/>
          </w:tcPr>
          <w:p w14:paraId="5968CD86">
            <w:pPr>
              <w:widowControl w:val="0"/>
              <w:adjustRightInd w:val="0"/>
              <w:snapToGrid w:val="0"/>
              <w:spacing w:line="240" w:lineRule="auto"/>
              <w:ind w:firstLine="0" w:firstLineChars="0"/>
              <w:jc w:val="center"/>
              <w:rPr>
                <w:sz w:val="21"/>
                <w:szCs w:val="21"/>
              </w:rPr>
            </w:pPr>
            <w:r>
              <w:rPr>
                <w:rFonts w:hint="eastAsia"/>
                <w:sz w:val="21"/>
                <w:szCs w:val="21"/>
              </w:rPr>
              <w:t>供水人数</w:t>
            </w:r>
          </w:p>
        </w:tc>
        <w:tc>
          <w:tcPr>
            <w:tcW w:w="901" w:type="dxa"/>
            <w:gridSpan w:val="2"/>
            <w:vAlign w:val="center"/>
          </w:tcPr>
          <w:p w14:paraId="51420454">
            <w:pPr>
              <w:widowControl w:val="0"/>
              <w:adjustRightInd w:val="0"/>
              <w:snapToGrid w:val="0"/>
              <w:spacing w:line="240" w:lineRule="auto"/>
              <w:ind w:firstLine="0" w:firstLineChars="0"/>
              <w:jc w:val="center"/>
              <w:rPr>
                <w:sz w:val="21"/>
                <w:szCs w:val="21"/>
              </w:rPr>
            </w:pPr>
            <w:r>
              <w:rPr>
                <w:rFonts w:hint="eastAsia"/>
                <w:sz w:val="21"/>
                <w:szCs w:val="21"/>
              </w:rPr>
              <w:t>供水层位</w:t>
            </w:r>
          </w:p>
        </w:tc>
        <w:tc>
          <w:tcPr>
            <w:tcW w:w="1932" w:type="dxa"/>
            <w:vMerge w:val="continue"/>
            <w:vAlign w:val="center"/>
          </w:tcPr>
          <w:p w14:paraId="2036F219">
            <w:pPr>
              <w:widowControl w:val="0"/>
              <w:adjustRightInd w:val="0"/>
              <w:snapToGrid w:val="0"/>
              <w:spacing w:line="240" w:lineRule="auto"/>
              <w:ind w:firstLine="0" w:firstLineChars="0"/>
              <w:jc w:val="both"/>
              <w:rPr>
                <w:sz w:val="21"/>
                <w:szCs w:val="21"/>
              </w:rPr>
            </w:pPr>
          </w:p>
        </w:tc>
      </w:tr>
      <w:tr w14:paraId="13C5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507" w:type="dxa"/>
            <w:vMerge w:val="continue"/>
            <w:vAlign w:val="center"/>
          </w:tcPr>
          <w:p w14:paraId="6D73D319">
            <w:pPr>
              <w:widowControl w:val="0"/>
              <w:adjustRightInd w:val="0"/>
              <w:snapToGrid w:val="0"/>
              <w:spacing w:line="240" w:lineRule="auto"/>
              <w:ind w:firstLine="0" w:firstLineChars="0"/>
              <w:jc w:val="center"/>
              <w:rPr>
                <w:sz w:val="21"/>
                <w:szCs w:val="21"/>
              </w:rPr>
            </w:pPr>
          </w:p>
        </w:tc>
        <w:tc>
          <w:tcPr>
            <w:tcW w:w="671" w:type="dxa"/>
            <w:vMerge w:val="continue"/>
            <w:vAlign w:val="center"/>
          </w:tcPr>
          <w:p w14:paraId="2C5D65B2">
            <w:pPr>
              <w:widowControl w:val="0"/>
              <w:adjustRightInd w:val="0"/>
              <w:snapToGrid w:val="0"/>
              <w:spacing w:line="240" w:lineRule="auto"/>
              <w:ind w:firstLine="0" w:firstLineChars="0"/>
              <w:jc w:val="center"/>
              <w:rPr>
                <w:sz w:val="21"/>
                <w:szCs w:val="21"/>
              </w:rPr>
            </w:pPr>
          </w:p>
        </w:tc>
        <w:tc>
          <w:tcPr>
            <w:tcW w:w="828" w:type="dxa"/>
            <w:gridSpan w:val="2"/>
            <w:vAlign w:val="center"/>
          </w:tcPr>
          <w:p w14:paraId="13281A93">
            <w:pPr>
              <w:widowControl w:val="0"/>
              <w:adjustRightInd w:val="0"/>
              <w:snapToGrid w:val="0"/>
              <w:spacing w:line="240" w:lineRule="auto"/>
              <w:ind w:firstLine="0" w:firstLineChars="0"/>
              <w:jc w:val="center"/>
              <w:rPr>
                <w:sz w:val="21"/>
                <w:szCs w:val="21"/>
              </w:rPr>
            </w:pPr>
            <w:r>
              <w:rPr>
                <w:rFonts w:hint="eastAsia"/>
                <w:sz w:val="21"/>
                <w:szCs w:val="21"/>
              </w:rPr>
              <w:t>上游</w:t>
            </w:r>
          </w:p>
        </w:tc>
        <w:tc>
          <w:tcPr>
            <w:tcW w:w="838" w:type="dxa"/>
            <w:vAlign w:val="center"/>
          </w:tcPr>
          <w:p w14:paraId="0155DEE9">
            <w:pPr>
              <w:widowControl w:val="0"/>
              <w:adjustRightInd w:val="0"/>
              <w:snapToGrid w:val="0"/>
              <w:spacing w:line="240" w:lineRule="auto"/>
              <w:ind w:firstLine="0" w:firstLineChars="0"/>
              <w:jc w:val="center"/>
              <w:rPr>
                <w:sz w:val="21"/>
                <w:szCs w:val="21"/>
              </w:rPr>
            </w:pPr>
            <w:r>
              <w:rPr>
                <w:rFonts w:hint="eastAsia"/>
                <w:sz w:val="21"/>
                <w:szCs w:val="21"/>
              </w:rPr>
              <w:t>0.9km</w:t>
            </w:r>
          </w:p>
        </w:tc>
        <w:tc>
          <w:tcPr>
            <w:tcW w:w="886" w:type="dxa"/>
            <w:gridSpan w:val="2"/>
            <w:vAlign w:val="center"/>
          </w:tcPr>
          <w:p w14:paraId="79D7DED7">
            <w:pPr>
              <w:widowControl w:val="0"/>
              <w:adjustRightInd w:val="0"/>
              <w:snapToGrid w:val="0"/>
              <w:spacing w:line="240" w:lineRule="auto"/>
              <w:ind w:firstLine="0" w:firstLineChars="0"/>
              <w:jc w:val="center"/>
              <w:rPr>
                <w:sz w:val="21"/>
                <w:szCs w:val="21"/>
              </w:rPr>
            </w:pPr>
            <w:r>
              <w:rPr>
                <w:rFonts w:hint="eastAsia"/>
                <w:sz w:val="21"/>
                <w:szCs w:val="21"/>
              </w:rPr>
              <w:t>100m</w:t>
            </w:r>
          </w:p>
        </w:tc>
        <w:tc>
          <w:tcPr>
            <w:tcW w:w="857" w:type="dxa"/>
            <w:gridSpan w:val="2"/>
            <w:vAlign w:val="center"/>
          </w:tcPr>
          <w:p w14:paraId="4A856A06">
            <w:pPr>
              <w:widowControl w:val="0"/>
              <w:adjustRightInd w:val="0"/>
              <w:snapToGrid w:val="0"/>
              <w:spacing w:line="240" w:lineRule="auto"/>
              <w:ind w:firstLine="0" w:firstLineChars="0"/>
              <w:jc w:val="center"/>
              <w:rPr>
                <w:sz w:val="21"/>
                <w:szCs w:val="21"/>
              </w:rPr>
            </w:pPr>
            <w:r>
              <w:rPr>
                <w:rFonts w:hint="eastAsia"/>
                <w:sz w:val="21"/>
                <w:szCs w:val="21"/>
              </w:rPr>
              <w:t>25m</w:t>
            </w:r>
          </w:p>
        </w:tc>
        <w:tc>
          <w:tcPr>
            <w:tcW w:w="928" w:type="dxa"/>
            <w:gridSpan w:val="2"/>
            <w:vAlign w:val="center"/>
          </w:tcPr>
          <w:p w14:paraId="32D67D43">
            <w:pPr>
              <w:widowControl w:val="0"/>
              <w:adjustRightInd w:val="0"/>
              <w:snapToGrid w:val="0"/>
              <w:spacing w:line="240" w:lineRule="auto"/>
              <w:ind w:firstLine="0" w:firstLineChars="0"/>
              <w:jc w:val="center"/>
              <w:rPr>
                <w:sz w:val="21"/>
                <w:szCs w:val="21"/>
              </w:rPr>
            </w:pPr>
            <w:r>
              <w:rPr>
                <w:rFonts w:hint="eastAsia"/>
                <w:sz w:val="21"/>
                <w:szCs w:val="21"/>
              </w:rPr>
              <w:t>饮用</w:t>
            </w:r>
          </w:p>
        </w:tc>
        <w:tc>
          <w:tcPr>
            <w:tcW w:w="729" w:type="dxa"/>
            <w:gridSpan w:val="2"/>
            <w:vAlign w:val="center"/>
          </w:tcPr>
          <w:p w14:paraId="494C75ED">
            <w:pPr>
              <w:widowControl w:val="0"/>
              <w:adjustRightInd w:val="0"/>
              <w:snapToGrid w:val="0"/>
              <w:spacing w:line="240" w:lineRule="auto"/>
              <w:ind w:firstLine="0" w:firstLineChars="0"/>
              <w:jc w:val="center"/>
              <w:rPr>
                <w:sz w:val="21"/>
                <w:szCs w:val="21"/>
              </w:rPr>
            </w:pPr>
            <w:r>
              <w:rPr>
                <w:rFonts w:hint="eastAsia"/>
                <w:sz w:val="21"/>
                <w:szCs w:val="21"/>
              </w:rPr>
              <w:t>2人</w:t>
            </w:r>
          </w:p>
        </w:tc>
        <w:tc>
          <w:tcPr>
            <w:tcW w:w="901" w:type="dxa"/>
            <w:gridSpan w:val="2"/>
            <w:vAlign w:val="center"/>
          </w:tcPr>
          <w:p w14:paraId="3C53D15E">
            <w:pPr>
              <w:widowControl w:val="0"/>
              <w:adjustRightInd w:val="0"/>
              <w:snapToGrid w:val="0"/>
              <w:spacing w:line="240" w:lineRule="auto"/>
              <w:ind w:firstLine="0" w:firstLineChars="0"/>
              <w:jc w:val="center"/>
              <w:rPr>
                <w:sz w:val="21"/>
                <w:szCs w:val="21"/>
              </w:rPr>
            </w:pPr>
            <w:r>
              <w:rPr>
                <w:rFonts w:hint="eastAsia"/>
                <w:sz w:val="21"/>
                <w:szCs w:val="21"/>
              </w:rPr>
              <w:t>潜水含水层</w:t>
            </w:r>
          </w:p>
        </w:tc>
        <w:tc>
          <w:tcPr>
            <w:tcW w:w="1932" w:type="dxa"/>
            <w:vMerge w:val="continue"/>
            <w:vAlign w:val="center"/>
          </w:tcPr>
          <w:p w14:paraId="17B601C9">
            <w:pPr>
              <w:widowControl w:val="0"/>
              <w:adjustRightInd w:val="0"/>
              <w:snapToGrid w:val="0"/>
              <w:spacing w:line="240" w:lineRule="auto"/>
              <w:ind w:firstLine="0" w:firstLineChars="0"/>
              <w:jc w:val="both"/>
              <w:rPr>
                <w:sz w:val="21"/>
                <w:szCs w:val="21"/>
              </w:rPr>
            </w:pPr>
          </w:p>
        </w:tc>
      </w:tr>
      <w:tr w14:paraId="7905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07" w:type="dxa"/>
            <w:vMerge w:val="continue"/>
            <w:vAlign w:val="center"/>
          </w:tcPr>
          <w:p w14:paraId="146F82C9">
            <w:pPr>
              <w:widowControl w:val="0"/>
              <w:adjustRightInd w:val="0"/>
              <w:snapToGrid w:val="0"/>
              <w:spacing w:line="240" w:lineRule="auto"/>
              <w:ind w:firstLine="0" w:firstLineChars="0"/>
              <w:jc w:val="center"/>
              <w:rPr>
                <w:sz w:val="21"/>
                <w:szCs w:val="21"/>
              </w:rPr>
            </w:pPr>
          </w:p>
        </w:tc>
        <w:tc>
          <w:tcPr>
            <w:tcW w:w="6638" w:type="dxa"/>
            <w:gridSpan w:val="14"/>
            <w:vAlign w:val="center"/>
          </w:tcPr>
          <w:p w14:paraId="3A8543D6">
            <w:pPr>
              <w:widowControl w:val="0"/>
              <w:adjustRightInd w:val="0"/>
              <w:snapToGrid w:val="0"/>
              <w:spacing w:line="240" w:lineRule="auto"/>
              <w:ind w:firstLine="0" w:firstLineChars="0"/>
              <w:jc w:val="center"/>
              <w:rPr>
                <w:sz w:val="21"/>
                <w:szCs w:val="21"/>
              </w:rPr>
            </w:pPr>
            <w:r>
              <w:rPr>
                <w:rFonts w:hint="eastAsia"/>
                <w:sz w:val="21"/>
                <w:szCs w:val="21"/>
              </w:rPr>
              <w:t>伊克布拉格水源地</w:t>
            </w:r>
          </w:p>
        </w:tc>
        <w:tc>
          <w:tcPr>
            <w:tcW w:w="1932" w:type="dxa"/>
            <w:vMerge w:val="continue"/>
            <w:vAlign w:val="center"/>
          </w:tcPr>
          <w:p w14:paraId="07ADE0B3">
            <w:pPr>
              <w:widowControl w:val="0"/>
              <w:adjustRightInd w:val="0"/>
              <w:snapToGrid w:val="0"/>
              <w:spacing w:line="240" w:lineRule="auto"/>
              <w:ind w:firstLine="0" w:firstLineChars="0"/>
              <w:jc w:val="both"/>
              <w:rPr>
                <w:sz w:val="21"/>
                <w:szCs w:val="21"/>
              </w:rPr>
            </w:pPr>
          </w:p>
        </w:tc>
      </w:tr>
      <w:tr w14:paraId="1766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507" w:type="dxa"/>
            <w:vMerge w:val="continue"/>
            <w:vAlign w:val="center"/>
          </w:tcPr>
          <w:p w14:paraId="12174C92">
            <w:pPr>
              <w:widowControl w:val="0"/>
              <w:adjustRightInd w:val="0"/>
              <w:snapToGrid w:val="0"/>
              <w:spacing w:line="240" w:lineRule="auto"/>
              <w:ind w:firstLine="0" w:firstLineChars="0"/>
              <w:jc w:val="center"/>
              <w:rPr>
                <w:sz w:val="21"/>
                <w:szCs w:val="21"/>
              </w:rPr>
            </w:pPr>
          </w:p>
        </w:tc>
        <w:tc>
          <w:tcPr>
            <w:tcW w:w="6638" w:type="dxa"/>
            <w:gridSpan w:val="14"/>
            <w:vAlign w:val="center"/>
          </w:tcPr>
          <w:p w14:paraId="42ABCDCA">
            <w:pPr>
              <w:widowControl w:val="0"/>
              <w:adjustRightInd w:val="0"/>
              <w:snapToGrid w:val="0"/>
              <w:spacing w:line="240" w:lineRule="auto"/>
              <w:ind w:firstLine="0" w:firstLineChars="0"/>
              <w:jc w:val="center"/>
              <w:rPr>
                <w:sz w:val="21"/>
                <w:szCs w:val="21"/>
              </w:rPr>
            </w:pPr>
            <w:r>
              <w:rPr>
                <w:rFonts w:hint="eastAsia"/>
                <w:sz w:val="21"/>
                <w:szCs w:val="21"/>
              </w:rPr>
              <w:t>潜水含水层</w:t>
            </w:r>
          </w:p>
        </w:tc>
        <w:tc>
          <w:tcPr>
            <w:tcW w:w="1932" w:type="dxa"/>
            <w:vMerge w:val="continue"/>
            <w:vAlign w:val="center"/>
          </w:tcPr>
          <w:p w14:paraId="202FBB63">
            <w:pPr>
              <w:widowControl w:val="0"/>
              <w:adjustRightInd w:val="0"/>
              <w:snapToGrid w:val="0"/>
              <w:spacing w:line="240" w:lineRule="auto"/>
              <w:ind w:firstLine="0" w:firstLineChars="0"/>
              <w:jc w:val="both"/>
              <w:rPr>
                <w:sz w:val="21"/>
                <w:szCs w:val="21"/>
              </w:rPr>
            </w:pPr>
          </w:p>
        </w:tc>
      </w:tr>
      <w:tr w14:paraId="4C57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dxa"/>
            <w:vAlign w:val="center"/>
          </w:tcPr>
          <w:p w14:paraId="4BF91B36">
            <w:pPr>
              <w:widowControl w:val="0"/>
              <w:adjustRightInd w:val="0"/>
              <w:snapToGrid w:val="0"/>
              <w:spacing w:line="240" w:lineRule="auto"/>
              <w:ind w:firstLine="0" w:firstLineChars="0"/>
              <w:jc w:val="center"/>
              <w:rPr>
                <w:sz w:val="21"/>
                <w:szCs w:val="21"/>
              </w:rPr>
            </w:pPr>
            <w:r>
              <w:rPr>
                <w:rFonts w:hint="eastAsia"/>
                <w:sz w:val="21"/>
                <w:szCs w:val="21"/>
              </w:rPr>
              <w:t>土壤环境</w:t>
            </w:r>
          </w:p>
        </w:tc>
        <w:tc>
          <w:tcPr>
            <w:tcW w:w="6638" w:type="dxa"/>
            <w:gridSpan w:val="14"/>
            <w:vAlign w:val="center"/>
          </w:tcPr>
          <w:p w14:paraId="61329269">
            <w:pPr>
              <w:widowControl w:val="0"/>
              <w:adjustRightInd w:val="0"/>
              <w:snapToGrid w:val="0"/>
              <w:spacing w:line="240" w:lineRule="auto"/>
              <w:ind w:firstLine="0" w:firstLineChars="0"/>
              <w:jc w:val="center"/>
              <w:rPr>
                <w:sz w:val="21"/>
                <w:szCs w:val="21"/>
              </w:rPr>
            </w:pPr>
            <w:r>
              <w:rPr>
                <w:rFonts w:hint="eastAsia"/>
                <w:sz w:val="21"/>
                <w:szCs w:val="21"/>
              </w:rPr>
              <w:t>评价范围内牧草</w:t>
            </w:r>
            <w:r>
              <w:rPr>
                <w:rStyle w:val="502"/>
                <w:rFonts w:ascii="Times New Roman" w:hAnsi="Times New Roman" w:eastAsia="宋体"/>
                <w:sz w:val="21"/>
                <w:szCs w:val="21"/>
              </w:rPr>
              <w:t>地</w:t>
            </w:r>
          </w:p>
        </w:tc>
        <w:tc>
          <w:tcPr>
            <w:tcW w:w="1932" w:type="dxa"/>
            <w:vAlign w:val="center"/>
          </w:tcPr>
          <w:p w14:paraId="5007E75D">
            <w:pPr>
              <w:widowControl w:val="0"/>
              <w:adjustRightInd w:val="0"/>
              <w:snapToGrid w:val="0"/>
              <w:spacing w:line="240" w:lineRule="auto"/>
              <w:ind w:firstLine="0" w:firstLineChars="0"/>
              <w:jc w:val="both"/>
              <w:rPr>
                <w:sz w:val="21"/>
                <w:szCs w:val="21"/>
              </w:rPr>
            </w:pPr>
            <w:r>
              <w:rPr>
                <w:sz w:val="21"/>
                <w:szCs w:val="21"/>
              </w:rPr>
              <w:t>《土壤环境质量 农用地土壤污染风险管控标准（试行）》（GB15618-2018）</w:t>
            </w:r>
          </w:p>
        </w:tc>
      </w:tr>
      <w:tr w14:paraId="018C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dxa"/>
            <w:vAlign w:val="center"/>
          </w:tcPr>
          <w:p w14:paraId="6EF97545">
            <w:pPr>
              <w:widowControl w:val="0"/>
              <w:adjustRightInd w:val="0"/>
              <w:snapToGrid w:val="0"/>
              <w:spacing w:line="240" w:lineRule="auto"/>
              <w:ind w:firstLine="0" w:firstLineChars="0"/>
              <w:jc w:val="center"/>
              <w:rPr>
                <w:sz w:val="21"/>
                <w:szCs w:val="21"/>
              </w:rPr>
            </w:pPr>
            <w:r>
              <w:rPr>
                <w:rFonts w:hint="eastAsia"/>
                <w:sz w:val="21"/>
                <w:szCs w:val="21"/>
              </w:rPr>
              <w:t>生态环境</w:t>
            </w:r>
          </w:p>
        </w:tc>
        <w:tc>
          <w:tcPr>
            <w:tcW w:w="6638" w:type="dxa"/>
            <w:gridSpan w:val="14"/>
            <w:vAlign w:val="center"/>
          </w:tcPr>
          <w:p w14:paraId="29A868A8">
            <w:pPr>
              <w:widowControl w:val="0"/>
              <w:adjustRightInd w:val="0"/>
              <w:snapToGrid w:val="0"/>
              <w:spacing w:line="240" w:lineRule="auto"/>
              <w:ind w:firstLine="0" w:firstLineChars="0"/>
              <w:jc w:val="both"/>
              <w:rPr>
                <w:sz w:val="21"/>
                <w:szCs w:val="21"/>
              </w:rPr>
            </w:pPr>
            <w:r>
              <w:rPr>
                <w:rFonts w:hint="eastAsia"/>
                <w:sz w:val="21"/>
                <w:szCs w:val="21"/>
              </w:rPr>
              <w:t>项目占地范围内涉及绵刺7023株、沙冬青1279株，根据内林草护许准〔2023〕43号文对占地范围内绵刺和沙冬青进行移植保护。</w:t>
            </w:r>
          </w:p>
          <w:p w14:paraId="51E72FC1">
            <w:pPr>
              <w:widowControl w:val="0"/>
              <w:adjustRightInd w:val="0"/>
              <w:snapToGrid w:val="0"/>
              <w:spacing w:line="240" w:lineRule="auto"/>
              <w:ind w:firstLine="0" w:firstLineChars="0"/>
              <w:jc w:val="both"/>
              <w:rPr>
                <w:sz w:val="21"/>
                <w:szCs w:val="21"/>
              </w:rPr>
            </w:pPr>
            <w:r>
              <w:rPr>
                <w:rFonts w:hint="eastAsia"/>
                <w:sz w:val="21"/>
                <w:szCs w:val="21"/>
              </w:rPr>
              <w:t>评价范围内国家二级重点保护野生植物沙冬青和绵刺；评价范围内涉及的西鄂尔多斯国家级自然保护区实验区（项目区</w:t>
            </w:r>
            <w:r>
              <w:rPr>
                <w:sz w:val="21"/>
                <w:szCs w:val="21"/>
              </w:rPr>
              <w:t>不占用，最近保护区</w:t>
            </w:r>
            <w:r>
              <w:rPr>
                <w:rFonts w:hint="eastAsia"/>
                <w:sz w:val="21"/>
                <w:szCs w:val="21"/>
              </w:rPr>
              <w:t>实验</w:t>
            </w:r>
            <w:r>
              <w:rPr>
                <w:sz w:val="21"/>
                <w:szCs w:val="21"/>
              </w:rPr>
              <w:t>区0.57</w:t>
            </w:r>
            <w:r>
              <w:rPr>
                <w:rFonts w:hint="eastAsia"/>
                <w:sz w:val="21"/>
                <w:szCs w:val="21"/>
              </w:rPr>
              <w:t>k</w:t>
            </w:r>
            <w:r>
              <w:rPr>
                <w:sz w:val="21"/>
                <w:szCs w:val="21"/>
              </w:rPr>
              <w:t>m</w:t>
            </w:r>
            <w:r>
              <w:rPr>
                <w:rFonts w:hint="eastAsia"/>
                <w:sz w:val="21"/>
                <w:szCs w:val="21"/>
              </w:rPr>
              <w:t>，距离缓冲区最近距离为1.</w:t>
            </w:r>
            <w:r>
              <w:rPr>
                <w:sz w:val="21"/>
                <w:szCs w:val="21"/>
              </w:rPr>
              <w:t>39</w:t>
            </w:r>
            <w:r>
              <w:rPr>
                <w:rFonts w:hint="eastAsia"/>
                <w:sz w:val="21"/>
                <w:szCs w:val="21"/>
              </w:rPr>
              <w:t>km，距离核心区最近距离为</w:t>
            </w:r>
            <w:r>
              <w:rPr>
                <w:sz w:val="21"/>
                <w:szCs w:val="21"/>
              </w:rPr>
              <w:t>2.39</w:t>
            </w:r>
            <w:r>
              <w:rPr>
                <w:rFonts w:hint="eastAsia"/>
                <w:sz w:val="21"/>
                <w:szCs w:val="21"/>
              </w:rPr>
              <w:t>km）。</w:t>
            </w:r>
          </w:p>
        </w:tc>
        <w:tc>
          <w:tcPr>
            <w:tcW w:w="1932" w:type="dxa"/>
            <w:vAlign w:val="center"/>
          </w:tcPr>
          <w:p w14:paraId="23F5AFA7">
            <w:pPr>
              <w:widowControl w:val="0"/>
              <w:adjustRightInd w:val="0"/>
              <w:snapToGrid w:val="0"/>
              <w:spacing w:line="240" w:lineRule="auto"/>
              <w:ind w:firstLine="0" w:firstLineChars="0"/>
              <w:jc w:val="both"/>
              <w:rPr>
                <w:sz w:val="21"/>
                <w:szCs w:val="21"/>
              </w:rPr>
            </w:pPr>
            <w:r>
              <w:rPr>
                <w:sz w:val="21"/>
                <w:szCs w:val="21"/>
              </w:rPr>
              <w:t>土地使用功能、林地生态系统功能、区域生态系统的完整性、稳定性和生物多样性不因本项目变化</w:t>
            </w:r>
          </w:p>
        </w:tc>
      </w:tr>
    </w:tbl>
    <w:p w14:paraId="10150AB6">
      <w:pPr>
        <w:pStyle w:val="105"/>
        <w:ind w:firstLine="0" w:firstLineChars="0"/>
      </w:pPr>
      <w:r>
        <w:rPr>
          <w:rFonts w:hint="eastAsia"/>
        </w:rPr>
        <w:drawing>
          <wp:inline distT="0" distB="0" distL="114300" distR="114300">
            <wp:extent cx="5755005" cy="4073525"/>
            <wp:effectExtent l="0" t="0" r="10795" b="3175"/>
            <wp:docPr id="97" name="图片 97" descr="自然保护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自然保护区"/>
                    <pic:cNvPicPr>
                      <a:picLocks noChangeAspect="1"/>
                    </pic:cNvPicPr>
                  </pic:nvPicPr>
                  <pic:blipFill>
                    <a:blip r:embed="rId25"/>
                    <a:stretch>
                      <a:fillRect/>
                    </a:stretch>
                  </pic:blipFill>
                  <pic:spPr>
                    <a:xfrm>
                      <a:off x="0" y="0"/>
                      <a:ext cx="5755005" cy="4073525"/>
                    </a:xfrm>
                    <a:prstGeom prst="rect">
                      <a:avLst/>
                    </a:prstGeom>
                  </pic:spPr>
                </pic:pic>
              </a:graphicData>
            </a:graphic>
          </wp:inline>
        </w:drawing>
      </w:r>
    </w:p>
    <w:p w14:paraId="1366BEB0">
      <w:pPr>
        <w:pStyle w:val="105"/>
        <w:ind w:firstLine="0" w:firstLineChars="0"/>
        <w:jc w:val="center"/>
        <w:rPr>
          <w:b/>
          <w:bCs/>
        </w:rPr>
      </w:pPr>
      <w:r>
        <w:rPr>
          <w:rFonts w:hint="eastAsia"/>
          <w:b/>
          <w:bCs/>
        </w:rPr>
        <w:t>图2.7-1 本项目与自然保护区各功能区位置关系图</w:t>
      </w:r>
    </w:p>
    <w:p w14:paraId="3F4C89C0">
      <w:pPr>
        <w:pStyle w:val="105"/>
        <w:ind w:firstLine="0" w:firstLineChars="0"/>
        <w:jc w:val="center"/>
        <w:rPr>
          <w:b/>
          <w:bCs/>
        </w:rPr>
      </w:pPr>
      <w:r>
        <w:rPr>
          <w:rFonts w:hint="eastAsia"/>
          <w:b/>
          <w:bCs/>
        </w:rPr>
        <w:drawing>
          <wp:inline distT="0" distB="0" distL="114300" distR="114300">
            <wp:extent cx="5509895" cy="3877945"/>
            <wp:effectExtent l="0" t="0" r="1905" b="8255"/>
            <wp:docPr id="99" name="图片 99" descr="C:/Users/Administrator/Desktop/d6940991360b7afb8828adc582ec1f1.jpgd6940991360b7afb8828adc582ec1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C:/Users/Administrator/Desktop/d6940991360b7afb8828adc582ec1f1.jpgd6940991360b7afb8828adc582ec1f1"/>
                    <pic:cNvPicPr>
                      <a:picLocks noChangeAspect="1"/>
                    </pic:cNvPicPr>
                  </pic:nvPicPr>
                  <pic:blipFill>
                    <a:blip r:embed="rId26"/>
                    <a:srcRect l="8" r="8"/>
                    <a:stretch>
                      <a:fillRect/>
                    </a:stretch>
                  </pic:blipFill>
                  <pic:spPr>
                    <a:xfrm>
                      <a:off x="0" y="0"/>
                      <a:ext cx="5509895" cy="3877945"/>
                    </a:xfrm>
                    <a:prstGeom prst="rect">
                      <a:avLst/>
                    </a:prstGeom>
                  </pic:spPr>
                </pic:pic>
              </a:graphicData>
            </a:graphic>
          </wp:inline>
        </w:drawing>
      </w:r>
    </w:p>
    <w:p w14:paraId="106528DE">
      <w:pPr>
        <w:pStyle w:val="105"/>
        <w:ind w:firstLine="0" w:firstLineChars="0"/>
        <w:jc w:val="center"/>
        <w:rPr>
          <w:b/>
          <w:bCs/>
        </w:rPr>
      </w:pPr>
      <w:r>
        <w:rPr>
          <w:rFonts w:hint="eastAsia"/>
          <w:b/>
          <w:bCs/>
        </w:rPr>
        <w:t>图2.7-2 本项目与生态保护红线位置关系图</w:t>
      </w:r>
    </w:p>
    <w:p w14:paraId="2A521CDD">
      <w:pPr>
        <w:pStyle w:val="105"/>
        <w:ind w:firstLine="0" w:firstLineChars="0"/>
      </w:pPr>
      <w:r>
        <w:rPr>
          <w:rFonts w:hint="eastAsia"/>
        </w:rPr>
        <w:drawing>
          <wp:inline distT="0" distB="0" distL="114300" distR="114300">
            <wp:extent cx="5631180" cy="4261485"/>
            <wp:effectExtent l="0" t="0" r="7620" b="5715"/>
            <wp:docPr id="98" name="图片 98" descr="C:/Users/lianglong/Desktop/微信截图_20240509011212.png微信截图_2024050901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C:/Users/lianglong/Desktop/微信截图_20240509011212.png微信截图_20240509011212"/>
                    <pic:cNvPicPr>
                      <a:picLocks noChangeAspect="1"/>
                    </pic:cNvPicPr>
                  </pic:nvPicPr>
                  <pic:blipFill>
                    <a:blip r:embed="rId27"/>
                    <a:srcRect l="291" r="291"/>
                    <a:stretch>
                      <a:fillRect/>
                    </a:stretch>
                  </pic:blipFill>
                  <pic:spPr>
                    <a:xfrm>
                      <a:off x="0" y="0"/>
                      <a:ext cx="5631180" cy="4261485"/>
                    </a:xfrm>
                    <a:prstGeom prst="rect">
                      <a:avLst/>
                    </a:prstGeom>
                  </pic:spPr>
                </pic:pic>
              </a:graphicData>
            </a:graphic>
          </wp:inline>
        </w:drawing>
      </w:r>
    </w:p>
    <w:p w14:paraId="3D3C3E19">
      <w:pPr>
        <w:pStyle w:val="105"/>
        <w:ind w:firstLine="0" w:firstLineChars="0"/>
        <w:jc w:val="center"/>
      </w:pPr>
      <w:r>
        <w:rPr>
          <w:rFonts w:hint="eastAsia"/>
          <w:b/>
          <w:bCs/>
        </w:rPr>
        <w:t>图2.7-3 本项目与伊克布拉格水源地位置关系图</w:t>
      </w:r>
    </w:p>
    <w:p w14:paraId="3553A3AE">
      <w:pPr>
        <w:pStyle w:val="105"/>
        <w:ind w:firstLine="480"/>
        <w:sectPr>
          <w:pgSz w:w="11907" w:h="16840"/>
          <w:pgMar w:top="1418" w:right="1418" w:bottom="1418" w:left="1418" w:header="964" w:footer="964" w:gutter="0"/>
          <w:cols w:space="720" w:num="1"/>
          <w:docGrid w:linePitch="312" w:charSpace="0"/>
        </w:sectPr>
      </w:pPr>
    </w:p>
    <w:p w14:paraId="7E4F3859">
      <w:pPr>
        <w:pStyle w:val="105"/>
        <w:ind w:firstLine="0" w:firstLineChars="0"/>
        <w:jc w:val="center"/>
      </w:pPr>
      <w:r>
        <w:rPr>
          <w:rFonts w:hint="eastAsia"/>
        </w:rPr>
        <w:drawing>
          <wp:inline distT="0" distB="0" distL="114300" distR="114300">
            <wp:extent cx="7087235" cy="5400675"/>
            <wp:effectExtent l="0" t="0" r="12065" b="9525"/>
            <wp:docPr id="83" name="图片 83" descr="E:/11/养鸡/复核/图/带地下水流向敏感目标.jpg带地下水流向敏感目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E:/11/养鸡/复核/图/带地下水流向敏感目标.jpg带地下水流向敏感目标"/>
                    <pic:cNvPicPr>
                      <a:picLocks noChangeAspect="1"/>
                    </pic:cNvPicPr>
                  </pic:nvPicPr>
                  <pic:blipFill>
                    <a:blip r:embed="rId28"/>
                    <a:srcRect l="35" r="35"/>
                    <a:stretch>
                      <a:fillRect/>
                    </a:stretch>
                  </pic:blipFill>
                  <pic:spPr>
                    <a:xfrm>
                      <a:off x="0" y="0"/>
                      <a:ext cx="7087235" cy="5400675"/>
                    </a:xfrm>
                    <a:prstGeom prst="rect">
                      <a:avLst/>
                    </a:prstGeom>
                  </pic:spPr>
                </pic:pic>
              </a:graphicData>
            </a:graphic>
          </wp:inline>
        </w:drawing>
      </w:r>
    </w:p>
    <w:p w14:paraId="6A61DE98">
      <w:pPr>
        <w:pStyle w:val="105"/>
        <w:ind w:firstLine="0" w:firstLineChars="0"/>
        <w:jc w:val="center"/>
        <w:rPr>
          <w:b/>
          <w:bCs/>
        </w:rPr>
      </w:pPr>
      <w:r>
        <w:rPr>
          <w:rFonts w:hint="eastAsia"/>
          <w:b/>
          <w:bCs/>
        </w:rPr>
        <w:t>图2.7-4环保保护目标图</w:t>
      </w:r>
    </w:p>
    <w:p w14:paraId="401C619E">
      <w:pPr>
        <w:pStyle w:val="4"/>
        <w:ind w:firstLine="400"/>
        <w:sectPr>
          <w:pgSz w:w="16840" w:h="11907" w:orient="landscape"/>
          <w:pgMar w:top="1418" w:right="1418" w:bottom="1418" w:left="1418" w:header="964" w:footer="964" w:gutter="0"/>
          <w:cols w:space="720" w:num="1"/>
          <w:docGrid w:linePitch="312" w:charSpace="0"/>
        </w:sectPr>
      </w:pPr>
    </w:p>
    <w:p w14:paraId="52AC6517">
      <w:pPr>
        <w:pStyle w:val="103"/>
      </w:pPr>
      <w:bookmarkStart w:id="166" w:name="_Toc36234645"/>
      <w:bookmarkStart w:id="167" w:name="_Toc166572261"/>
      <w:r>
        <w:t>3</w:t>
      </w:r>
      <w:bookmarkEnd w:id="166"/>
      <w:r>
        <w:t>建设项目工程分析</w:t>
      </w:r>
      <w:bookmarkEnd w:id="167"/>
    </w:p>
    <w:p w14:paraId="66F9AF97">
      <w:pPr>
        <w:pStyle w:val="10"/>
      </w:pPr>
      <w:bookmarkStart w:id="168" w:name="_Toc166572262"/>
      <w:r>
        <w:t>3.1项目概况</w:t>
      </w:r>
      <w:bookmarkEnd w:id="168"/>
    </w:p>
    <w:p w14:paraId="29AC8922">
      <w:pPr>
        <w:ind w:firstLine="480"/>
      </w:pPr>
      <w:r>
        <w:t>项目基本情况见表3.1-1。</w:t>
      </w:r>
    </w:p>
    <w:p w14:paraId="0B23B77E">
      <w:pPr>
        <w:pStyle w:val="743"/>
        <w:rPr>
          <w:rFonts w:cs="Times New Roman"/>
        </w:rPr>
      </w:pPr>
      <w:r>
        <w:rPr>
          <w:rFonts w:cs="Times New Roman"/>
        </w:rPr>
        <w:t>表3.1-1  项目基本情况一览表</w:t>
      </w:r>
    </w:p>
    <w:tbl>
      <w:tblPr>
        <w:tblStyle w:val="82"/>
        <w:tblW w:w="47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7"/>
        <w:gridCol w:w="1510"/>
        <w:gridCol w:w="5933"/>
      </w:tblGrid>
      <w:tr w14:paraId="549A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1720B0DC">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项目名称</w:t>
            </w:r>
          </w:p>
        </w:tc>
        <w:tc>
          <w:tcPr>
            <w:tcW w:w="4253" w:type="pct"/>
            <w:gridSpan w:val="2"/>
            <w:vAlign w:val="center"/>
          </w:tcPr>
          <w:p w14:paraId="307C388C">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内蒙古华翔农林牧科技发展有限公司120万只蛋鸡养殖项目</w:t>
            </w:r>
          </w:p>
        </w:tc>
      </w:tr>
      <w:tr w14:paraId="492A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4C640868">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建设地点</w:t>
            </w:r>
          </w:p>
        </w:tc>
        <w:tc>
          <w:tcPr>
            <w:tcW w:w="4253" w:type="pct"/>
            <w:gridSpan w:val="2"/>
            <w:vAlign w:val="center"/>
          </w:tcPr>
          <w:p w14:paraId="228CFAB4">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内蒙古鄂尔多斯市鄂托克旗蒙西镇</w:t>
            </w:r>
          </w:p>
        </w:tc>
      </w:tr>
      <w:tr w14:paraId="27A8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62E45483">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建设性质</w:t>
            </w:r>
          </w:p>
        </w:tc>
        <w:tc>
          <w:tcPr>
            <w:tcW w:w="4253" w:type="pct"/>
            <w:gridSpan w:val="2"/>
            <w:vAlign w:val="center"/>
          </w:tcPr>
          <w:p w14:paraId="67E1B00F">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新建</w:t>
            </w:r>
          </w:p>
        </w:tc>
      </w:tr>
      <w:tr w14:paraId="1C6F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4CF06B92">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建设单位</w:t>
            </w:r>
          </w:p>
        </w:tc>
        <w:tc>
          <w:tcPr>
            <w:tcW w:w="4253" w:type="pct"/>
            <w:gridSpan w:val="2"/>
            <w:vAlign w:val="center"/>
          </w:tcPr>
          <w:p w14:paraId="59CEF0BE">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内蒙古华翔农林牧科技发展有限公司</w:t>
            </w:r>
          </w:p>
        </w:tc>
      </w:tr>
      <w:tr w14:paraId="591E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1B748770">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备案情况</w:t>
            </w:r>
          </w:p>
        </w:tc>
        <w:tc>
          <w:tcPr>
            <w:tcW w:w="4253" w:type="pct"/>
            <w:gridSpan w:val="2"/>
            <w:vAlign w:val="center"/>
          </w:tcPr>
          <w:p w14:paraId="24C9C035">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 xml:space="preserve">本项目已进行备案，备案文号2210-150624-20-01-228103 </w:t>
            </w:r>
          </w:p>
        </w:tc>
      </w:tr>
      <w:tr w14:paraId="1664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67325DDC">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建设内容</w:t>
            </w:r>
          </w:p>
        </w:tc>
        <w:tc>
          <w:tcPr>
            <w:tcW w:w="4253" w:type="pct"/>
            <w:gridSpan w:val="2"/>
            <w:vAlign w:val="center"/>
          </w:tcPr>
          <w:p w14:paraId="0944B43C">
            <w:pPr>
              <w:pStyle w:val="5"/>
              <w:widowControl w:val="0"/>
              <w:spacing w:line="240" w:lineRule="auto"/>
              <w:ind w:firstLine="0" w:firstLineChars="0"/>
              <w:jc w:val="center"/>
              <w:rPr>
                <w:kern w:val="2"/>
                <w:sz w:val="21"/>
                <w:szCs w:val="21"/>
                <w:lang w:val="zh-CN" w:bidi="zh-CN"/>
              </w:rPr>
            </w:pPr>
            <w:r>
              <w:rPr>
                <w:kern w:val="2"/>
                <w:sz w:val="21"/>
                <w:szCs w:val="21"/>
                <w:lang w:val="zh-CN" w:bidi="zh-CN"/>
              </w:rPr>
              <w:t>新建综合服务区、标准化蛋鸡养殖区、标准化育雏育成养殖区、废弃物无害化处理中心、饲料加工区及蛋品加工区、污水处理站及公辅设施。</w:t>
            </w:r>
          </w:p>
        </w:tc>
      </w:tr>
      <w:tr w14:paraId="1CCA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60084247">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行业类型及代码</w:t>
            </w:r>
          </w:p>
        </w:tc>
        <w:tc>
          <w:tcPr>
            <w:tcW w:w="4253" w:type="pct"/>
            <w:gridSpan w:val="2"/>
            <w:vAlign w:val="center"/>
          </w:tcPr>
          <w:p w14:paraId="0BD0BA21">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鸡的饲养A0321</w:t>
            </w:r>
          </w:p>
        </w:tc>
      </w:tr>
      <w:tr w14:paraId="5E65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1EAEE464">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地理位置</w:t>
            </w:r>
          </w:p>
        </w:tc>
        <w:tc>
          <w:tcPr>
            <w:tcW w:w="4253" w:type="pct"/>
            <w:gridSpan w:val="2"/>
            <w:vAlign w:val="center"/>
          </w:tcPr>
          <w:p w14:paraId="374576E3">
            <w:pPr>
              <w:pStyle w:val="5"/>
              <w:widowControl w:val="0"/>
              <w:spacing w:after="0" w:line="240" w:lineRule="auto"/>
              <w:ind w:firstLine="0" w:firstLineChars="0"/>
              <w:jc w:val="center"/>
              <w:rPr>
                <w:kern w:val="2"/>
                <w:sz w:val="21"/>
                <w:szCs w:val="21"/>
                <w:lang w:val="zh-CN" w:bidi="zh-CN"/>
              </w:rPr>
            </w:pPr>
            <w:r>
              <w:rPr>
                <w:kern w:val="2"/>
                <w:sz w:val="21"/>
                <w:szCs w:val="21"/>
                <w:lang w:val="zh-CN" w:bidi="zh-CN"/>
              </w:rPr>
              <w:t>东经106°48′8.958″，北纬40°1′9.600″，</w:t>
            </w:r>
            <w:r>
              <w:rPr>
                <w:rStyle w:val="767"/>
                <w:color w:val="auto"/>
              </w:rPr>
              <w:t>海拔高度1140m</w:t>
            </w:r>
          </w:p>
        </w:tc>
      </w:tr>
      <w:tr w14:paraId="0550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7" w:type="pct"/>
            <w:vAlign w:val="center"/>
          </w:tcPr>
          <w:p w14:paraId="1040CC0E">
            <w:pPr>
              <w:pStyle w:val="766"/>
              <w:rPr>
                <w:color w:val="auto"/>
              </w:rPr>
            </w:pPr>
            <w:r>
              <w:rPr>
                <w:color w:val="auto"/>
              </w:rPr>
              <w:t>项目占地</w:t>
            </w:r>
          </w:p>
        </w:tc>
        <w:tc>
          <w:tcPr>
            <w:tcW w:w="4253" w:type="pct"/>
            <w:gridSpan w:val="2"/>
            <w:vAlign w:val="center"/>
          </w:tcPr>
          <w:p w14:paraId="1202B7DA">
            <w:pPr>
              <w:pStyle w:val="766"/>
              <w:rPr>
                <w:color w:val="auto"/>
              </w:rPr>
            </w:pPr>
            <w:r>
              <w:rPr>
                <w:rFonts w:hint="eastAsia"/>
                <w:color w:val="auto"/>
              </w:rPr>
              <w:t>28.02</w:t>
            </w:r>
            <w:r>
              <w:rPr>
                <w:color w:val="auto"/>
              </w:rPr>
              <w:t>hm</w:t>
            </w:r>
            <w:r>
              <w:rPr>
                <w:color w:val="auto"/>
                <w:vertAlign w:val="superscript"/>
              </w:rPr>
              <w:t>2</w:t>
            </w:r>
          </w:p>
        </w:tc>
      </w:tr>
      <w:tr w14:paraId="58A7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7F30A13E">
            <w:pPr>
              <w:pStyle w:val="766"/>
              <w:rPr>
                <w:color w:val="auto"/>
              </w:rPr>
            </w:pPr>
            <w:r>
              <w:rPr>
                <w:color w:val="auto"/>
              </w:rPr>
              <w:t>项目投资</w:t>
            </w:r>
          </w:p>
        </w:tc>
        <w:tc>
          <w:tcPr>
            <w:tcW w:w="4253" w:type="pct"/>
            <w:gridSpan w:val="2"/>
            <w:vAlign w:val="center"/>
          </w:tcPr>
          <w:p w14:paraId="7AEBF91B">
            <w:pPr>
              <w:pStyle w:val="766"/>
              <w:rPr>
                <w:color w:val="auto"/>
              </w:rPr>
            </w:pPr>
            <w:r>
              <w:rPr>
                <w:color w:val="auto"/>
              </w:rPr>
              <w:t>27000万元</w:t>
            </w:r>
          </w:p>
        </w:tc>
      </w:tr>
      <w:tr w14:paraId="2F6F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060E03CB">
            <w:pPr>
              <w:pStyle w:val="766"/>
              <w:rPr>
                <w:color w:val="auto"/>
              </w:rPr>
            </w:pPr>
            <w:r>
              <w:rPr>
                <w:color w:val="auto"/>
              </w:rPr>
              <w:t>劳动定员及工作制度</w:t>
            </w:r>
          </w:p>
        </w:tc>
        <w:tc>
          <w:tcPr>
            <w:tcW w:w="4253" w:type="pct"/>
            <w:gridSpan w:val="2"/>
            <w:vAlign w:val="center"/>
          </w:tcPr>
          <w:p w14:paraId="042B60A7">
            <w:pPr>
              <w:pStyle w:val="766"/>
              <w:rPr>
                <w:color w:val="auto"/>
              </w:rPr>
            </w:pPr>
            <w:r>
              <w:rPr>
                <w:color w:val="auto"/>
              </w:rPr>
              <w:t xml:space="preserve">劳动定员：员工50人。 </w:t>
            </w:r>
          </w:p>
          <w:p w14:paraId="2CFDF8DC">
            <w:pPr>
              <w:pStyle w:val="766"/>
              <w:rPr>
                <w:color w:val="auto"/>
              </w:rPr>
            </w:pPr>
            <w:r>
              <w:rPr>
                <w:color w:val="auto"/>
              </w:rPr>
              <w:t xml:space="preserve">工作制度：全年工作365天，每天8小时，夜间留有值班人员值班 </w:t>
            </w:r>
          </w:p>
        </w:tc>
      </w:tr>
      <w:tr w14:paraId="6D88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Merge w:val="restart"/>
            <w:vAlign w:val="center"/>
          </w:tcPr>
          <w:p w14:paraId="78029AB6">
            <w:pPr>
              <w:pStyle w:val="766"/>
              <w:rPr>
                <w:color w:val="auto"/>
              </w:rPr>
            </w:pPr>
            <w:r>
              <w:rPr>
                <w:color w:val="auto"/>
              </w:rPr>
              <w:t>产品方案</w:t>
            </w:r>
          </w:p>
        </w:tc>
        <w:tc>
          <w:tcPr>
            <w:tcW w:w="863" w:type="pct"/>
            <w:vAlign w:val="center"/>
          </w:tcPr>
          <w:p w14:paraId="3B4794FD">
            <w:pPr>
              <w:pStyle w:val="766"/>
              <w:rPr>
                <w:color w:val="auto"/>
              </w:rPr>
            </w:pPr>
            <w:r>
              <w:rPr>
                <w:color w:val="auto"/>
              </w:rPr>
              <w:t>标准化蛋鸡养殖区</w:t>
            </w:r>
          </w:p>
        </w:tc>
        <w:tc>
          <w:tcPr>
            <w:tcW w:w="3390" w:type="pct"/>
            <w:vAlign w:val="center"/>
          </w:tcPr>
          <w:p w14:paraId="2472335F">
            <w:pPr>
              <w:pStyle w:val="766"/>
              <w:rPr>
                <w:color w:val="auto"/>
              </w:rPr>
            </w:pPr>
            <w:r>
              <w:rPr>
                <w:color w:val="auto"/>
              </w:rPr>
              <w:t>存栏蛋鸡</w:t>
            </w:r>
            <w:r>
              <w:rPr>
                <w:rFonts w:hint="eastAsia"/>
                <w:color w:val="auto"/>
              </w:rPr>
              <w:t>120</w:t>
            </w:r>
            <w:r>
              <w:rPr>
                <w:color w:val="auto"/>
              </w:rPr>
              <w:t>万只</w:t>
            </w:r>
            <w:r>
              <w:rPr>
                <w:rFonts w:hint="eastAsia"/>
                <w:color w:val="auto"/>
              </w:rPr>
              <w:t>（产蛋鸡90万只和育成鸡30万只）</w:t>
            </w:r>
            <w:r>
              <w:rPr>
                <w:color w:val="auto"/>
              </w:rPr>
              <w:t>，年产淘汰鸡</w:t>
            </w:r>
            <w:r>
              <w:rPr>
                <w:rFonts w:hint="eastAsia"/>
                <w:color w:val="auto"/>
              </w:rPr>
              <w:t>86.4</w:t>
            </w:r>
            <w:r>
              <w:rPr>
                <w:color w:val="auto"/>
              </w:rPr>
              <w:t>万只</w:t>
            </w:r>
            <w:r>
              <w:rPr>
                <w:rFonts w:hint="eastAsia"/>
                <w:color w:val="auto"/>
              </w:rPr>
              <w:t>，淘汰鸡全部出售</w:t>
            </w:r>
          </w:p>
        </w:tc>
      </w:tr>
      <w:tr w14:paraId="1F85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Merge w:val="continue"/>
            <w:vAlign w:val="center"/>
          </w:tcPr>
          <w:p w14:paraId="3FE9181D">
            <w:pPr>
              <w:pStyle w:val="766"/>
              <w:rPr>
                <w:color w:val="auto"/>
              </w:rPr>
            </w:pPr>
          </w:p>
        </w:tc>
        <w:tc>
          <w:tcPr>
            <w:tcW w:w="863" w:type="pct"/>
            <w:vAlign w:val="center"/>
          </w:tcPr>
          <w:p w14:paraId="5CB14493">
            <w:pPr>
              <w:pStyle w:val="766"/>
              <w:rPr>
                <w:color w:val="auto"/>
              </w:rPr>
            </w:pPr>
            <w:r>
              <w:rPr>
                <w:color w:val="auto"/>
              </w:rPr>
              <w:t>标准化育雏育成养殖区</w:t>
            </w:r>
          </w:p>
        </w:tc>
        <w:tc>
          <w:tcPr>
            <w:tcW w:w="3390" w:type="pct"/>
            <w:vAlign w:val="center"/>
          </w:tcPr>
          <w:p w14:paraId="2D3057B4">
            <w:pPr>
              <w:pStyle w:val="766"/>
              <w:rPr>
                <w:color w:val="auto"/>
              </w:rPr>
            </w:pPr>
            <w:r>
              <w:rPr>
                <w:color w:val="auto"/>
              </w:rPr>
              <w:t>存栏育成鸡30万只，</w:t>
            </w:r>
            <w:r>
              <w:rPr>
                <w:rFonts w:hint="eastAsia"/>
                <w:color w:val="auto"/>
              </w:rPr>
              <w:t>每年出产3批次，年出栏9</w:t>
            </w:r>
            <w:r>
              <w:rPr>
                <w:color w:val="auto"/>
              </w:rPr>
              <w:t>0</w:t>
            </w:r>
            <w:r>
              <w:rPr>
                <w:rFonts w:hint="eastAsia"/>
                <w:color w:val="auto"/>
              </w:rPr>
              <w:t>万只，供标准化蛋鸡养殖区使用</w:t>
            </w:r>
          </w:p>
        </w:tc>
      </w:tr>
      <w:tr w14:paraId="5A1E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Merge w:val="continue"/>
            <w:vAlign w:val="center"/>
          </w:tcPr>
          <w:p w14:paraId="36610C00">
            <w:pPr>
              <w:pStyle w:val="766"/>
              <w:rPr>
                <w:color w:val="auto"/>
              </w:rPr>
            </w:pPr>
          </w:p>
        </w:tc>
        <w:tc>
          <w:tcPr>
            <w:tcW w:w="863" w:type="pct"/>
            <w:vAlign w:val="center"/>
          </w:tcPr>
          <w:p w14:paraId="751811D6">
            <w:pPr>
              <w:pStyle w:val="766"/>
              <w:rPr>
                <w:color w:val="auto"/>
              </w:rPr>
            </w:pPr>
            <w:r>
              <w:rPr>
                <w:color w:val="auto"/>
              </w:rPr>
              <w:t>蛋品加工区</w:t>
            </w:r>
          </w:p>
        </w:tc>
        <w:tc>
          <w:tcPr>
            <w:tcW w:w="3390" w:type="pct"/>
            <w:vAlign w:val="center"/>
          </w:tcPr>
          <w:p w14:paraId="09EEA9AE">
            <w:pPr>
              <w:pStyle w:val="766"/>
              <w:rPr>
                <w:color w:val="auto"/>
              </w:rPr>
            </w:pPr>
            <w:r>
              <w:rPr>
                <w:color w:val="auto"/>
              </w:rPr>
              <w:t>年产包装壳蛋25200万枚</w:t>
            </w:r>
          </w:p>
        </w:tc>
      </w:tr>
      <w:tr w14:paraId="0801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pct"/>
            <w:vAlign w:val="center"/>
          </w:tcPr>
          <w:p w14:paraId="086BF4E1">
            <w:pPr>
              <w:pStyle w:val="766"/>
              <w:rPr>
                <w:color w:val="auto"/>
              </w:rPr>
            </w:pPr>
            <w:r>
              <w:rPr>
                <w:color w:val="auto"/>
              </w:rPr>
              <w:t>养殖场级别</w:t>
            </w:r>
          </w:p>
        </w:tc>
        <w:tc>
          <w:tcPr>
            <w:tcW w:w="4253" w:type="pct"/>
            <w:gridSpan w:val="2"/>
            <w:vAlign w:val="center"/>
          </w:tcPr>
          <w:p w14:paraId="4E601244">
            <w:pPr>
              <w:pStyle w:val="766"/>
              <w:rPr>
                <w:color w:val="auto"/>
              </w:rPr>
            </w:pPr>
            <w:r>
              <w:rPr>
                <w:color w:val="auto"/>
              </w:rPr>
              <w:t>根据《畜禽养殖业污染物排放标准》(GB18596-2001)，集约化养殖场划分Ⅰ、Ⅱ级，Ⅰ级为≥10万只蛋鸡，Ⅱ级为≥1.5万只蛋鸡且＜10万只蛋鸡，本项目蛋鸡年存栏120万只，属于Ⅰ级集约化养殖场。</w:t>
            </w:r>
          </w:p>
        </w:tc>
      </w:tr>
    </w:tbl>
    <w:p w14:paraId="35427E18">
      <w:pPr>
        <w:pStyle w:val="11"/>
        <w:snapToGrid w:val="0"/>
        <w:rPr>
          <w:bCs w:val="0"/>
          <w:szCs w:val="28"/>
        </w:rPr>
      </w:pPr>
      <w:bookmarkStart w:id="169" w:name="_Toc166572263"/>
      <w:r>
        <w:rPr>
          <w:szCs w:val="28"/>
        </w:rPr>
        <w:t>3.1.1建设内容与建设规模</w:t>
      </w:r>
      <w:bookmarkEnd w:id="169"/>
    </w:p>
    <w:p w14:paraId="14C58A4E">
      <w:pPr>
        <w:ind w:firstLine="480"/>
      </w:pPr>
      <w:r>
        <w:t>（1）建设规模：存栏蛋鸡</w:t>
      </w:r>
      <w:r>
        <w:rPr>
          <w:rFonts w:hint="eastAsia"/>
        </w:rPr>
        <w:t>120</w:t>
      </w:r>
      <w:r>
        <w:t>万只</w:t>
      </w:r>
      <w:r>
        <w:rPr>
          <w:rFonts w:hint="eastAsia"/>
        </w:rPr>
        <w:t>（产蛋鸡90万只和育成鸡30万只）</w:t>
      </w:r>
      <w:r>
        <w:t>。</w:t>
      </w:r>
    </w:p>
    <w:p w14:paraId="31D3E825">
      <w:pPr>
        <w:ind w:firstLine="480"/>
      </w:pPr>
      <w:r>
        <w:t>（2）建设方案：本项目</w:t>
      </w:r>
      <w:r>
        <w:rPr>
          <w:rFonts w:hint="eastAsia"/>
        </w:rPr>
        <w:t>建设标准化育雏育成养殖区1个，设置6栋青年鸡舍，可存栏30万只；建设标准化蛋鸡养殖小区3个，每个小区分别布设3栋蛋鸡鸡舍，共9栋，可存栏90万只；建设饲料加工区1处；蛋品加工中心1处；废弃物无害化处理中心1处；以及其他相关辅助、储运工程。</w:t>
      </w:r>
    </w:p>
    <w:p w14:paraId="373C0EB2">
      <w:pPr>
        <w:ind w:firstLine="480"/>
      </w:pPr>
      <w:r>
        <w:rPr>
          <w:rFonts w:hint="eastAsia"/>
        </w:rPr>
        <w:t>项目建成后，存栏蛋鸡120万只（产蛋鸡90万只和育成鸡30万只），年产包装壳蛋25200万枚，年出栏育成鸡90万只，分3批次，年产淘汰鸡86.4万只。</w:t>
      </w:r>
    </w:p>
    <w:p w14:paraId="62226DC0">
      <w:pPr>
        <w:ind w:firstLine="480"/>
        <w:sectPr>
          <w:pgSz w:w="11907" w:h="16840"/>
          <w:pgMar w:top="1418" w:right="1418" w:bottom="1418" w:left="1418" w:header="964" w:footer="964" w:gutter="0"/>
          <w:cols w:space="720" w:num="1"/>
          <w:docGrid w:linePitch="312" w:charSpace="0"/>
        </w:sectPr>
      </w:pPr>
      <w:r>
        <w:t>（3）建设内容：本项目由主体工程、辅助工程、公用工程及环保工程等四部分构成，工程组成一览表见表3-12。</w:t>
      </w:r>
    </w:p>
    <w:p w14:paraId="71CB93CB">
      <w:pPr>
        <w:pStyle w:val="743"/>
        <w:rPr>
          <w:rFonts w:cs="Times New Roman"/>
        </w:rPr>
      </w:pPr>
      <w:r>
        <w:rPr>
          <w:rFonts w:cs="Times New Roman"/>
        </w:rPr>
        <w:t>表3.1-2项目建设内容及组成一览表</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75"/>
        <w:gridCol w:w="371"/>
        <w:gridCol w:w="1046"/>
        <w:gridCol w:w="5103"/>
        <w:gridCol w:w="1666"/>
      </w:tblGrid>
      <w:tr w14:paraId="5CD9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3FB89462">
            <w:pPr>
              <w:pStyle w:val="357"/>
              <w:rPr>
                <w:szCs w:val="21"/>
              </w:rPr>
            </w:pPr>
            <w:r>
              <w:rPr>
                <w:szCs w:val="21"/>
              </w:rPr>
              <w:t>类别</w:t>
            </w:r>
          </w:p>
        </w:tc>
        <w:tc>
          <w:tcPr>
            <w:tcW w:w="2092" w:type="dxa"/>
            <w:gridSpan w:val="3"/>
            <w:tcBorders>
              <w:top w:val="single" w:color="auto" w:sz="4" w:space="0"/>
              <w:left w:val="single" w:color="auto" w:sz="4" w:space="0"/>
              <w:bottom w:val="single" w:color="auto" w:sz="4" w:space="0"/>
              <w:right w:val="single" w:color="auto" w:sz="4" w:space="0"/>
            </w:tcBorders>
            <w:vAlign w:val="center"/>
          </w:tcPr>
          <w:p w14:paraId="03D8CBC6">
            <w:pPr>
              <w:pStyle w:val="357"/>
              <w:rPr>
                <w:szCs w:val="21"/>
              </w:rPr>
            </w:pPr>
            <w:r>
              <w:rPr>
                <w:szCs w:val="21"/>
              </w:rPr>
              <w:t>项目</w:t>
            </w:r>
          </w:p>
        </w:tc>
        <w:tc>
          <w:tcPr>
            <w:tcW w:w="5103" w:type="dxa"/>
            <w:tcBorders>
              <w:top w:val="single" w:color="auto" w:sz="4" w:space="0"/>
              <w:left w:val="single" w:color="auto" w:sz="4" w:space="0"/>
              <w:bottom w:val="single" w:color="auto" w:sz="4" w:space="0"/>
              <w:right w:val="single" w:color="auto" w:sz="4" w:space="0"/>
            </w:tcBorders>
            <w:vAlign w:val="center"/>
          </w:tcPr>
          <w:p w14:paraId="44B2C0BE">
            <w:pPr>
              <w:pStyle w:val="357"/>
              <w:rPr>
                <w:szCs w:val="21"/>
              </w:rPr>
            </w:pPr>
            <w:r>
              <w:rPr>
                <w:szCs w:val="21"/>
              </w:rPr>
              <w:t>建设内容</w:t>
            </w:r>
          </w:p>
        </w:tc>
        <w:tc>
          <w:tcPr>
            <w:tcW w:w="1666" w:type="dxa"/>
            <w:tcBorders>
              <w:top w:val="single" w:color="auto" w:sz="4" w:space="0"/>
              <w:left w:val="single" w:color="auto" w:sz="4" w:space="0"/>
              <w:bottom w:val="single" w:color="auto" w:sz="4" w:space="0"/>
              <w:right w:val="single" w:color="auto" w:sz="4" w:space="0"/>
            </w:tcBorders>
            <w:vAlign w:val="center"/>
          </w:tcPr>
          <w:p w14:paraId="48C5B14D">
            <w:pPr>
              <w:pStyle w:val="357"/>
              <w:rPr>
                <w:szCs w:val="21"/>
                <w:lang w:eastAsia="zh-CN"/>
              </w:rPr>
            </w:pPr>
            <w:r>
              <w:rPr>
                <w:szCs w:val="21"/>
                <w:lang w:eastAsia="zh-CN"/>
              </w:rPr>
              <w:t>备注</w:t>
            </w:r>
          </w:p>
        </w:tc>
      </w:tr>
      <w:tr w14:paraId="40DA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restart"/>
            <w:tcBorders>
              <w:top w:val="single" w:color="auto" w:sz="4" w:space="0"/>
              <w:left w:val="single" w:color="auto" w:sz="4" w:space="0"/>
              <w:right w:val="single" w:color="auto" w:sz="4" w:space="0"/>
            </w:tcBorders>
            <w:vAlign w:val="center"/>
          </w:tcPr>
          <w:p w14:paraId="7E01D6B6">
            <w:pPr>
              <w:pStyle w:val="357"/>
              <w:rPr>
                <w:szCs w:val="21"/>
              </w:rPr>
            </w:pPr>
            <w:r>
              <w:rPr>
                <w:szCs w:val="21"/>
              </w:rPr>
              <w:t>主体</w:t>
            </w:r>
          </w:p>
          <w:p w14:paraId="0CDFD03D">
            <w:pPr>
              <w:pStyle w:val="357"/>
              <w:rPr>
                <w:szCs w:val="21"/>
              </w:rPr>
            </w:pPr>
            <w:r>
              <w:rPr>
                <w:szCs w:val="21"/>
              </w:rPr>
              <w:t>工程</w:t>
            </w:r>
          </w:p>
        </w:tc>
        <w:tc>
          <w:tcPr>
            <w:tcW w:w="675" w:type="dxa"/>
            <w:vMerge w:val="restart"/>
            <w:tcBorders>
              <w:top w:val="single" w:color="auto" w:sz="4" w:space="0"/>
              <w:left w:val="single" w:color="auto" w:sz="4" w:space="0"/>
              <w:right w:val="single" w:color="auto" w:sz="4" w:space="0"/>
            </w:tcBorders>
            <w:vAlign w:val="center"/>
          </w:tcPr>
          <w:p w14:paraId="4B8078F3">
            <w:pPr>
              <w:pStyle w:val="357"/>
              <w:rPr>
                <w:szCs w:val="21"/>
                <w:lang w:eastAsia="zh-CN"/>
              </w:rPr>
            </w:pPr>
            <w:r>
              <w:rPr>
                <w:szCs w:val="21"/>
                <w:lang w:eastAsia="zh-CN"/>
              </w:rPr>
              <w:t>标准化育雏育成养殖区</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6B0B8461">
            <w:pPr>
              <w:pStyle w:val="357"/>
              <w:rPr>
                <w:szCs w:val="21"/>
                <w:lang w:eastAsia="zh-CN"/>
              </w:rPr>
            </w:pPr>
            <w:r>
              <w:rPr>
                <w:szCs w:val="21"/>
                <w:lang w:eastAsia="zh-CN"/>
              </w:rPr>
              <w:t>青年鸡舍×6</w:t>
            </w:r>
          </w:p>
        </w:tc>
        <w:tc>
          <w:tcPr>
            <w:tcW w:w="5103" w:type="dxa"/>
            <w:vMerge w:val="restart"/>
            <w:tcBorders>
              <w:top w:val="single" w:color="auto" w:sz="4" w:space="0"/>
              <w:left w:val="single" w:color="auto" w:sz="4" w:space="0"/>
              <w:right w:val="single" w:color="auto" w:sz="4" w:space="0"/>
            </w:tcBorders>
            <w:vAlign w:val="center"/>
          </w:tcPr>
          <w:p w14:paraId="74A825A1">
            <w:pPr>
              <w:pStyle w:val="357"/>
              <w:rPr>
                <w:szCs w:val="21"/>
                <w:lang w:eastAsia="zh-CN"/>
              </w:rPr>
            </w:pPr>
            <w:r>
              <w:rPr>
                <w:rFonts w:hint="eastAsia"/>
                <w:szCs w:val="21"/>
                <w:lang w:eastAsia="zh-CN"/>
              </w:rPr>
              <w:t>新建存栏30万只的标准化育雏育成养殖区1个，6栋封闭式青年鸡舍建设面积共计</w:t>
            </w:r>
            <w:r>
              <w:rPr>
                <w:szCs w:val="21"/>
                <w:lang w:eastAsia="zh-CN"/>
              </w:rPr>
              <w:t>23684</w:t>
            </w:r>
            <w:r>
              <w:rPr>
                <w:rFonts w:hint="eastAsia"/>
                <w:szCs w:val="21"/>
                <w:lang w:eastAsia="zh-CN"/>
              </w:rPr>
              <w:t>m</w:t>
            </w:r>
            <w:r>
              <w:rPr>
                <w:rFonts w:hint="eastAsia"/>
                <w:szCs w:val="21"/>
                <w:vertAlign w:val="superscript"/>
                <w:lang w:eastAsia="zh-CN"/>
              </w:rPr>
              <w:t>2</w:t>
            </w:r>
            <w:r>
              <w:rPr>
                <w:rFonts w:hint="eastAsia"/>
                <w:szCs w:val="21"/>
                <w:lang w:eastAsia="zh-CN"/>
              </w:rPr>
              <w:t>，综合用房</w:t>
            </w:r>
            <w:r>
              <w:rPr>
                <w:szCs w:val="21"/>
                <w:lang w:eastAsia="zh-CN"/>
              </w:rPr>
              <w:t>706.6</w:t>
            </w:r>
            <w:r>
              <w:rPr>
                <w:rFonts w:hint="eastAsia"/>
                <w:szCs w:val="21"/>
                <w:lang w:eastAsia="zh-CN"/>
              </w:rPr>
              <w:t>m</w:t>
            </w:r>
            <w:r>
              <w:rPr>
                <w:rFonts w:hint="eastAsia"/>
                <w:szCs w:val="21"/>
                <w:vertAlign w:val="superscript"/>
                <w:lang w:eastAsia="zh-CN"/>
              </w:rPr>
              <w:t>2</w:t>
            </w:r>
            <w:r>
              <w:rPr>
                <w:rFonts w:hint="eastAsia"/>
                <w:szCs w:val="21"/>
                <w:lang w:eastAsia="zh-CN"/>
              </w:rPr>
              <w:t>，危废品仓库</w:t>
            </w:r>
            <w:r>
              <w:rPr>
                <w:szCs w:val="21"/>
                <w:lang w:eastAsia="zh-CN"/>
              </w:rPr>
              <w:t>54</w:t>
            </w:r>
            <w:r>
              <w:rPr>
                <w:rFonts w:hint="eastAsia"/>
                <w:szCs w:val="21"/>
                <w:lang w:eastAsia="zh-CN"/>
              </w:rPr>
              <w:t>m</w:t>
            </w:r>
            <w:r>
              <w:rPr>
                <w:rFonts w:hint="eastAsia"/>
                <w:szCs w:val="21"/>
                <w:vertAlign w:val="superscript"/>
                <w:lang w:eastAsia="zh-CN"/>
              </w:rPr>
              <w:t>2</w:t>
            </w:r>
            <w:r>
              <w:rPr>
                <w:rFonts w:hint="eastAsia"/>
                <w:szCs w:val="21"/>
                <w:lang w:eastAsia="zh-CN"/>
              </w:rPr>
              <w:t>，发电机房</w:t>
            </w:r>
            <w:r>
              <w:rPr>
                <w:szCs w:val="21"/>
                <w:lang w:eastAsia="zh-CN"/>
              </w:rPr>
              <w:t>41.25</w:t>
            </w:r>
            <w:r>
              <w:rPr>
                <w:rFonts w:hint="eastAsia"/>
                <w:szCs w:val="21"/>
                <w:lang w:eastAsia="zh-CN"/>
              </w:rPr>
              <w:t>m</w:t>
            </w:r>
            <w:r>
              <w:rPr>
                <w:rFonts w:hint="eastAsia"/>
                <w:szCs w:val="21"/>
                <w:vertAlign w:val="superscript"/>
                <w:lang w:eastAsia="zh-CN"/>
              </w:rPr>
              <w:t>2</w:t>
            </w:r>
            <w:r>
              <w:rPr>
                <w:rFonts w:hint="eastAsia"/>
                <w:szCs w:val="21"/>
                <w:lang w:eastAsia="zh-CN"/>
              </w:rPr>
              <w:t>，并配套购置笼架系统、环控系统、上料系统、供暖系统、舍内地暖系统、喷雾加湿系统和发电机等。</w:t>
            </w:r>
          </w:p>
        </w:tc>
        <w:tc>
          <w:tcPr>
            <w:tcW w:w="1666" w:type="dxa"/>
            <w:tcBorders>
              <w:top w:val="single" w:color="auto" w:sz="4" w:space="0"/>
              <w:left w:val="single" w:color="auto" w:sz="4" w:space="0"/>
              <w:right w:val="single" w:color="auto" w:sz="4" w:space="0"/>
            </w:tcBorders>
            <w:vAlign w:val="center"/>
          </w:tcPr>
          <w:p w14:paraId="72504ACA">
            <w:pPr>
              <w:pStyle w:val="357"/>
              <w:rPr>
                <w:szCs w:val="21"/>
                <w:lang w:eastAsia="zh-CN"/>
              </w:rPr>
            </w:pPr>
            <w:r>
              <w:rPr>
                <w:rFonts w:hint="eastAsia"/>
                <w:szCs w:val="21"/>
                <w:lang w:eastAsia="zh-CN"/>
              </w:rPr>
              <w:t>雏鸡养成</w:t>
            </w:r>
          </w:p>
        </w:tc>
      </w:tr>
      <w:tr w14:paraId="3857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40F7FC0E">
            <w:pPr>
              <w:pStyle w:val="357"/>
              <w:rPr>
                <w:szCs w:val="21"/>
                <w:lang w:eastAsia="zh-CN"/>
              </w:rPr>
            </w:pPr>
          </w:p>
        </w:tc>
        <w:tc>
          <w:tcPr>
            <w:tcW w:w="675" w:type="dxa"/>
            <w:vMerge w:val="continue"/>
            <w:tcBorders>
              <w:left w:val="single" w:color="auto" w:sz="4" w:space="0"/>
              <w:right w:val="single" w:color="auto" w:sz="4" w:space="0"/>
            </w:tcBorders>
            <w:vAlign w:val="center"/>
          </w:tcPr>
          <w:p w14:paraId="2E739BEF">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14DD3BE5">
            <w:pPr>
              <w:pStyle w:val="357"/>
              <w:rPr>
                <w:szCs w:val="21"/>
                <w:lang w:eastAsia="zh-CN"/>
              </w:rPr>
            </w:pPr>
            <w:r>
              <w:rPr>
                <w:szCs w:val="21"/>
                <w:lang w:eastAsia="zh-CN"/>
              </w:rPr>
              <w:t>综合用房</w:t>
            </w:r>
          </w:p>
        </w:tc>
        <w:tc>
          <w:tcPr>
            <w:tcW w:w="5103" w:type="dxa"/>
            <w:vMerge w:val="continue"/>
            <w:tcBorders>
              <w:left w:val="single" w:color="auto" w:sz="4" w:space="0"/>
              <w:right w:val="single" w:color="auto" w:sz="4" w:space="0"/>
            </w:tcBorders>
            <w:vAlign w:val="center"/>
          </w:tcPr>
          <w:p w14:paraId="7CDF02BD">
            <w:pPr>
              <w:pStyle w:val="357"/>
              <w:rPr>
                <w:szCs w:val="21"/>
                <w:lang w:eastAsia="zh-CN"/>
              </w:rPr>
            </w:pPr>
          </w:p>
        </w:tc>
        <w:tc>
          <w:tcPr>
            <w:tcW w:w="1666" w:type="dxa"/>
            <w:tcBorders>
              <w:left w:val="single" w:color="auto" w:sz="4" w:space="0"/>
              <w:right w:val="single" w:color="auto" w:sz="4" w:space="0"/>
            </w:tcBorders>
            <w:vAlign w:val="center"/>
          </w:tcPr>
          <w:p w14:paraId="0A4253D1">
            <w:pPr>
              <w:pStyle w:val="357"/>
              <w:rPr>
                <w:szCs w:val="21"/>
                <w:lang w:eastAsia="zh-CN"/>
              </w:rPr>
            </w:pPr>
            <w:r>
              <w:rPr>
                <w:rFonts w:hint="eastAsia"/>
                <w:szCs w:val="21"/>
                <w:lang w:eastAsia="zh-CN"/>
              </w:rPr>
              <w:t>办公、宿舍、洗浴更衣</w:t>
            </w:r>
          </w:p>
        </w:tc>
      </w:tr>
      <w:tr w14:paraId="49E5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6480742C">
            <w:pPr>
              <w:pStyle w:val="357"/>
              <w:rPr>
                <w:szCs w:val="21"/>
                <w:lang w:eastAsia="zh-CN"/>
              </w:rPr>
            </w:pPr>
          </w:p>
        </w:tc>
        <w:tc>
          <w:tcPr>
            <w:tcW w:w="675" w:type="dxa"/>
            <w:vMerge w:val="continue"/>
            <w:tcBorders>
              <w:left w:val="single" w:color="auto" w:sz="4" w:space="0"/>
              <w:right w:val="single" w:color="auto" w:sz="4" w:space="0"/>
            </w:tcBorders>
            <w:vAlign w:val="center"/>
          </w:tcPr>
          <w:p w14:paraId="3586444E">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7E5B9192">
            <w:pPr>
              <w:pStyle w:val="357"/>
              <w:rPr>
                <w:szCs w:val="21"/>
                <w:lang w:eastAsia="zh-CN"/>
              </w:rPr>
            </w:pPr>
            <w:r>
              <w:rPr>
                <w:rFonts w:hint="eastAsia"/>
                <w:szCs w:val="21"/>
                <w:lang w:eastAsia="zh-CN"/>
              </w:rPr>
              <w:t>料塔</w:t>
            </w:r>
            <w:r>
              <w:rPr>
                <w:szCs w:val="21"/>
                <w:lang w:eastAsia="zh-CN"/>
              </w:rPr>
              <w:t>×6</w:t>
            </w:r>
          </w:p>
        </w:tc>
        <w:tc>
          <w:tcPr>
            <w:tcW w:w="5103" w:type="dxa"/>
            <w:vMerge w:val="continue"/>
            <w:tcBorders>
              <w:left w:val="single" w:color="auto" w:sz="4" w:space="0"/>
              <w:right w:val="single" w:color="auto" w:sz="4" w:space="0"/>
            </w:tcBorders>
            <w:vAlign w:val="center"/>
          </w:tcPr>
          <w:p w14:paraId="6A961923">
            <w:pPr>
              <w:pStyle w:val="357"/>
              <w:rPr>
                <w:szCs w:val="21"/>
                <w:lang w:eastAsia="zh-CN"/>
              </w:rPr>
            </w:pPr>
          </w:p>
        </w:tc>
        <w:tc>
          <w:tcPr>
            <w:tcW w:w="1666" w:type="dxa"/>
            <w:tcBorders>
              <w:left w:val="single" w:color="auto" w:sz="4" w:space="0"/>
              <w:right w:val="single" w:color="auto" w:sz="4" w:space="0"/>
            </w:tcBorders>
            <w:vAlign w:val="center"/>
          </w:tcPr>
          <w:p w14:paraId="16A5AD8F">
            <w:pPr>
              <w:pStyle w:val="357"/>
              <w:rPr>
                <w:szCs w:val="21"/>
                <w:lang w:eastAsia="zh-CN"/>
              </w:rPr>
            </w:pPr>
            <w:r>
              <w:rPr>
                <w:rFonts w:hint="eastAsia"/>
                <w:szCs w:val="21"/>
                <w:lang w:eastAsia="zh-CN"/>
              </w:rPr>
              <w:t>饲料塔</w:t>
            </w:r>
          </w:p>
        </w:tc>
      </w:tr>
      <w:tr w14:paraId="66B0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337C0311">
            <w:pPr>
              <w:pStyle w:val="357"/>
              <w:rPr>
                <w:szCs w:val="21"/>
                <w:lang w:eastAsia="zh-CN"/>
              </w:rPr>
            </w:pPr>
          </w:p>
        </w:tc>
        <w:tc>
          <w:tcPr>
            <w:tcW w:w="675" w:type="dxa"/>
            <w:vMerge w:val="continue"/>
            <w:tcBorders>
              <w:left w:val="single" w:color="auto" w:sz="4" w:space="0"/>
              <w:right w:val="single" w:color="auto" w:sz="4" w:space="0"/>
            </w:tcBorders>
            <w:vAlign w:val="center"/>
          </w:tcPr>
          <w:p w14:paraId="43BF595F">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1B8BA13E">
            <w:pPr>
              <w:pStyle w:val="357"/>
              <w:rPr>
                <w:szCs w:val="21"/>
                <w:lang w:eastAsia="zh-CN"/>
              </w:rPr>
            </w:pPr>
            <w:r>
              <w:rPr>
                <w:rFonts w:hint="eastAsia"/>
                <w:szCs w:val="21"/>
                <w:lang w:eastAsia="zh-CN"/>
              </w:rPr>
              <w:t>备用</w:t>
            </w:r>
            <w:r>
              <w:rPr>
                <w:szCs w:val="21"/>
                <w:lang w:eastAsia="zh-CN"/>
              </w:rPr>
              <w:t>发电机房</w:t>
            </w:r>
          </w:p>
        </w:tc>
        <w:tc>
          <w:tcPr>
            <w:tcW w:w="5103" w:type="dxa"/>
            <w:vMerge w:val="continue"/>
            <w:tcBorders>
              <w:left w:val="single" w:color="auto" w:sz="4" w:space="0"/>
              <w:right w:val="single" w:color="auto" w:sz="4" w:space="0"/>
            </w:tcBorders>
            <w:vAlign w:val="center"/>
          </w:tcPr>
          <w:p w14:paraId="18EDECF8">
            <w:pPr>
              <w:pStyle w:val="357"/>
              <w:rPr>
                <w:szCs w:val="21"/>
                <w:lang w:eastAsia="zh-CN"/>
              </w:rPr>
            </w:pPr>
          </w:p>
        </w:tc>
        <w:tc>
          <w:tcPr>
            <w:tcW w:w="1666" w:type="dxa"/>
            <w:tcBorders>
              <w:left w:val="single" w:color="auto" w:sz="4" w:space="0"/>
              <w:right w:val="single" w:color="auto" w:sz="4" w:space="0"/>
            </w:tcBorders>
            <w:vAlign w:val="center"/>
          </w:tcPr>
          <w:p w14:paraId="670CD6B6">
            <w:pPr>
              <w:pStyle w:val="357"/>
              <w:rPr>
                <w:szCs w:val="21"/>
                <w:lang w:eastAsia="zh-CN"/>
              </w:rPr>
            </w:pPr>
            <w:r>
              <w:rPr>
                <w:rFonts w:hint="eastAsia"/>
                <w:szCs w:val="21"/>
                <w:lang w:eastAsia="zh-CN"/>
              </w:rPr>
              <w:t>备用发电机房，以防断电</w:t>
            </w:r>
          </w:p>
        </w:tc>
      </w:tr>
      <w:tr w14:paraId="4D7B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3D054222">
            <w:pPr>
              <w:pStyle w:val="357"/>
              <w:rPr>
                <w:szCs w:val="21"/>
                <w:lang w:eastAsia="zh-CN"/>
              </w:rPr>
            </w:pPr>
          </w:p>
        </w:tc>
        <w:tc>
          <w:tcPr>
            <w:tcW w:w="675" w:type="dxa"/>
            <w:vMerge w:val="restart"/>
            <w:tcBorders>
              <w:left w:val="single" w:color="auto" w:sz="4" w:space="0"/>
              <w:right w:val="single" w:color="auto" w:sz="4" w:space="0"/>
            </w:tcBorders>
            <w:vAlign w:val="center"/>
          </w:tcPr>
          <w:p w14:paraId="2E60D51E">
            <w:pPr>
              <w:pStyle w:val="357"/>
              <w:rPr>
                <w:szCs w:val="21"/>
                <w:lang w:eastAsia="zh-CN"/>
              </w:rPr>
            </w:pPr>
            <w:r>
              <w:rPr>
                <w:szCs w:val="21"/>
              </w:rPr>
              <w:t>标准化蛋鸡养殖区</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32581179">
            <w:pPr>
              <w:pStyle w:val="357"/>
              <w:rPr>
                <w:szCs w:val="21"/>
                <w:lang w:eastAsia="zh-CN"/>
              </w:rPr>
            </w:pPr>
            <w:r>
              <w:rPr>
                <w:szCs w:val="21"/>
                <w:lang w:eastAsia="zh-CN"/>
              </w:rPr>
              <w:t>蛋鸡</w:t>
            </w:r>
            <w:r>
              <w:rPr>
                <w:szCs w:val="21"/>
              </w:rPr>
              <w:t>舍</w:t>
            </w:r>
            <w:r>
              <w:rPr>
                <w:szCs w:val="21"/>
                <w:lang w:eastAsia="zh-CN"/>
              </w:rPr>
              <w:t>×9</w:t>
            </w:r>
          </w:p>
        </w:tc>
        <w:tc>
          <w:tcPr>
            <w:tcW w:w="5103" w:type="dxa"/>
            <w:vMerge w:val="restart"/>
            <w:tcBorders>
              <w:top w:val="single" w:color="auto" w:sz="4" w:space="0"/>
              <w:left w:val="single" w:color="auto" w:sz="4" w:space="0"/>
              <w:right w:val="single" w:color="auto" w:sz="4" w:space="0"/>
            </w:tcBorders>
            <w:vAlign w:val="center"/>
          </w:tcPr>
          <w:p w14:paraId="415258A3">
            <w:pPr>
              <w:pStyle w:val="357"/>
              <w:rPr>
                <w:szCs w:val="21"/>
                <w:lang w:eastAsia="zh-CN"/>
              </w:rPr>
            </w:pPr>
            <w:r>
              <w:rPr>
                <w:rFonts w:hint="eastAsia"/>
                <w:szCs w:val="21"/>
                <w:lang w:eastAsia="zh-CN"/>
              </w:rPr>
              <w:t>新建存栏90 万只的标准化蛋鸡养殖小区3 个，每个小区3栋蛋鸡鸡舍，自动化蛋鸡舍建设面积共计</w:t>
            </w:r>
            <w:r>
              <w:rPr>
                <w:szCs w:val="21"/>
                <w:lang w:eastAsia="zh-CN"/>
              </w:rPr>
              <w:t>50266.39</w:t>
            </w:r>
            <w:r>
              <w:rPr>
                <w:rFonts w:hint="eastAsia"/>
                <w:szCs w:val="21"/>
                <w:lang w:eastAsia="zh-CN"/>
              </w:rPr>
              <w:t>m</w:t>
            </w:r>
            <w:r>
              <w:rPr>
                <w:rFonts w:hint="eastAsia"/>
                <w:szCs w:val="21"/>
                <w:vertAlign w:val="superscript"/>
                <w:lang w:eastAsia="zh-CN"/>
              </w:rPr>
              <w:t>2</w:t>
            </w:r>
            <w:r>
              <w:rPr>
                <w:rFonts w:hint="eastAsia"/>
                <w:szCs w:val="21"/>
                <w:lang w:eastAsia="zh-CN"/>
              </w:rPr>
              <w:t>，综合用房</w:t>
            </w:r>
            <w:r>
              <w:rPr>
                <w:szCs w:val="21"/>
                <w:lang w:eastAsia="zh-CN"/>
              </w:rPr>
              <w:t>791.86</w:t>
            </w:r>
            <w:r>
              <w:rPr>
                <w:rFonts w:hint="eastAsia"/>
                <w:szCs w:val="21"/>
                <w:lang w:eastAsia="zh-CN"/>
              </w:rPr>
              <w:t>m</w:t>
            </w:r>
            <w:r>
              <w:rPr>
                <w:rFonts w:hint="eastAsia"/>
                <w:szCs w:val="21"/>
                <w:vertAlign w:val="superscript"/>
                <w:lang w:eastAsia="zh-CN"/>
              </w:rPr>
              <w:t>2</w:t>
            </w:r>
            <w:r>
              <w:rPr>
                <w:rFonts w:hint="eastAsia"/>
                <w:szCs w:val="21"/>
                <w:lang w:eastAsia="zh-CN"/>
              </w:rPr>
              <w:t>，发电机房</w:t>
            </w:r>
            <w:r>
              <w:rPr>
                <w:szCs w:val="21"/>
                <w:lang w:eastAsia="zh-CN"/>
              </w:rPr>
              <w:t>95.53</w:t>
            </w:r>
            <w:r>
              <w:rPr>
                <w:rFonts w:hint="eastAsia"/>
                <w:szCs w:val="21"/>
                <w:lang w:eastAsia="zh-CN"/>
              </w:rPr>
              <w:t xml:space="preserve"> m</w:t>
            </w:r>
            <w:r>
              <w:rPr>
                <w:rFonts w:hint="eastAsia"/>
                <w:szCs w:val="21"/>
                <w:vertAlign w:val="superscript"/>
                <w:lang w:eastAsia="zh-CN"/>
              </w:rPr>
              <w:t>2</w:t>
            </w:r>
            <w:r>
              <w:rPr>
                <w:rFonts w:hint="eastAsia"/>
                <w:szCs w:val="21"/>
                <w:lang w:eastAsia="zh-CN"/>
              </w:rPr>
              <w:t>×3，解剖室</w:t>
            </w:r>
            <w:r>
              <w:rPr>
                <w:szCs w:val="21"/>
                <w:lang w:eastAsia="zh-CN"/>
              </w:rPr>
              <w:t>33.75</w:t>
            </w:r>
            <w:r>
              <w:rPr>
                <w:rFonts w:hint="eastAsia"/>
                <w:szCs w:val="21"/>
                <w:lang w:eastAsia="zh-CN"/>
              </w:rPr>
              <w:t>m</w:t>
            </w:r>
            <w:r>
              <w:rPr>
                <w:rFonts w:hint="eastAsia"/>
                <w:szCs w:val="21"/>
                <w:vertAlign w:val="superscript"/>
                <w:lang w:eastAsia="zh-CN"/>
              </w:rPr>
              <w:t>2</w:t>
            </w:r>
            <w:r>
              <w:rPr>
                <w:rFonts w:hint="eastAsia"/>
                <w:szCs w:val="21"/>
                <w:lang w:eastAsia="zh-CN"/>
              </w:rPr>
              <w:t>×3，并配套购置笼架系统、环控系统、上料系统、中央集蛋带系统、鸡蛋装托机、喷雾加湿系统和发电机等。</w:t>
            </w:r>
          </w:p>
        </w:tc>
        <w:tc>
          <w:tcPr>
            <w:tcW w:w="1666" w:type="dxa"/>
            <w:tcBorders>
              <w:top w:val="single" w:color="auto" w:sz="4" w:space="0"/>
              <w:left w:val="single" w:color="auto" w:sz="4" w:space="0"/>
              <w:right w:val="single" w:color="auto" w:sz="4" w:space="0"/>
            </w:tcBorders>
            <w:vAlign w:val="center"/>
          </w:tcPr>
          <w:p w14:paraId="2493E193">
            <w:pPr>
              <w:pStyle w:val="766"/>
              <w:rPr>
                <w:color w:val="auto"/>
              </w:rPr>
            </w:pPr>
            <w:r>
              <w:rPr>
                <w:rFonts w:hint="eastAsia"/>
                <w:color w:val="auto"/>
              </w:rPr>
              <w:t>蛋鸡饲养</w:t>
            </w:r>
          </w:p>
        </w:tc>
      </w:tr>
      <w:tr w14:paraId="2EF6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0699A4FE">
            <w:pPr>
              <w:pStyle w:val="357"/>
              <w:rPr>
                <w:szCs w:val="21"/>
                <w:lang w:eastAsia="zh-CN"/>
              </w:rPr>
            </w:pPr>
          </w:p>
        </w:tc>
        <w:tc>
          <w:tcPr>
            <w:tcW w:w="675" w:type="dxa"/>
            <w:vMerge w:val="continue"/>
            <w:tcBorders>
              <w:left w:val="single" w:color="auto" w:sz="4" w:space="0"/>
              <w:right w:val="single" w:color="auto" w:sz="4" w:space="0"/>
            </w:tcBorders>
            <w:vAlign w:val="center"/>
          </w:tcPr>
          <w:p w14:paraId="3613E361">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6302B03B">
            <w:pPr>
              <w:pStyle w:val="357"/>
              <w:rPr>
                <w:szCs w:val="21"/>
                <w:lang w:eastAsia="zh-CN"/>
              </w:rPr>
            </w:pPr>
            <w:r>
              <w:rPr>
                <w:szCs w:val="21"/>
                <w:lang w:eastAsia="zh-CN"/>
              </w:rPr>
              <w:t>综合用房1#</w:t>
            </w:r>
          </w:p>
        </w:tc>
        <w:tc>
          <w:tcPr>
            <w:tcW w:w="5103" w:type="dxa"/>
            <w:vMerge w:val="continue"/>
            <w:tcBorders>
              <w:left w:val="single" w:color="auto" w:sz="4" w:space="0"/>
              <w:right w:val="single" w:color="auto" w:sz="4" w:space="0"/>
            </w:tcBorders>
            <w:vAlign w:val="center"/>
          </w:tcPr>
          <w:p w14:paraId="7F3BB46D">
            <w:pPr>
              <w:pStyle w:val="357"/>
              <w:rPr>
                <w:szCs w:val="21"/>
                <w:lang w:eastAsia="zh-CN"/>
              </w:rPr>
            </w:pPr>
          </w:p>
        </w:tc>
        <w:tc>
          <w:tcPr>
            <w:tcW w:w="1666" w:type="dxa"/>
            <w:tcBorders>
              <w:left w:val="single" w:color="auto" w:sz="4" w:space="0"/>
              <w:right w:val="single" w:color="auto" w:sz="4" w:space="0"/>
            </w:tcBorders>
            <w:vAlign w:val="center"/>
          </w:tcPr>
          <w:p w14:paraId="143EBA1A">
            <w:pPr>
              <w:pStyle w:val="357"/>
              <w:rPr>
                <w:szCs w:val="21"/>
                <w:lang w:eastAsia="zh-CN"/>
              </w:rPr>
            </w:pPr>
            <w:r>
              <w:rPr>
                <w:rFonts w:hint="eastAsia"/>
                <w:szCs w:val="21"/>
                <w:lang w:eastAsia="zh-CN"/>
              </w:rPr>
              <w:t>办公、宿舍、洗浴更衣</w:t>
            </w:r>
          </w:p>
        </w:tc>
      </w:tr>
      <w:tr w14:paraId="1860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7A146962">
            <w:pPr>
              <w:pStyle w:val="357"/>
              <w:rPr>
                <w:szCs w:val="21"/>
                <w:lang w:eastAsia="zh-CN"/>
              </w:rPr>
            </w:pPr>
          </w:p>
        </w:tc>
        <w:tc>
          <w:tcPr>
            <w:tcW w:w="675" w:type="dxa"/>
            <w:vMerge w:val="continue"/>
            <w:tcBorders>
              <w:left w:val="single" w:color="auto" w:sz="4" w:space="0"/>
              <w:right w:val="single" w:color="auto" w:sz="4" w:space="0"/>
            </w:tcBorders>
            <w:vAlign w:val="center"/>
          </w:tcPr>
          <w:p w14:paraId="48836B62">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360FB218">
            <w:pPr>
              <w:pStyle w:val="357"/>
              <w:rPr>
                <w:szCs w:val="21"/>
                <w:lang w:eastAsia="zh-CN"/>
              </w:rPr>
            </w:pPr>
            <w:r>
              <w:rPr>
                <w:rFonts w:hint="eastAsia"/>
                <w:szCs w:val="21"/>
                <w:lang w:eastAsia="zh-CN"/>
              </w:rPr>
              <w:t>备用</w:t>
            </w:r>
            <w:r>
              <w:rPr>
                <w:szCs w:val="21"/>
                <w:lang w:eastAsia="zh-CN"/>
              </w:rPr>
              <w:t>发电机房×3</w:t>
            </w:r>
          </w:p>
        </w:tc>
        <w:tc>
          <w:tcPr>
            <w:tcW w:w="5103" w:type="dxa"/>
            <w:vMerge w:val="continue"/>
            <w:tcBorders>
              <w:left w:val="single" w:color="auto" w:sz="4" w:space="0"/>
              <w:right w:val="single" w:color="auto" w:sz="4" w:space="0"/>
            </w:tcBorders>
            <w:vAlign w:val="center"/>
          </w:tcPr>
          <w:p w14:paraId="29342603">
            <w:pPr>
              <w:pStyle w:val="357"/>
              <w:rPr>
                <w:szCs w:val="21"/>
                <w:lang w:eastAsia="zh-CN"/>
              </w:rPr>
            </w:pPr>
          </w:p>
        </w:tc>
        <w:tc>
          <w:tcPr>
            <w:tcW w:w="1666" w:type="dxa"/>
            <w:tcBorders>
              <w:left w:val="single" w:color="auto" w:sz="4" w:space="0"/>
              <w:right w:val="single" w:color="auto" w:sz="4" w:space="0"/>
            </w:tcBorders>
            <w:vAlign w:val="center"/>
          </w:tcPr>
          <w:p w14:paraId="174BEFE2">
            <w:pPr>
              <w:pStyle w:val="357"/>
              <w:rPr>
                <w:szCs w:val="21"/>
                <w:lang w:eastAsia="zh-CN"/>
              </w:rPr>
            </w:pPr>
            <w:r>
              <w:rPr>
                <w:rFonts w:hint="eastAsia"/>
                <w:szCs w:val="21"/>
                <w:lang w:eastAsia="zh-CN"/>
              </w:rPr>
              <w:t>备用发电机房，以防断电</w:t>
            </w:r>
          </w:p>
        </w:tc>
      </w:tr>
      <w:tr w14:paraId="27DE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0C86BCAB">
            <w:pPr>
              <w:pStyle w:val="357"/>
              <w:rPr>
                <w:szCs w:val="21"/>
                <w:lang w:eastAsia="zh-CN"/>
              </w:rPr>
            </w:pPr>
          </w:p>
        </w:tc>
        <w:tc>
          <w:tcPr>
            <w:tcW w:w="675" w:type="dxa"/>
            <w:vMerge w:val="continue"/>
            <w:tcBorders>
              <w:left w:val="single" w:color="auto" w:sz="4" w:space="0"/>
              <w:right w:val="single" w:color="auto" w:sz="4" w:space="0"/>
            </w:tcBorders>
            <w:vAlign w:val="center"/>
          </w:tcPr>
          <w:p w14:paraId="6875FF65">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0E1C625B">
            <w:pPr>
              <w:pStyle w:val="357"/>
              <w:rPr>
                <w:szCs w:val="21"/>
                <w:lang w:eastAsia="zh-CN"/>
              </w:rPr>
            </w:pPr>
            <w:r>
              <w:rPr>
                <w:szCs w:val="21"/>
                <w:lang w:eastAsia="zh-CN"/>
              </w:rPr>
              <w:t>解剖室×3</w:t>
            </w:r>
          </w:p>
        </w:tc>
        <w:tc>
          <w:tcPr>
            <w:tcW w:w="5103" w:type="dxa"/>
            <w:vMerge w:val="continue"/>
            <w:tcBorders>
              <w:left w:val="single" w:color="auto" w:sz="4" w:space="0"/>
              <w:right w:val="single" w:color="auto" w:sz="4" w:space="0"/>
            </w:tcBorders>
            <w:vAlign w:val="center"/>
          </w:tcPr>
          <w:p w14:paraId="4DAA87C8">
            <w:pPr>
              <w:pStyle w:val="357"/>
              <w:rPr>
                <w:szCs w:val="21"/>
                <w:lang w:eastAsia="zh-CN"/>
              </w:rPr>
            </w:pPr>
          </w:p>
        </w:tc>
        <w:tc>
          <w:tcPr>
            <w:tcW w:w="1666" w:type="dxa"/>
            <w:tcBorders>
              <w:left w:val="single" w:color="auto" w:sz="4" w:space="0"/>
              <w:right w:val="single" w:color="auto" w:sz="4" w:space="0"/>
            </w:tcBorders>
            <w:vAlign w:val="center"/>
          </w:tcPr>
          <w:p w14:paraId="2575EEE0">
            <w:pPr>
              <w:pStyle w:val="357"/>
              <w:rPr>
                <w:szCs w:val="21"/>
                <w:lang w:eastAsia="zh-CN"/>
              </w:rPr>
            </w:pPr>
            <w:r>
              <w:rPr>
                <w:rFonts w:hint="eastAsia"/>
                <w:szCs w:val="21"/>
                <w:lang w:eastAsia="zh-CN"/>
              </w:rPr>
              <w:t>用于解剖检查病死鸡</w:t>
            </w:r>
          </w:p>
        </w:tc>
      </w:tr>
      <w:tr w14:paraId="32B7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1882EB48">
            <w:pPr>
              <w:pStyle w:val="357"/>
              <w:rPr>
                <w:szCs w:val="21"/>
                <w:lang w:eastAsia="zh-CN"/>
              </w:rPr>
            </w:pPr>
          </w:p>
        </w:tc>
        <w:tc>
          <w:tcPr>
            <w:tcW w:w="675" w:type="dxa"/>
            <w:vMerge w:val="restart"/>
            <w:tcBorders>
              <w:left w:val="single" w:color="auto" w:sz="4" w:space="0"/>
              <w:right w:val="single" w:color="auto" w:sz="4" w:space="0"/>
            </w:tcBorders>
            <w:vAlign w:val="center"/>
          </w:tcPr>
          <w:p w14:paraId="52691DD3">
            <w:pPr>
              <w:pStyle w:val="357"/>
              <w:rPr>
                <w:szCs w:val="21"/>
                <w:lang w:eastAsia="zh-CN"/>
              </w:rPr>
            </w:pPr>
            <w:r>
              <w:rPr>
                <w:szCs w:val="21"/>
                <w:lang w:eastAsia="zh-CN"/>
              </w:rPr>
              <w:t>饲料加工</w:t>
            </w:r>
            <w:r>
              <w:rPr>
                <w:rFonts w:hint="eastAsia"/>
                <w:szCs w:val="21"/>
                <w:lang w:eastAsia="zh-CN"/>
              </w:rPr>
              <w:t>区</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3C966D63">
            <w:pPr>
              <w:pStyle w:val="357"/>
              <w:rPr>
                <w:szCs w:val="21"/>
                <w:lang w:eastAsia="zh-CN"/>
              </w:rPr>
            </w:pPr>
            <w:r>
              <w:rPr>
                <w:rFonts w:hint="eastAsia"/>
                <w:szCs w:val="21"/>
                <w:lang w:eastAsia="zh-CN"/>
              </w:rPr>
              <w:t>原料</w:t>
            </w:r>
            <w:r>
              <w:rPr>
                <w:szCs w:val="21"/>
                <w:lang w:eastAsia="zh-CN"/>
              </w:rPr>
              <w:t>车间</w:t>
            </w:r>
          </w:p>
        </w:tc>
        <w:tc>
          <w:tcPr>
            <w:tcW w:w="5103" w:type="dxa"/>
            <w:vMerge w:val="restart"/>
            <w:tcBorders>
              <w:left w:val="single" w:color="auto" w:sz="4" w:space="0"/>
              <w:right w:val="single" w:color="auto" w:sz="4" w:space="0"/>
            </w:tcBorders>
            <w:vAlign w:val="center"/>
          </w:tcPr>
          <w:p w14:paraId="35C40910">
            <w:pPr>
              <w:pStyle w:val="357"/>
              <w:rPr>
                <w:szCs w:val="21"/>
                <w:lang w:eastAsia="zh-CN"/>
              </w:rPr>
            </w:pPr>
            <w:r>
              <w:rPr>
                <w:rFonts w:hint="eastAsia"/>
                <w:szCs w:val="21"/>
                <w:lang w:eastAsia="zh-CN"/>
              </w:rPr>
              <w:t>原料车间建筑面积</w:t>
            </w:r>
            <w:r>
              <w:rPr>
                <w:szCs w:val="21"/>
                <w:lang w:eastAsia="zh-CN"/>
              </w:rPr>
              <w:t>2655.01</w:t>
            </w:r>
            <w:r>
              <w:rPr>
                <w:rFonts w:hint="eastAsia"/>
                <w:szCs w:val="21"/>
                <w:lang w:eastAsia="zh-CN"/>
              </w:rPr>
              <w:t>m</w:t>
            </w:r>
            <w:r>
              <w:rPr>
                <w:rFonts w:hint="eastAsia"/>
                <w:szCs w:val="21"/>
                <w:vertAlign w:val="superscript"/>
                <w:lang w:eastAsia="zh-CN"/>
              </w:rPr>
              <w:t>2</w:t>
            </w:r>
            <w:r>
              <w:rPr>
                <w:rFonts w:hint="eastAsia"/>
                <w:szCs w:val="21"/>
                <w:lang w:eastAsia="zh-CN"/>
              </w:rPr>
              <w:t>，筒仓直径</w:t>
            </w:r>
            <w:r>
              <w:rPr>
                <w:szCs w:val="21"/>
                <w:lang w:eastAsia="zh-CN"/>
              </w:rPr>
              <w:t>10</w:t>
            </w:r>
            <w:r>
              <w:rPr>
                <w:rFonts w:hint="eastAsia"/>
                <w:szCs w:val="21"/>
                <w:lang w:eastAsia="zh-CN"/>
              </w:rPr>
              <w:t>m。卸粮棚建筑面积</w:t>
            </w:r>
            <w:r>
              <w:rPr>
                <w:szCs w:val="21"/>
                <w:lang w:eastAsia="zh-CN"/>
              </w:rPr>
              <w:t>190.84</w:t>
            </w:r>
            <w:r>
              <w:rPr>
                <w:rFonts w:hint="eastAsia"/>
                <w:szCs w:val="21"/>
                <w:lang w:eastAsia="zh-CN"/>
              </w:rPr>
              <w:t>m</w:t>
            </w:r>
            <w:r>
              <w:rPr>
                <w:rFonts w:hint="eastAsia"/>
                <w:szCs w:val="21"/>
                <w:vertAlign w:val="superscript"/>
                <w:lang w:eastAsia="zh-CN"/>
              </w:rPr>
              <w:t>2</w:t>
            </w:r>
            <w:r>
              <w:rPr>
                <w:rFonts w:hint="eastAsia"/>
                <w:szCs w:val="21"/>
                <w:lang w:eastAsia="zh-CN"/>
              </w:rPr>
              <w:t>，消毒池建筑面积</w:t>
            </w:r>
            <w:r>
              <w:rPr>
                <w:szCs w:val="21"/>
                <w:lang w:eastAsia="zh-CN"/>
              </w:rPr>
              <w:t>100</w:t>
            </w:r>
            <w:r>
              <w:rPr>
                <w:rFonts w:hint="eastAsia"/>
                <w:szCs w:val="21"/>
                <w:lang w:eastAsia="zh-CN"/>
              </w:rPr>
              <w:t>m</w:t>
            </w:r>
            <w:r>
              <w:rPr>
                <w:rFonts w:hint="eastAsia"/>
                <w:szCs w:val="21"/>
                <w:vertAlign w:val="superscript"/>
                <w:lang w:eastAsia="zh-CN"/>
              </w:rPr>
              <w:t>2</w:t>
            </w:r>
            <w:r>
              <w:rPr>
                <w:rFonts w:hint="eastAsia"/>
                <w:szCs w:val="21"/>
                <w:lang w:eastAsia="zh-CN"/>
              </w:rPr>
              <w:t>，配套用房建筑面积</w:t>
            </w:r>
            <w:r>
              <w:rPr>
                <w:szCs w:val="21"/>
                <w:lang w:eastAsia="zh-CN"/>
              </w:rPr>
              <w:t>318.5</w:t>
            </w:r>
            <w:r>
              <w:rPr>
                <w:rFonts w:hint="eastAsia"/>
                <w:szCs w:val="21"/>
                <w:lang w:eastAsia="zh-CN"/>
              </w:rPr>
              <w:t>m</w:t>
            </w:r>
            <w:r>
              <w:rPr>
                <w:rFonts w:hint="eastAsia"/>
                <w:szCs w:val="21"/>
                <w:vertAlign w:val="superscript"/>
                <w:lang w:eastAsia="zh-CN"/>
              </w:rPr>
              <w:t>2</w:t>
            </w:r>
            <w:r>
              <w:rPr>
                <w:rFonts w:hint="eastAsia"/>
                <w:szCs w:val="21"/>
                <w:lang w:eastAsia="zh-CN"/>
              </w:rPr>
              <w:t>，饲料加工的主车间占地面积</w:t>
            </w:r>
            <w:r>
              <w:rPr>
                <w:szCs w:val="21"/>
                <w:lang w:eastAsia="zh-CN"/>
              </w:rPr>
              <w:t>34</w:t>
            </w:r>
            <w:r>
              <w:rPr>
                <w:rFonts w:hint="eastAsia"/>
                <w:szCs w:val="21"/>
                <w:lang w:eastAsia="zh-CN"/>
              </w:rPr>
              <w:t>0</w:t>
            </w:r>
            <w:r>
              <w:rPr>
                <w:szCs w:val="21"/>
                <w:lang w:eastAsia="zh-CN"/>
              </w:rPr>
              <w:t>.54</w:t>
            </w:r>
            <w:r>
              <w:rPr>
                <w:rFonts w:hint="eastAsia"/>
                <w:szCs w:val="21"/>
                <w:lang w:eastAsia="zh-CN"/>
              </w:rPr>
              <w:t>m</w:t>
            </w:r>
            <w:r>
              <w:rPr>
                <w:rFonts w:hint="eastAsia"/>
                <w:szCs w:val="21"/>
                <w:vertAlign w:val="superscript"/>
                <w:lang w:eastAsia="zh-CN"/>
              </w:rPr>
              <w:t>2</w:t>
            </w:r>
            <w:r>
              <w:rPr>
                <w:rFonts w:hint="eastAsia"/>
                <w:szCs w:val="21"/>
                <w:lang w:eastAsia="zh-CN"/>
              </w:rPr>
              <w:t>。</w:t>
            </w:r>
          </w:p>
        </w:tc>
        <w:tc>
          <w:tcPr>
            <w:tcW w:w="1666" w:type="dxa"/>
            <w:tcBorders>
              <w:top w:val="single" w:color="auto" w:sz="4" w:space="0"/>
              <w:left w:val="single" w:color="auto" w:sz="4" w:space="0"/>
              <w:right w:val="single" w:color="auto" w:sz="4" w:space="0"/>
            </w:tcBorders>
            <w:vAlign w:val="center"/>
          </w:tcPr>
          <w:p w14:paraId="05AF0210">
            <w:pPr>
              <w:pStyle w:val="357"/>
              <w:rPr>
                <w:szCs w:val="21"/>
                <w:lang w:eastAsia="zh-CN"/>
              </w:rPr>
            </w:pPr>
            <w:r>
              <w:rPr>
                <w:rFonts w:hint="eastAsia"/>
                <w:szCs w:val="21"/>
                <w:lang w:eastAsia="zh-CN"/>
              </w:rPr>
              <w:t>原料暂存车间</w:t>
            </w:r>
          </w:p>
        </w:tc>
      </w:tr>
      <w:tr w14:paraId="5955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02F815FD">
            <w:pPr>
              <w:pStyle w:val="357"/>
              <w:rPr>
                <w:szCs w:val="21"/>
                <w:lang w:eastAsia="zh-CN"/>
              </w:rPr>
            </w:pPr>
          </w:p>
        </w:tc>
        <w:tc>
          <w:tcPr>
            <w:tcW w:w="675" w:type="dxa"/>
            <w:vMerge w:val="continue"/>
            <w:tcBorders>
              <w:left w:val="single" w:color="auto" w:sz="4" w:space="0"/>
              <w:right w:val="single" w:color="auto" w:sz="4" w:space="0"/>
            </w:tcBorders>
            <w:vAlign w:val="center"/>
          </w:tcPr>
          <w:p w14:paraId="486A2AFA">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587CBBBD">
            <w:pPr>
              <w:pStyle w:val="357"/>
              <w:rPr>
                <w:szCs w:val="21"/>
                <w:lang w:eastAsia="zh-CN"/>
              </w:rPr>
            </w:pPr>
            <w:r>
              <w:rPr>
                <w:szCs w:val="21"/>
                <w:lang w:eastAsia="zh-CN"/>
              </w:rPr>
              <w:t>筒仓×3</w:t>
            </w:r>
          </w:p>
        </w:tc>
        <w:tc>
          <w:tcPr>
            <w:tcW w:w="5103" w:type="dxa"/>
            <w:vMerge w:val="continue"/>
            <w:tcBorders>
              <w:left w:val="single" w:color="auto" w:sz="4" w:space="0"/>
              <w:right w:val="single" w:color="auto" w:sz="4" w:space="0"/>
            </w:tcBorders>
            <w:vAlign w:val="center"/>
          </w:tcPr>
          <w:p w14:paraId="585F840A">
            <w:pPr>
              <w:pStyle w:val="357"/>
              <w:rPr>
                <w:szCs w:val="21"/>
                <w:lang w:eastAsia="zh-CN"/>
              </w:rPr>
            </w:pPr>
          </w:p>
        </w:tc>
        <w:tc>
          <w:tcPr>
            <w:tcW w:w="1666" w:type="dxa"/>
            <w:tcBorders>
              <w:left w:val="single" w:color="auto" w:sz="4" w:space="0"/>
              <w:right w:val="single" w:color="auto" w:sz="4" w:space="0"/>
            </w:tcBorders>
            <w:vAlign w:val="center"/>
          </w:tcPr>
          <w:p w14:paraId="59DBCD53">
            <w:pPr>
              <w:pStyle w:val="357"/>
              <w:rPr>
                <w:szCs w:val="21"/>
                <w:lang w:eastAsia="zh-CN"/>
              </w:rPr>
            </w:pPr>
            <w:r>
              <w:rPr>
                <w:rFonts w:hint="eastAsia"/>
                <w:szCs w:val="21"/>
                <w:lang w:eastAsia="zh-CN"/>
              </w:rPr>
              <w:t>2</w:t>
            </w:r>
            <w:r>
              <w:rPr>
                <w:szCs w:val="21"/>
                <w:lang w:eastAsia="zh-CN"/>
              </w:rPr>
              <w:t>1.31</w:t>
            </w:r>
            <w:r>
              <w:rPr>
                <w:rFonts w:hint="eastAsia"/>
                <w:szCs w:val="21"/>
                <w:lang w:eastAsia="zh-CN"/>
              </w:rPr>
              <w:t>m高</w:t>
            </w:r>
          </w:p>
        </w:tc>
      </w:tr>
      <w:tr w14:paraId="7C0A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49BCC4E0">
            <w:pPr>
              <w:pStyle w:val="357"/>
              <w:rPr>
                <w:szCs w:val="21"/>
                <w:lang w:eastAsia="zh-CN"/>
              </w:rPr>
            </w:pPr>
          </w:p>
        </w:tc>
        <w:tc>
          <w:tcPr>
            <w:tcW w:w="675" w:type="dxa"/>
            <w:vMerge w:val="continue"/>
            <w:tcBorders>
              <w:left w:val="single" w:color="auto" w:sz="4" w:space="0"/>
              <w:right w:val="single" w:color="auto" w:sz="4" w:space="0"/>
            </w:tcBorders>
            <w:vAlign w:val="center"/>
          </w:tcPr>
          <w:p w14:paraId="490453E6">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5C4586D0">
            <w:pPr>
              <w:pStyle w:val="357"/>
              <w:rPr>
                <w:szCs w:val="21"/>
                <w:lang w:eastAsia="zh-CN"/>
              </w:rPr>
            </w:pPr>
            <w:r>
              <w:rPr>
                <w:szCs w:val="21"/>
                <w:lang w:eastAsia="zh-CN"/>
              </w:rPr>
              <w:t>卸</w:t>
            </w:r>
            <w:r>
              <w:rPr>
                <w:rFonts w:hint="eastAsia"/>
                <w:szCs w:val="21"/>
                <w:lang w:eastAsia="zh-CN"/>
              </w:rPr>
              <w:t>粮</w:t>
            </w:r>
            <w:r>
              <w:rPr>
                <w:szCs w:val="21"/>
                <w:lang w:eastAsia="zh-CN"/>
              </w:rPr>
              <w:t>棚</w:t>
            </w:r>
          </w:p>
        </w:tc>
        <w:tc>
          <w:tcPr>
            <w:tcW w:w="5103" w:type="dxa"/>
            <w:vMerge w:val="continue"/>
            <w:tcBorders>
              <w:left w:val="single" w:color="auto" w:sz="4" w:space="0"/>
              <w:right w:val="single" w:color="auto" w:sz="4" w:space="0"/>
            </w:tcBorders>
            <w:vAlign w:val="center"/>
          </w:tcPr>
          <w:p w14:paraId="313120F1">
            <w:pPr>
              <w:pStyle w:val="357"/>
              <w:rPr>
                <w:szCs w:val="21"/>
                <w:lang w:eastAsia="zh-CN"/>
              </w:rPr>
            </w:pPr>
          </w:p>
        </w:tc>
        <w:tc>
          <w:tcPr>
            <w:tcW w:w="1666" w:type="dxa"/>
            <w:tcBorders>
              <w:left w:val="single" w:color="auto" w:sz="4" w:space="0"/>
              <w:right w:val="single" w:color="auto" w:sz="4" w:space="0"/>
            </w:tcBorders>
            <w:vAlign w:val="center"/>
          </w:tcPr>
          <w:p w14:paraId="1E799F2D">
            <w:pPr>
              <w:pStyle w:val="357"/>
              <w:rPr>
                <w:szCs w:val="21"/>
                <w:lang w:eastAsia="zh-CN"/>
              </w:rPr>
            </w:pPr>
            <w:r>
              <w:rPr>
                <w:rFonts w:hint="eastAsia"/>
                <w:szCs w:val="21"/>
                <w:lang w:eastAsia="zh-CN"/>
              </w:rPr>
              <w:t>6</w:t>
            </w:r>
            <w:r>
              <w:rPr>
                <w:szCs w:val="21"/>
                <w:lang w:eastAsia="zh-CN"/>
              </w:rPr>
              <w:t>.3</w:t>
            </w:r>
            <w:r>
              <w:rPr>
                <w:rFonts w:hint="eastAsia"/>
                <w:szCs w:val="21"/>
                <w:lang w:eastAsia="zh-CN"/>
              </w:rPr>
              <w:t>m高</w:t>
            </w:r>
          </w:p>
        </w:tc>
      </w:tr>
      <w:tr w14:paraId="651E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6CF29B58">
            <w:pPr>
              <w:pStyle w:val="357"/>
              <w:rPr>
                <w:szCs w:val="21"/>
                <w:lang w:eastAsia="zh-CN"/>
              </w:rPr>
            </w:pPr>
          </w:p>
        </w:tc>
        <w:tc>
          <w:tcPr>
            <w:tcW w:w="675" w:type="dxa"/>
            <w:vMerge w:val="continue"/>
            <w:tcBorders>
              <w:left w:val="single" w:color="auto" w:sz="4" w:space="0"/>
              <w:right w:val="single" w:color="auto" w:sz="4" w:space="0"/>
            </w:tcBorders>
            <w:vAlign w:val="center"/>
          </w:tcPr>
          <w:p w14:paraId="61E0CED9">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32D83321">
            <w:pPr>
              <w:pStyle w:val="357"/>
              <w:rPr>
                <w:szCs w:val="21"/>
                <w:lang w:eastAsia="zh-CN"/>
              </w:rPr>
            </w:pPr>
            <w:r>
              <w:rPr>
                <w:rFonts w:hint="eastAsia"/>
                <w:szCs w:val="21"/>
                <w:lang w:eastAsia="zh-CN"/>
              </w:rPr>
              <w:t>消毒池</w:t>
            </w:r>
          </w:p>
        </w:tc>
        <w:tc>
          <w:tcPr>
            <w:tcW w:w="5103" w:type="dxa"/>
            <w:vMerge w:val="continue"/>
            <w:tcBorders>
              <w:left w:val="single" w:color="auto" w:sz="4" w:space="0"/>
              <w:right w:val="single" w:color="auto" w:sz="4" w:space="0"/>
            </w:tcBorders>
            <w:vAlign w:val="center"/>
          </w:tcPr>
          <w:p w14:paraId="299F279B">
            <w:pPr>
              <w:pStyle w:val="357"/>
              <w:rPr>
                <w:szCs w:val="21"/>
                <w:lang w:eastAsia="zh-CN"/>
              </w:rPr>
            </w:pPr>
          </w:p>
        </w:tc>
        <w:tc>
          <w:tcPr>
            <w:tcW w:w="1666" w:type="dxa"/>
            <w:tcBorders>
              <w:left w:val="single" w:color="auto" w:sz="4" w:space="0"/>
              <w:right w:val="single" w:color="auto" w:sz="4" w:space="0"/>
            </w:tcBorders>
            <w:vAlign w:val="center"/>
          </w:tcPr>
          <w:p w14:paraId="59FFFBD3">
            <w:pPr>
              <w:pStyle w:val="357"/>
              <w:rPr>
                <w:szCs w:val="21"/>
                <w:lang w:eastAsia="zh-CN"/>
              </w:rPr>
            </w:pPr>
            <w:r>
              <w:rPr>
                <w:rFonts w:hint="eastAsia"/>
                <w:szCs w:val="21"/>
                <w:lang w:eastAsia="zh-CN"/>
              </w:rPr>
              <w:t>/</w:t>
            </w:r>
          </w:p>
        </w:tc>
      </w:tr>
      <w:tr w14:paraId="0B72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0590C849">
            <w:pPr>
              <w:pStyle w:val="357"/>
              <w:rPr>
                <w:szCs w:val="21"/>
                <w:lang w:eastAsia="zh-CN"/>
              </w:rPr>
            </w:pPr>
          </w:p>
        </w:tc>
        <w:tc>
          <w:tcPr>
            <w:tcW w:w="675" w:type="dxa"/>
            <w:vMerge w:val="continue"/>
            <w:tcBorders>
              <w:left w:val="single" w:color="auto" w:sz="4" w:space="0"/>
              <w:right w:val="single" w:color="auto" w:sz="4" w:space="0"/>
            </w:tcBorders>
            <w:vAlign w:val="center"/>
          </w:tcPr>
          <w:p w14:paraId="7C974D20">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766B5B5C">
            <w:pPr>
              <w:pStyle w:val="357"/>
              <w:rPr>
                <w:szCs w:val="21"/>
                <w:lang w:eastAsia="zh-CN"/>
              </w:rPr>
            </w:pPr>
            <w:r>
              <w:rPr>
                <w:rFonts w:hint="eastAsia"/>
                <w:szCs w:val="21"/>
                <w:lang w:eastAsia="zh-CN"/>
              </w:rPr>
              <w:t>配套</w:t>
            </w:r>
            <w:r>
              <w:rPr>
                <w:szCs w:val="21"/>
                <w:lang w:eastAsia="zh-CN"/>
              </w:rPr>
              <w:t>用房</w:t>
            </w:r>
          </w:p>
        </w:tc>
        <w:tc>
          <w:tcPr>
            <w:tcW w:w="5103" w:type="dxa"/>
            <w:vMerge w:val="continue"/>
            <w:tcBorders>
              <w:left w:val="single" w:color="auto" w:sz="4" w:space="0"/>
              <w:right w:val="single" w:color="auto" w:sz="4" w:space="0"/>
            </w:tcBorders>
            <w:vAlign w:val="center"/>
          </w:tcPr>
          <w:p w14:paraId="78D5234B">
            <w:pPr>
              <w:pStyle w:val="357"/>
              <w:rPr>
                <w:szCs w:val="21"/>
                <w:lang w:eastAsia="zh-CN"/>
              </w:rPr>
            </w:pPr>
          </w:p>
        </w:tc>
        <w:tc>
          <w:tcPr>
            <w:tcW w:w="1666" w:type="dxa"/>
            <w:tcBorders>
              <w:left w:val="single" w:color="auto" w:sz="4" w:space="0"/>
              <w:right w:val="single" w:color="auto" w:sz="4" w:space="0"/>
            </w:tcBorders>
            <w:vAlign w:val="center"/>
          </w:tcPr>
          <w:p w14:paraId="45D68317">
            <w:pPr>
              <w:pStyle w:val="357"/>
              <w:rPr>
                <w:szCs w:val="21"/>
                <w:lang w:eastAsia="zh-CN"/>
              </w:rPr>
            </w:pPr>
            <w:r>
              <w:rPr>
                <w:rFonts w:hint="eastAsia"/>
                <w:szCs w:val="21"/>
                <w:lang w:eastAsia="zh-CN"/>
              </w:rPr>
              <w:t>/</w:t>
            </w:r>
          </w:p>
        </w:tc>
      </w:tr>
      <w:tr w14:paraId="08C9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550B25E5">
            <w:pPr>
              <w:pStyle w:val="357"/>
              <w:rPr>
                <w:szCs w:val="21"/>
                <w:lang w:eastAsia="zh-CN"/>
              </w:rPr>
            </w:pPr>
          </w:p>
        </w:tc>
        <w:tc>
          <w:tcPr>
            <w:tcW w:w="675" w:type="dxa"/>
            <w:vMerge w:val="continue"/>
            <w:tcBorders>
              <w:left w:val="single" w:color="auto" w:sz="4" w:space="0"/>
              <w:right w:val="single" w:color="auto" w:sz="4" w:space="0"/>
            </w:tcBorders>
            <w:vAlign w:val="center"/>
          </w:tcPr>
          <w:p w14:paraId="618610EC">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57299D7C">
            <w:pPr>
              <w:pStyle w:val="357"/>
              <w:rPr>
                <w:szCs w:val="21"/>
                <w:lang w:eastAsia="zh-CN"/>
              </w:rPr>
            </w:pPr>
            <w:r>
              <w:rPr>
                <w:szCs w:val="21"/>
                <w:lang w:eastAsia="zh-CN"/>
              </w:rPr>
              <w:t>主车间</w:t>
            </w:r>
          </w:p>
        </w:tc>
        <w:tc>
          <w:tcPr>
            <w:tcW w:w="5103" w:type="dxa"/>
            <w:vMerge w:val="continue"/>
            <w:tcBorders>
              <w:left w:val="single" w:color="auto" w:sz="4" w:space="0"/>
              <w:right w:val="single" w:color="auto" w:sz="4" w:space="0"/>
            </w:tcBorders>
            <w:vAlign w:val="center"/>
          </w:tcPr>
          <w:p w14:paraId="1C49CFCF">
            <w:pPr>
              <w:pStyle w:val="357"/>
              <w:rPr>
                <w:szCs w:val="21"/>
                <w:lang w:eastAsia="zh-CN"/>
              </w:rPr>
            </w:pPr>
          </w:p>
        </w:tc>
        <w:tc>
          <w:tcPr>
            <w:tcW w:w="1666" w:type="dxa"/>
            <w:tcBorders>
              <w:left w:val="single" w:color="auto" w:sz="4" w:space="0"/>
              <w:right w:val="single" w:color="auto" w:sz="4" w:space="0"/>
            </w:tcBorders>
            <w:vAlign w:val="center"/>
          </w:tcPr>
          <w:p w14:paraId="53892AE4">
            <w:pPr>
              <w:pStyle w:val="357"/>
              <w:rPr>
                <w:szCs w:val="21"/>
                <w:lang w:eastAsia="zh-CN"/>
              </w:rPr>
            </w:pPr>
            <w:r>
              <w:rPr>
                <w:rFonts w:hint="eastAsia"/>
                <w:szCs w:val="21"/>
                <w:lang w:eastAsia="zh-CN"/>
              </w:rPr>
              <w:t>共5层，3</w:t>
            </w:r>
            <w:r>
              <w:rPr>
                <w:szCs w:val="21"/>
                <w:lang w:eastAsia="zh-CN"/>
              </w:rPr>
              <w:t>5.3</w:t>
            </w:r>
            <w:r>
              <w:rPr>
                <w:rFonts w:hint="eastAsia"/>
                <w:szCs w:val="21"/>
                <w:lang w:eastAsia="zh-CN"/>
              </w:rPr>
              <w:t>m高，由粗粉碎系统、配比混合系统、计量包装系统、控制室、提升机和室内成品堆场构成</w:t>
            </w:r>
          </w:p>
        </w:tc>
      </w:tr>
      <w:tr w14:paraId="0D28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26" w:type="dxa"/>
            <w:vMerge w:val="continue"/>
            <w:tcBorders>
              <w:left w:val="single" w:color="auto" w:sz="4" w:space="0"/>
              <w:right w:val="single" w:color="auto" w:sz="4" w:space="0"/>
            </w:tcBorders>
            <w:vAlign w:val="center"/>
          </w:tcPr>
          <w:p w14:paraId="073EFB75">
            <w:pPr>
              <w:pStyle w:val="357"/>
              <w:rPr>
                <w:szCs w:val="21"/>
                <w:lang w:eastAsia="zh-CN"/>
              </w:rPr>
            </w:pPr>
          </w:p>
        </w:tc>
        <w:tc>
          <w:tcPr>
            <w:tcW w:w="675" w:type="dxa"/>
            <w:vMerge w:val="continue"/>
            <w:tcBorders>
              <w:left w:val="single" w:color="auto" w:sz="4" w:space="0"/>
              <w:right w:val="single" w:color="auto" w:sz="4" w:space="0"/>
            </w:tcBorders>
            <w:vAlign w:val="center"/>
          </w:tcPr>
          <w:p w14:paraId="1F4DD767">
            <w:pPr>
              <w:pStyle w:val="357"/>
              <w:rPr>
                <w:szCs w:val="21"/>
                <w:lang w:eastAsia="zh-CN"/>
              </w:rPr>
            </w:pPr>
          </w:p>
        </w:tc>
        <w:tc>
          <w:tcPr>
            <w:tcW w:w="1417" w:type="dxa"/>
            <w:gridSpan w:val="2"/>
            <w:tcBorders>
              <w:top w:val="single" w:color="auto" w:sz="4" w:space="0"/>
              <w:left w:val="single" w:color="auto" w:sz="4" w:space="0"/>
              <w:right w:val="single" w:color="auto" w:sz="4" w:space="0"/>
            </w:tcBorders>
            <w:vAlign w:val="center"/>
          </w:tcPr>
          <w:p w14:paraId="1B7B15F2">
            <w:pPr>
              <w:pStyle w:val="357"/>
              <w:rPr>
                <w:szCs w:val="21"/>
                <w:lang w:eastAsia="zh-CN"/>
              </w:rPr>
            </w:pPr>
            <w:r>
              <w:rPr>
                <w:szCs w:val="21"/>
                <w:lang w:eastAsia="zh-CN"/>
              </w:rPr>
              <w:t>成品库</w:t>
            </w:r>
          </w:p>
        </w:tc>
        <w:tc>
          <w:tcPr>
            <w:tcW w:w="5103" w:type="dxa"/>
            <w:tcBorders>
              <w:left w:val="single" w:color="auto" w:sz="4" w:space="0"/>
              <w:right w:val="single" w:color="auto" w:sz="4" w:space="0"/>
            </w:tcBorders>
            <w:vAlign w:val="center"/>
          </w:tcPr>
          <w:p w14:paraId="772D96B4">
            <w:pPr>
              <w:pStyle w:val="357"/>
              <w:rPr>
                <w:szCs w:val="21"/>
                <w:lang w:eastAsia="zh-CN"/>
              </w:rPr>
            </w:pPr>
            <w:r>
              <w:rPr>
                <w:rFonts w:hint="eastAsia"/>
                <w:szCs w:val="21"/>
                <w:lang w:eastAsia="zh-CN"/>
              </w:rPr>
              <w:t>成品库建筑面积</w:t>
            </w:r>
            <w:r>
              <w:rPr>
                <w:szCs w:val="21"/>
                <w:lang w:eastAsia="zh-CN"/>
              </w:rPr>
              <w:t>343.54</w:t>
            </w:r>
            <w:r>
              <w:rPr>
                <w:rFonts w:hint="eastAsia"/>
                <w:szCs w:val="21"/>
                <w:lang w:eastAsia="zh-CN"/>
              </w:rPr>
              <w:t>m</w:t>
            </w:r>
            <w:r>
              <w:rPr>
                <w:rFonts w:hint="eastAsia"/>
                <w:szCs w:val="21"/>
                <w:vertAlign w:val="superscript"/>
                <w:lang w:eastAsia="zh-CN"/>
              </w:rPr>
              <w:t>2</w:t>
            </w:r>
            <w:r>
              <w:rPr>
                <w:rFonts w:hint="eastAsia"/>
                <w:szCs w:val="21"/>
                <w:lang w:eastAsia="zh-CN"/>
              </w:rPr>
              <w:t>，用于暂存成品饲料。</w:t>
            </w:r>
          </w:p>
        </w:tc>
        <w:tc>
          <w:tcPr>
            <w:tcW w:w="1666" w:type="dxa"/>
            <w:tcBorders>
              <w:left w:val="single" w:color="auto" w:sz="4" w:space="0"/>
              <w:right w:val="single" w:color="auto" w:sz="4" w:space="0"/>
            </w:tcBorders>
            <w:vAlign w:val="center"/>
          </w:tcPr>
          <w:p w14:paraId="25DDCD24">
            <w:pPr>
              <w:pStyle w:val="357"/>
              <w:rPr>
                <w:szCs w:val="21"/>
                <w:lang w:eastAsia="zh-CN"/>
              </w:rPr>
            </w:pPr>
            <w:r>
              <w:rPr>
                <w:rFonts w:hint="eastAsia"/>
                <w:szCs w:val="21"/>
                <w:lang w:eastAsia="zh-CN"/>
              </w:rPr>
              <w:t>/</w:t>
            </w:r>
          </w:p>
        </w:tc>
      </w:tr>
      <w:tr w14:paraId="28BF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6D4E8805">
            <w:pPr>
              <w:pStyle w:val="357"/>
              <w:rPr>
                <w:szCs w:val="21"/>
                <w:lang w:eastAsia="zh-CN"/>
              </w:rPr>
            </w:pPr>
          </w:p>
        </w:tc>
        <w:tc>
          <w:tcPr>
            <w:tcW w:w="675" w:type="dxa"/>
            <w:tcBorders>
              <w:left w:val="single" w:color="auto" w:sz="4" w:space="0"/>
              <w:right w:val="single" w:color="auto" w:sz="4" w:space="0"/>
            </w:tcBorders>
            <w:vAlign w:val="center"/>
          </w:tcPr>
          <w:p w14:paraId="3179E53F">
            <w:pPr>
              <w:pStyle w:val="357"/>
              <w:rPr>
                <w:szCs w:val="21"/>
                <w:lang w:eastAsia="zh-CN"/>
              </w:rPr>
            </w:pPr>
            <w:r>
              <w:rPr>
                <w:szCs w:val="21"/>
                <w:lang w:eastAsia="zh-CN"/>
              </w:rPr>
              <w:t>蛋品加工中心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7014DEE8">
            <w:pPr>
              <w:pStyle w:val="357"/>
              <w:rPr>
                <w:szCs w:val="21"/>
                <w:lang w:eastAsia="zh-CN"/>
              </w:rPr>
            </w:pPr>
            <w:r>
              <w:rPr>
                <w:szCs w:val="21"/>
                <w:lang w:eastAsia="zh-CN"/>
              </w:rPr>
              <w:t>壳蛋加工车间</w:t>
            </w:r>
          </w:p>
        </w:tc>
        <w:tc>
          <w:tcPr>
            <w:tcW w:w="5103" w:type="dxa"/>
            <w:tcBorders>
              <w:left w:val="single" w:color="auto" w:sz="4" w:space="0"/>
              <w:right w:val="single" w:color="auto" w:sz="4" w:space="0"/>
            </w:tcBorders>
            <w:vAlign w:val="center"/>
          </w:tcPr>
          <w:p w14:paraId="09AE2FF5">
            <w:pPr>
              <w:pStyle w:val="357"/>
              <w:rPr>
                <w:szCs w:val="21"/>
                <w:lang w:eastAsia="zh-CN"/>
              </w:rPr>
            </w:pPr>
            <w:r>
              <w:rPr>
                <w:rFonts w:hint="eastAsia"/>
                <w:szCs w:val="21"/>
                <w:lang w:eastAsia="zh-CN"/>
              </w:rPr>
              <w:t>壳蛋加工车间建筑面积</w:t>
            </w:r>
            <w:r>
              <w:rPr>
                <w:szCs w:val="21"/>
                <w:lang w:eastAsia="zh-CN"/>
              </w:rPr>
              <w:t>7496.94</w:t>
            </w:r>
            <w:r>
              <w:rPr>
                <w:rFonts w:hint="eastAsia"/>
                <w:szCs w:val="21"/>
                <w:lang w:eastAsia="zh-CN"/>
              </w:rPr>
              <w:t>m</w:t>
            </w:r>
            <w:r>
              <w:rPr>
                <w:rFonts w:hint="eastAsia"/>
                <w:szCs w:val="21"/>
                <w:vertAlign w:val="superscript"/>
                <w:lang w:eastAsia="zh-CN"/>
              </w:rPr>
              <w:t>2</w:t>
            </w:r>
            <w:r>
              <w:rPr>
                <w:rFonts w:hint="eastAsia"/>
                <w:szCs w:val="21"/>
                <w:lang w:eastAsia="zh-CN"/>
              </w:rPr>
              <w:t>，并配套安装蛋品加工成套设备，对鸡蛋进行装盘、喷码、裹膜、装箱。</w:t>
            </w:r>
          </w:p>
        </w:tc>
        <w:tc>
          <w:tcPr>
            <w:tcW w:w="1666" w:type="dxa"/>
            <w:tcBorders>
              <w:left w:val="single" w:color="auto" w:sz="4" w:space="0"/>
              <w:right w:val="single" w:color="auto" w:sz="4" w:space="0"/>
            </w:tcBorders>
            <w:vAlign w:val="center"/>
          </w:tcPr>
          <w:p w14:paraId="4E736235">
            <w:pPr>
              <w:pStyle w:val="357"/>
              <w:rPr>
                <w:szCs w:val="21"/>
                <w:lang w:eastAsia="zh-CN"/>
              </w:rPr>
            </w:pPr>
            <w:r>
              <w:rPr>
                <w:rFonts w:hint="eastAsia"/>
                <w:szCs w:val="21"/>
                <w:lang w:eastAsia="zh-CN"/>
              </w:rPr>
              <w:t>鸡蛋加工</w:t>
            </w:r>
          </w:p>
        </w:tc>
      </w:tr>
      <w:tr w14:paraId="71CE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3B09A3C4">
            <w:pPr>
              <w:pStyle w:val="357"/>
              <w:rPr>
                <w:szCs w:val="21"/>
                <w:lang w:eastAsia="zh-CN"/>
              </w:rPr>
            </w:pPr>
          </w:p>
        </w:tc>
        <w:tc>
          <w:tcPr>
            <w:tcW w:w="2092" w:type="dxa"/>
            <w:gridSpan w:val="3"/>
            <w:tcBorders>
              <w:left w:val="single" w:color="auto" w:sz="4" w:space="0"/>
              <w:right w:val="single" w:color="auto" w:sz="4" w:space="0"/>
            </w:tcBorders>
            <w:vAlign w:val="center"/>
          </w:tcPr>
          <w:p w14:paraId="150F4DCC">
            <w:pPr>
              <w:pStyle w:val="357"/>
              <w:rPr>
                <w:szCs w:val="21"/>
                <w:lang w:eastAsia="zh-CN"/>
              </w:rPr>
            </w:pPr>
            <w:r>
              <w:rPr>
                <w:rStyle w:val="786"/>
                <w:rFonts w:hint="default" w:ascii="Times New Roman" w:hAnsi="Times New Roman" w:cs="Times New Roman"/>
                <w:color w:val="auto"/>
                <w:lang w:bidi="ar"/>
              </w:rPr>
              <w:t>有机肥加工车间</w:t>
            </w:r>
          </w:p>
        </w:tc>
        <w:tc>
          <w:tcPr>
            <w:tcW w:w="5103" w:type="dxa"/>
            <w:tcBorders>
              <w:left w:val="single" w:color="auto" w:sz="4" w:space="0"/>
              <w:right w:val="single" w:color="auto" w:sz="4" w:space="0"/>
            </w:tcBorders>
            <w:vAlign w:val="center"/>
          </w:tcPr>
          <w:p w14:paraId="15BD2453">
            <w:pPr>
              <w:pStyle w:val="357"/>
              <w:jc w:val="both"/>
              <w:rPr>
                <w:szCs w:val="21"/>
                <w:lang w:eastAsia="zh-CN"/>
              </w:rPr>
            </w:pPr>
            <w:r>
              <w:rPr>
                <w:rFonts w:hint="eastAsia"/>
                <w:szCs w:val="21"/>
                <w:lang w:eastAsia="zh-CN"/>
              </w:rPr>
              <w:t>有机肥加工车间</w:t>
            </w:r>
            <w:r>
              <w:rPr>
                <w:szCs w:val="21"/>
                <w:lang w:eastAsia="zh-CN"/>
              </w:rPr>
              <w:t>9300.89</w:t>
            </w:r>
            <w:r>
              <w:rPr>
                <w:rFonts w:hint="eastAsia"/>
                <w:szCs w:val="21"/>
                <w:lang w:eastAsia="zh-CN"/>
              </w:rPr>
              <w:t>m</w:t>
            </w:r>
            <w:r>
              <w:rPr>
                <w:rFonts w:hint="eastAsia"/>
                <w:szCs w:val="21"/>
                <w:vertAlign w:val="superscript"/>
                <w:lang w:eastAsia="zh-CN"/>
              </w:rPr>
              <w:t>2</w:t>
            </w:r>
            <w:r>
              <w:rPr>
                <w:rFonts w:hint="eastAsia"/>
                <w:szCs w:val="21"/>
                <w:lang w:eastAsia="zh-CN"/>
              </w:rPr>
              <w:t>。内部设置有机肥发酵加工生产线1条，安装有机肥加工生产设备，采用原料破碎、原料配比、发酵、粉碎、筛分、配料、混合、造粒、烘干、冷却、筛分、包装等工序进行生产。</w:t>
            </w:r>
            <w:r>
              <w:rPr>
                <w:rFonts w:hint="eastAsia"/>
                <w:lang w:eastAsia="zh-CN"/>
              </w:rPr>
              <w:t>有机肥加工车间安装负压收集系统对车间内废气进行收集后通过布袋除尘+生物除臭箱处理后通过15m高排气筒排放</w:t>
            </w:r>
          </w:p>
        </w:tc>
        <w:tc>
          <w:tcPr>
            <w:tcW w:w="1666" w:type="dxa"/>
            <w:tcBorders>
              <w:top w:val="single" w:color="auto" w:sz="4" w:space="0"/>
              <w:left w:val="single" w:color="auto" w:sz="4" w:space="0"/>
              <w:right w:val="single" w:color="auto" w:sz="4" w:space="0"/>
            </w:tcBorders>
            <w:vAlign w:val="center"/>
          </w:tcPr>
          <w:p w14:paraId="177A9F83">
            <w:pPr>
              <w:pStyle w:val="357"/>
              <w:rPr>
                <w:szCs w:val="21"/>
                <w:lang w:eastAsia="zh-CN"/>
              </w:rPr>
            </w:pPr>
            <w:r>
              <w:rPr>
                <w:rFonts w:hint="eastAsia"/>
                <w:szCs w:val="21"/>
                <w:lang w:eastAsia="zh-CN"/>
              </w:rPr>
              <w:t>用于处理鸡粪、饲料残渣、鸡毛、废水处理污泥发酵、制肥</w:t>
            </w:r>
          </w:p>
        </w:tc>
      </w:tr>
      <w:tr w14:paraId="5925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vMerge w:val="restart"/>
            <w:tcBorders>
              <w:left w:val="single" w:color="auto" w:sz="4" w:space="0"/>
              <w:right w:val="single" w:color="auto" w:sz="4" w:space="0"/>
            </w:tcBorders>
            <w:vAlign w:val="center"/>
          </w:tcPr>
          <w:p w14:paraId="3CB60599">
            <w:pPr>
              <w:pStyle w:val="357"/>
              <w:tabs>
                <w:tab w:val="left" w:pos="0"/>
              </w:tabs>
              <w:rPr>
                <w:szCs w:val="21"/>
                <w:lang w:eastAsia="zh-CN"/>
              </w:rPr>
            </w:pPr>
            <w:r>
              <w:rPr>
                <w:rFonts w:hint="eastAsia"/>
                <w:szCs w:val="21"/>
                <w:lang w:eastAsia="zh-CN"/>
              </w:rPr>
              <w:t>储运工程</w:t>
            </w:r>
          </w:p>
        </w:tc>
        <w:tc>
          <w:tcPr>
            <w:tcW w:w="2092" w:type="dxa"/>
            <w:gridSpan w:val="3"/>
            <w:tcBorders>
              <w:left w:val="single" w:color="auto" w:sz="4" w:space="0"/>
              <w:right w:val="single" w:color="auto" w:sz="4" w:space="0"/>
            </w:tcBorders>
            <w:vAlign w:val="center"/>
          </w:tcPr>
          <w:p w14:paraId="514AC359">
            <w:pPr>
              <w:pStyle w:val="357"/>
              <w:tabs>
                <w:tab w:val="left" w:pos="0"/>
              </w:tabs>
              <w:rPr>
                <w:rFonts w:ascii="宋体" w:hAnsi="宋体"/>
                <w:szCs w:val="21"/>
                <w:lang w:eastAsia="zh-CN" w:bidi="ar"/>
              </w:rPr>
            </w:pPr>
            <w:r>
              <w:rPr>
                <w:rStyle w:val="786"/>
                <w:rFonts w:hint="default" w:cs="Times New Roman"/>
                <w:color w:val="auto"/>
                <w:lang w:eastAsia="zh-CN" w:bidi="ar"/>
              </w:rPr>
              <w:t>储水池</w:t>
            </w:r>
          </w:p>
        </w:tc>
        <w:tc>
          <w:tcPr>
            <w:tcW w:w="5103" w:type="dxa"/>
            <w:tcBorders>
              <w:left w:val="single" w:color="auto" w:sz="4" w:space="0"/>
              <w:right w:val="single" w:color="auto" w:sz="4" w:space="0"/>
            </w:tcBorders>
            <w:vAlign w:val="center"/>
          </w:tcPr>
          <w:p w14:paraId="163D4790">
            <w:pPr>
              <w:pStyle w:val="357"/>
              <w:tabs>
                <w:tab w:val="left" w:pos="0"/>
              </w:tabs>
              <w:jc w:val="both"/>
              <w:rPr>
                <w:szCs w:val="21"/>
                <w:lang w:eastAsia="zh-CN"/>
              </w:rPr>
            </w:pPr>
            <w:r>
              <w:rPr>
                <w:rFonts w:hint="eastAsia"/>
                <w:szCs w:val="21"/>
                <w:lang w:eastAsia="zh-CN"/>
              </w:rPr>
              <w:t>新建储水池2座，钢筋混凝土结构，容积共10759m</w:t>
            </w:r>
            <w:r>
              <w:rPr>
                <w:rFonts w:hint="eastAsia"/>
                <w:szCs w:val="21"/>
                <w:vertAlign w:val="superscript"/>
                <w:lang w:eastAsia="zh-CN"/>
              </w:rPr>
              <w:t>3</w:t>
            </w:r>
            <w:r>
              <w:rPr>
                <w:rFonts w:hint="eastAsia"/>
                <w:szCs w:val="21"/>
                <w:lang w:eastAsia="zh-CN"/>
              </w:rPr>
              <w:t>，池体进行一般防渗处理，用于暂存污水处理站处理后中水。</w:t>
            </w:r>
          </w:p>
        </w:tc>
        <w:tc>
          <w:tcPr>
            <w:tcW w:w="1666" w:type="dxa"/>
            <w:tcBorders>
              <w:top w:val="single" w:color="auto" w:sz="4" w:space="0"/>
              <w:left w:val="single" w:color="auto" w:sz="4" w:space="0"/>
              <w:right w:val="single" w:color="auto" w:sz="4" w:space="0"/>
            </w:tcBorders>
            <w:vAlign w:val="center"/>
          </w:tcPr>
          <w:p w14:paraId="02348C84">
            <w:pPr>
              <w:pStyle w:val="357"/>
              <w:tabs>
                <w:tab w:val="left" w:pos="0"/>
              </w:tabs>
              <w:rPr>
                <w:szCs w:val="21"/>
                <w:lang w:eastAsia="zh-CN"/>
              </w:rPr>
            </w:pPr>
            <w:r>
              <w:rPr>
                <w:rFonts w:hint="eastAsia"/>
                <w:szCs w:val="21"/>
                <w:lang w:eastAsia="zh-CN"/>
              </w:rPr>
              <w:t>/</w:t>
            </w:r>
          </w:p>
        </w:tc>
      </w:tr>
      <w:tr w14:paraId="1305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vMerge w:val="continue"/>
            <w:tcBorders>
              <w:left w:val="single" w:color="auto" w:sz="4" w:space="0"/>
              <w:right w:val="single" w:color="auto" w:sz="4" w:space="0"/>
            </w:tcBorders>
            <w:vAlign w:val="center"/>
          </w:tcPr>
          <w:p w14:paraId="6133B88E">
            <w:pPr>
              <w:pStyle w:val="357"/>
              <w:tabs>
                <w:tab w:val="left" w:pos="0"/>
              </w:tabs>
              <w:rPr>
                <w:szCs w:val="21"/>
                <w:lang w:eastAsia="zh-CN"/>
              </w:rPr>
            </w:pPr>
          </w:p>
        </w:tc>
        <w:tc>
          <w:tcPr>
            <w:tcW w:w="2092" w:type="dxa"/>
            <w:gridSpan w:val="3"/>
            <w:tcBorders>
              <w:left w:val="single" w:color="auto" w:sz="4" w:space="0"/>
              <w:right w:val="single" w:color="auto" w:sz="4" w:space="0"/>
            </w:tcBorders>
            <w:vAlign w:val="center"/>
          </w:tcPr>
          <w:p w14:paraId="4EE53F2F">
            <w:pPr>
              <w:pStyle w:val="357"/>
              <w:tabs>
                <w:tab w:val="left" w:pos="0"/>
              </w:tabs>
              <w:rPr>
                <w:rFonts w:ascii="宋体" w:hAnsi="宋体"/>
                <w:szCs w:val="21"/>
                <w:lang w:eastAsia="zh-CN" w:bidi="ar"/>
              </w:rPr>
            </w:pPr>
            <w:r>
              <w:rPr>
                <w:rStyle w:val="786"/>
                <w:rFonts w:hint="default" w:cs="Times New Roman"/>
                <w:color w:val="auto"/>
                <w:lang w:eastAsia="zh-CN" w:bidi="ar"/>
              </w:rPr>
              <w:t>雨水收集池</w:t>
            </w:r>
          </w:p>
        </w:tc>
        <w:tc>
          <w:tcPr>
            <w:tcW w:w="5103" w:type="dxa"/>
            <w:tcBorders>
              <w:left w:val="single" w:color="auto" w:sz="4" w:space="0"/>
              <w:right w:val="single" w:color="auto" w:sz="4" w:space="0"/>
            </w:tcBorders>
            <w:vAlign w:val="center"/>
          </w:tcPr>
          <w:p w14:paraId="65463F7C">
            <w:pPr>
              <w:pStyle w:val="357"/>
              <w:tabs>
                <w:tab w:val="left" w:pos="0"/>
              </w:tabs>
              <w:jc w:val="both"/>
              <w:rPr>
                <w:szCs w:val="21"/>
                <w:lang w:eastAsia="zh-CN"/>
              </w:rPr>
            </w:pPr>
            <w:r>
              <w:rPr>
                <w:rFonts w:hint="eastAsia"/>
                <w:szCs w:val="21"/>
                <w:lang w:eastAsia="zh-CN"/>
              </w:rPr>
              <w:t>新建雨水收集池1座，钢筋混凝土结构，容积200m</w:t>
            </w:r>
            <w:r>
              <w:rPr>
                <w:rFonts w:hint="eastAsia"/>
                <w:szCs w:val="21"/>
                <w:vertAlign w:val="superscript"/>
                <w:lang w:eastAsia="zh-CN"/>
              </w:rPr>
              <w:t>3</w:t>
            </w:r>
            <w:r>
              <w:rPr>
                <w:rFonts w:hint="eastAsia"/>
                <w:szCs w:val="21"/>
                <w:lang w:eastAsia="zh-CN"/>
              </w:rPr>
              <w:t>，池体进行一般防渗处理，用于收集初期雨水。</w:t>
            </w:r>
          </w:p>
        </w:tc>
        <w:tc>
          <w:tcPr>
            <w:tcW w:w="1666" w:type="dxa"/>
            <w:tcBorders>
              <w:top w:val="single" w:color="auto" w:sz="4" w:space="0"/>
              <w:left w:val="single" w:color="auto" w:sz="4" w:space="0"/>
              <w:right w:val="single" w:color="auto" w:sz="4" w:space="0"/>
            </w:tcBorders>
            <w:vAlign w:val="center"/>
          </w:tcPr>
          <w:p w14:paraId="38A579EE">
            <w:pPr>
              <w:pStyle w:val="357"/>
              <w:tabs>
                <w:tab w:val="left" w:pos="0"/>
              </w:tabs>
              <w:rPr>
                <w:szCs w:val="21"/>
                <w:lang w:eastAsia="zh-CN"/>
              </w:rPr>
            </w:pPr>
            <w:r>
              <w:rPr>
                <w:rFonts w:hint="eastAsia"/>
                <w:szCs w:val="21"/>
                <w:lang w:eastAsia="zh-CN"/>
              </w:rPr>
              <w:t>/</w:t>
            </w:r>
          </w:p>
        </w:tc>
      </w:tr>
      <w:tr w14:paraId="122D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3CFDE2A8">
            <w:pPr>
              <w:pStyle w:val="357"/>
              <w:tabs>
                <w:tab w:val="left" w:pos="0"/>
              </w:tabs>
              <w:rPr>
                <w:szCs w:val="21"/>
                <w:lang w:eastAsia="zh-CN"/>
              </w:rPr>
            </w:pPr>
          </w:p>
        </w:tc>
        <w:tc>
          <w:tcPr>
            <w:tcW w:w="2092" w:type="dxa"/>
            <w:gridSpan w:val="3"/>
            <w:tcBorders>
              <w:left w:val="single" w:color="auto" w:sz="4" w:space="0"/>
              <w:right w:val="single" w:color="auto" w:sz="4" w:space="0"/>
            </w:tcBorders>
            <w:vAlign w:val="center"/>
          </w:tcPr>
          <w:p w14:paraId="012FC17E">
            <w:pPr>
              <w:pStyle w:val="357"/>
              <w:tabs>
                <w:tab w:val="left" w:pos="0"/>
              </w:tabs>
              <w:rPr>
                <w:rFonts w:ascii="宋体" w:hAnsi="宋体"/>
                <w:szCs w:val="21"/>
                <w:lang w:eastAsia="zh-CN" w:bidi="ar"/>
              </w:rPr>
            </w:pPr>
            <w:r>
              <w:rPr>
                <w:rStyle w:val="786"/>
                <w:rFonts w:hint="default" w:cs="Times New Roman"/>
                <w:color w:val="auto"/>
                <w:lang w:eastAsia="zh-CN" w:bidi="ar"/>
              </w:rPr>
              <w:t>应急水池</w:t>
            </w:r>
          </w:p>
        </w:tc>
        <w:tc>
          <w:tcPr>
            <w:tcW w:w="5103" w:type="dxa"/>
            <w:tcBorders>
              <w:left w:val="single" w:color="auto" w:sz="4" w:space="0"/>
              <w:right w:val="single" w:color="auto" w:sz="4" w:space="0"/>
            </w:tcBorders>
            <w:vAlign w:val="center"/>
          </w:tcPr>
          <w:p w14:paraId="4C4B4FA6">
            <w:pPr>
              <w:pStyle w:val="357"/>
              <w:tabs>
                <w:tab w:val="left" w:pos="0"/>
              </w:tabs>
              <w:jc w:val="both"/>
              <w:rPr>
                <w:szCs w:val="21"/>
                <w:lang w:eastAsia="zh-CN"/>
              </w:rPr>
            </w:pPr>
            <w:r>
              <w:rPr>
                <w:rFonts w:hint="eastAsia"/>
                <w:szCs w:val="21"/>
                <w:lang w:eastAsia="zh-CN"/>
              </w:rPr>
              <w:t>新建应急水池1座，钢筋混凝土结构，容积1200m</w:t>
            </w:r>
            <w:r>
              <w:rPr>
                <w:rFonts w:hint="eastAsia"/>
                <w:szCs w:val="21"/>
                <w:vertAlign w:val="superscript"/>
                <w:lang w:eastAsia="zh-CN"/>
              </w:rPr>
              <w:t>3</w:t>
            </w:r>
            <w:r>
              <w:rPr>
                <w:rFonts w:hint="eastAsia"/>
                <w:szCs w:val="21"/>
                <w:lang w:eastAsia="zh-CN"/>
              </w:rPr>
              <w:t>，池体进行一般防渗，用于事故状态下污水暂存。</w:t>
            </w:r>
          </w:p>
        </w:tc>
        <w:tc>
          <w:tcPr>
            <w:tcW w:w="1666" w:type="dxa"/>
            <w:tcBorders>
              <w:top w:val="single" w:color="auto" w:sz="4" w:space="0"/>
              <w:left w:val="single" w:color="auto" w:sz="4" w:space="0"/>
              <w:right w:val="single" w:color="auto" w:sz="4" w:space="0"/>
            </w:tcBorders>
            <w:vAlign w:val="center"/>
          </w:tcPr>
          <w:p w14:paraId="55C3998C">
            <w:pPr>
              <w:pStyle w:val="357"/>
              <w:tabs>
                <w:tab w:val="left" w:pos="0"/>
              </w:tabs>
              <w:rPr>
                <w:szCs w:val="21"/>
                <w:lang w:eastAsia="zh-CN"/>
              </w:rPr>
            </w:pPr>
            <w:r>
              <w:rPr>
                <w:rFonts w:hint="eastAsia"/>
                <w:szCs w:val="21"/>
                <w:lang w:eastAsia="zh-CN"/>
              </w:rPr>
              <w:t>/</w:t>
            </w:r>
          </w:p>
        </w:tc>
      </w:tr>
      <w:tr w14:paraId="4ADD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0FF1B9A3">
            <w:pPr>
              <w:pStyle w:val="357"/>
              <w:rPr>
                <w:szCs w:val="21"/>
                <w:lang w:eastAsia="zh-CN"/>
              </w:rPr>
            </w:pPr>
          </w:p>
        </w:tc>
        <w:tc>
          <w:tcPr>
            <w:tcW w:w="2092" w:type="dxa"/>
            <w:gridSpan w:val="3"/>
            <w:tcBorders>
              <w:left w:val="single" w:color="auto" w:sz="4" w:space="0"/>
              <w:right w:val="single" w:color="auto" w:sz="4" w:space="0"/>
            </w:tcBorders>
            <w:vAlign w:val="center"/>
          </w:tcPr>
          <w:p w14:paraId="44A56DA4">
            <w:pPr>
              <w:pStyle w:val="357"/>
              <w:rPr>
                <w:rStyle w:val="786"/>
                <w:rFonts w:hint="default" w:ascii="Times New Roman" w:hAnsi="Times New Roman" w:cs="Times New Roman"/>
                <w:color w:val="auto"/>
                <w:lang w:eastAsia="zh-CN" w:bidi="ar"/>
              </w:rPr>
            </w:pPr>
            <w:r>
              <w:rPr>
                <w:rStyle w:val="786"/>
                <w:rFonts w:hint="default" w:cs="Times New Roman"/>
                <w:color w:val="auto"/>
                <w:lang w:eastAsia="zh-CN" w:bidi="ar"/>
              </w:rPr>
              <w:t>冷柜</w:t>
            </w:r>
          </w:p>
        </w:tc>
        <w:tc>
          <w:tcPr>
            <w:tcW w:w="5103" w:type="dxa"/>
            <w:tcBorders>
              <w:left w:val="single" w:color="auto" w:sz="4" w:space="0"/>
              <w:right w:val="single" w:color="auto" w:sz="4" w:space="0"/>
            </w:tcBorders>
            <w:vAlign w:val="center"/>
          </w:tcPr>
          <w:p w14:paraId="1148F06A">
            <w:pPr>
              <w:pStyle w:val="357"/>
              <w:jc w:val="both"/>
              <w:rPr>
                <w:szCs w:val="21"/>
                <w:lang w:eastAsia="zh-CN"/>
              </w:rPr>
            </w:pPr>
            <w:r>
              <w:rPr>
                <w:rFonts w:hint="eastAsia"/>
                <w:szCs w:val="21"/>
                <w:lang w:eastAsia="zh-CN"/>
              </w:rPr>
              <w:t>每个生产区配备2台1000L冷柜，一个青年鸡区、三个蛋鸡区，共配备8台冷柜，用于暂存病死鸡。冷柜采用液氮作为制冷剂，液氮加注由厂界直接供应，不在厂区暂存。</w:t>
            </w:r>
          </w:p>
        </w:tc>
        <w:tc>
          <w:tcPr>
            <w:tcW w:w="1666" w:type="dxa"/>
            <w:tcBorders>
              <w:top w:val="single" w:color="auto" w:sz="4" w:space="0"/>
              <w:left w:val="single" w:color="auto" w:sz="4" w:space="0"/>
              <w:right w:val="single" w:color="auto" w:sz="4" w:space="0"/>
            </w:tcBorders>
            <w:vAlign w:val="center"/>
          </w:tcPr>
          <w:p w14:paraId="2DB0FED0">
            <w:pPr>
              <w:pStyle w:val="357"/>
              <w:rPr>
                <w:szCs w:val="21"/>
                <w:lang w:eastAsia="zh-CN"/>
              </w:rPr>
            </w:pPr>
            <w:r>
              <w:rPr>
                <w:rFonts w:hint="eastAsia"/>
                <w:szCs w:val="21"/>
                <w:lang w:eastAsia="zh-CN"/>
              </w:rPr>
              <w:t>/</w:t>
            </w:r>
          </w:p>
        </w:tc>
      </w:tr>
      <w:tr w14:paraId="114F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340DFB49">
            <w:pPr>
              <w:pStyle w:val="357"/>
              <w:rPr>
                <w:szCs w:val="21"/>
                <w:lang w:eastAsia="zh-CN"/>
              </w:rPr>
            </w:pPr>
          </w:p>
        </w:tc>
        <w:tc>
          <w:tcPr>
            <w:tcW w:w="2092" w:type="dxa"/>
            <w:gridSpan w:val="3"/>
            <w:tcBorders>
              <w:left w:val="single" w:color="auto" w:sz="4" w:space="0"/>
              <w:right w:val="single" w:color="auto" w:sz="4" w:space="0"/>
            </w:tcBorders>
            <w:vAlign w:val="center"/>
          </w:tcPr>
          <w:p w14:paraId="18BF236C">
            <w:pPr>
              <w:pStyle w:val="357"/>
              <w:rPr>
                <w:rStyle w:val="786"/>
                <w:rFonts w:hint="default" w:ascii="Times New Roman" w:hAnsi="Times New Roman" w:cs="Times New Roman"/>
                <w:color w:val="auto"/>
                <w:lang w:eastAsia="zh-CN" w:bidi="ar"/>
              </w:rPr>
            </w:pPr>
            <w:r>
              <w:rPr>
                <w:rStyle w:val="786"/>
                <w:rFonts w:hint="default" w:cs="Times New Roman"/>
                <w:color w:val="auto"/>
                <w:lang w:eastAsia="zh-CN" w:bidi="ar"/>
              </w:rPr>
              <w:t>诊疗废弃物暂存间</w:t>
            </w:r>
          </w:p>
        </w:tc>
        <w:tc>
          <w:tcPr>
            <w:tcW w:w="5103" w:type="dxa"/>
            <w:tcBorders>
              <w:left w:val="single" w:color="auto" w:sz="4" w:space="0"/>
              <w:right w:val="single" w:color="auto" w:sz="4" w:space="0"/>
            </w:tcBorders>
            <w:vAlign w:val="center"/>
          </w:tcPr>
          <w:p w14:paraId="65EB21DB">
            <w:pPr>
              <w:pStyle w:val="357"/>
              <w:jc w:val="both"/>
              <w:rPr>
                <w:szCs w:val="21"/>
                <w:lang w:eastAsia="zh-CN"/>
              </w:rPr>
            </w:pPr>
            <w:r>
              <w:rPr>
                <w:rFonts w:hint="eastAsia"/>
                <w:szCs w:val="21"/>
                <w:lang w:eastAsia="zh-CN"/>
              </w:rPr>
              <w:t>占地面积54m</w:t>
            </w:r>
            <w:r>
              <w:rPr>
                <w:rFonts w:hint="eastAsia"/>
                <w:szCs w:val="21"/>
                <w:vertAlign w:val="superscript"/>
                <w:lang w:eastAsia="zh-CN"/>
              </w:rPr>
              <w:t>2</w:t>
            </w:r>
            <w:r>
              <w:rPr>
                <w:rFonts w:hint="eastAsia"/>
                <w:szCs w:val="21"/>
                <w:lang w:eastAsia="zh-CN"/>
              </w:rPr>
              <w:t>，设置导流渠、集液池、观察窗口、防爆照明、视频监控等设施，暂存间地面、导流渠、集液池全部进行重点防渗。暂存间建设满足《危险废物贮存污染控制标准》（GB18597-2023）相关要求。</w:t>
            </w:r>
          </w:p>
        </w:tc>
        <w:tc>
          <w:tcPr>
            <w:tcW w:w="1666" w:type="dxa"/>
            <w:tcBorders>
              <w:top w:val="single" w:color="auto" w:sz="4" w:space="0"/>
              <w:left w:val="single" w:color="auto" w:sz="4" w:space="0"/>
              <w:right w:val="single" w:color="auto" w:sz="4" w:space="0"/>
            </w:tcBorders>
            <w:vAlign w:val="center"/>
          </w:tcPr>
          <w:p w14:paraId="5FCCA9EC">
            <w:pPr>
              <w:pStyle w:val="357"/>
              <w:rPr>
                <w:szCs w:val="21"/>
                <w:lang w:eastAsia="zh-CN"/>
              </w:rPr>
            </w:pPr>
            <w:r>
              <w:rPr>
                <w:rFonts w:hint="eastAsia"/>
                <w:szCs w:val="21"/>
                <w:lang w:eastAsia="zh-CN"/>
              </w:rPr>
              <w:t>用于暂存病死鸡诊疗废弃物</w:t>
            </w:r>
          </w:p>
        </w:tc>
      </w:tr>
      <w:tr w14:paraId="0FE9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restart"/>
            <w:tcBorders>
              <w:top w:val="single" w:color="auto" w:sz="4" w:space="0"/>
              <w:left w:val="single" w:color="auto" w:sz="4" w:space="0"/>
              <w:right w:val="single" w:color="auto" w:sz="4" w:space="0"/>
            </w:tcBorders>
            <w:vAlign w:val="center"/>
          </w:tcPr>
          <w:p w14:paraId="744AF16C">
            <w:pPr>
              <w:pStyle w:val="357"/>
              <w:jc w:val="left"/>
              <w:rPr>
                <w:szCs w:val="21"/>
              </w:rPr>
            </w:pPr>
            <w:r>
              <w:rPr>
                <w:szCs w:val="21"/>
              </w:rPr>
              <w:t>辅助工程</w:t>
            </w:r>
          </w:p>
        </w:tc>
        <w:tc>
          <w:tcPr>
            <w:tcW w:w="675" w:type="dxa"/>
            <w:vMerge w:val="restart"/>
            <w:tcBorders>
              <w:top w:val="single" w:color="auto" w:sz="4" w:space="0"/>
              <w:left w:val="single" w:color="auto" w:sz="4" w:space="0"/>
              <w:right w:val="single" w:color="auto" w:sz="4" w:space="0"/>
            </w:tcBorders>
            <w:vAlign w:val="center"/>
          </w:tcPr>
          <w:p w14:paraId="70ED5BCC">
            <w:pPr>
              <w:pStyle w:val="357"/>
              <w:rPr>
                <w:szCs w:val="21"/>
                <w:lang w:bidi="ar"/>
              </w:rPr>
            </w:pPr>
            <w:r>
              <w:rPr>
                <w:szCs w:val="21"/>
                <w:lang w:eastAsia="zh-CN"/>
              </w:rPr>
              <w:t>办公生活中心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3F22CADA">
            <w:pPr>
              <w:pStyle w:val="357"/>
              <w:rPr>
                <w:szCs w:val="21"/>
                <w:lang w:eastAsia="zh-CN"/>
              </w:rPr>
            </w:pPr>
            <w:r>
              <w:rPr>
                <w:szCs w:val="21"/>
                <w:lang w:bidi="ar"/>
              </w:rPr>
              <w:t>综合</w:t>
            </w:r>
            <w:r>
              <w:rPr>
                <w:rFonts w:hint="eastAsia"/>
                <w:szCs w:val="21"/>
                <w:lang w:eastAsia="zh-CN" w:bidi="ar"/>
              </w:rPr>
              <w:t>楼</w:t>
            </w:r>
          </w:p>
        </w:tc>
        <w:tc>
          <w:tcPr>
            <w:tcW w:w="5103" w:type="dxa"/>
            <w:tcBorders>
              <w:top w:val="single" w:color="auto" w:sz="4" w:space="0"/>
              <w:left w:val="single" w:color="auto" w:sz="4" w:space="0"/>
              <w:bottom w:val="single" w:color="auto" w:sz="4" w:space="0"/>
              <w:right w:val="single" w:color="auto" w:sz="4" w:space="0"/>
            </w:tcBorders>
            <w:vAlign w:val="center"/>
          </w:tcPr>
          <w:p w14:paraId="1B200067">
            <w:pPr>
              <w:pStyle w:val="357"/>
              <w:rPr>
                <w:szCs w:val="21"/>
                <w:lang w:eastAsia="zh-CN"/>
              </w:rPr>
            </w:pPr>
            <w:r>
              <w:rPr>
                <w:szCs w:val="21"/>
                <w:lang w:eastAsia="zh-CN" w:bidi="ar"/>
              </w:rPr>
              <w:t>3</w:t>
            </w:r>
            <w:r>
              <w:rPr>
                <w:rFonts w:hint="eastAsia"/>
                <w:szCs w:val="21"/>
                <w:lang w:eastAsia="zh-CN" w:bidi="ar"/>
              </w:rPr>
              <w:t>层高，办公用，共6</w:t>
            </w:r>
            <w:r>
              <w:rPr>
                <w:szCs w:val="21"/>
                <w:lang w:eastAsia="zh-CN" w:bidi="ar"/>
              </w:rPr>
              <w:t>94.1</w:t>
            </w:r>
            <w:r>
              <w:rPr>
                <w:szCs w:val="21"/>
                <w:lang w:eastAsia="zh-CN"/>
              </w:rPr>
              <w:t xml:space="preserve"> m</w:t>
            </w:r>
            <w:r>
              <w:rPr>
                <w:szCs w:val="21"/>
                <w:vertAlign w:val="superscript"/>
                <w:lang w:eastAsia="zh-CN"/>
              </w:rPr>
              <w:t>2</w:t>
            </w:r>
          </w:p>
        </w:tc>
        <w:tc>
          <w:tcPr>
            <w:tcW w:w="1666" w:type="dxa"/>
            <w:tcBorders>
              <w:top w:val="single" w:color="auto" w:sz="4" w:space="0"/>
              <w:left w:val="single" w:color="auto" w:sz="4" w:space="0"/>
              <w:right w:val="single" w:color="auto" w:sz="4" w:space="0"/>
            </w:tcBorders>
            <w:vAlign w:val="center"/>
          </w:tcPr>
          <w:p w14:paraId="7AA94563">
            <w:pPr>
              <w:pStyle w:val="357"/>
              <w:rPr>
                <w:szCs w:val="21"/>
                <w:lang w:eastAsia="zh-CN"/>
              </w:rPr>
            </w:pPr>
            <w:r>
              <w:rPr>
                <w:rFonts w:hint="eastAsia"/>
                <w:szCs w:val="21"/>
                <w:lang w:eastAsia="zh-CN"/>
              </w:rPr>
              <w:t>办公</w:t>
            </w:r>
          </w:p>
        </w:tc>
      </w:tr>
      <w:tr w14:paraId="0727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top w:val="single" w:color="auto" w:sz="4" w:space="0"/>
              <w:left w:val="single" w:color="auto" w:sz="4" w:space="0"/>
              <w:right w:val="single" w:color="auto" w:sz="4" w:space="0"/>
            </w:tcBorders>
            <w:vAlign w:val="center"/>
          </w:tcPr>
          <w:p w14:paraId="3D8E4DF3">
            <w:pPr>
              <w:pStyle w:val="357"/>
              <w:jc w:val="left"/>
              <w:rPr>
                <w:szCs w:val="21"/>
              </w:rPr>
            </w:pPr>
          </w:p>
        </w:tc>
        <w:tc>
          <w:tcPr>
            <w:tcW w:w="675" w:type="dxa"/>
            <w:vMerge w:val="continue"/>
            <w:tcBorders>
              <w:top w:val="single" w:color="auto" w:sz="4" w:space="0"/>
              <w:left w:val="single" w:color="auto" w:sz="4" w:space="0"/>
              <w:right w:val="single" w:color="auto" w:sz="4" w:space="0"/>
            </w:tcBorders>
            <w:vAlign w:val="center"/>
          </w:tcPr>
          <w:p w14:paraId="654B0BA7">
            <w:pPr>
              <w:pStyle w:val="357"/>
              <w:rPr>
                <w:szCs w:val="21"/>
                <w:lang w:eastAsia="zh-CN"/>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49D1325A">
            <w:pPr>
              <w:pStyle w:val="357"/>
              <w:rPr>
                <w:szCs w:val="21"/>
                <w:lang w:bidi="ar"/>
              </w:rPr>
            </w:pPr>
            <w:r>
              <w:rPr>
                <w:rFonts w:hint="eastAsia"/>
                <w:szCs w:val="21"/>
                <w:lang w:eastAsia="zh-CN" w:bidi="ar"/>
              </w:rPr>
              <w:t>宿舍楼及食堂</w:t>
            </w:r>
          </w:p>
        </w:tc>
        <w:tc>
          <w:tcPr>
            <w:tcW w:w="5103" w:type="dxa"/>
            <w:tcBorders>
              <w:top w:val="single" w:color="auto" w:sz="4" w:space="0"/>
              <w:left w:val="single" w:color="auto" w:sz="4" w:space="0"/>
              <w:bottom w:val="single" w:color="auto" w:sz="4" w:space="0"/>
              <w:right w:val="single" w:color="auto" w:sz="4" w:space="0"/>
            </w:tcBorders>
            <w:vAlign w:val="center"/>
          </w:tcPr>
          <w:p w14:paraId="38BA4079">
            <w:pPr>
              <w:pStyle w:val="357"/>
              <w:rPr>
                <w:szCs w:val="21"/>
                <w:lang w:eastAsia="zh-CN" w:bidi="ar"/>
              </w:rPr>
            </w:pPr>
            <w:r>
              <w:rPr>
                <w:szCs w:val="21"/>
                <w:lang w:eastAsia="zh-CN" w:bidi="ar"/>
              </w:rPr>
              <w:t>3</w:t>
            </w:r>
            <w:r>
              <w:rPr>
                <w:rFonts w:hint="eastAsia"/>
                <w:szCs w:val="21"/>
                <w:lang w:eastAsia="zh-CN" w:bidi="ar"/>
              </w:rPr>
              <w:t>层高，宿舍以及食堂，共6</w:t>
            </w:r>
            <w:r>
              <w:rPr>
                <w:szCs w:val="21"/>
                <w:lang w:eastAsia="zh-CN" w:bidi="ar"/>
              </w:rPr>
              <w:t>94.1</w:t>
            </w:r>
            <w:r>
              <w:rPr>
                <w:szCs w:val="21"/>
                <w:lang w:eastAsia="zh-CN"/>
              </w:rPr>
              <w:t>m</w:t>
            </w:r>
            <w:r>
              <w:rPr>
                <w:szCs w:val="21"/>
                <w:vertAlign w:val="superscript"/>
                <w:lang w:eastAsia="zh-CN"/>
              </w:rPr>
              <w:t>2</w:t>
            </w:r>
          </w:p>
        </w:tc>
        <w:tc>
          <w:tcPr>
            <w:tcW w:w="1666" w:type="dxa"/>
            <w:tcBorders>
              <w:top w:val="single" w:color="auto" w:sz="4" w:space="0"/>
              <w:left w:val="single" w:color="auto" w:sz="4" w:space="0"/>
              <w:right w:val="single" w:color="auto" w:sz="4" w:space="0"/>
            </w:tcBorders>
            <w:vAlign w:val="center"/>
          </w:tcPr>
          <w:p w14:paraId="2CE2BBB0">
            <w:pPr>
              <w:pStyle w:val="357"/>
              <w:rPr>
                <w:szCs w:val="21"/>
                <w:lang w:eastAsia="zh-CN"/>
              </w:rPr>
            </w:pPr>
            <w:r>
              <w:rPr>
                <w:rFonts w:hint="eastAsia"/>
                <w:szCs w:val="21"/>
                <w:lang w:eastAsia="zh-CN"/>
              </w:rPr>
              <w:t>住宿、餐饮</w:t>
            </w:r>
          </w:p>
        </w:tc>
      </w:tr>
      <w:tr w14:paraId="3109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73E63BD8">
            <w:pPr>
              <w:pStyle w:val="357"/>
              <w:rPr>
                <w:szCs w:val="21"/>
                <w:lang w:eastAsia="zh-CN"/>
              </w:rPr>
            </w:pPr>
          </w:p>
        </w:tc>
        <w:tc>
          <w:tcPr>
            <w:tcW w:w="675" w:type="dxa"/>
            <w:vMerge w:val="continue"/>
            <w:tcBorders>
              <w:left w:val="single" w:color="auto" w:sz="4" w:space="0"/>
              <w:right w:val="single" w:color="auto" w:sz="4" w:space="0"/>
            </w:tcBorders>
            <w:vAlign w:val="center"/>
          </w:tcPr>
          <w:p w14:paraId="57933BDC">
            <w:pPr>
              <w:pStyle w:val="357"/>
              <w:rPr>
                <w:szCs w:val="21"/>
                <w:lang w:eastAsia="zh-CN" w:bidi="ar"/>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4D23A525">
            <w:pPr>
              <w:pStyle w:val="357"/>
              <w:rPr>
                <w:szCs w:val="21"/>
                <w:lang w:eastAsia="zh-CN"/>
              </w:rPr>
            </w:pPr>
            <w:r>
              <w:rPr>
                <w:szCs w:val="21"/>
                <w:lang w:bidi="ar"/>
              </w:rPr>
              <w:t>附属用房</w:t>
            </w:r>
          </w:p>
        </w:tc>
        <w:tc>
          <w:tcPr>
            <w:tcW w:w="5103" w:type="dxa"/>
            <w:tcBorders>
              <w:top w:val="single" w:color="auto" w:sz="4" w:space="0"/>
              <w:left w:val="single" w:color="auto" w:sz="4" w:space="0"/>
              <w:bottom w:val="single" w:color="auto" w:sz="4" w:space="0"/>
              <w:right w:val="single" w:color="auto" w:sz="4" w:space="0"/>
            </w:tcBorders>
            <w:vAlign w:val="center"/>
          </w:tcPr>
          <w:p w14:paraId="6E42A5E2">
            <w:pPr>
              <w:pStyle w:val="357"/>
              <w:rPr>
                <w:szCs w:val="21"/>
                <w:lang w:eastAsia="zh-CN"/>
              </w:rPr>
            </w:pPr>
            <w:r>
              <w:rPr>
                <w:szCs w:val="21"/>
                <w:lang w:bidi="ar"/>
              </w:rPr>
              <w:t>1</w:t>
            </w:r>
            <w:r>
              <w:rPr>
                <w:rFonts w:hint="eastAsia"/>
                <w:szCs w:val="21"/>
                <w:lang w:eastAsia="zh-CN" w:bidi="ar"/>
              </w:rPr>
              <w:t>层，共</w:t>
            </w:r>
            <w:r>
              <w:rPr>
                <w:szCs w:val="21"/>
                <w:lang w:bidi="ar"/>
              </w:rPr>
              <w:t>854.9</w:t>
            </w:r>
            <w:r>
              <w:rPr>
                <w:szCs w:val="21"/>
                <w:lang w:eastAsia="zh-CN"/>
              </w:rPr>
              <w:t xml:space="preserve"> m</w:t>
            </w:r>
            <w:r>
              <w:rPr>
                <w:szCs w:val="21"/>
                <w:vertAlign w:val="superscript"/>
                <w:lang w:eastAsia="zh-CN"/>
              </w:rPr>
              <w:t>2</w:t>
            </w:r>
          </w:p>
        </w:tc>
        <w:tc>
          <w:tcPr>
            <w:tcW w:w="1666" w:type="dxa"/>
            <w:tcBorders>
              <w:left w:val="single" w:color="auto" w:sz="4" w:space="0"/>
              <w:right w:val="single" w:color="auto" w:sz="4" w:space="0"/>
            </w:tcBorders>
            <w:vAlign w:val="center"/>
          </w:tcPr>
          <w:p w14:paraId="49EF9C9D">
            <w:pPr>
              <w:pStyle w:val="357"/>
              <w:rPr>
                <w:szCs w:val="21"/>
                <w:lang w:eastAsia="zh-CN"/>
              </w:rPr>
            </w:pPr>
            <w:r>
              <w:rPr>
                <w:rFonts w:hint="eastAsia"/>
                <w:szCs w:val="21"/>
                <w:lang w:eastAsia="zh-CN"/>
              </w:rPr>
              <w:t>配套附属用房</w:t>
            </w:r>
          </w:p>
        </w:tc>
      </w:tr>
      <w:tr w14:paraId="6AC2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426" w:type="dxa"/>
            <w:vMerge w:val="continue"/>
            <w:tcBorders>
              <w:left w:val="single" w:color="auto" w:sz="4" w:space="0"/>
              <w:right w:val="single" w:color="auto" w:sz="4" w:space="0"/>
            </w:tcBorders>
            <w:vAlign w:val="center"/>
          </w:tcPr>
          <w:p w14:paraId="04DD4EC9">
            <w:pPr>
              <w:pStyle w:val="357"/>
              <w:rPr>
                <w:szCs w:val="21"/>
                <w:lang w:eastAsia="zh-CN"/>
              </w:rPr>
            </w:pPr>
          </w:p>
        </w:tc>
        <w:tc>
          <w:tcPr>
            <w:tcW w:w="2092" w:type="dxa"/>
            <w:gridSpan w:val="3"/>
            <w:tcBorders>
              <w:left w:val="single" w:color="auto" w:sz="4" w:space="0"/>
              <w:right w:val="single" w:color="auto" w:sz="4" w:space="0"/>
            </w:tcBorders>
            <w:vAlign w:val="center"/>
          </w:tcPr>
          <w:p w14:paraId="1D0AC636">
            <w:pPr>
              <w:pStyle w:val="357"/>
              <w:rPr>
                <w:szCs w:val="21"/>
                <w:lang w:eastAsia="zh-CN"/>
              </w:rPr>
            </w:pPr>
            <w:r>
              <w:rPr>
                <w:szCs w:val="21"/>
                <w:lang w:bidi="ar"/>
              </w:rPr>
              <w:t>锅炉房</w:t>
            </w:r>
          </w:p>
        </w:tc>
        <w:tc>
          <w:tcPr>
            <w:tcW w:w="5103" w:type="dxa"/>
            <w:tcBorders>
              <w:top w:val="single" w:color="auto" w:sz="4" w:space="0"/>
              <w:left w:val="single" w:color="auto" w:sz="4" w:space="0"/>
              <w:right w:val="single" w:color="auto" w:sz="4" w:space="0"/>
            </w:tcBorders>
            <w:vAlign w:val="center"/>
          </w:tcPr>
          <w:p w14:paraId="23937110">
            <w:pPr>
              <w:pStyle w:val="357"/>
              <w:jc w:val="both"/>
              <w:rPr>
                <w:szCs w:val="21"/>
                <w:lang w:eastAsia="zh-CN"/>
              </w:rPr>
            </w:pPr>
            <w:r>
              <w:rPr>
                <w:szCs w:val="21"/>
                <w:lang w:eastAsia="zh-CN" w:bidi="ar"/>
              </w:rPr>
              <w:t>1</w:t>
            </w:r>
            <w:r>
              <w:rPr>
                <w:rFonts w:hint="eastAsia"/>
                <w:szCs w:val="21"/>
                <w:lang w:eastAsia="zh-CN" w:bidi="ar"/>
              </w:rPr>
              <w:t>层，共</w:t>
            </w:r>
            <w:r>
              <w:rPr>
                <w:szCs w:val="21"/>
                <w:lang w:eastAsia="zh-CN" w:bidi="ar"/>
              </w:rPr>
              <w:t>324.72</w:t>
            </w:r>
            <w:r>
              <w:rPr>
                <w:szCs w:val="21"/>
                <w:lang w:eastAsia="zh-CN"/>
              </w:rPr>
              <w:t>m</w:t>
            </w:r>
            <w:r>
              <w:rPr>
                <w:szCs w:val="21"/>
                <w:vertAlign w:val="superscript"/>
                <w:lang w:eastAsia="zh-CN"/>
              </w:rPr>
              <w:t>2</w:t>
            </w:r>
            <w:r>
              <w:rPr>
                <w:rFonts w:hint="eastAsia"/>
                <w:szCs w:val="21"/>
                <w:lang w:eastAsia="zh-CN"/>
              </w:rPr>
              <w:t>，内部安装3台3t/h燃气锅炉（2用1备）和1台0.5t/h电锅炉；燃气锅炉配套建设低氮燃烧系统；3台燃气锅炉废气分别经各自8m排气筒排放。</w:t>
            </w:r>
          </w:p>
        </w:tc>
        <w:tc>
          <w:tcPr>
            <w:tcW w:w="1666" w:type="dxa"/>
            <w:tcBorders>
              <w:left w:val="single" w:color="auto" w:sz="4" w:space="0"/>
              <w:right w:val="single" w:color="auto" w:sz="4" w:space="0"/>
            </w:tcBorders>
            <w:vAlign w:val="center"/>
          </w:tcPr>
          <w:p w14:paraId="7B1935FB">
            <w:pPr>
              <w:pStyle w:val="357"/>
              <w:rPr>
                <w:szCs w:val="21"/>
                <w:lang w:eastAsia="zh-CN"/>
              </w:rPr>
            </w:pPr>
            <w:r>
              <w:rPr>
                <w:rFonts w:hint="eastAsia"/>
                <w:szCs w:val="21"/>
                <w:lang w:eastAsia="zh-CN"/>
              </w:rPr>
              <w:t>燃气锅炉房</w:t>
            </w:r>
          </w:p>
        </w:tc>
      </w:tr>
      <w:tr w14:paraId="7F92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23F57739">
            <w:pPr>
              <w:pStyle w:val="357"/>
              <w:rPr>
                <w:szCs w:val="21"/>
                <w:lang w:eastAsia="zh-CN"/>
              </w:rPr>
            </w:pPr>
          </w:p>
        </w:tc>
        <w:tc>
          <w:tcPr>
            <w:tcW w:w="2092" w:type="dxa"/>
            <w:gridSpan w:val="3"/>
            <w:tcBorders>
              <w:left w:val="single" w:color="auto" w:sz="4" w:space="0"/>
              <w:right w:val="single" w:color="auto" w:sz="4" w:space="0"/>
            </w:tcBorders>
            <w:vAlign w:val="center"/>
          </w:tcPr>
          <w:p w14:paraId="7EE8BAA9">
            <w:pPr>
              <w:pStyle w:val="25"/>
              <w:spacing w:line="240" w:lineRule="auto"/>
              <w:ind w:firstLine="0" w:firstLineChars="0"/>
              <w:jc w:val="center"/>
              <w:rPr>
                <w:color w:val="auto"/>
                <w:sz w:val="21"/>
                <w:szCs w:val="21"/>
              </w:rPr>
            </w:pPr>
            <w:r>
              <w:rPr>
                <w:color w:val="auto"/>
                <w:sz w:val="21"/>
                <w:szCs w:val="21"/>
                <w:lang w:bidi="ar"/>
              </w:rPr>
              <w:t>开闭所</w:t>
            </w:r>
          </w:p>
        </w:tc>
        <w:tc>
          <w:tcPr>
            <w:tcW w:w="5103" w:type="dxa"/>
            <w:tcBorders>
              <w:top w:val="single" w:color="auto" w:sz="4" w:space="0"/>
              <w:left w:val="single" w:color="auto" w:sz="4" w:space="0"/>
              <w:bottom w:val="single" w:color="auto" w:sz="4" w:space="0"/>
              <w:right w:val="single" w:color="auto" w:sz="4" w:space="0"/>
            </w:tcBorders>
            <w:vAlign w:val="center"/>
          </w:tcPr>
          <w:p w14:paraId="16FD1B30">
            <w:pPr>
              <w:pStyle w:val="25"/>
              <w:spacing w:line="240" w:lineRule="auto"/>
              <w:ind w:firstLine="0" w:firstLineChars="0"/>
              <w:jc w:val="center"/>
              <w:rPr>
                <w:color w:val="auto"/>
                <w:sz w:val="21"/>
                <w:szCs w:val="21"/>
              </w:rPr>
            </w:pPr>
            <w:r>
              <w:rPr>
                <w:color w:val="auto"/>
                <w:sz w:val="21"/>
                <w:szCs w:val="21"/>
                <w:lang w:bidi="ar"/>
              </w:rPr>
              <w:t>1</w:t>
            </w:r>
            <w:r>
              <w:rPr>
                <w:rFonts w:hint="eastAsia"/>
                <w:color w:val="auto"/>
                <w:sz w:val="21"/>
                <w:szCs w:val="21"/>
                <w:lang w:bidi="ar"/>
              </w:rPr>
              <w:t>层，共</w:t>
            </w:r>
            <w:r>
              <w:rPr>
                <w:color w:val="auto"/>
                <w:sz w:val="21"/>
                <w:szCs w:val="21"/>
                <w:lang w:bidi="ar"/>
              </w:rPr>
              <w:t>106.25</w:t>
            </w:r>
            <w:r>
              <w:rPr>
                <w:color w:val="auto"/>
                <w:sz w:val="21"/>
                <w:szCs w:val="21"/>
              </w:rPr>
              <w:t xml:space="preserve"> m</w:t>
            </w:r>
            <w:r>
              <w:rPr>
                <w:color w:val="auto"/>
                <w:sz w:val="21"/>
                <w:szCs w:val="21"/>
                <w:vertAlign w:val="superscript"/>
              </w:rPr>
              <w:t>2</w:t>
            </w:r>
          </w:p>
        </w:tc>
        <w:tc>
          <w:tcPr>
            <w:tcW w:w="1666" w:type="dxa"/>
            <w:tcBorders>
              <w:left w:val="single" w:color="auto" w:sz="4" w:space="0"/>
              <w:right w:val="single" w:color="auto" w:sz="4" w:space="0"/>
            </w:tcBorders>
            <w:vAlign w:val="center"/>
          </w:tcPr>
          <w:p w14:paraId="55DFD5AD">
            <w:pPr>
              <w:pStyle w:val="357"/>
              <w:rPr>
                <w:szCs w:val="21"/>
                <w:lang w:eastAsia="zh-CN"/>
              </w:rPr>
            </w:pPr>
            <w:r>
              <w:rPr>
                <w:rFonts w:hint="eastAsia"/>
                <w:szCs w:val="21"/>
                <w:lang w:eastAsia="zh-CN"/>
              </w:rPr>
              <w:t>电路开闭所</w:t>
            </w:r>
          </w:p>
        </w:tc>
      </w:tr>
      <w:tr w14:paraId="4164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426" w:type="dxa"/>
            <w:vMerge w:val="continue"/>
            <w:tcBorders>
              <w:left w:val="single" w:color="auto" w:sz="4" w:space="0"/>
              <w:right w:val="single" w:color="auto" w:sz="4" w:space="0"/>
            </w:tcBorders>
            <w:vAlign w:val="center"/>
          </w:tcPr>
          <w:p w14:paraId="18E9DE7C">
            <w:pPr>
              <w:pStyle w:val="357"/>
              <w:rPr>
                <w:szCs w:val="21"/>
                <w:lang w:eastAsia="zh-CN"/>
              </w:rPr>
            </w:pPr>
          </w:p>
        </w:tc>
        <w:tc>
          <w:tcPr>
            <w:tcW w:w="2092" w:type="dxa"/>
            <w:gridSpan w:val="3"/>
            <w:tcBorders>
              <w:left w:val="single" w:color="auto" w:sz="4" w:space="0"/>
              <w:right w:val="single" w:color="auto" w:sz="4" w:space="0"/>
            </w:tcBorders>
            <w:vAlign w:val="center"/>
          </w:tcPr>
          <w:p w14:paraId="11D2B7FD">
            <w:pPr>
              <w:pStyle w:val="357"/>
              <w:rPr>
                <w:szCs w:val="21"/>
                <w:lang w:eastAsia="zh-CN"/>
              </w:rPr>
            </w:pPr>
            <w:r>
              <w:rPr>
                <w:szCs w:val="21"/>
                <w:lang w:eastAsia="zh-CN"/>
              </w:rPr>
              <w:t>道路</w:t>
            </w:r>
          </w:p>
        </w:tc>
        <w:tc>
          <w:tcPr>
            <w:tcW w:w="5103" w:type="dxa"/>
            <w:tcBorders>
              <w:top w:val="single" w:color="auto" w:sz="4" w:space="0"/>
              <w:left w:val="single" w:color="auto" w:sz="4" w:space="0"/>
              <w:right w:val="single" w:color="auto" w:sz="4" w:space="0"/>
            </w:tcBorders>
            <w:vAlign w:val="center"/>
          </w:tcPr>
          <w:p w14:paraId="677EBDEF">
            <w:pPr>
              <w:pStyle w:val="357"/>
              <w:rPr>
                <w:szCs w:val="21"/>
                <w:lang w:eastAsia="zh-CN"/>
              </w:rPr>
            </w:pPr>
            <w:r>
              <w:rPr>
                <w:rFonts w:hint="eastAsia"/>
                <w:szCs w:val="21"/>
                <w:lang w:eastAsia="zh-CN"/>
              </w:rPr>
              <w:t>厂区</w:t>
            </w:r>
            <w:r>
              <w:rPr>
                <w:szCs w:val="21"/>
                <w:lang w:eastAsia="zh-CN"/>
              </w:rPr>
              <w:t>道路</w:t>
            </w:r>
            <w:r>
              <w:rPr>
                <w:rFonts w:hint="eastAsia"/>
                <w:szCs w:val="21"/>
                <w:lang w:eastAsia="zh-CN"/>
              </w:rPr>
              <w:t>及硬化</w:t>
            </w:r>
            <w:r>
              <w:rPr>
                <w:szCs w:val="21"/>
                <w:lang w:eastAsia="zh-CN"/>
              </w:rPr>
              <w:t>47550m</w:t>
            </w:r>
            <w:r>
              <w:rPr>
                <w:szCs w:val="21"/>
                <w:vertAlign w:val="superscript"/>
                <w:lang w:eastAsia="zh-CN"/>
              </w:rPr>
              <w:t>2</w:t>
            </w:r>
            <w:r>
              <w:rPr>
                <w:szCs w:val="21"/>
                <w:lang w:eastAsia="zh-CN"/>
              </w:rPr>
              <w:t xml:space="preserve"> </w:t>
            </w:r>
          </w:p>
        </w:tc>
        <w:tc>
          <w:tcPr>
            <w:tcW w:w="1666" w:type="dxa"/>
            <w:tcBorders>
              <w:left w:val="single" w:color="auto" w:sz="4" w:space="0"/>
              <w:bottom w:val="single" w:color="auto" w:sz="4" w:space="0"/>
              <w:right w:val="single" w:color="auto" w:sz="4" w:space="0"/>
            </w:tcBorders>
            <w:vAlign w:val="center"/>
          </w:tcPr>
          <w:p w14:paraId="18D74114">
            <w:pPr>
              <w:pStyle w:val="357"/>
              <w:rPr>
                <w:szCs w:val="21"/>
                <w:lang w:eastAsia="zh-CN"/>
              </w:rPr>
            </w:pPr>
            <w:r>
              <w:rPr>
                <w:rFonts w:hint="eastAsia"/>
                <w:szCs w:val="21"/>
                <w:lang w:eastAsia="zh-CN"/>
              </w:rPr>
              <w:t>厂区内部自建道路</w:t>
            </w:r>
          </w:p>
        </w:tc>
      </w:tr>
      <w:tr w14:paraId="644E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restart"/>
            <w:tcBorders>
              <w:top w:val="single" w:color="auto" w:sz="4" w:space="0"/>
              <w:left w:val="single" w:color="auto" w:sz="4" w:space="0"/>
              <w:right w:val="single" w:color="auto" w:sz="4" w:space="0"/>
            </w:tcBorders>
            <w:vAlign w:val="center"/>
          </w:tcPr>
          <w:p w14:paraId="2161D4C6">
            <w:pPr>
              <w:pStyle w:val="357"/>
              <w:rPr>
                <w:szCs w:val="21"/>
              </w:rPr>
            </w:pPr>
            <w:r>
              <w:rPr>
                <w:szCs w:val="21"/>
              </w:rPr>
              <w:t>公用</w:t>
            </w:r>
          </w:p>
          <w:p w14:paraId="028B0E4A">
            <w:pPr>
              <w:pStyle w:val="357"/>
              <w:rPr>
                <w:szCs w:val="21"/>
              </w:rPr>
            </w:pPr>
            <w:r>
              <w:rPr>
                <w:szCs w:val="21"/>
              </w:rPr>
              <w:t>工程</w:t>
            </w:r>
          </w:p>
        </w:tc>
        <w:tc>
          <w:tcPr>
            <w:tcW w:w="2092" w:type="dxa"/>
            <w:gridSpan w:val="3"/>
            <w:tcBorders>
              <w:top w:val="single" w:color="auto" w:sz="4" w:space="0"/>
              <w:left w:val="single" w:color="auto" w:sz="4" w:space="0"/>
              <w:right w:val="single" w:color="auto" w:sz="4" w:space="0"/>
            </w:tcBorders>
            <w:vAlign w:val="center"/>
          </w:tcPr>
          <w:p w14:paraId="61DF3441">
            <w:pPr>
              <w:pStyle w:val="357"/>
              <w:rPr>
                <w:szCs w:val="21"/>
              </w:rPr>
            </w:pPr>
            <w:r>
              <w:rPr>
                <w:szCs w:val="21"/>
              </w:rPr>
              <w:t>供水</w:t>
            </w:r>
          </w:p>
        </w:tc>
        <w:tc>
          <w:tcPr>
            <w:tcW w:w="5103" w:type="dxa"/>
            <w:tcBorders>
              <w:top w:val="single" w:color="auto" w:sz="4" w:space="0"/>
              <w:left w:val="single" w:color="auto" w:sz="4" w:space="0"/>
              <w:bottom w:val="single" w:color="auto" w:sz="4" w:space="0"/>
              <w:right w:val="single" w:color="auto" w:sz="4" w:space="0"/>
            </w:tcBorders>
            <w:vAlign w:val="center"/>
          </w:tcPr>
          <w:p w14:paraId="5CC3E16C">
            <w:pPr>
              <w:pStyle w:val="357"/>
              <w:rPr>
                <w:szCs w:val="21"/>
                <w:lang w:eastAsia="zh-CN"/>
              </w:rPr>
            </w:pPr>
            <w:r>
              <w:rPr>
                <w:szCs w:val="21"/>
                <w:lang w:eastAsia="zh-CN"/>
              </w:rPr>
              <w:t>自备井</w:t>
            </w:r>
            <w:r>
              <w:rPr>
                <w:rFonts w:hint="eastAsia"/>
                <w:szCs w:val="21"/>
                <w:lang w:eastAsia="zh-CN"/>
              </w:rPr>
              <w:t>1</w:t>
            </w:r>
            <w:r>
              <w:rPr>
                <w:szCs w:val="21"/>
                <w:lang w:eastAsia="zh-CN"/>
              </w:rPr>
              <w:t>眼（井深40m，出水量为50m</w:t>
            </w:r>
            <w:r>
              <w:rPr>
                <w:szCs w:val="21"/>
                <w:vertAlign w:val="superscript"/>
                <w:lang w:eastAsia="zh-CN"/>
              </w:rPr>
              <w:t>3</w:t>
            </w:r>
            <w:r>
              <w:rPr>
                <w:szCs w:val="21"/>
                <w:lang w:eastAsia="zh-CN"/>
              </w:rPr>
              <w:t>/h），用于生产、生活用水，项目全年用水量为</w:t>
            </w:r>
            <w:r>
              <w:rPr>
                <w:szCs w:val="21"/>
              </w:rPr>
              <w:fldChar w:fldCharType="begin"/>
            </w:r>
            <w:r>
              <w:rPr>
                <w:szCs w:val="21"/>
                <w:lang w:eastAsia="zh-CN"/>
              </w:rPr>
              <w:instrText xml:space="preserve"> = sum(E2:E10) \* MERGEFORMAT </w:instrText>
            </w:r>
            <w:r>
              <w:rPr>
                <w:szCs w:val="21"/>
              </w:rPr>
              <w:fldChar w:fldCharType="separate"/>
            </w:r>
            <w:r>
              <w:rPr>
                <w:szCs w:val="21"/>
                <w:lang w:eastAsia="zh-CN"/>
              </w:rPr>
              <w:t xml:space="preserve">102479.5 </w:t>
            </w:r>
            <w:r>
              <w:rPr>
                <w:szCs w:val="21"/>
              </w:rPr>
              <w:fldChar w:fldCharType="end"/>
            </w:r>
            <w:r>
              <w:rPr>
                <w:szCs w:val="21"/>
                <w:lang w:eastAsia="zh-CN"/>
              </w:rPr>
              <w:t>m</w:t>
            </w:r>
            <w:r>
              <w:rPr>
                <w:szCs w:val="21"/>
                <w:vertAlign w:val="superscript"/>
                <w:lang w:eastAsia="zh-CN"/>
              </w:rPr>
              <w:t>3</w:t>
            </w:r>
            <w:r>
              <w:rPr>
                <w:szCs w:val="21"/>
                <w:lang w:eastAsia="zh-CN"/>
              </w:rPr>
              <w:t>/a。</w:t>
            </w:r>
          </w:p>
        </w:tc>
        <w:tc>
          <w:tcPr>
            <w:tcW w:w="1666" w:type="dxa"/>
            <w:tcBorders>
              <w:top w:val="single" w:color="auto" w:sz="4" w:space="0"/>
              <w:left w:val="single" w:color="auto" w:sz="4" w:space="0"/>
              <w:bottom w:val="single" w:color="auto" w:sz="4" w:space="0"/>
              <w:right w:val="single" w:color="auto" w:sz="4" w:space="0"/>
            </w:tcBorders>
            <w:vAlign w:val="center"/>
          </w:tcPr>
          <w:p w14:paraId="2DDB56F4">
            <w:pPr>
              <w:pStyle w:val="357"/>
              <w:rPr>
                <w:szCs w:val="21"/>
                <w:lang w:eastAsia="zh-CN"/>
              </w:rPr>
            </w:pPr>
            <w:r>
              <w:rPr>
                <w:rFonts w:hint="eastAsia"/>
                <w:szCs w:val="21"/>
                <w:lang w:eastAsia="zh-CN"/>
              </w:rPr>
              <w:t>自建井，按规取得取水许可</w:t>
            </w:r>
          </w:p>
        </w:tc>
      </w:tr>
      <w:tr w14:paraId="1D82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0D820552">
            <w:pPr>
              <w:pStyle w:val="357"/>
              <w:rPr>
                <w:szCs w:val="21"/>
                <w:lang w:eastAsia="zh-CN"/>
              </w:rPr>
            </w:pPr>
          </w:p>
        </w:tc>
        <w:tc>
          <w:tcPr>
            <w:tcW w:w="2092" w:type="dxa"/>
            <w:gridSpan w:val="3"/>
            <w:tcBorders>
              <w:left w:val="single" w:color="auto" w:sz="4" w:space="0"/>
              <w:right w:val="single" w:color="auto" w:sz="4" w:space="0"/>
            </w:tcBorders>
            <w:vAlign w:val="center"/>
          </w:tcPr>
          <w:p w14:paraId="71FF54B0">
            <w:pPr>
              <w:pStyle w:val="357"/>
              <w:rPr>
                <w:szCs w:val="21"/>
              </w:rPr>
            </w:pPr>
            <w:r>
              <w:rPr>
                <w:szCs w:val="21"/>
              </w:rPr>
              <w:t>排水</w:t>
            </w:r>
          </w:p>
        </w:tc>
        <w:tc>
          <w:tcPr>
            <w:tcW w:w="5103" w:type="dxa"/>
            <w:tcBorders>
              <w:top w:val="single" w:color="auto" w:sz="4" w:space="0"/>
              <w:left w:val="single" w:color="auto" w:sz="4" w:space="0"/>
              <w:bottom w:val="single" w:color="auto" w:sz="4" w:space="0"/>
              <w:right w:val="single" w:color="auto" w:sz="4" w:space="0"/>
            </w:tcBorders>
            <w:vAlign w:val="center"/>
          </w:tcPr>
          <w:p w14:paraId="74855DB7">
            <w:pPr>
              <w:pStyle w:val="357"/>
              <w:rPr>
                <w:szCs w:val="21"/>
                <w:lang w:eastAsia="zh-CN"/>
              </w:rPr>
            </w:pPr>
            <w:r>
              <w:rPr>
                <w:szCs w:val="21"/>
                <w:lang w:eastAsia="zh-CN"/>
              </w:rPr>
              <w:t>采用雨污分流，职工生活污水、鸡舍冲洗废水排入污水处理厂，经</w:t>
            </w:r>
            <w:r>
              <w:rPr>
                <w:rFonts w:hint="eastAsia"/>
                <w:szCs w:val="21"/>
                <w:lang w:eastAsia="zh-CN"/>
              </w:rPr>
              <w:t>污水处理站</w:t>
            </w:r>
            <w:r>
              <w:rPr>
                <w:szCs w:val="21"/>
                <w:lang w:eastAsia="zh-CN"/>
              </w:rPr>
              <w:t>后用于</w:t>
            </w:r>
            <w:r>
              <w:rPr>
                <w:rFonts w:hint="eastAsia"/>
                <w:szCs w:val="21"/>
                <w:lang w:eastAsia="zh-CN"/>
              </w:rPr>
              <w:t>厂区绿化、鸡舍冲洗、湿帘降温和洒水抑尘</w:t>
            </w:r>
            <w:r>
              <w:rPr>
                <w:szCs w:val="21"/>
                <w:lang w:eastAsia="zh-CN"/>
              </w:rPr>
              <w:t>。</w:t>
            </w:r>
          </w:p>
        </w:tc>
        <w:tc>
          <w:tcPr>
            <w:tcW w:w="1666" w:type="dxa"/>
            <w:tcBorders>
              <w:top w:val="single" w:color="auto" w:sz="4" w:space="0"/>
              <w:left w:val="single" w:color="auto" w:sz="4" w:space="0"/>
              <w:bottom w:val="single" w:color="auto" w:sz="4" w:space="0"/>
              <w:right w:val="single" w:color="auto" w:sz="4" w:space="0"/>
            </w:tcBorders>
            <w:vAlign w:val="center"/>
          </w:tcPr>
          <w:p w14:paraId="18E00614">
            <w:pPr>
              <w:pStyle w:val="357"/>
              <w:rPr>
                <w:szCs w:val="21"/>
                <w:lang w:eastAsia="zh-CN"/>
              </w:rPr>
            </w:pPr>
            <w:r>
              <w:rPr>
                <w:rFonts w:hint="eastAsia"/>
                <w:szCs w:val="21"/>
                <w:lang w:eastAsia="zh-CN"/>
              </w:rPr>
              <w:t>处理达标后回用于厂区绿化、鸡舍冲洗、湿帘降温和洒水抑尘</w:t>
            </w:r>
          </w:p>
        </w:tc>
      </w:tr>
      <w:tr w14:paraId="7741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5907EC1C">
            <w:pPr>
              <w:pStyle w:val="357"/>
              <w:rPr>
                <w:szCs w:val="21"/>
                <w:lang w:eastAsia="zh-CN"/>
              </w:rPr>
            </w:pPr>
          </w:p>
        </w:tc>
        <w:tc>
          <w:tcPr>
            <w:tcW w:w="2092" w:type="dxa"/>
            <w:gridSpan w:val="3"/>
            <w:tcBorders>
              <w:left w:val="single" w:color="auto" w:sz="4" w:space="0"/>
              <w:right w:val="single" w:color="auto" w:sz="4" w:space="0"/>
            </w:tcBorders>
            <w:vAlign w:val="center"/>
          </w:tcPr>
          <w:p w14:paraId="6F939718">
            <w:pPr>
              <w:pStyle w:val="357"/>
              <w:rPr>
                <w:szCs w:val="21"/>
              </w:rPr>
            </w:pPr>
            <w:r>
              <w:rPr>
                <w:szCs w:val="21"/>
              </w:rPr>
              <w:t>供电</w:t>
            </w:r>
          </w:p>
        </w:tc>
        <w:tc>
          <w:tcPr>
            <w:tcW w:w="5103" w:type="dxa"/>
            <w:tcBorders>
              <w:top w:val="single" w:color="auto" w:sz="4" w:space="0"/>
              <w:left w:val="single" w:color="auto" w:sz="4" w:space="0"/>
              <w:bottom w:val="single" w:color="auto" w:sz="4" w:space="0"/>
              <w:right w:val="single" w:color="auto" w:sz="4" w:space="0"/>
            </w:tcBorders>
            <w:vAlign w:val="center"/>
          </w:tcPr>
          <w:p w14:paraId="4B7C3ADD">
            <w:pPr>
              <w:pStyle w:val="357"/>
              <w:rPr>
                <w:szCs w:val="21"/>
                <w:lang w:eastAsia="zh-CN"/>
              </w:rPr>
            </w:pPr>
            <w:r>
              <w:rPr>
                <w:szCs w:val="21"/>
                <w:lang w:eastAsia="zh-CN"/>
              </w:rPr>
              <w:t>生产、生活用电直接从附近10kV线路接入；厂区设配电室、发电机房，安装5台800KVA</w:t>
            </w:r>
            <w:r>
              <w:rPr>
                <w:rFonts w:hint="eastAsia"/>
                <w:szCs w:val="21"/>
                <w:lang w:eastAsia="zh-CN"/>
              </w:rPr>
              <w:t>、2台6</w:t>
            </w:r>
            <w:r>
              <w:rPr>
                <w:szCs w:val="21"/>
                <w:lang w:eastAsia="zh-CN"/>
              </w:rPr>
              <w:t>30KVA</w:t>
            </w:r>
            <w:r>
              <w:rPr>
                <w:rFonts w:hint="eastAsia"/>
                <w:szCs w:val="21"/>
                <w:lang w:eastAsia="zh-CN"/>
              </w:rPr>
              <w:t>、1台3</w:t>
            </w:r>
            <w:r>
              <w:rPr>
                <w:szCs w:val="21"/>
                <w:lang w:eastAsia="zh-CN"/>
              </w:rPr>
              <w:t>15LVA变压器</w:t>
            </w:r>
          </w:p>
        </w:tc>
        <w:tc>
          <w:tcPr>
            <w:tcW w:w="1666" w:type="dxa"/>
            <w:tcBorders>
              <w:top w:val="single" w:color="auto" w:sz="4" w:space="0"/>
              <w:left w:val="single" w:color="auto" w:sz="4" w:space="0"/>
              <w:bottom w:val="single" w:color="auto" w:sz="4" w:space="0"/>
              <w:right w:val="single" w:color="auto" w:sz="4" w:space="0"/>
            </w:tcBorders>
            <w:vAlign w:val="center"/>
          </w:tcPr>
          <w:p w14:paraId="54149D53">
            <w:pPr>
              <w:pStyle w:val="357"/>
              <w:rPr>
                <w:szCs w:val="21"/>
                <w:lang w:eastAsia="zh-CN"/>
              </w:rPr>
            </w:pPr>
            <w:r>
              <w:rPr>
                <w:rFonts w:hint="eastAsia"/>
                <w:szCs w:val="21"/>
                <w:lang w:eastAsia="zh-CN"/>
              </w:rPr>
              <w:t>共8台变压器</w:t>
            </w:r>
          </w:p>
        </w:tc>
      </w:tr>
      <w:tr w14:paraId="7FEB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3614F7A2">
            <w:pPr>
              <w:pStyle w:val="357"/>
              <w:rPr>
                <w:szCs w:val="21"/>
                <w:lang w:eastAsia="zh-CN"/>
              </w:rPr>
            </w:pPr>
          </w:p>
        </w:tc>
        <w:tc>
          <w:tcPr>
            <w:tcW w:w="2092" w:type="dxa"/>
            <w:gridSpan w:val="3"/>
            <w:tcBorders>
              <w:left w:val="single" w:color="auto" w:sz="4" w:space="0"/>
              <w:right w:val="single" w:color="auto" w:sz="4" w:space="0"/>
            </w:tcBorders>
            <w:vAlign w:val="center"/>
          </w:tcPr>
          <w:p w14:paraId="2E1B5CB1">
            <w:pPr>
              <w:pStyle w:val="357"/>
              <w:rPr>
                <w:szCs w:val="21"/>
              </w:rPr>
            </w:pPr>
            <w:r>
              <w:rPr>
                <w:rFonts w:hint="eastAsia"/>
                <w:szCs w:val="21"/>
                <w:lang w:eastAsia="zh-CN"/>
              </w:rPr>
              <w:t>供气</w:t>
            </w:r>
          </w:p>
        </w:tc>
        <w:tc>
          <w:tcPr>
            <w:tcW w:w="5103" w:type="dxa"/>
            <w:tcBorders>
              <w:top w:val="single" w:color="auto" w:sz="4" w:space="0"/>
              <w:left w:val="single" w:color="auto" w:sz="4" w:space="0"/>
              <w:bottom w:val="single" w:color="auto" w:sz="4" w:space="0"/>
              <w:right w:val="single" w:color="auto" w:sz="4" w:space="0"/>
            </w:tcBorders>
            <w:vAlign w:val="center"/>
          </w:tcPr>
          <w:p w14:paraId="77CBCDA9">
            <w:pPr>
              <w:pStyle w:val="357"/>
              <w:rPr>
                <w:szCs w:val="21"/>
                <w:lang w:eastAsia="zh-CN"/>
              </w:rPr>
            </w:pPr>
            <w:r>
              <w:rPr>
                <w:rFonts w:hint="eastAsia"/>
                <w:szCs w:val="21"/>
                <w:lang w:eastAsia="zh-CN"/>
              </w:rPr>
              <w:t>当地天然气加气站供给</w:t>
            </w:r>
            <w:r>
              <w:rPr>
                <w:rFonts w:hint="eastAsia"/>
                <w:lang w:eastAsia="zh-CN"/>
              </w:rPr>
              <w:t>(本项目不涉及管线工程，天然气管线工程另行评价）</w:t>
            </w:r>
          </w:p>
        </w:tc>
        <w:tc>
          <w:tcPr>
            <w:tcW w:w="1666" w:type="dxa"/>
            <w:tcBorders>
              <w:top w:val="single" w:color="auto" w:sz="4" w:space="0"/>
              <w:left w:val="single" w:color="auto" w:sz="4" w:space="0"/>
              <w:bottom w:val="single" w:color="auto" w:sz="4" w:space="0"/>
              <w:right w:val="single" w:color="auto" w:sz="4" w:space="0"/>
            </w:tcBorders>
            <w:vAlign w:val="center"/>
          </w:tcPr>
          <w:p w14:paraId="6DA163B9">
            <w:pPr>
              <w:pStyle w:val="357"/>
              <w:rPr>
                <w:szCs w:val="21"/>
                <w:lang w:eastAsia="zh-CN"/>
              </w:rPr>
            </w:pPr>
            <w:r>
              <w:rPr>
                <w:rFonts w:hint="eastAsia"/>
                <w:szCs w:val="21"/>
                <w:lang w:eastAsia="zh-CN"/>
              </w:rPr>
              <w:t>加气站管线输送至锅炉</w:t>
            </w:r>
          </w:p>
        </w:tc>
      </w:tr>
      <w:tr w14:paraId="14D2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vMerge w:val="continue"/>
            <w:tcBorders>
              <w:left w:val="single" w:color="auto" w:sz="4" w:space="0"/>
              <w:right w:val="single" w:color="auto" w:sz="4" w:space="0"/>
            </w:tcBorders>
            <w:vAlign w:val="center"/>
          </w:tcPr>
          <w:p w14:paraId="560874AF">
            <w:pPr>
              <w:pStyle w:val="357"/>
              <w:rPr>
                <w:szCs w:val="21"/>
                <w:lang w:eastAsia="zh-CN"/>
              </w:rPr>
            </w:pPr>
          </w:p>
        </w:tc>
        <w:tc>
          <w:tcPr>
            <w:tcW w:w="2092" w:type="dxa"/>
            <w:gridSpan w:val="3"/>
            <w:tcBorders>
              <w:left w:val="single" w:color="auto" w:sz="4" w:space="0"/>
              <w:right w:val="single" w:color="auto" w:sz="4" w:space="0"/>
            </w:tcBorders>
            <w:vAlign w:val="center"/>
          </w:tcPr>
          <w:p w14:paraId="06917084">
            <w:pPr>
              <w:pStyle w:val="357"/>
              <w:rPr>
                <w:szCs w:val="21"/>
              </w:rPr>
            </w:pPr>
            <w:r>
              <w:rPr>
                <w:szCs w:val="21"/>
              </w:rPr>
              <w:t>供暖</w:t>
            </w:r>
          </w:p>
        </w:tc>
        <w:tc>
          <w:tcPr>
            <w:tcW w:w="5103" w:type="dxa"/>
            <w:tcBorders>
              <w:top w:val="single" w:color="auto" w:sz="4" w:space="0"/>
              <w:left w:val="single" w:color="auto" w:sz="4" w:space="0"/>
              <w:bottom w:val="single" w:color="auto" w:sz="4" w:space="0"/>
              <w:right w:val="single" w:color="auto" w:sz="4" w:space="0"/>
            </w:tcBorders>
            <w:vAlign w:val="center"/>
          </w:tcPr>
          <w:p w14:paraId="7074626A">
            <w:pPr>
              <w:pStyle w:val="357"/>
              <w:jc w:val="both"/>
              <w:rPr>
                <w:szCs w:val="21"/>
                <w:lang w:eastAsia="zh-CN"/>
              </w:rPr>
            </w:pPr>
            <w:r>
              <w:rPr>
                <w:szCs w:val="21"/>
                <w:lang w:eastAsia="zh-CN"/>
              </w:rPr>
              <w:t>蛋鸡舍、雏鸡舍、办公室、宿舍、保鲜库、蛋库冬季采用天然气锅炉取暖，本项目设置3台3t的天然气</w:t>
            </w:r>
            <w:r>
              <w:rPr>
                <w:rStyle w:val="99"/>
                <w:lang w:eastAsia="zh-CN"/>
              </w:rPr>
              <w:t>锅炉</w:t>
            </w:r>
            <w:r>
              <w:rPr>
                <w:rStyle w:val="99"/>
                <w:rFonts w:hint="eastAsia"/>
                <w:lang w:eastAsia="zh-CN"/>
              </w:rPr>
              <w:t>，</w:t>
            </w:r>
            <w:r>
              <w:rPr>
                <w:rStyle w:val="99"/>
                <w:lang w:eastAsia="zh-CN"/>
              </w:rPr>
              <w:t>1</w:t>
            </w:r>
            <w:r>
              <w:rPr>
                <w:rStyle w:val="99"/>
                <w:rFonts w:hint="eastAsia"/>
                <w:lang w:eastAsia="zh-CN"/>
              </w:rPr>
              <w:t>台0</w:t>
            </w:r>
            <w:r>
              <w:rPr>
                <w:rStyle w:val="99"/>
                <w:lang w:eastAsia="zh-CN"/>
              </w:rPr>
              <w:t>.5</w:t>
            </w:r>
            <w:r>
              <w:rPr>
                <w:rStyle w:val="99"/>
                <w:rFonts w:hint="eastAsia"/>
                <w:lang w:eastAsia="zh-CN"/>
              </w:rPr>
              <w:t>t的电锅炉</w:t>
            </w:r>
            <w:r>
              <w:rPr>
                <w:rStyle w:val="99"/>
                <w:lang w:eastAsia="zh-CN"/>
              </w:rPr>
              <w:t>，天然气</w:t>
            </w:r>
            <w:r>
              <w:rPr>
                <w:rFonts w:hint="eastAsia"/>
                <w:szCs w:val="21"/>
                <w:lang w:eastAsia="zh-CN"/>
              </w:rPr>
              <w:t>由当地加气站管线输送至厂区内</w:t>
            </w:r>
          </w:p>
        </w:tc>
        <w:tc>
          <w:tcPr>
            <w:tcW w:w="1666" w:type="dxa"/>
            <w:tcBorders>
              <w:top w:val="single" w:color="auto" w:sz="4" w:space="0"/>
              <w:left w:val="single" w:color="auto" w:sz="4" w:space="0"/>
              <w:bottom w:val="single" w:color="auto" w:sz="4" w:space="0"/>
              <w:right w:val="single" w:color="auto" w:sz="4" w:space="0"/>
            </w:tcBorders>
            <w:vAlign w:val="center"/>
          </w:tcPr>
          <w:p w14:paraId="42A03AD1">
            <w:pPr>
              <w:pStyle w:val="357"/>
              <w:rPr>
                <w:szCs w:val="21"/>
                <w:lang w:eastAsia="zh-CN"/>
              </w:rPr>
            </w:pPr>
            <w:r>
              <w:rPr>
                <w:rFonts w:hint="eastAsia"/>
                <w:szCs w:val="21"/>
                <w:lang w:eastAsia="zh-CN"/>
              </w:rPr>
              <w:t>/</w:t>
            </w:r>
          </w:p>
        </w:tc>
      </w:tr>
      <w:tr w14:paraId="2771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3ED298D9">
            <w:pPr>
              <w:pStyle w:val="357"/>
              <w:rPr>
                <w:szCs w:val="21"/>
                <w:lang w:eastAsia="zh-CN"/>
              </w:rPr>
            </w:pPr>
          </w:p>
        </w:tc>
        <w:tc>
          <w:tcPr>
            <w:tcW w:w="2092" w:type="dxa"/>
            <w:gridSpan w:val="3"/>
            <w:tcBorders>
              <w:left w:val="single" w:color="auto" w:sz="4" w:space="0"/>
              <w:right w:val="single" w:color="auto" w:sz="4" w:space="0"/>
            </w:tcBorders>
            <w:vAlign w:val="center"/>
          </w:tcPr>
          <w:p w14:paraId="7FEC4A1D">
            <w:pPr>
              <w:pStyle w:val="357"/>
              <w:rPr>
                <w:szCs w:val="21"/>
                <w:lang w:eastAsia="zh-CN"/>
              </w:rPr>
            </w:pPr>
            <w:r>
              <w:rPr>
                <w:szCs w:val="21"/>
                <w:lang w:eastAsia="zh-CN"/>
              </w:rPr>
              <w:t>通风</w:t>
            </w:r>
          </w:p>
        </w:tc>
        <w:tc>
          <w:tcPr>
            <w:tcW w:w="5103" w:type="dxa"/>
            <w:tcBorders>
              <w:top w:val="single" w:color="auto" w:sz="4" w:space="0"/>
              <w:left w:val="single" w:color="auto" w:sz="4" w:space="0"/>
              <w:bottom w:val="single" w:color="auto" w:sz="4" w:space="0"/>
              <w:right w:val="single" w:color="auto" w:sz="4" w:space="0"/>
            </w:tcBorders>
            <w:vAlign w:val="center"/>
          </w:tcPr>
          <w:p w14:paraId="5B11613E">
            <w:pPr>
              <w:pStyle w:val="357"/>
              <w:rPr>
                <w:szCs w:val="21"/>
                <w:lang w:eastAsia="zh-CN"/>
              </w:rPr>
            </w:pPr>
            <w:r>
              <w:rPr>
                <w:szCs w:val="21"/>
              </w:rPr>
              <w:t>各鸡舍配备换气扇</w:t>
            </w:r>
          </w:p>
        </w:tc>
        <w:tc>
          <w:tcPr>
            <w:tcW w:w="1666" w:type="dxa"/>
            <w:tcBorders>
              <w:top w:val="single" w:color="auto" w:sz="4" w:space="0"/>
              <w:left w:val="single" w:color="auto" w:sz="4" w:space="0"/>
              <w:bottom w:val="single" w:color="auto" w:sz="4" w:space="0"/>
              <w:right w:val="single" w:color="auto" w:sz="4" w:space="0"/>
            </w:tcBorders>
            <w:vAlign w:val="center"/>
          </w:tcPr>
          <w:p w14:paraId="3239F08C">
            <w:pPr>
              <w:pStyle w:val="357"/>
              <w:rPr>
                <w:szCs w:val="21"/>
                <w:lang w:eastAsia="zh-CN"/>
              </w:rPr>
            </w:pPr>
            <w:r>
              <w:rPr>
                <w:rFonts w:hint="eastAsia"/>
                <w:szCs w:val="21"/>
                <w:lang w:eastAsia="zh-CN"/>
              </w:rPr>
              <w:t>/</w:t>
            </w:r>
          </w:p>
        </w:tc>
      </w:tr>
      <w:tr w14:paraId="4F0B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restart"/>
            <w:tcBorders>
              <w:top w:val="single" w:color="auto" w:sz="4" w:space="0"/>
              <w:left w:val="single" w:color="auto" w:sz="4" w:space="0"/>
              <w:right w:val="single" w:color="auto" w:sz="4" w:space="0"/>
            </w:tcBorders>
            <w:vAlign w:val="center"/>
          </w:tcPr>
          <w:p w14:paraId="41498F90">
            <w:pPr>
              <w:pStyle w:val="357"/>
              <w:rPr>
                <w:szCs w:val="21"/>
              </w:rPr>
            </w:pPr>
            <w:r>
              <w:rPr>
                <w:szCs w:val="21"/>
              </w:rPr>
              <w:t>环保</w:t>
            </w:r>
          </w:p>
          <w:p w14:paraId="64DEC3D2">
            <w:pPr>
              <w:pStyle w:val="357"/>
              <w:rPr>
                <w:szCs w:val="21"/>
              </w:rPr>
            </w:pPr>
            <w:r>
              <w:rPr>
                <w:szCs w:val="21"/>
              </w:rPr>
              <w:t>工程</w:t>
            </w:r>
          </w:p>
        </w:tc>
        <w:tc>
          <w:tcPr>
            <w:tcW w:w="675" w:type="dxa"/>
            <w:vMerge w:val="restart"/>
            <w:tcBorders>
              <w:top w:val="single" w:color="auto" w:sz="4" w:space="0"/>
              <w:left w:val="single" w:color="auto" w:sz="4" w:space="0"/>
              <w:right w:val="single" w:color="auto" w:sz="4" w:space="0"/>
            </w:tcBorders>
            <w:vAlign w:val="center"/>
          </w:tcPr>
          <w:p w14:paraId="3C0E1E2B">
            <w:pPr>
              <w:pStyle w:val="357"/>
              <w:rPr>
                <w:szCs w:val="21"/>
              </w:rPr>
            </w:pPr>
            <w:r>
              <w:rPr>
                <w:szCs w:val="21"/>
              </w:rPr>
              <w:t>废气处理</w:t>
            </w:r>
          </w:p>
        </w:tc>
        <w:tc>
          <w:tcPr>
            <w:tcW w:w="1417" w:type="dxa"/>
            <w:gridSpan w:val="2"/>
            <w:tcBorders>
              <w:top w:val="single" w:color="auto" w:sz="4" w:space="0"/>
              <w:left w:val="single" w:color="auto" w:sz="4" w:space="0"/>
              <w:right w:val="single" w:color="auto" w:sz="4" w:space="0"/>
            </w:tcBorders>
            <w:vAlign w:val="center"/>
          </w:tcPr>
          <w:p w14:paraId="34C3E60C">
            <w:pPr>
              <w:pStyle w:val="357"/>
              <w:rPr>
                <w:szCs w:val="21"/>
              </w:rPr>
            </w:pPr>
            <w:r>
              <w:rPr>
                <w:szCs w:val="21"/>
                <w:lang w:eastAsia="zh-CN"/>
              </w:rPr>
              <w:t>食堂油烟</w:t>
            </w:r>
          </w:p>
        </w:tc>
        <w:tc>
          <w:tcPr>
            <w:tcW w:w="5103" w:type="dxa"/>
            <w:tcBorders>
              <w:top w:val="single" w:color="auto" w:sz="4" w:space="0"/>
              <w:left w:val="single" w:color="auto" w:sz="4" w:space="0"/>
              <w:bottom w:val="single" w:color="auto" w:sz="4" w:space="0"/>
              <w:right w:val="single" w:color="auto" w:sz="4" w:space="0"/>
            </w:tcBorders>
            <w:vAlign w:val="center"/>
          </w:tcPr>
          <w:p w14:paraId="73163D75">
            <w:pPr>
              <w:pStyle w:val="357"/>
              <w:rPr>
                <w:szCs w:val="21"/>
                <w:lang w:eastAsia="zh-CN"/>
              </w:rPr>
            </w:pPr>
            <w:r>
              <w:rPr>
                <w:szCs w:val="21"/>
                <w:lang w:eastAsia="zh-CN"/>
              </w:rPr>
              <w:t>经油烟净化装置处理后经高于屋顶1.5m排气筒</w:t>
            </w:r>
            <w:r>
              <w:rPr>
                <w:rFonts w:hint="eastAsia"/>
                <w:szCs w:val="21"/>
                <w:lang w:eastAsia="zh-CN"/>
              </w:rPr>
              <w:t>（D</w:t>
            </w:r>
            <w:r>
              <w:rPr>
                <w:szCs w:val="21"/>
                <w:lang w:eastAsia="zh-CN"/>
              </w:rPr>
              <w:t>A003</w:t>
            </w:r>
            <w:r>
              <w:rPr>
                <w:rFonts w:hint="eastAsia"/>
                <w:szCs w:val="21"/>
                <w:lang w:eastAsia="zh-CN"/>
              </w:rPr>
              <w:t>）</w:t>
            </w:r>
            <w:r>
              <w:rPr>
                <w:szCs w:val="21"/>
                <w:lang w:eastAsia="zh-CN"/>
              </w:rPr>
              <w:t>排放</w:t>
            </w:r>
          </w:p>
        </w:tc>
        <w:tc>
          <w:tcPr>
            <w:tcW w:w="1666" w:type="dxa"/>
            <w:tcBorders>
              <w:top w:val="single" w:color="auto" w:sz="4" w:space="0"/>
              <w:left w:val="single" w:color="auto" w:sz="4" w:space="0"/>
              <w:bottom w:val="single" w:color="auto" w:sz="4" w:space="0"/>
              <w:right w:val="single" w:color="auto" w:sz="4" w:space="0"/>
            </w:tcBorders>
            <w:vAlign w:val="center"/>
          </w:tcPr>
          <w:p w14:paraId="72E15D22">
            <w:pPr>
              <w:pStyle w:val="357"/>
              <w:rPr>
                <w:szCs w:val="21"/>
                <w:lang w:eastAsia="zh-CN"/>
              </w:rPr>
            </w:pPr>
            <w:r>
              <w:rPr>
                <w:rFonts w:hint="eastAsia"/>
                <w:szCs w:val="21"/>
                <w:lang w:eastAsia="zh-CN"/>
              </w:rPr>
              <w:t>/</w:t>
            </w:r>
          </w:p>
        </w:tc>
      </w:tr>
      <w:tr w14:paraId="7DD3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4FF2CBAD">
            <w:pPr>
              <w:pStyle w:val="357"/>
              <w:rPr>
                <w:szCs w:val="21"/>
                <w:lang w:eastAsia="zh-CN"/>
              </w:rPr>
            </w:pPr>
          </w:p>
        </w:tc>
        <w:tc>
          <w:tcPr>
            <w:tcW w:w="675" w:type="dxa"/>
            <w:vMerge w:val="continue"/>
            <w:tcBorders>
              <w:left w:val="single" w:color="auto" w:sz="4" w:space="0"/>
              <w:right w:val="single" w:color="auto" w:sz="4" w:space="0"/>
            </w:tcBorders>
            <w:vAlign w:val="center"/>
          </w:tcPr>
          <w:p w14:paraId="1D2C5409">
            <w:pPr>
              <w:pStyle w:val="357"/>
              <w:rPr>
                <w:szCs w:val="21"/>
                <w:lang w:eastAsia="zh-CN"/>
              </w:rPr>
            </w:pPr>
          </w:p>
        </w:tc>
        <w:tc>
          <w:tcPr>
            <w:tcW w:w="1417" w:type="dxa"/>
            <w:gridSpan w:val="2"/>
            <w:tcBorders>
              <w:left w:val="single" w:color="auto" w:sz="4" w:space="0"/>
              <w:right w:val="single" w:color="auto" w:sz="4" w:space="0"/>
            </w:tcBorders>
            <w:vAlign w:val="center"/>
          </w:tcPr>
          <w:p w14:paraId="7CC66A71">
            <w:pPr>
              <w:pStyle w:val="357"/>
              <w:rPr>
                <w:szCs w:val="21"/>
                <w:lang w:eastAsia="zh-CN"/>
              </w:rPr>
            </w:pPr>
            <w:r>
              <w:rPr>
                <w:rFonts w:eastAsiaTheme="minorEastAsia"/>
                <w:szCs w:val="21"/>
              </w:rPr>
              <w:t>鸡舍恶臭</w:t>
            </w:r>
          </w:p>
        </w:tc>
        <w:tc>
          <w:tcPr>
            <w:tcW w:w="5103" w:type="dxa"/>
            <w:tcBorders>
              <w:top w:val="single" w:color="auto" w:sz="4" w:space="0"/>
              <w:left w:val="single" w:color="auto" w:sz="4" w:space="0"/>
              <w:bottom w:val="single" w:color="auto" w:sz="4" w:space="0"/>
              <w:right w:val="single" w:color="auto" w:sz="4" w:space="0"/>
            </w:tcBorders>
            <w:vAlign w:val="center"/>
          </w:tcPr>
          <w:p w14:paraId="3DC942AE">
            <w:pPr>
              <w:widowControl w:val="0"/>
              <w:autoSpaceDE w:val="0"/>
              <w:autoSpaceDN w:val="0"/>
              <w:adjustRightInd w:val="0"/>
              <w:spacing w:line="240" w:lineRule="auto"/>
              <w:ind w:firstLine="0" w:firstLineChars="0"/>
              <w:jc w:val="both"/>
              <w:rPr>
                <w:rFonts w:eastAsiaTheme="minorEastAsia"/>
                <w:sz w:val="21"/>
                <w:szCs w:val="21"/>
              </w:rPr>
            </w:pPr>
            <w:r>
              <w:rPr>
                <w:rFonts w:hint="eastAsia" w:eastAsiaTheme="minorEastAsia"/>
                <w:kern w:val="0"/>
                <w:sz w:val="21"/>
                <w:szCs w:val="21"/>
              </w:rPr>
              <w:t>①</w:t>
            </w:r>
            <w:r>
              <w:rPr>
                <w:rFonts w:eastAsiaTheme="minorEastAsia"/>
                <w:kern w:val="0"/>
                <w:sz w:val="21"/>
                <w:szCs w:val="21"/>
              </w:rPr>
              <w:t>选用益生菌配方饲料；</w:t>
            </w:r>
            <w:r>
              <w:rPr>
                <w:rFonts w:hint="eastAsia" w:eastAsiaTheme="minorEastAsia"/>
                <w:kern w:val="0"/>
                <w:sz w:val="21"/>
                <w:szCs w:val="21"/>
              </w:rPr>
              <w:t>②</w:t>
            </w:r>
            <w:r>
              <w:rPr>
                <w:rFonts w:eastAsiaTheme="minorEastAsia"/>
                <w:kern w:val="0"/>
                <w:sz w:val="21"/>
                <w:szCs w:val="21"/>
              </w:rPr>
              <w:t>及时清运粪污；</w:t>
            </w:r>
            <w:r>
              <w:rPr>
                <w:rFonts w:hint="eastAsia" w:eastAsiaTheme="minorEastAsia"/>
                <w:kern w:val="0"/>
                <w:sz w:val="21"/>
                <w:szCs w:val="21"/>
              </w:rPr>
              <w:t>③</w:t>
            </w:r>
            <w:r>
              <w:rPr>
                <w:rFonts w:eastAsiaTheme="minorEastAsia"/>
                <w:kern w:val="0"/>
                <w:sz w:val="21"/>
                <w:szCs w:val="21"/>
              </w:rPr>
              <w:t>向舍内定期投入除臭剂；</w:t>
            </w:r>
            <w:r>
              <w:rPr>
                <w:rFonts w:hint="eastAsia" w:eastAsiaTheme="minorEastAsia"/>
                <w:kern w:val="0"/>
                <w:sz w:val="21"/>
                <w:szCs w:val="21"/>
              </w:rPr>
              <w:t>④</w:t>
            </w:r>
            <w:r>
              <w:rPr>
                <w:rFonts w:eastAsiaTheme="minorEastAsia"/>
                <w:kern w:val="0"/>
                <w:sz w:val="21"/>
                <w:szCs w:val="21"/>
              </w:rPr>
              <w:t>周边加强绿化</w:t>
            </w:r>
            <w:r>
              <w:rPr>
                <w:rFonts w:hint="eastAsia" w:eastAsiaTheme="minorEastAsia"/>
                <w:kern w:val="0"/>
                <w:sz w:val="21"/>
                <w:szCs w:val="21"/>
              </w:rPr>
              <w:t>；⑤水雾</w:t>
            </w:r>
            <w:r>
              <w:rPr>
                <w:rFonts w:hint="eastAsia"/>
              </w:rPr>
              <w:t>吸附除臭</w:t>
            </w:r>
            <w:r>
              <w:rPr>
                <w:rFonts w:eastAsiaTheme="minorEastAsia"/>
                <w:kern w:val="0"/>
                <w:sz w:val="21"/>
                <w:szCs w:val="21"/>
              </w:rPr>
              <w:t>。</w:t>
            </w:r>
          </w:p>
        </w:tc>
        <w:tc>
          <w:tcPr>
            <w:tcW w:w="1666" w:type="dxa"/>
            <w:tcBorders>
              <w:top w:val="single" w:color="auto" w:sz="4" w:space="0"/>
              <w:left w:val="single" w:color="auto" w:sz="4" w:space="0"/>
              <w:bottom w:val="single" w:color="auto" w:sz="4" w:space="0"/>
              <w:right w:val="single" w:color="auto" w:sz="4" w:space="0"/>
            </w:tcBorders>
            <w:vAlign w:val="center"/>
          </w:tcPr>
          <w:p w14:paraId="47FE06C9">
            <w:pPr>
              <w:pStyle w:val="357"/>
              <w:rPr>
                <w:szCs w:val="21"/>
                <w:lang w:eastAsia="zh-CN"/>
              </w:rPr>
            </w:pPr>
            <w:r>
              <w:rPr>
                <w:rFonts w:hint="eastAsia"/>
                <w:szCs w:val="21"/>
                <w:lang w:eastAsia="zh-CN"/>
              </w:rPr>
              <w:t>/</w:t>
            </w:r>
          </w:p>
        </w:tc>
      </w:tr>
      <w:tr w14:paraId="5DC3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70BC9B51">
            <w:pPr>
              <w:pStyle w:val="357"/>
              <w:rPr>
                <w:szCs w:val="21"/>
                <w:lang w:eastAsia="zh-CN"/>
              </w:rPr>
            </w:pPr>
          </w:p>
        </w:tc>
        <w:tc>
          <w:tcPr>
            <w:tcW w:w="675" w:type="dxa"/>
            <w:vMerge w:val="continue"/>
            <w:tcBorders>
              <w:left w:val="single" w:color="auto" w:sz="4" w:space="0"/>
              <w:right w:val="single" w:color="auto" w:sz="4" w:space="0"/>
            </w:tcBorders>
            <w:vAlign w:val="center"/>
          </w:tcPr>
          <w:p w14:paraId="25C083C6">
            <w:pPr>
              <w:pStyle w:val="357"/>
              <w:rPr>
                <w:szCs w:val="21"/>
                <w:lang w:eastAsia="zh-CN"/>
              </w:rPr>
            </w:pPr>
          </w:p>
        </w:tc>
        <w:tc>
          <w:tcPr>
            <w:tcW w:w="1417" w:type="dxa"/>
            <w:gridSpan w:val="2"/>
            <w:tcBorders>
              <w:left w:val="single" w:color="auto" w:sz="4" w:space="0"/>
              <w:right w:val="single" w:color="auto" w:sz="4" w:space="0"/>
            </w:tcBorders>
            <w:vAlign w:val="center"/>
          </w:tcPr>
          <w:p w14:paraId="5E148B75">
            <w:pPr>
              <w:pStyle w:val="357"/>
              <w:rPr>
                <w:szCs w:val="21"/>
                <w:lang w:eastAsia="zh-CN"/>
              </w:rPr>
            </w:pPr>
            <w:r>
              <w:rPr>
                <w:rFonts w:hint="eastAsia"/>
                <w:szCs w:val="21"/>
                <w:lang w:eastAsia="zh-CN"/>
              </w:rPr>
              <w:t>有机肥加工车间废气</w:t>
            </w:r>
          </w:p>
        </w:tc>
        <w:tc>
          <w:tcPr>
            <w:tcW w:w="5103" w:type="dxa"/>
            <w:tcBorders>
              <w:top w:val="single" w:color="auto" w:sz="4" w:space="0"/>
              <w:left w:val="single" w:color="auto" w:sz="4" w:space="0"/>
              <w:bottom w:val="single" w:color="auto" w:sz="4" w:space="0"/>
              <w:right w:val="single" w:color="auto" w:sz="4" w:space="0"/>
            </w:tcBorders>
            <w:vAlign w:val="center"/>
          </w:tcPr>
          <w:p w14:paraId="52CEC76B">
            <w:pPr>
              <w:pStyle w:val="357"/>
              <w:jc w:val="both"/>
              <w:rPr>
                <w:rFonts w:eastAsiaTheme="minorEastAsia"/>
                <w:szCs w:val="21"/>
                <w:lang w:eastAsia="zh-CN"/>
              </w:rPr>
            </w:pPr>
            <w:r>
              <w:rPr>
                <w:rFonts w:hint="eastAsia"/>
                <w:lang w:eastAsia="zh-CN"/>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r>
              <w:rPr>
                <w:rFonts w:eastAsiaTheme="minorEastAsia"/>
                <w:szCs w:val="21"/>
                <w:lang w:eastAsia="zh-CN"/>
              </w:rPr>
              <w:t>。</w:t>
            </w:r>
          </w:p>
        </w:tc>
        <w:tc>
          <w:tcPr>
            <w:tcW w:w="1666" w:type="dxa"/>
            <w:tcBorders>
              <w:top w:val="single" w:color="auto" w:sz="4" w:space="0"/>
              <w:left w:val="single" w:color="auto" w:sz="4" w:space="0"/>
              <w:bottom w:val="single" w:color="auto" w:sz="4" w:space="0"/>
              <w:right w:val="single" w:color="auto" w:sz="4" w:space="0"/>
            </w:tcBorders>
            <w:vAlign w:val="center"/>
          </w:tcPr>
          <w:p w14:paraId="351C1533">
            <w:pPr>
              <w:pStyle w:val="357"/>
              <w:rPr>
                <w:szCs w:val="21"/>
                <w:lang w:eastAsia="zh-CN"/>
              </w:rPr>
            </w:pPr>
            <w:r>
              <w:rPr>
                <w:rFonts w:hint="eastAsia"/>
                <w:szCs w:val="21"/>
                <w:lang w:eastAsia="zh-CN"/>
              </w:rPr>
              <w:t>/</w:t>
            </w:r>
          </w:p>
        </w:tc>
      </w:tr>
      <w:tr w14:paraId="35A5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62DB5F8A">
            <w:pPr>
              <w:pStyle w:val="357"/>
              <w:rPr>
                <w:szCs w:val="21"/>
                <w:lang w:eastAsia="zh-CN"/>
              </w:rPr>
            </w:pPr>
          </w:p>
        </w:tc>
        <w:tc>
          <w:tcPr>
            <w:tcW w:w="675" w:type="dxa"/>
            <w:vMerge w:val="continue"/>
            <w:tcBorders>
              <w:left w:val="single" w:color="auto" w:sz="4" w:space="0"/>
              <w:right w:val="single" w:color="auto" w:sz="4" w:space="0"/>
            </w:tcBorders>
            <w:vAlign w:val="center"/>
          </w:tcPr>
          <w:p w14:paraId="7F5C160B">
            <w:pPr>
              <w:pStyle w:val="357"/>
              <w:rPr>
                <w:szCs w:val="21"/>
                <w:lang w:eastAsia="zh-CN"/>
              </w:rPr>
            </w:pPr>
          </w:p>
        </w:tc>
        <w:tc>
          <w:tcPr>
            <w:tcW w:w="1417" w:type="dxa"/>
            <w:gridSpan w:val="2"/>
            <w:tcBorders>
              <w:left w:val="single" w:color="auto" w:sz="4" w:space="0"/>
              <w:right w:val="single" w:color="auto" w:sz="4" w:space="0"/>
            </w:tcBorders>
            <w:vAlign w:val="center"/>
          </w:tcPr>
          <w:p w14:paraId="40ADEFE0">
            <w:pPr>
              <w:pStyle w:val="357"/>
              <w:rPr>
                <w:szCs w:val="21"/>
                <w:lang w:eastAsia="zh-CN"/>
              </w:rPr>
            </w:pPr>
            <w:r>
              <w:rPr>
                <w:szCs w:val="21"/>
                <w:lang w:eastAsia="zh-CN"/>
              </w:rPr>
              <w:t>饲料加工粉尘</w:t>
            </w:r>
          </w:p>
        </w:tc>
        <w:tc>
          <w:tcPr>
            <w:tcW w:w="5103" w:type="dxa"/>
            <w:tcBorders>
              <w:top w:val="single" w:color="auto" w:sz="4" w:space="0"/>
              <w:left w:val="single" w:color="auto" w:sz="4" w:space="0"/>
              <w:bottom w:val="single" w:color="auto" w:sz="4" w:space="0"/>
              <w:right w:val="single" w:color="auto" w:sz="4" w:space="0"/>
            </w:tcBorders>
            <w:vAlign w:val="center"/>
          </w:tcPr>
          <w:p w14:paraId="6898E8F9">
            <w:pPr>
              <w:pStyle w:val="357"/>
              <w:rPr>
                <w:rFonts w:eastAsiaTheme="minorEastAsia"/>
                <w:szCs w:val="21"/>
                <w:lang w:eastAsia="zh-CN"/>
              </w:rPr>
            </w:pPr>
            <w:r>
              <w:rPr>
                <w:szCs w:val="21"/>
                <w:lang w:eastAsia="zh-CN"/>
              </w:rPr>
              <w:t>经布袋除尘处理后由15m高排气筒</w:t>
            </w:r>
            <w:r>
              <w:rPr>
                <w:rFonts w:hint="eastAsia"/>
                <w:szCs w:val="21"/>
                <w:lang w:eastAsia="zh-CN"/>
              </w:rPr>
              <w:t>（D</w:t>
            </w:r>
            <w:r>
              <w:rPr>
                <w:szCs w:val="21"/>
                <w:lang w:eastAsia="zh-CN"/>
              </w:rPr>
              <w:t>A001</w:t>
            </w:r>
            <w:r>
              <w:rPr>
                <w:rFonts w:hint="eastAsia"/>
                <w:szCs w:val="21"/>
                <w:lang w:eastAsia="zh-CN"/>
              </w:rPr>
              <w:t>）</w:t>
            </w:r>
            <w:r>
              <w:rPr>
                <w:szCs w:val="21"/>
                <w:lang w:eastAsia="zh-CN"/>
              </w:rPr>
              <w:t>排放</w:t>
            </w:r>
            <w:r>
              <w:rPr>
                <w:rFonts w:eastAsiaTheme="minorEastAsia"/>
                <w:szCs w:val="21"/>
                <w:lang w:eastAsia="zh-CN"/>
              </w:rPr>
              <w:t>。</w:t>
            </w:r>
          </w:p>
        </w:tc>
        <w:tc>
          <w:tcPr>
            <w:tcW w:w="1666" w:type="dxa"/>
            <w:tcBorders>
              <w:top w:val="single" w:color="auto" w:sz="4" w:space="0"/>
              <w:left w:val="single" w:color="auto" w:sz="4" w:space="0"/>
              <w:bottom w:val="single" w:color="auto" w:sz="4" w:space="0"/>
              <w:right w:val="single" w:color="auto" w:sz="4" w:space="0"/>
            </w:tcBorders>
            <w:vAlign w:val="center"/>
          </w:tcPr>
          <w:p w14:paraId="13169119">
            <w:pPr>
              <w:pStyle w:val="357"/>
              <w:rPr>
                <w:szCs w:val="21"/>
                <w:lang w:eastAsia="zh-CN"/>
              </w:rPr>
            </w:pPr>
            <w:r>
              <w:rPr>
                <w:rFonts w:hint="eastAsia"/>
                <w:szCs w:val="21"/>
                <w:lang w:eastAsia="zh-CN"/>
              </w:rPr>
              <w:t>/</w:t>
            </w:r>
          </w:p>
        </w:tc>
      </w:tr>
      <w:tr w14:paraId="2569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56F5AF6D">
            <w:pPr>
              <w:pStyle w:val="357"/>
              <w:rPr>
                <w:szCs w:val="21"/>
                <w:lang w:eastAsia="zh-CN"/>
              </w:rPr>
            </w:pPr>
          </w:p>
        </w:tc>
        <w:tc>
          <w:tcPr>
            <w:tcW w:w="675" w:type="dxa"/>
            <w:vMerge w:val="continue"/>
            <w:tcBorders>
              <w:left w:val="single" w:color="auto" w:sz="4" w:space="0"/>
              <w:right w:val="single" w:color="auto" w:sz="4" w:space="0"/>
            </w:tcBorders>
            <w:vAlign w:val="center"/>
          </w:tcPr>
          <w:p w14:paraId="16A71A4E">
            <w:pPr>
              <w:pStyle w:val="357"/>
              <w:rPr>
                <w:szCs w:val="21"/>
                <w:lang w:eastAsia="zh-CN"/>
              </w:rPr>
            </w:pPr>
          </w:p>
        </w:tc>
        <w:tc>
          <w:tcPr>
            <w:tcW w:w="1417" w:type="dxa"/>
            <w:gridSpan w:val="2"/>
            <w:tcBorders>
              <w:left w:val="single" w:color="auto" w:sz="4" w:space="0"/>
              <w:right w:val="single" w:color="auto" w:sz="4" w:space="0"/>
            </w:tcBorders>
            <w:vAlign w:val="center"/>
          </w:tcPr>
          <w:p w14:paraId="739B6E77">
            <w:pPr>
              <w:pStyle w:val="357"/>
              <w:rPr>
                <w:szCs w:val="21"/>
                <w:lang w:eastAsia="zh-CN"/>
              </w:rPr>
            </w:pPr>
            <w:r>
              <w:rPr>
                <w:szCs w:val="21"/>
                <w:lang w:eastAsia="zh-CN"/>
              </w:rPr>
              <w:t>锅炉烟气</w:t>
            </w:r>
          </w:p>
        </w:tc>
        <w:tc>
          <w:tcPr>
            <w:tcW w:w="5103" w:type="dxa"/>
            <w:tcBorders>
              <w:top w:val="single" w:color="auto" w:sz="4" w:space="0"/>
              <w:left w:val="single" w:color="auto" w:sz="4" w:space="0"/>
              <w:bottom w:val="single" w:color="auto" w:sz="4" w:space="0"/>
              <w:right w:val="single" w:color="auto" w:sz="4" w:space="0"/>
            </w:tcBorders>
            <w:vAlign w:val="center"/>
          </w:tcPr>
          <w:p w14:paraId="713C5A8C">
            <w:pPr>
              <w:pStyle w:val="357"/>
              <w:jc w:val="both"/>
              <w:rPr>
                <w:szCs w:val="21"/>
                <w:lang w:eastAsia="zh-CN"/>
              </w:rPr>
            </w:pPr>
            <w:r>
              <w:rPr>
                <w:rFonts w:hint="eastAsia"/>
                <w:szCs w:val="21"/>
                <w:lang w:eastAsia="zh-CN"/>
              </w:rPr>
              <w:t>天然气锅炉</w:t>
            </w:r>
            <w:r>
              <w:rPr>
                <w:szCs w:val="21"/>
                <w:lang w:eastAsia="zh-CN"/>
              </w:rPr>
              <w:t>采取低氮燃烧工艺，3台3t的天然气</w:t>
            </w:r>
            <w:r>
              <w:rPr>
                <w:rStyle w:val="99"/>
                <w:lang w:eastAsia="zh-CN"/>
              </w:rPr>
              <w:t>锅炉</w:t>
            </w:r>
            <w:r>
              <w:rPr>
                <w:szCs w:val="21"/>
                <w:lang w:eastAsia="zh-CN"/>
              </w:rPr>
              <w:t>产生的废气</w:t>
            </w:r>
            <w:r>
              <w:rPr>
                <w:rFonts w:hint="eastAsia"/>
                <w:szCs w:val="21"/>
                <w:lang w:eastAsia="zh-CN"/>
              </w:rPr>
              <w:t>分别</w:t>
            </w:r>
            <w:r>
              <w:rPr>
                <w:szCs w:val="21"/>
                <w:lang w:eastAsia="zh-CN"/>
              </w:rPr>
              <w:t>经</w:t>
            </w:r>
            <w:r>
              <w:rPr>
                <w:rFonts w:hint="eastAsia"/>
                <w:szCs w:val="21"/>
                <w:lang w:eastAsia="zh-CN"/>
              </w:rPr>
              <w:t>3根8</w:t>
            </w:r>
            <w:r>
              <w:rPr>
                <w:szCs w:val="21"/>
                <w:lang w:eastAsia="zh-CN"/>
              </w:rPr>
              <w:t>m高的排气筒</w:t>
            </w:r>
            <w:r>
              <w:rPr>
                <w:rFonts w:hint="eastAsia"/>
                <w:szCs w:val="21"/>
                <w:lang w:eastAsia="zh-CN"/>
              </w:rPr>
              <w:t>（DA004、DA005、DA006）</w:t>
            </w:r>
            <w:r>
              <w:rPr>
                <w:szCs w:val="21"/>
                <w:lang w:eastAsia="zh-CN"/>
              </w:rPr>
              <w:t>排放</w:t>
            </w:r>
          </w:p>
        </w:tc>
        <w:tc>
          <w:tcPr>
            <w:tcW w:w="1666" w:type="dxa"/>
            <w:tcBorders>
              <w:top w:val="single" w:color="auto" w:sz="4" w:space="0"/>
              <w:left w:val="single" w:color="auto" w:sz="4" w:space="0"/>
              <w:bottom w:val="single" w:color="auto" w:sz="4" w:space="0"/>
              <w:right w:val="single" w:color="auto" w:sz="4" w:space="0"/>
            </w:tcBorders>
            <w:vAlign w:val="center"/>
          </w:tcPr>
          <w:p w14:paraId="69516DC7">
            <w:pPr>
              <w:pStyle w:val="357"/>
              <w:rPr>
                <w:szCs w:val="21"/>
                <w:lang w:eastAsia="zh-CN"/>
              </w:rPr>
            </w:pPr>
            <w:r>
              <w:rPr>
                <w:rFonts w:hint="eastAsia"/>
                <w:szCs w:val="21"/>
                <w:lang w:eastAsia="zh-CN"/>
              </w:rPr>
              <w:t>/</w:t>
            </w:r>
          </w:p>
        </w:tc>
      </w:tr>
      <w:tr w14:paraId="18B8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261FF75E">
            <w:pPr>
              <w:pStyle w:val="357"/>
              <w:rPr>
                <w:szCs w:val="21"/>
                <w:lang w:eastAsia="zh-CN"/>
              </w:rPr>
            </w:pPr>
          </w:p>
        </w:tc>
        <w:tc>
          <w:tcPr>
            <w:tcW w:w="675" w:type="dxa"/>
            <w:vMerge w:val="continue"/>
            <w:tcBorders>
              <w:left w:val="single" w:color="auto" w:sz="4" w:space="0"/>
              <w:right w:val="single" w:color="auto" w:sz="4" w:space="0"/>
            </w:tcBorders>
            <w:vAlign w:val="center"/>
          </w:tcPr>
          <w:p w14:paraId="29E24C5B">
            <w:pPr>
              <w:pStyle w:val="357"/>
              <w:rPr>
                <w:szCs w:val="21"/>
                <w:lang w:eastAsia="zh-CN"/>
              </w:rPr>
            </w:pPr>
          </w:p>
        </w:tc>
        <w:tc>
          <w:tcPr>
            <w:tcW w:w="1417" w:type="dxa"/>
            <w:gridSpan w:val="2"/>
            <w:tcBorders>
              <w:left w:val="single" w:color="auto" w:sz="4" w:space="0"/>
              <w:right w:val="single" w:color="auto" w:sz="4" w:space="0"/>
            </w:tcBorders>
            <w:vAlign w:val="center"/>
          </w:tcPr>
          <w:p w14:paraId="73D4D744">
            <w:pPr>
              <w:pStyle w:val="357"/>
              <w:rPr>
                <w:szCs w:val="21"/>
                <w:lang w:eastAsia="zh-CN"/>
              </w:rPr>
            </w:pPr>
            <w:r>
              <w:rPr>
                <w:rFonts w:hint="eastAsia"/>
                <w:szCs w:val="21"/>
                <w:lang w:eastAsia="zh-CN"/>
              </w:rPr>
              <w:t>污水处理站恶臭</w:t>
            </w:r>
          </w:p>
        </w:tc>
        <w:tc>
          <w:tcPr>
            <w:tcW w:w="5103" w:type="dxa"/>
            <w:tcBorders>
              <w:top w:val="single" w:color="auto" w:sz="4" w:space="0"/>
              <w:left w:val="single" w:color="auto" w:sz="4" w:space="0"/>
              <w:bottom w:val="single" w:color="auto" w:sz="4" w:space="0"/>
              <w:right w:val="single" w:color="auto" w:sz="4" w:space="0"/>
            </w:tcBorders>
            <w:vAlign w:val="center"/>
          </w:tcPr>
          <w:p w14:paraId="2D98A660">
            <w:pPr>
              <w:pStyle w:val="357"/>
              <w:jc w:val="both"/>
              <w:rPr>
                <w:szCs w:val="21"/>
                <w:lang w:eastAsia="zh-CN"/>
              </w:rPr>
            </w:pPr>
            <w:r>
              <w:rPr>
                <w:rFonts w:hint="eastAsia"/>
                <w:szCs w:val="21"/>
                <w:lang w:eastAsia="zh-CN"/>
              </w:rPr>
              <w:t>污水站臭气全封闭负压收集后通过活性离子氧的方式除臭，尾气经1</w:t>
            </w:r>
            <w:r>
              <w:rPr>
                <w:szCs w:val="21"/>
                <w:lang w:eastAsia="zh-CN"/>
              </w:rPr>
              <w:t>5</w:t>
            </w:r>
            <w:r>
              <w:rPr>
                <w:rFonts w:hint="eastAsia"/>
                <w:szCs w:val="21"/>
                <w:lang w:eastAsia="zh-CN"/>
              </w:rPr>
              <w:t>m高排气筒（DA007）排放</w:t>
            </w:r>
          </w:p>
        </w:tc>
        <w:tc>
          <w:tcPr>
            <w:tcW w:w="1666" w:type="dxa"/>
            <w:tcBorders>
              <w:top w:val="single" w:color="auto" w:sz="4" w:space="0"/>
              <w:left w:val="single" w:color="auto" w:sz="4" w:space="0"/>
              <w:bottom w:val="single" w:color="auto" w:sz="4" w:space="0"/>
              <w:right w:val="single" w:color="auto" w:sz="4" w:space="0"/>
            </w:tcBorders>
            <w:vAlign w:val="center"/>
          </w:tcPr>
          <w:p w14:paraId="04F65822">
            <w:pPr>
              <w:pStyle w:val="357"/>
              <w:rPr>
                <w:szCs w:val="21"/>
                <w:lang w:eastAsia="zh-CN"/>
              </w:rPr>
            </w:pPr>
            <w:r>
              <w:rPr>
                <w:rFonts w:hint="eastAsia"/>
                <w:szCs w:val="21"/>
                <w:lang w:eastAsia="zh-CN"/>
              </w:rPr>
              <w:t>/</w:t>
            </w:r>
          </w:p>
        </w:tc>
      </w:tr>
      <w:tr w14:paraId="3062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55F654AB">
            <w:pPr>
              <w:pStyle w:val="357"/>
              <w:rPr>
                <w:szCs w:val="21"/>
                <w:lang w:eastAsia="zh-CN"/>
              </w:rPr>
            </w:pPr>
          </w:p>
        </w:tc>
        <w:tc>
          <w:tcPr>
            <w:tcW w:w="2092" w:type="dxa"/>
            <w:gridSpan w:val="3"/>
            <w:vMerge w:val="restart"/>
            <w:tcBorders>
              <w:left w:val="single" w:color="auto" w:sz="4" w:space="0"/>
              <w:right w:val="single" w:color="auto" w:sz="4" w:space="0"/>
            </w:tcBorders>
            <w:vAlign w:val="center"/>
          </w:tcPr>
          <w:p w14:paraId="7E19FE07">
            <w:pPr>
              <w:pStyle w:val="357"/>
              <w:rPr>
                <w:szCs w:val="21"/>
              </w:rPr>
            </w:pPr>
            <w:r>
              <w:rPr>
                <w:szCs w:val="21"/>
              </w:rPr>
              <w:t>废水处理</w:t>
            </w:r>
          </w:p>
        </w:tc>
        <w:tc>
          <w:tcPr>
            <w:tcW w:w="5103" w:type="dxa"/>
            <w:tcBorders>
              <w:top w:val="single" w:color="auto" w:sz="4" w:space="0"/>
              <w:left w:val="single" w:color="auto" w:sz="4" w:space="0"/>
              <w:bottom w:val="single" w:color="auto" w:sz="4" w:space="0"/>
              <w:right w:val="single" w:color="auto" w:sz="4" w:space="0"/>
            </w:tcBorders>
            <w:vAlign w:val="center"/>
          </w:tcPr>
          <w:p w14:paraId="222B8B20">
            <w:pPr>
              <w:pStyle w:val="357"/>
              <w:jc w:val="both"/>
              <w:rPr>
                <w:bCs/>
                <w:szCs w:val="21"/>
                <w:lang w:eastAsia="zh-CN"/>
              </w:rPr>
            </w:pPr>
            <w:r>
              <w:rPr>
                <w:bCs/>
                <w:szCs w:val="21"/>
                <w:lang w:eastAsia="zh-CN"/>
              </w:rPr>
              <w:t>本项目产生的废水主要为</w:t>
            </w:r>
            <w:r>
              <w:rPr>
                <w:rFonts w:hint="eastAsia"/>
                <w:bCs/>
                <w:szCs w:val="21"/>
                <w:lang w:eastAsia="zh-CN"/>
              </w:rPr>
              <w:t>初期雨水、</w:t>
            </w:r>
            <w:r>
              <w:rPr>
                <w:bCs/>
                <w:szCs w:val="21"/>
                <w:lang w:eastAsia="zh-CN"/>
              </w:rPr>
              <w:t>生活污水</w:t>
            </w:r>
            <w:r>
              <w:rPr>
                <w:rFonts w:hint="eastAsia"/>
                <w:bCs/>
                <w:szCs w:val="21"/>
                <w:lang w:eastAsia="zh-CN"/>
              </w:rPr>
              <w:t>、</w:t>
            </w:r>
            <w:r>
              <w:rPr>
                <w:bCs/>
                <w:szCs w:val="21"/>
                <w:lang w:eastAsia="zh-CN"/>
              </w:rPr>
              <w:t>鸡舍冲洗水，废水</w:t>
            </w:r>
            <w:r>
              <w:rPr>
                <w:rFonts w:hint="eastAsia"/>
                <w:bCs/>
                <w:szCs w:val="21"/>
                <w:lang w:eastAsia="zh-CN"/>
              </w:rPr>
              <w:t>经管网收集进入集污池，通过</w:t>
            </w:r>
            <w:r>
              <w:rPr>
                <w:rFonts w:hint="eastAsia"/>
                <w:szCs w:val="21"/>
                <w:lang w:eastAsia="zh-CN"/>
              </w:rPr>
              <w:t>污水站</w:t>
            </w:r>
            <w:r>
              <w:rPr>
                <w:bCs/>
                <w:szCs w:val="21"/>
                <w:lang w:eastAsia="zh-CN"/>
              </w:rPr>
              <w:t>处理，</w:t>
            </w:r>
            <w:r>
              <w:rPr>
                <w:rFonts w:hint="eastAsia"/>
                <w:bCs/>
                <w:szCs w:val="21"/>
                <w:lang w:eastAsia="zh-CN"/>
              </w:rPr>
              <w:t>污水处理站涉及规模150m</w:t>
            </w:r>
            <w:r>
              <w:rPr>
                <w:rFonts w:hint="eastAsia"/>
                <w:bCs/>
                <w:szCs w:val="21"/>
                <w:vertAlign w:val="superscript"/>
                <w:lang w:eastAsia="zh-CN"/>
              </w:rPr>
              <w:t>3</w:t>
            </w:r>
            <w:r>
              <w:rPr>
                <w:rFonts w:hint="eastAsia"/>
                <w:bCs/>
                <w:szCs w:val="21"/>
                <w:lang w:eastAsia="zh-CN"/>
              </w:rPr>
              <w:t>/d，处理工艺采用“调节池+预处理（格栅+澄清+沉淀）+CSTR（连续搅拌反应器系统）+AOO（一级厌氧、一级好氧、二级好氧）+加药除磷”，</w:t>
            </w:r>
            <w:r>
              <w:rPr>
                <w:bCs/>
                <w:szCs w:val="21"/>
                <w:lang w:eastAsia="zh-CN"/>
              </w:rPr>
              <w:t>处理达标后夏季用于厂区绿化</w:t>
            </w:r>
            <w:r>
              <w:rPr>
                <w:rFonts w:hint="eastAsia"/>
                <w:szCs w:val="21"/>
                <w:lang w:eastAsia="zh-CN"/>
              </w:rPr>
              <w:t>、鸡舍冲洗、湿帘降温</w:t>
            </w:r>
            <w:r>
              <w:rPr>
                <w:rFonts w:hint="eastAsia"/>
                <w:bCs/>
                <w:szCs w:val="21"/>
                <w:lang w:eastAsia="zh-CN"/>
              </w:rPr>
              <w:t>和洒水抑尘</w:t>
            </w:r>
            <w:r>
              <w:rPr>
                <w:bCs/>
                <w:szCs w:val="21"/>
                <w:lang w:eastAsia="zh-CN"/>
              </w:rPr>
              <w:t>，冬季</w:t>
            </w:r>
            <w:r>
              <w:rPr>
                <w:rFonts w:hint="eastAsia"/>
                <w:bCs/>
                <w:szCs w:val="21"/>
                <w:lang w:eastAsia="zh-CN"/>
              </w:rPr>
              <w:t>时暂存</w:t>
            </w:r>
            <w:r>
              <w:rPr>
                <w:bCs/>
                <w:szCs w:val="21"/>
                <w:lang w:eastAsia="zh-CN"/>
              </w:rPr>
              <w:t>于</w:t>
            </w:r>
            <w:r>
              <w:rPr>
                <w:rFonts w:hint="eastAsia"/>
                <w:bCs/>
                <w:szCs w:val="21"/>
                <w:lang w:eastAsia="zh-CN"/>
              </w:rPr>
              <w:t>储水池</w:t>
            </w:r>
            <w:r>
              <w:rPr>
                <w:bCs/>
                <w:szCs w:val="21"/>
                <w:lang w:eastAsia="zh-CN"/>
              </w:rPr>
              <w:t>内</w:t>
            </w:r>
          </w:p>
        </w:tc>
        <w:tc>
          <w:tcPr>
            <w:tcW w:w="1666" w:type="dxa"/>
            <w:tcBorders>
              <w:top w:val="single" w:color="auto" w:sz="4" w:space="0"/>
              <w:left w:val="single" w:color="auto" w:sz="4" w:space="0"/>
              <w:bottom w:val="single" w:color="auto" w:sz="4" w:space="0"/>
              <w:right w:val="single" w:color="auto" w:sz="4" w:space="0"/>
            </w:tcBorders>
            <w:vAlign w:val="center"/>
          </w:tcPr>
          <w:p w14:paraId="38BF772C">
            <w:pPr>
              <w:pStyle w:val="357"/>
              <w:rPr>
                <w:szCs w:val="21"/>
                <w:lang w:eastAsia="zh-CN"/>
              </w:rPr>
            </w:pPr>
            <w:r>
              <w:rPr>
                <w:rFonts w:hint="eastAsia"/>
                <w:szCs w:val="21"/>
                <w:lang w:eastAsia="zh-CN"/>
              </w:rPr>
              <w:t>/</w:t>
            </w:r>
          </w:p>
        </w:tc>
      </w:tr>
      <w:tr w14:paraId="195B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426" w:type="dxa"/>
            <w:vMerge w:val="continue"/>
            <w:tcBorders>
              <w:left w:val="single" w:color="auto" w:sz="4" w:space="0"/>
              <w:right w:val="single" w:color="auto" w:sz="4" w:space="0"/>
            </w:tcBorders>
            <w:vAlign w:val="center"/>
          </w:tcPr>
          <w:p w14:paraId="3D26C1A8">
            <w:pPr>
              <w:pStyle w:val="357"/>
              <w:rPr>
                <w:szCs w:val="21"/>
                <w:lang w:eastAsia="zh-CN"/>
              </w:rPr>
            </w:pPr>
          </w:p>
        </w:tc>
        <w:tc>
          <w:tcPr>
            <w:tcW w:w="2092" w:type="dxa"/>
            <w:gridSpan w:val="3"/>
            <w:vMerge w:val="continue"/>
            <w:tcBorders>
              <w:left w:val="single" w:color="auto" w:sz="4" w:space="0"/>
              <w:right w:val="single" w:color="auto" w:sz="4" w:space="0"/>
            </w:tcBorders>
            <w:vAlign w:val="center"/>
          </w:tcPr>
          <w:p w14:paraId="1C939C81">
            <w:pPr>
              <w:pStyle w:val="357"/>
              <w:rPr>
                <w:szCs w:val="21"/>
                <w:lang w:eastAsia="zh-CN"/>
              </w:rPr>
            </w:pPr>
          </w:p>
        </w:tc>
        <w:tc>
          <w:tcPr>
            <w:tcW w:w="5103" w:type="dxa"/>
            <w:tcBorders>
              <w:top w:val="single" w:color="auto" w:sz="4" w:space="0"/>
              <w:left w:val="single" w:color="auto" w:sz="4" w:space="0"/>
              <w:bottom w:val="single" w:color="auto" w:sz="4" w:space="0"/>
              <w:right w:val="single" w:color="auto" w:sz="4" w:space="0"/>
            </w:tcBorders>
            <w:vAlign w:val="center"/>
          </w:tcPr>
          <w:p w14:paraId="31E91538">
            <w:pPr>
              <w:pStyle w:val="357"/>
              <w:jc w:val="both"/>
              <w:rPr>
                <w:bCs/>
                <w:szCs w:val="21"/>
                <w:lang w:eastAsia="zh-CN"/>
              </w:rPr>
            </w:pPr>
            <w:r>
              <w:rPr>
                <w:rFonts w:hint="eastAsia"/>
                <w:bCs/>
                <w:szCs w:val="21"/>
                <w:lang w:eastAsia="zh-CN"/>
              </w:rPr>
              <w:t>锅炉排水、软化水排水用于</w:t>
            </w:r>
            <w:r>
              <w:rPr>
                <w:rFonts w:hint="eastAsia"/>
                <w:szCs w:val="21"/>
                <w:lang w:eastAsia="zh-CN"/>
              </w:rPr>
              <w:t>厂区绿化、鸡舍冲洗、湿帘降温和洒水抑尘</w:t>
            </w:r>
          </w:p>
        </w:tc>
        <w:tc>
          <w:tcPr>
            <w:tcW w:w="1666" w:type="dxa"/>
            <w:tcBorders>
              <w:top w:val="single" w:color="auto" w:sz="4" w:space="0"/>
              <w:left w:val="single" w:color="auto" w:sz="4" w:space="0"/>
              <w:bottom w:val="single" w:color="auto" w:sz="4" w:space="0"/>
              <w:right w:val="single" w:color="auto" w:sz="4" w:space="0"/>
            </w:tcBorders>
            <w:vAlign w:val="center"/>
          </w:tcPr>
          <w:p w14:paraId="59238FEF">
            <w:pPr>
              <w:pStyle w:val="357"/>
              <w:rPr>
                <w:szCs w:val="21"/>
                <w:lang w:eastAsia="zh-CN"/>
              </w:rPr>
            </w:pPr>
            <w:r>
              <w:rPr>
                <w:rFonts w:hint="eastAsia"/>
                <w:szCs w:val="21"/>
                <w:lang w:eastAsia="zh-CN"/>
              </w:rPr>
              <w:t>/</w:t>
            </w:r>
          </w:p>
        </w:tc>
      </w:tr>
      <w:tr w14:paraId="2488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26" w:type="dxa"/>
            <w:vMerge w:val="continue"/>
            <w:tcBorders>
              <w:left w:val="single" w:color="auto" w:sz="4" w:space="0"/>
              <w:right w:val="single" w:color="auto" w:sz="4" w:space="0"/>
            </w:tcBorders>
            <w:vAlign w:val="center"/>
          </w:tcPr>
          <w:p w14:paraId="3497FAEB">
            <w:pPr>
              <w:pStyle w:val="357"/>
              <w:rPr>
                <w:szCs w:val="21"/>
                <w:lang w:eastAsia="zh-CN"/>
              </w:rPr>
            </w:pPr>
          </w:p>
        </w:tc>
        <w:tc>
          <w:tcPr>
            <w:tcW w:w="1046" w:type="dxa"/>
            <w:gridSpan w:val="2"/>
            <w:vMerge w:val="restart"/>
            <w:tcBorders>
              <w:left w:val="single" w:color="auto" w:sz="4" w:space="0"/>
              <w:right w:val="single" w:color="auto" w:sz="4" w:space="0"/>
            </w:tcBorders>
            <w:vAlign w:val="center"/>
          </w:tcPr>
          <w:p w14:paraId="27B30121">
            <w:pPr>
              <w:pStyle w:val="357"/>
              <w:rPr>
                <w:szCs w:val="21"/>
              </w:rPr>
            </w:pPr>
            <w:r>
              <w:rPr>
                <w:szCs w:val="21"/>
              </w:rPr>
              <w:t>固体废物</w:t>
            </w:r>
          </w:p>
        </w:tc>
        <w:tc>
          <w:tcPr>
            <w:tcW w:w="1046" w:type="dxa"/>
            <w:tcBorders>
              <w:left w:val="single" w:color="auto" w:sz="4" w:space="0"/>
              <w:right w:val="single" w:color="auto" w:sz="4" w:space="0"/>
            </w:tcBorders>
            <w:vAlign w:val="center"/>
          </w:tcPr>
          <w:p w14:paraId="4D281FA7">
            <w:pPr>
              <w:pStyle w:val="357"/>
              <w:rPr>
                <w:szCs w:val="21"/>
              </w:rPr>
            </w:pPr>
            <w:r>
              <w:rPr>
                <w:rFonts w:hint="eastAsia"/>
                <w:szCs w:val="21"/>
                <w:lang w:eastAsia="zh-CN"/>
              </w:rPr>
              <w:t>生活垃圾</w:t>
            </w:r>
          </w:p>
        </w:tc>
        <w:tc>
          <w:tcPr>
            <w:tcW w:w="5103" w:type="dxa"/>
            <w:tcBorders>
              <w:top w:val="single" w:color="auto" w:sz="4" w:space="0"/>
              <w:left w:val="single" w:color="auto" w:sz="4" w:space="0"/>
              <w:bottom w:val="single" w:color="auto" w:sz="4" w:space="0"/>
              <w:right w:val="single" w:color="auto" w:sz="4" w:space="0"/>
            </w:tcBorders>
            <w:vAlign w:val="center"/>
          </w:tcPr>
          <w:p w14:paraId="63292A79">
            <w:pPr>
              <w:pStyle w:val="357"/>
              <w:rPr>
                <w:szCs w:val="21"/>
                <w:lang w:eastAsia="zh-CN"/>
              </w:rPr>
            </w:pPr>
            <w:r>
              <w:rPr>
                <w:szCs w:val="21"/>
                <w:lang w:eastAsia="zh-CN"/>
              </w:rPr>
              <w:t>暂存于垃圾箱，委托环卫部门清运处理；</w:t>
            </w:r>
          </w:p>
        </w:tc>
        <w:tc>
          <w:tcPr>
            <w:tcW w:w="1666" w:type="dxa"/>
            <w:tcBorders>
              <w:top w:val="single" w:color="auto" w:sz="4" w:space="0"/>
              <w:left w:val="single" w:color="auto" w:sz="4" w:space="0"/>
              <w:right w:val="single" w:color="auto" w:sz="4" w:space="0"/>
            </w:tcBorders>
            <w:vAlign w:val="center"/>
          </w:tcPr>
          <w:p w14:paraId="61E68FAF">
            <w:pPr>
              <w:pStyle w:val="357"/>
              <w:rPr>
                <w:szCs w:val="21"/>
                <w:lang w:eastAsia="zh-CN"/>
              </w:rPr>
            </w:pPr>
            <w:r>
              <w:rPr>
                <w:szCs w:val="21"/>
                <w:lang w:eastAsia="zh-CN"/>
              </w:rPr>
              <w:t>/</w:t>
            </w:r>
          </w:p>
        </w:tc>
      </w:tr>
      <w:tr w14:paraId="09BD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dxa"/>
            <w:vMerge w:val="continue"/>
            <w:tcBorders>
              <w:left w:val="single" w:color="auto" w:sz="4" w:space="0"/>
              <w:right w:val="single" w:color="auto" w:sz="4" w:space="0"/>
            </w:tcBorders>
            <w:vAlign w:val="center"/>
          </w:tcPr>
          <w:p w14:paraId="294D874B">
            <w:pPr>
              <w:pStyle w:val="357"/>
              <w:rPr>
                <w:szCs w:val="21"/>
                <w:lang w:eastAsia="zh-CN"/>
              </w:rPr>
            </w:pPr>
          </w:p>
        </w:tc>
        <w:tc>
          <w:tcPr>
            <w:tcW w:w="1046" w:type="dxa"/>
            <w:gridSpan w:val="2"/>
            <w:vMerge w:val="continue"/>
            <w:tcBorders>
              <w:left w:val="single" w:color="auto" w:sz="4" w:space="0"/>
              <w:right w:val="single" w:color="auto" w:sz="4" w:space="0"/>
            </w:tcBorders>
            <w:vAlign w:val="center"/>
          </w:tcPr>
          <w:p w14:paraId="26DD44CC">
            <w:pPr>
              <w:pStyle w:val="357"/>
              <w:rPr>
                <w:szCs w:val="21"/>
                <w:lang w:eastAsia="zh-CN"/>
              </w:rPr>
            </w:pPr>
          </w:p>
        </w:tc>
        <w:tc>
          <w:tcPr>
            <w:tcW w:w="1046" w:type="dxa"/>
            <w:tcBorders>
              <w:left w:val="single" w:color="auto" w:sz="4" w:space="0"/>
              <w:right w:val="single" w:color="auto" w:sz="4" w:space="0"/>
            </w:tcBorders>
            <w:vAlign w:val="center"/>
          </w:tcPr>
          <w:p w14:paraId="1ED5B373">
            <w:pPr>
              <w:pStyle w:val="357"/>
              <w:rPr>
                <w:szCs w:val="21"/>
                <w:lang w:eastAsia="zh-CN"/>
              </w:rPr>
            </w:pPr>
            <w:r>
              <w:rPr>
                <w:rFonts w:hint="eastAsia"/>
                <w:bCs/>
                <w:szCs w:val="21"/>
                <w:lang w:eastAsia="zh-CN"/>
              </w:rPr>
              <w:t>诊疗废弃物</w:t>
            </w:r>
          </w:p>
        </w:tc>
        <w:tc>
          <w:tcPr>
            <w:tcW w:w="5103" w:type="dxa"/>
            <w:tcBorders>
              <w:top w:val="single" w:color="auto" w:sz="4" w:space="0"/>
              <w:left w:val="single" w:color="auto" w:sz="4" w:space="0"/>
              <w:bottom w:val="single" w:color="auto" w:sz="4" w:space="0"/>
              <w:right w:val="single" w:color="auto" w:sz="4" w:space="0"/>
            </w:tcBorders>
            <w:vAlign w:val="center"/>
          </w:tcPr>
          <w:p w14:paraId="708FB4AE">
            <w:pPr>
              <w:pStyle w:val="357"/>
              <w:rPr>
                <w:szCs w:val="21"/>
                <w:lang w:eastAsia="zh-CN"/>
              </w:rPr>
            </w:pPr>
            <w:r>
              <w:rPr>
                <w:rFonts w:hint="eastAsia"/>
                <w:bCs/>
                <w:szCs w:val="21"/>
                <w:lang w:eastAsia="zh-CN"/>
              </w:rPr>
              <w:t>设置诊疗废弃物暂存间，</w:t>
            </w:r>
            <w:r>
              <w:rPr>
                <w:szCs w:val="32"/>
                <w:lang w:eastAsia="zh-CN"/>
              </w:rPr>
              <w:t>《危险废物贮存污染物控制标准》（GB18597-2023）</w:t>
            </w:r>
            <w:r>
              <w:rPr>
                <w:rFonts w:hint="eastAsia"/>
                <w:szCs w:val="32"/>
                <w:lang w:eastAsia="zh-CN"/>
              </w:rPr>
              <w:t>进行建设、管理</w:t>
            </w:r>
            <w:r>
              <w:rPr>
                <w:bCs/>
                <w:szCs w:val="21"/>
                <w:lang w:eastAsia="zh-CN"/>
              </w:rPr>
              <w:t>，</w:t>
            </w:r>
            <w:r>
              <w:rPr>
                <w:rFonts w:hint="eastAsia"/>
                <w:bCs/>
                <w:szCs w:val="21"/>
                <w:lang w:eastAsia="zh-CN"/>
              </w:rPr>
              <w:t>最终</w:t>
            </w:r>
            <w:r>
              <w:rPr>
                <w:bCs/>
                <w:szCs w:val="21"/>
                <w:lang w:eastAsia="zh-CN"/>
              </w:rPr>
              <w:t>委托有资质单位处置；</w:t>
            </w:r>
          </w:p>
        </w:tc>
        <w:tc>
          <w:tcPr>
            <w:tcW w:w="1666" w:type="dxa"/>
            <w:tcBorders>
              <w:left w:val="single" w:color="auto" w:sz="4" w:space="0"/>
              <w:right w:val="single" w:color="auto" w:sz="4" w:space="0"/>
            </w:tcBorders>
            <w:vAlign w:val="center"/>
          </w:tcPr>
          <w:p w14:paraId="74CC9E34">
            <w:pPr>
              <w:pStyle w:val="357"/>
              <w:rPr>
                <w:szCs w:val="21"/>
                <w:lang w:eastAsia="zh-CN"/>
              </w:rPr>
            </w:pPr>
            <w:r>
              <w:rPr>
                <w:szCs w:val="21"/>
                <w:lang w:eastAsia="zh-CN"/>
              </w:rPr>
              <w:t>/</w:t>
            </w:r>
          </w:p>
        </w:tc>
      </w:tr>
      <w:tr w14:paraId="31C5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dxa"/>
            <w:vMerge w:val="continue"/>
            <w:tcBorders>
              <w:left w:val="single" w:color="auto" w:sz="4" w:space="0"/>
              <w:right w:val="single" w:color="auto" w:sz="4" w:space="0"/>
            </w:tcBorders>
            <w:vAlign w:val="center"/>
          </w:tcPr>
          <w:p w14:paraId="39EC8040">
            <w:pPr>
              <w:pStyle w:val="357"/>
              <w:rPr>
                <w:szCs w:val="21"/>
                <w:lang w:eastAsia="zh-CN"/>
              </w:rPr>
            </w:pPr>
          </w:p>
        </w:tc>
        <w:tc>
          <w:tcPr>
            <w:tcW w:w="1046" w:type="dxa"/>
            <w:gridSpan w:val="2"/>
            <w:vMerge w:val="continue"/>
            <w:tcBorders>
              <w:left w:val="single" w:color="auto" w:sz="4" w:space="0"/>
              <w:right w:val="single" w:color="auto" w:sz="4" w:space="0"/>
            </w:tcBorders>
            <w:vAlign w:val="center"/>
          </w:tcPr>
          <w:p w14:paraId="5F3F4C94">
            <w:pPr>
              <w:pStyle w:val="357"/>
              <w:rPr>
                <w:szCs w:val="21"/>
                <w:lang w:eastAsia="zh-CN"/>
              </w:rPr>
            </w:pPr>
          </w:p>
        </w:tc>
        <w:tc>
          <w:tcPr>
            <w:tcW w:w="1046" w:type="dxa"/>
            <w:vMerge w:val="restart"/>
            <w:tcBorders>
              <w:left w:val="single" w:color="auto" w:sz="4" w:space="0"/>
              <w:right w:val="single" w:color="auto" w:sz="4" w:space="0"/>
            </w:tcBorders>
            <w:vAlign w:val="center"/>
          </w:tcPr>
          <w:p w14:paraId="1633D986">
            <w:pPr>
              <w:pStyle w:val="357"/>
              <w:rPr>
                <w:szCs w:val="21"/>
                <w:lang w:eastAsia="zh-CN"/>
              </w:rPr>
            </w:pPr>
            <w:r>
              <w:rPr>
                <w:rFonts w:hint="eastAsia"/>
                <w:szCs w:val="21"/>
                <w:lang w:eastAsia="zh-CN"/>
              </w:rPr>
              <w:t>一般废物</w:t>
            </w:r>
          </w:p>
        </w:tc>
        <w:tc>
          <w:tcPr>
            <w:tcW w:w="5103" w:type="dxa"/>
            <w:tcBorders>
              <w:top w:val="single" w:color="auto" w:sz="4" w:space="0"/>
              <w:left w:val="single" w:color="auto" w:sz="4" w:space="0"/>
              <w:bottom w:val="single" w:color="auto" w:sz="4" w:space="0"/>
              <w:right w:val="single" w:color="auto" w:sz="4" w:space="0"/>
            </w:tcBorders>
            <w:vAlign w:val="center"/>
          </w:tcPr>
          <w:p w14:paraId="1DB38A01">
            <w:pPr>
              <w:pStyle w:val="357"/>
              <w:rPr>
                <w:szCs w:val="21"/>
                <w:lang w:eastAsia="zh-CN"/>
              </w:rPr>
            </w:pPr>
            <w:r>
              <w:rPr>
                <w:rFonts w:hint="eastAsia"/>
                <w:szCs w:val="21"/>
                <w:lang w:eastAsia="zh-CN"/>
              </w:rPr>
              <w:t>解剖鸡、</w:t>
            </w:r>
            <w:r>
              <w:rPr>
                <w:szCs w:val="21"/>
                <w:lang w:eastAsia="zh-CN"/>
              </w:rPr>
              <w:t>病死鸡放置在</w:t>
            </w:r>
            <w:r>
              <w:rPr>
                <w:rFonts w:hint="eastAsia"/>
                <w:szCs w:val="21"/>
                <w:lang w:eastAsia="zh-CN"/>
              </w:rPr>
              <w:t>冷柜</w:t>
            </w:r>
            <w:r>
              <w:rPr>
                <w:szCs w:val="21"/>
                <w:lang w:eastAsia="zh-CN"/>
              </w:rPr>
              <w:t>，</w:t>
            </w:r>
            <w:r>
              <w:rPr>
                <w:bCs/>
                <w:szCs w:val="21"/>
                <w:lang w:eastAsia="zh-CN"/>
              </w:rPr>
              <w:t>委托有资质单位处置；</w:t>
            </w:r>
          </w:p>
        </w:tc>
        <w:tc>
          <w:tcPr>
            <w:tcW w:w="1666" w:type="dxa"/>
            <w:tcBorders>
              <w:left w:val="single" w:color="auto" w:sz="4" w:space="0"/>
              <w:right w:val="single" w:color="auto" w:sz="4" w:space="0"/>
            </w:tcBorders>
            <w:vAlign w:val="center"/>
          </w:tcPr>
          <w:p w14:paraId="7A2D0C68">
            <w:pPr>
              <w:pStyle w:val="357"/>
              <w:rPr>
                <w:szCs w:val="21"/>
                <w:lang w:eastAsia="zh-CN"/>
              </w:rPr>
            </w:pPr>
            <w:r>
              <w:rPr>
                <w:szCs w:val="21"/>
                <w:lang w:eastAsia="zh-CN"/>
              </w:rPr>
              <w:t>/</w:t>
            </w:r>
          </w:p>
        </w:tc>
      </w:tr>
      <w:tr w14:paraId="1481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dxa"/>
            <w:vMerge w:val="continue"/>
            <w:tcBorders>
              <w:left w:val="single" w:color="auto" w:sz="4" w:space="0"/>
              <w:right w:val="single" w:color="auto" w:sz="4" w:space="0"/>
            </w:tcBorders>
            <w:vAlign w:val="center"/>
          </w:tcPr>
          <w:p w14:paraId="264A2CA2">
            <w:pPr>
              <w:pStyle w:val="357"/>
              <w:rPr>
                <w:szCs w:val="21"/>
                <w:lang w:eastAsia="zh-CN"/>
              </w:rPr>
            </w:pPr>
          </w:p>
        </w:tc>
        <w:tc>
          <w:tcPr>
            <w:tcW w:w="1046" w:type="dxa"/>
            <w:gridSpan w:val="2"/>
            <w:vMerge w:val="continue"/>
            <w:tcBorders>
              <w:left w:val="single" w:color="auto" w:sz="4" w:space="0"/>
              <w:right w:val="single" w:color="auto" w:sz="4" w:space="0"/>
            </w:tcBorders>
            <w:vAlign w:val="center"/>
          </w:tcPr>
          <w:p w14:paraId="67B3DA4D">
            <w:pPr>
              <w:pStyle w:val="357"/>
              <w:rPr>
                <w:szCs w:val="21"/>
                <w:lang w:eastAsia="zh-CN"/>
              </w:rPr>
            </w:pPr>
          </w:p>
        </w:tc>
        <w:tc>
          <w:tcPr>
            <w:tcW w:w="1046" w:type="dxa"/>
            <w:vMerge w:val="continue"/>
            <w:tcBorders>
              <w:left w:val="single" w:color="auto" w:sz="4" w:space="0"/>
              <w:right w:val="single" w:color="auto" w:sz="4" w:space="0"/>
            </w:tcBorders>
            <w:vAlign w:val="center"/>
          </w:tcPr>
          <w:p w14:paraId="37C61EFD">
            <w:pPr>
              <w:pStyle w:val="357"/>
              <w:rPr>
                <w:szCs w:val="21"/>
                <w:lang w:eastAsia="zh-CN"/>
              </w:rPr>
            </w:pPr>
          </w:p>
        </w:tc>
        <w:tc>
          <w:tcPr>
            <w:tcW w:w="5103" w:type="dxa"/>
            <w:tcBorders>
              <w:top w:val="single" w:color="auto" w:sz="4" w:space="0"/>
              <w:left w:val="single" w:color="auto" w:sz="4" w:space="0"/>
              <w:bottom w:val="single" w:color="auto" w:sz="4" w:space="0"/>
              <w:right w:val="single" w:color="auto" w:sz="4" w:space="0"/>
            </w:tcBorders>
            <w:vAlign w:val="center"/>
          </w:tcPr>
          <w:p w14:paraId="5F1DC650">
            <w:pPr>
              <w:pStyle w:val="357"/>
              <w:rPr>
                <w:szCs w:val="21"/>
                <w:lang w:eastAsia="zh-CN"/>
              </w:rPr>
            </w:pPr>
            <w:r>
              <w:rPr>
                <w:szCs w:val="21"/>
                <w:lang w:eastAsia="zh-CN"/>
              </w:rPr>
              <w:t>软化水制备设备产生的废离子交换树脂，由厂家进行更换处理；</w:t>
            </w:r>
          </w:p>
        </w:tc>
        <w:tc>
          <w:tcPr>
            <w:tcW w:w="1666" w:type="dxa"/>
            <w:tcBorders>
              <w:left w:val="single" w:color="auto" w:sz="4" w:space="0"/>
              <w:right w:val="single" w:color="auto" w:sz="4" w:space="0"/>
            </w:tcBorders>
            <w:vAlign w:val="center"/>
          </w:tcPr>
          <w:p w14:paraId="5AEDBCB8">
            <w:pPr>
              <w:pStyle w:val="357"/>
              <w:rPr>
                <w:szCs w:val="21"/>
                <w:lang w:eastAsia="zh-CN"/>
              </w:rPr>
            </w:pPr>
            <w:r>
              <w:rPr>
                <w:szCs w:val="21"/>
                <w:lang w:eastAsia="zh-CN"/>
              </w:rPr>
              <w:t>/</w:t>
            </w:r>
          </w:p>
        </w:tc>
      </w:tr>
      <w:tr w14:paraId="7B1D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dxa"/>
            <w:vMerge w:val="continue"/>
            <w:tcBorders>
              <w:left w:val="single" w:color="auto" w:sz="4" w:space="0"/>
              <w:right w:val="single" w:color="auto" w:sz="4" w:space="0"/>
            </w:tcBorders>
            <w:vAlign w:val="center"/>
          </w:tcPr>
          <w:p w14:paraId="5F52AED2">
            <w:pPr>
              <w:pStyle w:val="357"/>
              <w:rPr>
                <w:szCs w:val="21"/>
                <w:lang w:eastAsia="zh-CN"/>
              </w:rPr>
            </w:pPr>
          </w:p>
        </w:tc>
        <w:tc>
          <w:tcPr>
            <w:tcW w:w="1046" w:type="dxa"/>
            <w:gridSpan w:val="2"/>
            <w:vMerge w:val="continue"/>
            <w:tcBorders>
              <w:left w:val="single" w:color="auto" w:sz="4" w:space="0"/>
              <w:right w:val="single" w:color="auto" w:sz="4" w:space="0"/>
            </w:tcBorders>
            <w:vAlign w:val="center"/>
          </w:tcPr>
          <w:p w14:paraId="4BCD27CB">
            <w:pPr>
              <w:pStyle w:val="357"/>
              <w:rPr>
                <w:szCs w:val="21"/>
                <w:lang w:eastAsia="zh-CN"/>
              </w:rPr>
            </w:pPr>
          </w:p>
        </w:tc>
        <w:tc>
          <w:tcPr>
            <w:tcW w:w="1046" w:type="dxa"/>
            <w:vMerge w:val="continue"/>
            <w:tcBorders>
              <w:left w:val="single" w:color="auto" w:sz="4" w:space="0"/>
              <w:right w:val="single" w:color="auto" w:sz="4" w:space="0"/>
            </w:tcBorders>
            <w:vAlign w:val="center"/>
          </w:tcPr>
          <w:p w14:paraId="145F1502">
            <w:pPr>
              <w:pStyle w:val="357"/>
              <w:rPr>
                <w:szCs w:val="21"/>
                <w:lang w:eastAsia="zh-CN"/>
              </w:rPr>
            </w:pPr>
          </w:p>
        </w:tc>
        <w:tc>
          <w:tcPr>
            <w:tcW w:w="5103" w:type="dxa"/>
            <w:tcBorders>
              <w:top w:val="single" w:color="auto" w:sz="4" w:space="0"/>
              <w:left w:val="single" w:color="auto" w:sz="4" w:space="0"/>
              <w:bottom w:val="single" w:color="auto" w:sz="4" w:space="0"/>
              <w:right w:val="single" w:color="auto" w:sz="4" w:space="0"/>
            </w:tcBorders>
            <w:vAlign w:val="center"/>
          </w:tcPr>
          <w:p w14:paraId="45C00375">
            <w:pPr>
              <w:pStyle w:val="357"/>
              <w:rPr>
                <w:szCs w:val="21"/>
                <w:lang w:eastAsia="zh-CN"/>
              </w:rPr>
            </w:pPr>
            <w:r>
              <w:rPr>
                <w:szCs w:val="21"/>
                <w:lang w:eastAsia="zh-CN"/>
              </w:rPr>
              <w:t>饲料仓除尘器除尘灰回收利用；</w:t>
            </w:r>
          </w:p>
        </w:tc>
        <w:tc>
          <w:tcPr>
            <w:tcW w:w="1666" w:type="dxa"/>
            <w:tcBorders>
              <w:left w:val="single" w:color="auto" w:sz="4" w:space="0"/>
              <w:bottom w:val="single" w:color="auto" w:sz="4" w:space="0"/>
              <w:right w:val="single" w:color="auto" w:sz="4" w:space="0"/>
            </w:tcBorders>
            <w:vAlign w:val="center"/>
          </w:tcPr>
          <w:p w14:paraId="206DC35A">
            <w:pPr>
              <w:pStyle w:val="357"/>
              <w:rPr>
                <w:szCs w:val="21"/>
                <w:lang w:eastAsia="zh-CN"/>
              </w:rPr>
            </w:pPr>
            <w:r>
              <w:rPr>
                <w:szCs w:val="21"/>
                <w:lang w:eastAsia="zh-CN"/>
              </w:rPr>
              <w:t>/</w:t>
            </w:r>
          </w:p>
        </w:tc>
      </w:tr>
      <w:tr w14:paraId="1CCA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dxa"/>
            <w:vMerge w:val="continue"/>
            <w:tcBorders>
              <w:left w:val="single" w:color="auto" w:sz="4" w:space="0"/>
              <w:right w:val="single" w:color="auto" w:sz="4" w:space="0"/>
            </w:tcBorders>
            <w:vAlign w:val="center"/>
          </w:tcPr>
          <w:p w14:paraId="587584E4">
            <w:pPr>
              <w:pStyle w:val="357"/>
              <w:rPr>
                <w:szCs w:val="21"/>
                <w:lang w:eastAsia="zh-CN"/>
              </w:rPr>
            </w:pPr>
          </w:p>
        </w:tc>
        <w:tc>
          <w:tcPr>
            <w:tcW w:w="1046" w:type="dxa"/>
            <w:gridSpan w:val="2"/>
            <w:vMerge w:val="continue"/>
            <w:tcBorders>
              <w:left w:val="single" w:color="auto" w:sz="4" w:space="0"/>
              <w:right w:val="single" w:color="auto" w:sz="4" w:space="0"/>
            </w:tcBorders>
            <w:vAlign w:val="center"/>
          </w:tcPr>
          <w:p w14:paraId="1E8768BD">
            <w:pPr>
              <w:pStyle w:val="357"/>
              <w:rPr>
                <w:szCs w:val="21"/>
                <w:lang w:eastAsia="zh-CN"/>
              </w:rPr>
            </w:pPr>
          </w:p>
        </w:tc>
        <w:tc>
          <w:tcPr>
            <w:tcW w:w="1046" w:type="dxa"/>
            <w:vMerge w:val="continue"/>
            <w:tcBorders>
              <w:left w:val="single" w:color="auto" w:sz="4" w:space="0"/>
              <w:right w:val="single" w:color="auto" w:sz="4" w:space="0"/>
            </w:tcBorders>
            <w:vAlign w:val="center"/>
          </w:tcPr>
          <w:p w14:paraId="1F5832E6">
            <w:pPr>
              <w:pStyle w:val="357"/>
              <w:rPr>
                <w:szCs w:val="21"/>
                <w:lang w:eastAsia="zh-CN"/>
              </w:rPr>
            </w:pPr>
          </w:p>
        </w:tc>
        <w:tc>
          <w:tcPr>
            <w:tcW w:w="5103" w:type="dxa"/>
            <w:tcBorders>
              <w:top w:val="single" w:color="auto" w:sz="4" w:space="0"/>
              <w:left w:val="single" w:color="auto" w:sz="4" w:space="0"/>
              <w:bottom w:val="single" w:color="auto" w:sz="4" w:space="0"/>
              <w:right w:val="single" w:color="auto" w:sz="4" w:space="0"/>
            </w:tcBorders>
            <w:vAlign w:val="center"/>
          </w:tcPr>
          <w:p w14:paraId="7A58C12A">
            <w:pPr>
              <w:pStyle w:val="357"/>
              <w:jc w:val="both"/>
              <w:rPr>
                <w:szCs w:val="21"/>
                <w:lang w:eastAsia="zh-CN"/>
              </w:rPr>
            </w:pPr>
            <w:r>
              <w:rPr>
                <w:szCs w:val="21"/>
                <w:lang w:eastAsia="zh-CN"/>
              </w:rPr>
              <w:t>鸡粪、饲料残渣、鸡毛</w:t>
            </w:r>
            <w:r>
              <w:rPr>
                <w:rFonts w:hint="eastAsia"/>
                <w:szCs w:val="21"/>
                <w:lang w:eastAsia="zh-CN"/>
              </w:rPr>
              <w:t>、废水处理污泥、储水池污泥</w:t>
            </w:r>
            <w:r>
              <w:rPr>
                <w:szCs w:val="21"/>
                <w:lang w:eastAsia="zh-CN"/>
              </w:rPr>
              <w:t>送入</w:t>
            </w:r>
            <w:r>
              <w:rPr>
                <w:rFonts w:hint="eastAsia"/>
                <w:szCs w:val="21"/>
                <w:lang w:eastAsia="zh-CN"/>
              </w:rPr>
              <w:t>有机肥加工车间发酵制肥</w:t>
            </w:r>
            <w:r>
              <w:rPr>
                <w:szCs w:val="21"/>
                <w:lang w:eastAsia="zh-CN"/>
              </w:rPr>
              <w:t>；</w:t>
            </w:r>
            <w:r>
              <w:rPr>
                <w:rFonts w:hint="eastAsia"/>
                <w:szCs w:val="21"/>
                <w:lang w:eastAsia="zh-CN"/>
              </w:rPr>
              <w:t>有机肥产品袋装暂存于有机肥生产车间。</w:t>
            </w:r>
          </w:p>
        </w:tc>
        <w:tc>
          <w:tcPr>
            <w:tcW w:w="1666" w:type="dxa"/>
            <w:tcBorders>
              <w:left w:val="single" w:color="auto" w:sz="4" w:space="0"/>
              <w:bottom w:val="single" w:color="auto" w:sz="4" w:space="0"/>
              <w:right w:val="single" w:color="auto" w:sz="4" w:space="0"/>
            </w:tcBorders>
            <w:vAlign w:val="center"/>
          </w:tcPr>
          <w:p w14:paraId="61B57BBA">
            <w:pPr>
              <w:pStyle w:val="357"/>
              <w:rPr>
                <w:szCs w:val="21"/>
                <w:lang w:eastAsia="zh-CN"/>
              </w:rPr>
            </w:pPr>
            <w:r>
              <w:rPr>
                <w:szCs w:val="21"/>
                <w:lang w:eastAsia="zh-CN"/>
              </w:rPr>
              <w:t>/</w:t>
            </w:r>
          </w:p>
        </w:tc>
      </w:tr>
      <w:tr w14:paraId="3A4D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dxa"/>
            <w:vMerge w:val="continue"/>
            <w:tcBorders>
              <w:left w:val="single" w:color="auto" w:sz="4" w:space="0"/>
              <w:right w:val="single" w:color="auto" w:sz="4" w:space="0"/>
            </w:tcBorders>
            <w:vAlign w:val="center"/>
          </w:tcPr>
          <w:p w14:paraId="24D5C85A">
            <w:pPr>
              <w:pStyle w:val="357"/>
              <w:rPr>
                <w:szCs w:val="21"/>
                <w:lang w:eastAsia="zh-CN"/>
              </w:rPr>
            </w:pPr>
          </w:p>
        </w:tc>
        <w:tc>
          <w:tcPr>
            <w:tcW w:w="1046" w:type="dxa"/>
            <w:gridSpan w:val="2"/>
            <w:vMerge w:val="continue"/>
            <w:tcBorders>
              <w:left w:val="single" w:color="auto" w:sz="4" w:space="0"/>
              <w:right w:val="single" w:color="auto" w:sz="4" w:space="0"/>
            </w:tcBorders>
            <w:vAlign w:val="center"/>
          </w:tcPr>
          <w:p w14:paraId="38CD69AD">
            <w:pPr>
              <w:pStyle w:val="357"/>
              <w:rPr>
                <w:szCs w:val="21"/>
                <w:lang w:eastAsia="zh-CN"/>
              </w:rPr>
            </w:pPr>
          </w:p>
        </w:tc>
        <w:tc>
          <w:tcPr>
            <w:tcW w:w="1046" w:type="dxa"/>
            <w:vMerge w:val="continue"/>
            <w:tcBorders>
              <w:left w:val="single" w:color="auto" w:sz="4" w:space="0"/>
              <w:right w:val="single" w:color="auto" w:sz="4" w:space="0"/>
            </w:tcBorders>
            <w:vAlign w:val="center"/>
          </w:tcPr>
          <w:p w14:paraId="2D01A01B">
            <w:pPr>
              <w:pStyle w:val="357"/>
              <w:rPr>
                <w:szCs w:val="21"/>
                <w:lang w:eastAsia="zh-CN"/>
              </w:rPr>
            </w:pPr>
          </w:p>
        </w:tc>
        <w:tc>
          <w:tcPr>
            <w:tcW w:w="5103" w:type="dxa"/>
            <w:tcBorders>
              <w:top w:val="single" w:color="auto" w:sz="4" w:space="0"/>
              <w:left w:val="single" w:color="auto" w:sz="4" w:space="0"/>
              <w:bottom w:val="single" w:color="auto" w:sz="4" w:space="0"/>
              <w:right w:val="single" w:color="auto" w:sz="4" w:space="0"/>
            </w:tcBorders>
            <w:vAlign w:val="center"/>
          </w:tcPr>
          <w:p w14:paraId="7CFEAD80">
            <w:pPr>
              <w:pStyle w:val="357"/>
              <w:rPr>
                <w:szCs w:val="21"/>
                <w:lang w:eastAsia="zh-CN"/>
              </w:rPr>
            </w:pPr>
            <w:r>
              <w:rPr>
                <w:rFonts w:hint="eastAsia"/>
                <w:szCs w:val="21"/>
                <w:lang w:eastAsia="zh-CN"/>
              </w:rPr>
              <w:t>储水池污泥定期打捞送入有机肥加工车间发酵制肥</w:t>
            </w:r>
          </w:p>
        </w:tc>
        <w:tc>
          <w:tcPr>
            <w:tcW w:w="1666" w:type="dxa"/>
            <w:tcBorders>
              <w:left w:val="single" w:color="auto" w:sz="4" w:space="0"/>
              <w:bottom w:val="single" w:color="auto" w:sz="4" w:space="0"/>
              <w:right w:val="single" w:color="auto" w:sz="4" w:space="0"/>
            </w:tcBorders>
            <w:vAlign w:val="center"/>
          </w:tcPr>
          <w:p w14:paraId="5679AD8A">
            <w:pPr>
              <w:pStyle w:val="357"/>
              <w:rPr>
                <w:szCs w:val="21"/>
                <w:lang w:eastAsia="zh-CN"/>
              </w:rPr>
            </w:pPr>
          </w:p>
        </w:tc>
      </w:tr>
      <w:tr w14:paraId="5B56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dxa"/>
            <w:vMerge w:val="continue"/>
            <w:tcBorders>
              <w:left w:val="single" w:color="auto" w:sz="4" w:space="0"/>
              <w:right w:val="single" w:color="auto" w:sz="4" w:space="0"/>
            </w:tcBorders>
            <w:vAlign w:val="center"/>
          </w:tcPr>
          <w:p w14:paraId="3F139A71">
            <w:pPr>
              <w:pStyle w:val="357"/>
              <w:rPr>
                <w:szCs w:val="21"/>
                <w:lang w:eastAsia="zh-CN"/>
              </w:rPr>
            </w:pPr>
          </w:p>
        </w:tc>
        <w:tc>
          <w:tcPr>
            <w:tcW w:w="1046" w:type="dxa"/>
            <w:gridSpan w:val="2"/>
            <w:vMerge w:val="continue"/>
            <w:tcBorders>
              <w:left w:val="single" w:color="auto" w:sz="4" w:space="0"/>
              <w:right w:val="single" w:color="auto" w:sz="4" w:space="0"/>
            </w:tcBorders>
            <w:vAlign w:val="center"/>
          </w:tcPr>
          <w:p w14:paraId="524F0D97">
            <w:pPr>
              <w:pStyle w:val="357"/>
              <w:rPr>
                <w:szCs w:val="21"/>
                <w:lang w:eastAsia="zh-CN"/>
              </w:rPr>
            </w:pPr>
          </w:p>
        </w:tc>
        <w:tc>
          <w:tcPr>
            <w:tcW w:w="1046" w:type="dxa"/>
            <w:vMerge w:val="continue"/>
            <w:tcBorders>
              <w:left w:val="single" w:color="auto" w:sz="4" w:space="0"/>
              <w:right w:val="single" w:color="auto" w:sz="4" w:space="0"/>
            </w:tcBorders>
            <w:vAlign w:val="center"/>
          </w:tcPr>
          <w:p w14:paraId="0756BADA">
            <w:pPr>
              <w:pStyle w:val="357"/>
              <w:rPr>
                <w:szCs w:val="21"/>
                <w:lang w:eastAsia="zh-CN"/>
              </w:rPr>
            </w:pPr>
          </w:p>
        </w:tc>
        <w:tc>
          <w:tcPr>
            <w:tcW w:w="5103" w:type="dxa"/>
            <w:tcBorders>
              <w:top w:val="single" w:color="auto" w:sz="4" w:space="0"/>
              <w:left w:val="single" w:color="auto" w:sz="4" w:space="0"/>
              <w:bottom w:val="single" w:color="auto" w:sz="4" w:space="0"/>
              <w:right w:val="single" w:color="auto" w:sz="4" w:space="0"/>
            </w:tcBorders>
            <w:vAlign w:val="center"/>
          </w:tcPr>
          <w:p w14:paraId="7D5448C7">
            <w:pPr>
              <w:pStyle w:val="357"/>
              <w:jc w:val="both"/>
              <w:rPr>
                <w:szCs w:val="21"/>
                <w:lang w:eastAsia="zh-CN"/>
              </w:rPr>
            </w:pPr>
            <w:r>
              <w:rPr>
                <w:szCs w:val="21"/>
                <w:lang w:eastAsia="zh-CN"/>
              </w:rPr>
              <w:t>不合格蛋收集后暂存于蛋壳暂存区，</w:t>
            </w:r>
            <w:r>
              <w:rPr>
                <w:rFonts w:hint="eastAsia"/>
                <w:szCs w:val="21"/>
                <w:lang w:eastAsia="zh-CN"/>
              </w:rPr>
              <w:t>送入有机肥加工车间发酵制肥</w:t>
            </w:r>
            <w:r>
              <w:rPr>
                <w:szCs w:val="21"/>
                <w:lang w:eastAsia="zh-CN"/>
              </w:rPr>
              <w:t>；</w:t>
            </w:r>
          </w:p>
        </w:tc>
        <w:tc>
          <w:tcPr>
            <w:tcW w:w="1666" w:type="dxa"/>
            <w:tcBorders>
              <w:left w:val="single" w:color="auto" w:sz="4" w:space="0"/>
              <w:bottom w:val="single" w:color="auto" w:sz="4" w:space="0"/>
              <w:right w:val="single" w:color="auto" w:sz="4" w:space="0"/>
            </w:tcBorders>
            <w:vAlign w:val="center"/>
          </w:tcPr>
          <w:p w14:paraId="12F8DC14">
            <w:pPr>
              <w:pStyle w:val="357"/>
              <w:rPr>
                <w:szCs w:val="21"/>
                <w:lang w:eastAsia="zh-CN"/>
              </w:rPr>
            </w:pPr>
            <w:r>
              <w:rPr>
                <w:szCs w:val="21"/>
                <w:lang w:eastAsia="zh-CN"/>
              </w:rPr>
              <w:t>/</w:t>
            </w:r>
          </w:p>
        </w:tc>
      </w:tr>
      <w:tr w14:paraId="71D4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right w:val="single" w:color="auto" w:sz="4" w:space="0"/>
            </w:tcBorders>
            <w:vAlign w:val="center"/>
          </w:tcPr>
          <w:p w14:paraId="00C01EF3">
            <w:pPr>
              <w:pStyle w:val="357"/>
              <w:rPr>
                <w:szCs w:val="21"/>
                <w:lang w:eastAsia="zh-CN"/>
              </w:rPr>
            </w:pPr>
          </w:p>
        </w:tc>
        <w:tc>
          <w:tcPr>
            <w:tcW w:w="2092" w:type="dxa"/>
            <w:gridSpan w:val="3"/>
            <w:tcBorders>
              <w:left w:val="single" w:color="auto" w:sz="4" w:space="0"/>
              <w:right w:val="single" w:color="auto" w:sz="4" w:space="0"/>
            </w:tcBorders>
            <w:vAlign w:val="center"/>
          </w:tcPr>
          <w:p w14:paraId="4EDC8E99">
            <w:pPr>
              <w:pStyle w:val="357"/>
              <w:rPr>
                <w:szCs w:val="21"/>
              </w:rPr>
            </w:pPr>
            <w:r>
              <w:rPr>
                <w:szCs w:val="21"/>
              </w:rPr>
              <w:t>噪声治理</w:t>
            </w:r>
          </w:p>
        </w:tc>
        <w:tc>
          <w:tcPr>
            <w:tcW w:w="5103" w:type="dxa"/>
            <w:tcBorders>
              <w:top w:val="single" w:color="auto" w:sz="4" w:space="0"/>
              <w:left w:val="single" w:color="auto" w:sz="4" w:space="0"/>
              <w:bottom w:val="single" w:color="auto" w:sz="4" w:space="0"/>
              <w:right w:val="single" w:color="auto" w:sz="4" w:space="0"/>
            </w:tcBorders>
            <w:vAlign w:val="center"/>
          </w:tcPr>
          <w:p w14:paraId="16504211">
            <w:pPr>
              <w:pStyle w:val="357"/>
              <w:rPr>
                <w:szCs w:val="21"/>
                <w:lang w:eastAsia="zh-CN"/>
              </w:rPr>
            </w:pPr>
            <w:r>
              <w:rPr>
                <w:szCs w:val="21"/>
                <w:lang w:eastAsia="zh-CN"/>
              </w:rPr>
              <w:t>采取设备基座减振、风机设置隔声罩等措施</w:t>
            </w:r>
          </w:p>
        </w:tc>
        <w:tc>
          <w:tcPr>
            <w:tcW w:w="1666" w:type="dxa"/>
            <w:tcBorders>
              <w:top w:val="single" w:color="auto" w:sz="4" w:space="0"/>
              <w:left w:val="single" w:color="auto" w:sz="4" w:space="0"/>
              <w:bottom w:val="single" w:color="auto" w:sz="4" w:space="0"/>
              <w:right w:val="single" w:color="auto" w:sz="4" w:space="0"/>
            </w:tcBorders>
            <w:vAlign w:val="center"/>
          </w:tcPr>
          <w:p w14:paraId="1F6CEE21">
            <w:pPr>
              <w:pStyle w:val="357"/>
              <w:rPr>
                <w:szCs w:val="21"/>
                <w:lang w:eastAsia="zh-CN"/>
              </w:rPr>
            </w:pPr>
            <w:r>
              <w:rPr>
                <w:szCs w:val="21"/>
                <w:lang w:eastAsia="zh-CN"/>
              </w:rPr>
              <w:t>/</w:t>
            </w:r>
          </w:p>
        </w:tc>
      </w:tr>
      <w:tr w14:paraId="1765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bottom w:val="single" w:color="auto" w:sz="4" w:space="0"/>
              <w:right w:val="single" w:color="auto" w:sz="4" w:space="0"/>
            </w:tcBorders>
            <w:vAlign w:val="center"/>
          </w:tcPr>
          <w:p w14:paraId="36658F57">
            <w:pPr>
              <w:pStyle w:val="357"/>
              <w:rPr>
                <w:szCs w:val="21"/>
                <w:lang w:eastAsia="zh-CN"/>
              </w:rPr>
            </w:pPr>
          </w:p>
        </w:tc>
        <w:tc>
          <w:tcPr>
            <w:tcW w:w="2092" w:type="dxa"/>
            <w:gridSpan w:val="3"/>
            <w:tcBorders>
              <w:left w:val="single" w:color="auto" w:sz="4" w:space="0"/>
              <w:bottom w:val="single" w:color="auto" w:sz="4" w:space="0"/>
              <w:right w:val="single" w:color="auto" w:sz="4" w:space="0"/>
            </w:tcBorders>
            <w:vAlign w:val="center"/>
          </w:tcPr>
          <w:p w14:paraId="2F9F8B6D">
            <w:pPr>
              <w:pStyle w:val="357"/>
              <w:rPr>
                <w:szCs w:val="21"/>
              </w:rPr>
            </w:pPr>
            <w:r>
              <w:rPr>
                <w:rFonts w:hint="eastAsia"/>
                <w:szCs w:val="21"/>
                <w:lang w:eastAsia="zh-CN"/>
              </w:rPr>
              <w:t>分区防渗</w:t>
            </w:r>
          </w:p>
        </w:tc>
        <w:tc>
          <w:tcPr>
            <w:tcW w:w="5103" w:type="dxa"/>
            <w:tcBorders>
              <w:top w:val="single" w:color="auto" w:sz="4" w:space="0"/>
              <w:left w:val="single" w:color="auto" w:sz="4" w:space="0"/>
              <w:bottom w:val="single" w:color="auto" w:sz="4" w:space="0"/>
              <w:right w:val="single" w:color="auto" w:sz="4" w:space="0"/>
            </w:tcBorders>
            <w:vAlign w:val="center"/>
          </w:tcPr>
          <w:p w14:paraId="5EE91844">
            <w:pPr>
              <w:pStyle w:val="357"/>
              <w:jc w:val="both"/>
              <w:rPr>
                <w:szCs w:val="21"/>
                <w:lang w:eastAsia="zh-CN"/>
              </w:rPr>
            </w:pPr>
            <w:r>
              <w:rPr>
                <w:rFonts w:hint="eastAsia"/>
                <w:lang w:val="en-GB" w:eastAsia="zh-CN"/>
              </w:rPr>
              <w:t>诊疗废弃物暂存间</w:t>
            </w:r>
            <w:r>
              <w:rPr>
                <w:rFonts w:hint="eastAsia"/>
                <w:lang w:eastAsia="zh-CN"/>
              </w:rPr>
              <w:t>按照</w:t>
            </w:r>
            <w:r>
              <w:rPr>
                <w:szCs w:val="32"/>
                <w:lang w:eastAsia="zh-CN"/>
              </w:rPr>
              <w:t>《危险废物贮存污染物控制标准》（GB18597-2023）</w:t>
            </w:r>
            <w:r>
              <w:rPr>
                <w:rFonts w:hint="eastAsia"/>
                <w:szCs w:val="32"/>
                <w:lang w:eastAsia="zh-CN"/>
              </w:rPr>
              <w:t>进行建设、管理；</w:t>
            </w:r>
          </w:p>
          <w:p w14:paraId="301C99CC">
            <w:pPr>
              <w:pStyle w:val="357"/>
              <w:jc w:val="both"/>
              <w:rPr>
                <w:szCs w:val="21"/>
                <w:lang w:eastAsia="zh-CN"/>
              </w:rPr>
            </w:pPr>
            <w:r>
              <w:rPr>
                <w:rFonts w:hint="eastAsia"/>
                <w:szCs w:val="21"/>
                <w:lang w:eastAsia="zh-CN"/>
              </w:rPr>
              <w:t>重点防渗区：有机肥加工车间、污水处理站进行重点防渗，防渗技术要求满足等效黏土防渗层Mb≥6.0m，K≤1×10</w:t>
            </w:r>
            <w:r>
              <w:rPr>
                <w:rFonts w:hint="eastAsia"/>
                <w:szCs w:val="21"/>
                <w:vertAlign w:val="superscript"/>
                <w:lang w:eastAsia="zh-CN"/>
              </w:rPr>
              <w:t>-7</w:t>
            </w:r>
            <w:r>
              <w:rPr>
                <w:rFonts w:hint="eastAsia"/>
                <w:szCs w:val="21"/>
                <w:lang w:eastAsia="zh-CN"/>
              </w:rPr>
              <w:t>cm/s，或参照GB18598执行；</w:t>
            </w:r>
          </w:p>
          <w:p w14:paraId="027139DD">
            <w:pPr>
              <w:pStyle w:val="357"/>
              <w:jc w:val="both"/>
              <w:rPr>
                <w:szCs w:val="21"/>
                <w:lang w:eastAsia="zh-CN"/>
              </w:rPr>
            </w:pPr>
            <w:r>
              <w:rPr>
                <w:rFonts w:hint="eastAsia"/>
                <w:szCs w:val="21"/>
                <w:lang w:eastAsia="zh-CN"/>
              </w:rPr>
              <w:t>一般防渗区：储水池、应急水池、雨水收集池进行一般防渗，防渗技术要求满足等效黏土防渗层Mb≥1.5m，K≤1×10</w:t>
            </w:r>
            <w:r>
              <w:rPr>
                <w:rFonts w:hint="eastAsia"/>
                <w:szCs w:val="21"/>
                <w:vertAlign w:val="superscript"/>
                <w:lang w:eastAsia="zh-CN"/>
              </w:rPr>
              <w:t>-7</w:t>
            </w:r>
            <w:r>
              <w:rPr>
                <w:rFonts w:hint="eastAsia"/>
                <w:szCs w:val="21"/>
                <w:lang w:eastAsia="zh-CN"/>
              </w:rPr>
              <w:t>cm/s，或参照GB16889执行；</w:t>
            </w:r>
          </w:p>
          <w:p w14:paraId="2123AC65">
            <w:pPr>
              <w:pStyle w:val="357"/>
              <w:jc w:val="both"/>
              <w:rPr>
                <w:szCs w:val="21"/>
                <w:lang w:eastAsia="zh-CN"/>
              </w:rPr>
            </w:pPr>
            <w:r>
              <w:rPr>
                <w:rFonts w:hint="eastAsia"/>
                <w:szCs w:val="21"/>
                <w:lang w:eastAsia="zh-CN"/>
              </w:rPr>
              <w:t>简单防渗区：养殖区、办公生活中心、道路、饲料加工区、锅炉房、蛋品加工区，防渗技术要求进行一般地面硬化。</w:t>
            </w:r>
          </w:p>
        </w:tc>
        <w:tc>
          <w:tcPr>
            <w:tcW w:w="1666" w:type="dxa"/>
            <w:tcBorders>
              <w:top w:val="single" w:color="auto" w:sz="4" w:space="0"/>
              <w:left w:val="single" w:color="auto" w:sz="4" w:space="0"/>
              <w:bottom w:val="single" w:color="auto" w:sz="4" w:space="0"/>
              <w:right w:val="single" w:color="auto" w:sz="4" w:space="0"/>
            </w:tcBorders>
            <w:vAlign w:val="center"/>
          </w:tcPr>
          <w:p w14:paraId="62DD39C9">
            <w:pPr>
              <w:pStyle w:val="357"/>
              <w:rPr>
                <w:szCs w:val="21"/>
                <w:lang w:eastAsia="zh-CN"/>
              </w:rPr>
            </w:pPr>
            <w:r>
              <w:rPr>
                <w:szCs w:val="21"/>
                <w:lang w:eastAsia="zh-CN"/>
              </w:rPr>
              <w:t>/</w:t>
            </w:r>
          </w:p>
        </w:tc>
      </w:tr>
      <w:tr w14:paraId="77DF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6" w:type="dxa"/>
            <w:vMerge w:val="continue"/>
            <w:tcBorders>
              <w:left w:val="single" w:color="auto" w:sz="4" w:space="0"/>
              <w:bottom w:val="single" w:color="auto" w:sz="4" w:space="0"/>
              <w:right w:val="single" w:color="auto" w:sz="4" w:space="0"/>
            </w:tcBorders>
            <w:vAlign w:val="center"/>
          </w:tcPr>
          <w:p w14:paraId="459DAD90">
            <w:pPr>
              <w:pStyle w:val="357"/>
              <w:rPr>
                <w:szCs w:val="21"/>
                <w:lang w:eastAsia="zh-CN"/>
              </w:rPr>
            </w:pPr>
          </w:p>
        </w:tc>
        <w:tc>
          <w:tcPr>
            <w:tcW w:w="2092" w:type="dxa"/>
            <w:gridSpan w:val="3"/>
            <w:tcBorders>
              <w:left w:val="single" w:color="auto" w:sz="4" w:space="0"/>
              <w:bottom w:val="single" w:color="auto" w:sz="4" w:space="0"/>
              <w:right w:val="single" w:color="auto" w:sz="4" w:space="0"/>
            </w:tcBorders>
            <w:vAlign w:val="center"/>
          </w:tcPr>
          <w:p w14:paraId="2E73A8E5">
            <w:pPr>
              <w:pStyle w:val="357"/>
              <w:rPr>
                <w:szCs w:val="21"/>
              </w:rPr>
            </w:pPr>
            <w:r>
              <w:rPr>
                <w:rFonts w:hint="eastAsia"/>
                <w:szCs w:val="21"/>
                <w:lang w:eastAsia="zh-CN"/>
              </w:rPr>
              <w:t>绿化</w:t>
            </w:r>
          </w:p>
        </w:tc>
        <w:tc>
          <w:tcPr>
            <w:tcW w:w="5103" w:type="dxa"/>
            <w:tcBorders>
              <w:top w:val="single" w:color="auto" w:sz="4" w:space="0"/>
              <w:left w:val="single" w:color="auto" w:sz="4" w:space="0"/>
              <w:bottom w:val="single" w:color="auto" w:sz="4" w:space="0"/>
              <w:right w:val="single" w:color="auto" w:sz="4" w:space="0"/>
            </w:tcBorders>
            <w:vAlign w:val="center"/>
          </w:tcPr>
          <w:p w14:paraId="109DFE62">
            <w:pPr>
              <w:pStyle w:val="357"/>
              <w:rPr>
                <w:szCs w:val="21"/>
                <w:lang w:eastAsia="zh-CN"/>
              </w:rPr>
            </w:pPr>
            <w:r>
              <w:rPr>
                <w:rFonts w:hint="eastAsia"/>
                <w:szCs w:val="21"/>
                <w:lang w:eastAsia="zh-CN"/>
              </w:rPr>
              <w:t>绿化面积约9万m</w:t>
            </w:r>
            <w:r>
              <w:rPr>
                <w:rFonts w:hint="eastAsia"/>
                <w:szCs w:val="21"/>
                <w:vertAlign w:val="superscript"/>
                <w:lang w:eastAsia="zh-CN"/>
              </w:rPr>
              <w:t>2</w:t>
            </w:r>
          </w:p>
        </w:tc>
        <w:tc>
          <w:tcPr>
            <w:tcW w:w="1666" w:type="dxa"/>
            <w:tcBorders>
              <w:top w:val="single" w:color="auto" w:sz="4" w:space="0"/>
              <w:left w:val="single" w:color="auto" w:sz="4" w:space="0"/>
              <w:bottom w:val="single" w:color="auto" w:sz="4" w:space="0"/>
              <w:right w:val="single" w:color="auto" w:sz="4" w:space="0"/>
            </w:tcBorders>
            <w:vAlign w:val="center"/>
          </w:tcPr>
          <w:p w14:paraId="4A48701D">
            <w:pPr>
              <w:pStyle w:val="357"/>
              <w:rPr>
                <w:szCs w:val="21"/>
                <w:lang w:eastAsia="zh-CN"/>
              </w:rPr>
            </w:pPr>
            <w:r>
              <w:rPr>
                <w:szCs w:val="21"/>
                <w:lang w:eastAsia="zh-CN"/>
              </w:rPr>
              <w:t>/</w:t>
            </w:r>
          </w:p>
        </w:tc>
      </w:tr>
    </w:tbl>
    <w:p w14:paraId="143BF9A6">
      <w:pPr>
        <w:pStyle w:val="764"/>
        <w:ind w:firstLine="0" w:firstLineChars="0"/>
        <w:rPr>
          <w:b/>
          <w:bCs/>
          <w:kern w:val="0"/>
          <w:sz w:val="28"/>
          <w:szCs w:val="32"/>
        </w:rPr>
      </w:pPr>
      <w:bookmarkStart w:id="170" w:name="_Toc5380"/>
      <w:r>
        <w:rPr>
          <w:rFonts w:hint="eastAsia"/>
          <w:b/>
          <w:bCs/>
          <w:kern w:val="0"/>
          <w:sz w:val="28"/>
          <w:szCs w:val="32"/>
        </w:rPr>
        <w:t>3.1.2产品方案及产品质量标准</w:t>
      </w:r>
    </w:p>
    <w:p w14:paraId="10E37262">
      <w:pPr>
        <w:pStyle w:val="764"/>
        <w:ind w:firstLine="480"/>
      </w:pPr>
      <w:r>
        <w:rPr>
          <w:rFonts w:hint="eastAsia"/>
        </w:rPr>
        <w:t>（1）产品方案</w:t>
      </w:r>
    </w:p>
    <w:p w14:paraId="74F085EF">
      <w:pPr>
        <w:pStyle w:val="764"/>
        <w:spacing w:line="240" w:lineRule="auto"/>
        <w:ind w:firstLine="0" w:firstLineChars="0"/>
        <w:jc w:val="center"/>
      </w:pPr>
      <w:r>
        <w:rPr>
          <w:rFonts w:hint="eastAsia"/>
          <w:b/>
          <w:bCs/>
        </w:rPr>
        <w:t>表3.1-3 产品方案一览表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1857"/>
        <w:gridCol w:w="1857"/>
        <w:gridCol w:w="1406"/>
        <w:gridCol w:w="2308"/>
      </w:tblGrid>
      <w:tr w14:paraId="236E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tcPr>
          <w:p w14:paraId="692F4516">
            <w:pPr>
              <w:pStyle w:val="764"/>
              <w:spacing w:line="240" w:lineRule="auto"/>
              <w:ind w:firstLine="0" w:firstLineChars="0"/>
              <w:jc w:val="center"/>
              <w:rPr>
                <w:sz w:val="21"/>
                <w:szCs w:val="21"/>
              </w:rPr>
            </w:pPr>
            <w:r>
              <w:rPr>
                <w:rFonts w:hint="eastAsia"/>
                <w:sz w:val="21"/>
                <w:szCs w:val="21"/>
              </w:rPr>
              <w:t>序号</w:t>
            </w:r>
          </w:p>
        </w:tc>
        <w:tc>
          <w:tcPr>
            <w:tcW w:w="1857" w:type="dxa"/>
          </w:tcPr>
          <w:p w14:paraId="3248DFD2">
            <w:pPr>
              <w:pStyle w:val="764"/>
              <w:spacing w:line="240" w:lineRule="auto"/>
              <w:ind w:firstLine="0" w:firstLineChars="0"/>
              <w:jc w:val="center"/>
              <w:rPr>
                <w:sz w:val="21"/>
                <w:szCs w:val="21"/>
              </w:rPr>
            </w:pPr>
            <w:r>
              <w:rPr>
                <w:rFonts w:hint="eastAsia"/>
                <w:sz w:val="21"/>
                <w:szCs w:val="21"/>
              </w:rPr>
              <w:t>产品名称</w:t>
            </w:r>
          </w:p>
        </w:tc>
        <w:tc>
          <w:tcPr>
            <w:tcW w:w="1857" w:type="dxa"/>
          </w:tcPr>
          <w:p w14:paraId="7542F8D7">
            <w:pPr>
              <w:pStyle w:val="764"/>
              <w:spacing w:line="240" w:lineRule="auto"/>
              <w:ind w:firstLine="0" w:firstLineChars="0"/>
              <w:jc w:val="center"/>
              <w:rPr>
                <w:sz w:val="21"/>
                <w:szCs w:val="21"/>
              </w:rPr>
            </w:pPr>
            <w:r>
              <w:rPr>
                <w:rFonts w:hint="eastAsia"/>
                <w:sz w:val="21"/>
                <w:szCs w:val="21"/>
              </w:rPr>
              <w:t>年产量</w:t>
            </w:r>
          </w:p>
        </w:tc>
        <w:tc>
          <w:tcPr>
            <w:tcW w:w="1406" w:type="dxa"/>
          </w:tcPr>
          <w:p w14:paraId="33E1598B">
            <w:pPr>
              <w:pStyle w:val="764"/>
              <w:spacing w:line="240" w:lineRule="auto"/>
              <w:ind w:firstLine="0" w:firstLineChars="0"/>
              <w:jc w:val="center"/>
              <w:rPr>
                <w:sz w:val="21"/>
                <w:szCs w:val="21"/>
              </w:rPr>
            </w:pPr>
            <w:r>
              <w:rPr>
                <w:rFonts w:hint="eastAsia"/>
                <w:sz w:val="21"/>
                <w:szCs w:val="21"/>
              </w:rPr>
              <w:t>单位</w:t>
            </w:r>
          </w:p>
        </w:tc>
        <w:tc>
          <w:tcPr>
            <w:tcW w:w="2308" w:type="dxa"/>
          </w:tcPr>
          <w:p w14:paraId="2CECC807">
            <w:pPr>
              <w:pStyle w:val="764"/>
              <w:spacing w:line="240" w:lineRule="auto"/>
              <w:ind w:firstLine="0" w:firstLineChars="0"/>
              <w:jc w:val="center"/>
              <w:rPr>
                <w:sz w:val="21"/>
                <w:szCs w:val="21"/>
              </w:rPr>
            </w:pPr>
            <w:r>
              <w:rPr>
                <w:rFonts w:hint="eastAsia"/>
                <w:sz w:val="21"/>
                <w:szCs w:val="21"/>
              </w:rPr>
              <w:t>去向</w:t>
            </w:r>
          </w:p>
        </w:tc>
      </w:tr>
      <w:tr w14:paraId="681D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856" w:type="dxa"/>
          </w:tcPr>
          <w:p w14:paraId="007BD352">
            <w:pPr>
              <w:pStyle w:val="764"/>
              <w:spacing w:line="240" w:lineRule="auto"/>
              <w:ind w:firstLine="0" w:firstLineChars="0"/>
              <w:jc w:val="center"/>
              <w:rPr>
                <w:sz w:val="21"/>
                <w:szCs w:val="21"/>
              </w:rPr>
            </w:pPr>
            <w:r>
              <w:rPr>
                <w:rFonts w:hint="eastAsia"/>
                <w:sz w:val="21"/>
                <w:szCs w:val="21"/>
              </w:rPr>
              <w:t>1</w:t>
            </w:r>
          </w:p>
        </w:tc>
        <w:tc>
          <w:tcPr>
            <w:tcW w:w="1857" w:type="dxa"/>
          </w:tcPr>
          <w:p w14:paraId="19EB3555">
            <w:pPr>
              <w:pStyle w:val="764"/>
              <w:spacing w:line="240" w:lineRule="auto"/>
              <w:ind w:firstLine="0" w:firstLineChars="0"/>
              <w:jc w:val="center"/>
              <w:rPr>
                <w:sz w:val="21"/>
                <w:szCs w:val="21"/>
              </w:rPr>
            </w:pPr>
            <w:r>
              <w:rPr>
                <w:rFonts w:hint="eastAsia"/>
                <w:sz w:val="21"/>
                <w:szCs w:val="21"/>
              </w:rPr>
              <w:t>鸡蛋</w:t>
            </w:r>
          </w:p>
        </w:tc>
        <w:tc>
          <w:tcPr>
            <w:tcW w:w="1857" w:type="dxa"/>
          </w:tcPr>
          <w:p w14:paraId="4D934010">
            <w:pPr>
              <w:pStyle w:val="764"/>
              <w:spacing w:line="240" w:lineRule="auto"/>
              <w:ind w:firstLine="0" w:firstLineChars="0"/>
              <w:jc w:val="center"/>
              <w:rPr>
                <w:sz w:val="21"/>
                <w:szCs w:val="21"/>
              </w:rPr>
            </w:pPr>
            <w:r>
              <w:rPr>
                <w:rFonts w:hint="eastAsia"/>
                <w:sz w:val="21"/>
                <w:szCs w:val="21"/>
              </w:rPr>
              <w:t>25200</w:t>
            </w:r>
          </w:p>
        </w:tc>
        <w:tc>
          <w:tcPr>
            <w:tcW w:w="1406" w:type="dxa"/>
          </w:tcPr>
          <w:p w14:paraId="2BD5D63A">
            <w:pPr>
              <w:pStyle w:val="764"/>
              <w:spacing w:line="240" w:lineRule="auto"/>
              <w:ind w:firstLine="0" w:firstLineChars="0"/>
              <w:jc w:val="center"/>
              <w:rPr>
                <w:sz w:val="21"/>
                <w:szCs w:val="21"/>
              </w:rPr>
            </w:pPr>
            <w:r>
              <w:rPr>
                <w:rFonts w:hint="eastAsia"/>
                <w:sz w:val="21"/>
                <w:szCs w:val="21"/>
              </w:rPr>
              <w:t>万枚</w:t>
            </w:r>
          </w:p>
        </w:tc>
        <w:tc>
          <w:tcPr>
            <w:tcW w:w="2308" w:type="dxa"/>
          </w:tcPr>
          <w:p w14:paraId="5724AEDB">
            <w:pPr>
              <w:pStyle w:val="764"/>
              <w:spacing w:line="240" w:lineRule="auto"/>
              <w:ind w:firstLine="0" w:firstLineChars="0"/>
              <w:jc w:val="center"/>
              <w:rPr>
                <w:sz w:val="21"/>
                <w:szCs w:val="21"/>
              </w:rPr>
            </w:pPr>
            <w:r>
              <w:rPr>
                <w:rFonts w:hint="eastAsia"/>
                <w:sz w:val="21"/>
                <w:szCs w:val="21"/>
              </w:rPr>
              <w:t>外售</w:t>
            </w:r>
          </w:p>
        </w:tc>
      </w:tr>
      <w:tr w14:paraId="2539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tcPr>
          <w:p w14:paraId="24C180A2">
            <w:pPr>
              <w:pStyle w:val="764"/>
              <w:spacing w:line="240" w:lineRule="auto"/>
              <w:ind w:firstLine="0" w:firstLineChars="0"/>
              <w:jc w:val="center"/>
              <w:rPr>
                <w:sz w:val="21"/>
                <w:szCs w:val="21"/>
              </w:rPr>
            </w:pPr>
            <w:r>
              <w:rPr>
                <w:rFonts w:hint="eastAsia"/>
                <w:sz w:val="21"/>
                <w:szCs w:val="21"/>
              </w:rPr>
              <w:t>2</w:t>
            </w:r>
          </w:p>
        </w:tc>
        <w:tc>
          <w:tcPr>
            <w:tcW w:w="1857" w:type="dxa"/>
          </w:tcPr>
          <w:p w14:paraId="1D5F0AD9">
            <w:pPr>
              <w:pStyle w:val="764"/>
              <w:spacing w:line="240" w:lineRule="auto"/>
              <w:ind w:firstLine="0" w:firstLineChars="0"/>
              <w:jc w:val="center"/>
              <w:rPr>
                <w:sz w:val="21"/>
                <w:szCs w:val="21"/>
              </w:rPr>
            </w:pPr>
            <w:r>
              <w:rPr>
                <w:rFonts w:hint="eastAsia"/>
                <w:sz w:val="21"/>
                <w:szCs w:val="21"/>
              </w:rPr>
              <w:t>育成鸡</w:t>
            </w:r>
          </w:p>
        </w:tc>
        <w:tc>
          <w:tcPr>
            <w:tcW w:w="1857" w:type="dxa"/>
          </w:tcPr>
          <w:p w14:paraId="69837E5A">
            <w:pPr>
              <w:pStyle w:val="764"/>
              <w:spacing w:line="240" w:lineRule="auto"/>
              <w:ind w:firstLine="0" w:firstLineChars="0"/>
              <w:jc w:val="center"/>
              <w:rPr>
                <w:sz w:val="21"/>
                <w:szCs w:val="21"/>
              </w:rPr>
            </w:pPr>
            <w:r>
              <w:rPr>
                <w:rFonts w:hint="eastAsia"/>
                <w:sz w:val="21"/>
                <w:szCs w:val="21"/>
              </w:rPr>
              <w:t>90</w:t>
            </w:r>
          </w:p>
        </w:tc>
        <w:tc>
          <w:tcPr>
            <w:tcW w:w="1406" w:type="dxa"/>
          </w:tcPr>
          <w:p w14:paraId="35322C3A">
            <w:pPr>
              <w:pStyle w:val="764"/>
              <w:spacing w:line="240" w:lineRule="auto"/>
              <w:ind w:firstLine="0" w:firstLineChars="0"/>
              <w:jc w:val="center"/>
              <w:rPr>
                <w:sz w:val="21"/>
                <w:szCs w:val="21"/>
              </w:rPr>
            </w:pPr>
            <w:r>
              <w:rPr>
                <w:rFonts w:hint="eastAsia"/>
                <w:sz w:val="21"/>
                <w:szCs w:val="21"/>
              </w:rPr>
              <w:t>万只</w:t>
            </w:r>
          </w:p>
        </w:tc>
        <w:tc>
          <w:tcPr>
            <w:tcW w:w="2308" w:type="dxa"/>
          </w:tcPr>
          <w:p w14:paraId="32E48D63">
            <w:pPr>
              <w:pStyle w:val="764"/>
              <w:spacing w:line="240" w:lineRule="auto"/>
              <w:ind w:firstLine="0" w:firstLineChars="0"/>
              <w:jc w:val="center"/>
              <w:rPr>
                <w:sz w:val="21"/>
                <w:szCs w:val="21"/>
              </w:rPr>
            </w:pPr>
            <w:r>
              <w:rPr>
                <w:rFonts w:hint="eastAsia"/>
                <w:sz w:val="21"/>
                <w:szCs w:val="21"/>
              </w:rPr>
              <w:t>供蛋鸡养殖区使用</w:t>
            </w:r>
          </w:p>
        </w:tc>
      </w:tr>
      <w:tr w14:paraId="2BEF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tcPr>
          <w:p w14:paraId="161323BC">
            <w:pPr>
              <w:pStyle w:val="764"/>
              <w:spacing w:line="240" w:lineRule="auto"/>
              <w:ind w:firstLine="0" w:firstLineChars="0"/>
              <w:jc w:val="center"/>
              <w:rPr>
                <w:sz w:val="21"/>
                <w:szCs w:val="21"/>
              </w:rPr>
            </w:pPr>
            <w:r>
              <w:rPr>
                <w:rFonts w:hint="eastAsia"/>
                <w:sz w:val="21"/>
                <w:szCs w:val="21"/>
              </w:rPr>
              <w:t>3</w:t>
            </w:r>
          </w:p>
        </w:tc>
        <w:tc>
          <w:tcPr>
            <w:tcW w:w="1857" w:type="dxa"/>
          </w:tcPr>
          <w:p w14:paraId="13505F6F">
            <w:pPr>
              <w:pStyle w:val="764"/>
              <w:spacing w:line="240" w:lineRule="auto"/>
              <w:ind w:firstLine="0" w:firstLineChars="0"/>
              <w:jc w:val="center"/>
              <w:rPr>
                <w:sz w:val="21"/>
                <w:szCs w:val="21"/>
              </w:rPr>
            </w:pPr>
            <w:r>
              <w:rPr>
                <w:rFonts w:hint="eastAsia"/>
                <w:sz w:val="21"/>
                <w:szCs w:val="21"/>
              </w:rPr>
              <w:t>有机肥</w:t>
            </w:r>
          </w:p>
        </w:tc>
        <w:tc>
          <w:tcPr>
            <w:tcW w:w="1857" w:type="dxa"/>
          </w:tcPr>
          <w:p w14:paraId="1496311D">
            <w:pPr>
              <w:pStyle w:val="764"/>
              <w:spacing w:line="240" w:lineRule="auto"/>
              <w:ind w:firstLine="0" w:firstLineChars="0"/>
              <w:jc w:val="center"/>
              <w:rPr>
                <w:sz w:val="21"/>
                <w:szCs w:val="21"/>
              </w:rPr>
            </w:pPr>
            <w:r>
              <w:rPr>
                <w:rFonts w:hint="eastAsia"/>
                <w:sz w:val="21"/>
                <w:szCs w:val="21"/>
              </w:rPr>
              <w:t>13140</w:t>
            </w:r>
          </w:p>
        </w:tc>
        <w:tc>
          <w:tcPr>
            <w:tcW w:w="1406" w:type="dxa"/>
          </w:tcPr>
          <w:p w14:paraId="19DA68ED">
            <w:pPr>
              <w:pStyle w:val="764"/>
              <w:spacing w:line="240" w:lineRule="auto"/>
              <w:ind w:firstLine="0" w:firstLineChars="0"/>
              <w:jc w:val="center"/>
              <w:rPr>
                <w:sz w:val="21"/>
                <w:szCs w:val="21"/>
              </w:rPr>
            </w:pPr>
            <w:r>
              <w:rPr>
                <w:rFonts w:hint="eastAsia"/>
                <w:sz w:val="21"/>
                <w:szCs w:val="21"/>
              </w:rPr>
              <w:t>t</w:t>
            </w:r>
          </w:p>
        </w:tc>
        <w:tc>
          <w:tcPr>
            <w:tcW w:w="2308" w:type="dxa"/>
          </w:tcPr>
          <w:p w14:paraId="27C1E8CD">
            <w:pPr>
              <w:pStyle w:val="764"/>
              <w:spacing w:line="240" w:lineRule="auto"/>
              <w:ind w:firstLine="0" w:firstLineChars="0"/>
              <w:jc w:val="center"/>
              <w:rPr>
                <w:sz w:val="21"/>
                <w:szCs w:val="21"/>
              </w:rPr>
            </w:pPr>
            <w:r>
              <w:rPr>
                <w:rFonts w:hint="eastAsia"/>
                <w:sz w:val="21"/>
                <w:szCs w:val="21"/>
              </w:rPr>
              <w:t>外售</w:t>
            </w:r>
          </w:p>
        </w:tc>
      </w:tr>
      <w:tr w14:paraId="151C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tcPr>
          <w:p w14:paraId="5EAD9440">
            <w:pPr>
              <w:pStyle w:val="764"/>
              <w:spacing w:line="240" w:lineRule="auto"/>
              <w:ind w:firstLine="0" w:firstLineChars="0"/>
              <w:jc w:val="center"/>
              <w:rPr>
                <w:sz w:val="21"/>
                <w:szCs w:val="21"/>
              </w:rPr>
            </w:pPr>
            <w:r>
              <w:rPr>
                <w:rFonts w:hint="eastAsia"/>
                <w:sz w:val="21"/>
                <w:szCs w:val="21"/>
              </w:rPr>
              <w:t>4</w:t>
            </w:r>
          </w:p>
        </w:tc>
        <w:tc>
          <w:tcPr>
            <w:tcW w:w="1857" w:type="dxa"/>
          </w:tcPr>
          <w:p w14:paraId="19C981FB">
            <w:pPr>
              <w:pStyle w:val="764"/>
              <w:spacing w:line="240" w:lineRule="auto"/>
              <w:ind w:firstLine="0" w:firstLineChars="0"/>
              <w:jc w:val="center"/>
              <w:rPr>
                <w:sz w:val="21"/>
                <w:szCs w:val="21"/>
              </w:rPr>
            </w:pPr>
            <w:r>
              <w:rPr>
                <w:rFonts w:hint="eastAsia"/>
                <w:sz w:val="21"/>
                <w:szCs w:val="21"/>
              </w:rPr>
              <w:t>淘汰鸡</w:t>
            </w:r>
          </w:p>
        </w:tc>
        <w:tc>
          <w:tcPr>
            <w:tcW w:w="1857" w:type="dxa"/>
          </w:tcPr>
          <w:p w14:paraId="60FCEAAF">
            <w:pPr>
              <w:pStyle w:val="764"/>
              <w:spacing w:line="240" w:lineRule="auto"/>
              <w:ind w:firstLine="0" w:firstLineChars="0"/>
              <w:jc w:val="center"/>
              <w:rPr>
                <w:sz w:val="21"/>
                <w:szCs w:val="21"/>
              </w:rPr>
            </w:pPr>
            <w:r>
              <w:rPr>
                <w:rFonts w:hint="eastAsia"/>
                <w:sz w:val="21"/>
                <w:szCs w:val="21"/>
              </w:rPr>
              <w:t>86.4</w:t>
            </w:r>
          </w:p>
        </w:tc>
        <w:tc>
          <w:tcPr>
            <w:tcW w:w="1406" w:type="dxa"/>
          </w:tcPr>
          <w:p w14:paraId="10E93A35">
            <w:pPr>
              <w:pStyle w:val="764"/>
              <w:spacing w:line="240" w:lineRule="auto"/>
              <w:ind w:firstLine="0" w:firstLineChars="0"/>
              <w:jc w:val="center"/>
              <w:rPr>
                <w:sz w:val="21"/>
                <w:szCs w:val="21"/>
              </w:rPr>
            </w:pPr>
            <w:r>
              <w:rPr>
                <w:rFonts w:hint="eastAsia"/>
                <w:sz w:val="21"/>
                <w:szCs w:val="21"/>
              </w:rPr>
              <w:t>万只</w:t>
            </w:r>
          </w:p>
        </w:tc>
        <w:tc>
          <w:tcPr>
            <w:tcW w:w="2308" w:type="dxa"/>
          </w:tcPr>
          <w:p w14:paraId="2C655EE8">
            <w:pPr>
              <w:pStyle w:val="764"/>
              <w:spacing w:line="240" w:lineRule="auto"/>
              <w:ind w:firstLine="0" w:firstLineChars="0"/>
              <w:jc w:val="center"/>
              <w:rPr>
                <w:sz w:val="21"/>
                <w:szCs w:val="21"/>
              </w:rPr>
            </w:pPr>
            <w:r>
              <w:rPr>
                <w:rFonts w:hint="eastAsia"/>
                <w:sz w:val="21"/>
                <w:szCs w:val="21"/>
              </w:rPr>
              <w:t>外售</w:t>
            </w:r>
          </w:p>
        </w:tc>
      </w:tr>
    </w:tbl>
    <w:p w14:paraId="6D559163">
      <w:pPr>
        <w:pStyle w:val="764"/>
        <w:ind w:firstLine="480"/>
      </w:pPr>
      <w:r>
        <w:rPr>
          <w:rFonts w:hint="eastAsia"/>
        </w:rPr>
        <w:t>（2）产品质量标准</w:t>
      </w:r>
    </w:p>
    <w:p w14:paraId="4765BA8B">
      <w:pPr>
        <w:pStyle w:val="764"/>
        <w:spacing w:line="240" w:lineRule="auto"/>
        <w:ind w:firstLine="0" w:firstLineChars="0"/>
        <w:jc w:val="center"/>
      </w:pPr>
      <w:r>
        <w:rPr>
          <w:rFonts w:hint="eastAsia"/>
          <w:b/>
          <w:bCs/>
        </w:rPr>
        <w:t>表3.1-4 产品质量标准一栏表</w:t>
      </w:r>
    </w:p>
    <w:tbl>
      <w:tblPr>
        <w:tblStyle w:val="83"/>
        <w:tblW w:w="9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3106"/>
        <w:gridCol w:w="3096"/>
        <w:gridCol w:w="2024"/>
      </w:tblGrid>
      <w:tr w14:paraId="4A3F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9319" w:type="dxa"/>
            <w:gridSpan w:val="4"/>
            <w:vAlign w:val="center"/>
          </w:tcPr>
          <w:p w14:paraId="041AF245">
            <w:pPr>
              <w:pStyle w:val="764"/>
              <w:spacing w:line="240" w:lineRule="auto"/>
              <w:ind w:firstLine="0" w:firstLineChars="0"/>
              <w:jc w:val="center"/>
              <w:rPr>
                <w:sz w:val="21"/>
                <w:szCs w:val="21"/>
              </w:rPr>
            </w:pPr>
            <w:r>
              <w:rPr>
                <w:rFonts w:hint="eastAsia"/>
                <w:b/>
                <w:bCs/>
                <w:sz w:val="21"/>
                <w:szCs w:val="21"/>
              </w:rPr>
              <w:t>有机肥料（NY525-2012）</w:t>
            </w:r>
          </w:p>
        </w:tc>
      </w:tr>
      <w:tr w14:paraId="50B8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93" w:type="dxa"/>
            <w:vAlign w:val="center"/>
          </w:tcPr>
          <w:p w14:paraId="405F037F">
            <w:pPr>
              <w:pStyle w:val="764"/>
              <w:spacing w:line="240" w:lineRule="auto"/>
              <w:ind w:firstLine="0" w:firstLineChars="0"/>
              <w:jc w:val="center"/>
              <w:rPr>
                <w:sz w:val="21"/>
                <w:szCs w:val="21"/>
              </w:rPr>
            </w:pPr>
            <w:r>
              <w:rPr>
                <w:rFonts w:hint="eastAsia"/>
                <w:sz w:val="21"/>
                <w:szCs w:val="21"/>
              </w:rPr>
              <w:t>序号</w:t>
            </w:r>
          </w:p>
        </w:tc>
        <w:tc>
          <w:tcPr>
            <w:tcW w:w="6202" w:type="dxa"/>
            <w:gridSpan w:val="2"/>
            <w:vAlign w:val="center"/>
          </w:tcPr>
          <w:p w14:paraId="0ACC4AA0">
            <w:pPr>
              <w:pStyle w:val="764"/>
              <w:spacing w:line="240" w:lineRule="auto"/>
              <w:ind w:firstLine="0" w:firstLineChars="0"/>
              <w:jc w:val="center"/>
              <w:rPr>
                <w:sz w:val="21"/>
                <w:szCs w:val="21"/>
              </w:rPr>
            </w:pPr>
            <w:r>
              <w:rPr>
                <w:rFonts w:hint="eastAsia"/>
                <w:sz w:val="21"/>
                <w:szCs w:val="21"/>
              </w:rPr>
              <w:t>项目</w:t>
            </w:r>
          </w:p>
        </w:tc>
        <w:tc>
          <w:tcPr>
            <w:tcW w:w="2024" w:type="dxa"/>
            <w:vAlign w:val="center"/>
          </w:tcPr>
          <w:p w14:paraId="3E30F6D3">
            <w:pPr>
              <w:pStyle w:val="764"/>
              <w:spacing w:line="240" w:lineRule="auto"/>
              <w:ind w:firstLine="0" w:firstLineChars="0"/>
              <w:jc w:val="center"/>
              <w:rPr>
                <w:sz w:val="21"/>
                <w:szCs w:val="21"/>
              </w:rPr>
            </w:pPr>
            <w:r>
              <w:rPr>
                <w:rFonts w:hint="eastAsia"/>
                <w:sz w:val="21"/>
                <w:szCs w:val="21"/>
              </w:rPr>
              <w:t>指标</w:t>
            </w:r>
          </w:p>
        </w:tc>
      </w:tr>
      <w:tr w14:paraId="771A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93" w:type="dxa"/>
            <w:vAlign w:val="center"/>
          </w:tcPr>
          <w:p w14:paraId="16C2E5AE">
            <w:pPr>
              <w:pStyle w:val="764"/>
              <w:spacing w:line="240" w:lineRule="auto"/>
              <w:ind w:firstLine="0" w:firstLineChars="0"/>
              <w:jc w:val="center"/>
              <w:rPr>
                <w:sz w:val="21"/>
                <w:szCs w:val="21"/>
              </w:rPr>
            </w:pPr>
            <w:r>
              <w:rPr>
                <w:rFonts w:hint="eastAsia"/>
                <w:sz w:val="21"/>
                <w:szCs w:val="21"/>
              </w:rPr>
              <w:t>1</w:t>
            </w:r>
          </w:p>
        </w:tc>
        <w:tc>
          <w:tcPr>
            <w:tcW w:w="6202" w:type="dxa"/>
            <w:gridSpan w:val="2"/>
            <w:vAlign w:val="center"/>
          </w:tcPr>
          <w:p w14:paraId="6C00308F">
            <w:pPr>
              <w:pStyle w:val="764"/>
              <w:spacing w:line="240" w:lineRule="auto"/>
              <w:ind w:firstLine="0" w:firstLineChars="0"/>
              <w:jc w:val="center"/>
              <w:rPr>
                <w:sz w:val="21"/>
                <w:szCs w:val="21"/>
              </w:rPr>
            </w:pPr>
            <w:r>
              <w:rPr>
                <w:rFonts w:hint="eastAsia"/>
                <w:sz w:val="21"/>
                <w:szCs w:val="21"/>
              </w:rPr>
              <w:t>有机质的质量分数（以烘干基计），%</w:t>
            </w:r>
          </w:p>
        </w:tc>
        <w:tc>
          <w:tcPr>
            <w:tcW w:w="2024" w:type="dxa"/>
            <w:vAlign w:val="center"/>
          </w:tcPr>
          <w:p w14:paraId="55CB51FC">
            <w:pPr>
              <w:pStyle w:val="764"/>
              <w:spacing w:line="240" w:lineRule="auto"/>
              <w:ind w:firstLine="0" w:firstLineChars="0"/>
              <w:jc w:val="center"/>
              <w:rPr>
                <w:sz w:val="21"/>
                <w:szCs w:val="21"/>
              </w:rPr>
            </w:pPr>
            <w:r>
              <w:rPr>
                <w:rFonts w:hint="eastAsia"/>
                <w:sz w:val="21"/>
                <w:szCs w:val="21"/>
              </w:rPr>
              <w:t>≥45</w:t>
            </w:r>
          </w:p>
        </w:tc>
      </w:tr>
      <w:tr w14:paraId="1582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93" w:type="dxa"/>
            <w:vAlign w:val="center"/>
          </w:tcPr>
          <w:p w14:paraId="26A7A9D8">
            <w:pPr>
              <w:pStyle w:val="764"/>
              <w:spacing w:line="240" w:lineRule="auto"/>
              <w:ind w:firstLine="0" w:firstLineChars="0"/>
              <w:jc w:val="center"/>
              <w:rPr>
                <w:sz w:val="21"/>
                <w:szCs w:val="21"/>
              </w:rPr>
            </w:pPr>
            <w:r>
              <w:rPr>
                <w:rFonts w:hint="eastAsia"/>
                <w:sz w:val="21"/>
                <w:szCs w:val="21"/>
              </w:rPr>
              <w:t>2</w:t>
            </w:r>
          </w:p>
        </w:tc>
        <w:tc>
          <w:tcPr>
            <w:tcW w:w="6202" w:type="dxa"/>
            <w:gridSpan w:val="2"/>
            <w:vAlign w:val="center"/>
          </w:tcPr>
          <w:p w14:paraId="104D2A5B">
            <w:pPr>
              <w:pStyle w:val="764"/>
              <w:spacing w:line="240" w:lineRule="auto"/>
              <w:ind w:firstLine="0" w:firstLineChars="0"/>
              <w:jc w:val="center"/>
              <w:rPr>
                <w:sz w:val="21"/>
                <w:szCs w:val="21"/>
              </w:rPr>
            </w:pPr>
            <w:r>
              <w:rPr>
                <w:rFonts w:hint="eastAsia"/>
                <w:sz w:val="21"/>
                <w:szCs w:val="21"/>
              </w:rPr>
              <w:t>总养分（氮+五氧化二磷+氧化钾）的质量分数（以烘干基计），%</w:t>
            </w:r>
          </w:p>
        </w:tc>
        <w:tc>
          <w:tcPr>
            <w:tcW w:w="2024" w:type="dxa"/>
            <w:vAlign w:val="center"/>
          </w:tcPr>
          <w:p w14:paraId="315207C5">
            <w:pPr>
              <w:pStyle w:val="764"/>
              <w:spacing w:line="240" w:lineRule="auto"/>
              <w:ind w:firstLine="0" w:firstLineChars="0"/>
              <w:jc w:val="center"/>
              <w:rPr>
                <w:sz w:val="21"/>
                <w:szCs w:val="21"/>
              </w:rPr>
            </w:pPr>
            <w:r>
              <w:rPr>
                <w:rFonts w:hint="eastAsia"/>
                <w:sz w:val="21"/>
                <w:szCs w:val="21"/>
              </w:rPr>
              <w:t>≥5.0</w:t>
            </w:r>
          </w:p>
        </w:tc>
      </w:tr>
      <w:tr w14:paraId="36CD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93" w:type="dxa"/>
            <w:vAlign w:val="center"/>
          </w:tcPr>
          <w:p w14:paraId="2BA8A235">
            <w:pPr>
              <w:pStyle w:val="764"/>
              <w:spacing w:line="240" w:lineRule="auto"/>
              <w:ind w:firstLine="0" w:firstLineChars="0"/>
              <w:jc w:val="center"/>
              <w:rPr>
                <w:sz w:val="21"/>
                <w:szCs w:val="21"/>
              </w:rPr>
            </w:pPr>
            <w:r>
              <w:rPr>
                <w:rFonts w:hint="eastAsia"/>
                <w:sz w:val="21"/>
                <w:szCs w:val="21"/>
              </w:rPr>
              <w:t>3</w:t>
            </w:r>
          </w:p>
        </w:tc>
        <w:tc>
          <w:tcPr>
            <w:tcW w:w="6202" w:type="dxa"/>
            <w:gridSpan w:val="2"/>
            <w:vAlign w:val="center"/>
          </w:tcPr>
          <w:p w14:paraId="718F8860">
            <w:pPr>
              <w:pStyle w:val="764"/>
              <w:spacing w:line="240" w:lineRule="auto"/>
              <w:ind w:firstLine="0" w:firstLineChars="0"/>
              <w:jc w:val="center"/>
              <w:rPr>
                <w:sz w:val="21"/>
                <w:szCs w:val="21"/>
              </w:rPr>
            </w:pPr>
            <w:r>
              <w:rPr>
                <w:rFonts w:hint="eastAsia"/>
                <w:sz w:val="21"/>
                <w:szCs w:val="21"/>
              </w:rPr>
              <w:t>水分（鲜样）的质量分数，%</w:t>
            </w:r>
          </w:p>
        </w:tc>
        <w:tc>
          <w:tcPr>
            <w:tcW w:w="2024" w:type="dxa"/>
            <w:vAlign w:val="center"/>
          </w:tcPr>
          <w:p w14:paraId="062F61A9">
            <w:pPr>
              <w:pStyle w:val="764"/>
              <w:spacing w:line="240" w:lineRule="auto"/>
              <w:ind w:firstLine="0" w:firstLineChars="0"/>
              <w:jc w:val="center"/>
              <w:rPr>
                <w:sz w:val="21"/>
                <w:szCs w:val="21"/>
              </w:rPr>
            </w:pPr>
            <w:r>
              <w:rPr>
                <w:rFonts w:hint="eastAsia"/>
                <w:sz w:val="21"/>
                <w:szCs w:val="21"/>
              </w:rPr>
              <w:t>≤30</w:t>
            </w:r>
          </w:p>
        </w:tc>
      </w:tr>
      <w:tr w14:paraId="7B03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93" w:type="dxa"/>
            <w:vAlign w:val="center"/>
          </w:tcPr>
          <w:p w14:paraId="010D6DBD">
            <w:pPr>
              <w:pStyle w:val="764"/>
              <w:spacing w:line="240" w:lineRule="auto"/>
              <w:ind w:firstLine="0" w:firstLineChars="0"/>
              <w:jc w:val="center"/>
              <w:rPr>
                <w:sz w:val="21"/>
                <w:szCs w:val="21"/>
              </w:rPr>
            </w:pPr>
            <w:r>
              <w:rPr>
                <w:rFonts w:hint="eastAsia"/>
                <w:sz w:val="21"/>
                <w:szCs w:val="21"/>
              </w:rPr>
              <w:t>4</w:t>
            </w:r>
          </w:p>
        </w:tc>
        <w:tc>
          <w:tcPr>
            <w:tcW w:w="6202" w:type="dxa"/>
            <w:gridSpan w:val="2"/>
            <w:vAlign w:val="center"/>
          </w:tcPr>
          <w:p w14:paraId="73DB2B22">
            <w:pPr>
              <w:pStyle w:val="764"/>
              <w:spacing w:line="240" w:lineRule="auto"/>
              <w:ind w:firstLine="0" w:firstLineChars="0"/>
              <w:jc w:val="center"/>
              <w:rPr>
                <w:sz w:val="21"/>
                <w:szCs w:val="21"/>
              </w:rPr>
            </w:pPr>
            <w:r>
              <w:rPr>
                <w:rFonts w:hint="eastAsia"/>
                <w:sz w:val="21"/>
                <w:szCs w:val="21"/>
              </w:rPr>
              <w:t>酸碱度（pH）（以烘干基计）</w:t>
            </w:r>
          </w:p>
        </w:tc>
        <w:tc>
          <w:tcPr>
            <w:tcW w:w="2024" w:type="dxa"/>
            <w:vAlign w:val="center"/>
          </w:tcPr>
          <w:p w14:paraId="3EF40237">
            <w:pPr>
              <w:pStyle w:val="764"/>
              <w:spacing w:line="240" w:lineRule="auto"/>
              <w:ind w:firstLine="0" w:firstLineChars="0"/>
              <w:jc w:val="center"/>
              <w:rPr>
                <w:sz w:val="21"/>
                <w:szCs w:val="21"/>
              </w:rPr>
            </w:pPr>
            <w:r>
              <w:rPr>
                <w:rFonts w:hint="eastAsia"/>
                <w:sz w:val="21"/>
                <w:szCs w:val="21"/>
              </w:rPr>
              <w:t>5.5-8.5</w:t>
            </w:r>
          </w:p>
        </w:tc>
      </w:tr>
      <w:tr w14:paraId="1A52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93" w:type="dxa"/>
            <w:vAlign w:val="center"/>
          </w:tcPr>
          <w:p w14:paraId="6D8E962D">
            <w:pPr>
              <w:pStyle w:val="764"/>
              <w:spacing w:line="240" w:lineRule="auto"/>
              <w:ind w:firstLine="0" w:firstLineChars="0"/>
              <w:jc w:val="center"/>
              <w:rPr>
                <w:sz w:val="21"/>
                <w:szCs w:val="21"/>
              </w:rPr>
            </w:pPr>
            <w:r>
              <w:rPr>
                <w:rFonts w:hint="eastAsia"/>
                <w:sz w:val="21"/>
                <w:szCs w:val="21"/>
              </w:rPr>
              <w:t>5</w:t>
            </w:r>
          </w:p>
        </w:tc>
        <w:tc>
          <w:tcPr>
            <w:tcW w:w="6202" w:type="dxa"/>
            <w:gridSpan w:val="2"/>
            <w:vAlign w:val="center"/>
          </w:tcPr>
          <w:p w14:paraId="20D5BB25">
            <w:pPr>
              <w:pStyle w:val="764"/>
              <w:spacing w:line="240" w:lineRule="auto"/>
              <w:ind w:firstLine="0" w:firstLineChars="0"/>
              <w:jc w:val="center"/>
              <w:rPr>
                <w:sz w:val="21"/>
                <w:szCs w:val="21"/>
              </w:rPr>
            </w:pPr>
            <w:r>
              <w:rPr>
                <w:rFonts w:hint="eastAsia"/>
                <w:sz w:val="21"/>
                <w:szCs w:val="21"/>
              </w:rPr>
              <w:t>总砷（As）（以烘干基计）</w:t>
            </w:r>
          </w:p>
        </w:tc>
        <w:tc>
          <w:tcPr>
            <w:tcW w:w="2024" w:type="dxa"/>
            <w:vAlign w:val="center"/>
          </w:tcPr>
          <w:p w14:paraId="4BB55CB0">
            <w:pPr>
              <w:pStyle w:val="764"/>
              <w:spacing w:line="240" w:lineRule="auto"/>
              <w:ind w:firstLine="0" w:firstLineChars="0"/>
              <w:jc w:val="center"/>
              <w:rPr>
                <w:sz w:val="21"/>
                <w:szCs w:val="21"/>
              </w:rPr>
            </w:pPr>
            <w:r>
              <w:rPr>
                <w:rFonts w:hint="eastAsia"/>
                <w:sz w:val="21"/>
                <w:szCs w:val="21"/>
              </w:rPr>
              <w:t>≤15mg/kg</w:t>
            </w:r>
          </w:p>
        </w:tc>
      </w:tr>
      <w:tr w14:paraId="3401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14592074">
            <w:pPr>
              <w:pStyle w:val="764"/>
              <w:spacing w:line="240" w:lineRule="auto"/>
              <w:ind w:firstLine="0" w:firstLineChars="0"/>
              <w:jc w:val="center"/>
              <w:rPr>
                <w:sz w:val="21"/>
                <w:szCs w:val="21"/>
              </w:rPr>
            </w:pPr>
            <w:r>
              <w:rPr>
                <w:rFonts w:hint="eastAsia"/>
                <w:sz w:val="21"/>
                <w:szCs w:val="21"/>
              </w:rPr>
              <w:t>6</w:t>
            </w:r>
          </w:p>
        </w:tc>
        <w:tc>
          <w:tcPr>
            <w:tcW w:w="6202" w:type="dxa"/>
            <w:gridSpan w:val="2"/>
            <w:vAlign w:val="center"/>
          </w:tcPr>
          <w:p w14:paraId="1D70E5DB">
            <w:pPr>
              <w:pStyle w:val="764"/>
              <w:spacing w:line="240" w:lineRule="auto"/>
              <w:ind w:firstLine="0" w:firstLineChars="0"/>
              <w:jc w:val="center"/>
              <w:rPr>
                <w:sz w:val="21"/>
                <w:szCs w:val="21"/>
              </w:rPr>
            </w:pPr>
            <w:r>
              <w:rPr>
                <w:rFonts w:hint="eastAsia"/>
                <w:sz w:val="21"/>
                <w:szCs w:val="21"/>
              </w:rPr>
              <w:t>总汞（Hg）（以烘干基计）</w:t>
            </w:r>
          </w:p>
        </w:tc>
        <w:tc>
          <w:tcPr>
            <w:tcW w:w="2024" w:type="dxa"/>
            <w:vAlign w:val="center"/>
          </w:tcPr>
          <w:p w14:paraId="27339CFC">
            <w:pPr>
              <w:pStyle w:val="764"/>
              <w:spacing w:line="240" w:lineRule="auto"/>
              <w:ind w:firstLine="0" w:firstLineChars="0"/>
              <w:jc w:val="center"/>
              <w:rPr>
                <w:sz w:val="21"/>
                <w:szCs w:val="21"/>
              </w:rPr>
            </w:pPr>
            <w:r>
              <w:rPr>
                <w:rFonts w:hint="eastAsia"/>
                <w:sz w:val="21"/>
                <w:szCs w:val="21"/>
              </w:rPr>
              <w:t>≤2mg/kg</w:t>
            </w:r>
          </w:p>
        </w:tc>
      </w:tr>
      <w:tr w14:paraId="0760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0F1B4336">
            <w:pPr>
              <w:pStyle w:val="764"/>
              <w:spacing w:line="240" w:lineRule="auto"/>
              <w:ind w:firstLine="0" w:firstLineChars="0"/>
              <w:jc w:val="center"/>
              <w:rPr>
                <w:sz w:val="21"/>
                <w:szCs w:val="21"/>
              </w:rPr>
            </w:pPr>
            <w:r>
              <w:rPr>
                <w:rFonts w:hint="eastAsia"/>
                <w:sz w:val="21"/>
                <w:szCs w:val="21"/>
              </w:rPr>
              <w:t>7</w:t>
            </w:r>
          </w:p>
        </w:tc>
        <w:tc>
          <w:tcPr>
            <w:tcW w:w="6202" w:type="dxa"/>
            <w:gridSpan w:val="2"/>
            <w:vAlign w:val="center"/>
          </w:tcPr>
          <w:p w14:paraId="27A80F66">
            <w:pPr>
              <w:pStyle w:val="764"/>
              <w:spacing w:line="240" w:lineRule="auto"/>
              <w:ind w:firstLine="0" w:firstLineChars="0"/>
              <w:jc w:val="center"/>
              <w:rPr>
                <w:sz w:val="21"/>
                <w:szCs w:val="21"/>
              </w:rPr>
            </w:pPr>
            <w:r>
              <w:rPr>
                <w:rFonts w:hint="eastAsia"/>
                <w:sz w:val="21"/>
                <w:szCs w:val="21"/>
              </w:rPr>
              <w:t>总铅（Pb）（以烘干基计）</w:t>
            </w:r>
          </w:p>
        </w:tc>
        <w:tc>
          <w:tcPr>
            <w:tcW w:w="2024" w:type="dxa"/>
            <w:vAlign w:val="center"/>
          </w:tcPr>
          <w:p w14:paraId="060A7BC9">
            <w:pPr>
              <w:pStyle w:val="764"/>
              <w:spacing w:line="240" w:lineRule="auto"/>
              <w:ind w:firstLine="0" w:firstLineChars="0"/>
              <w:jc w:val="center"/>
              <w:rPr>
                <w:sz w:val="21"/>
                <w:szCs w:val="21"/>
              </w:rPr>
            </w:pPr>
            <w:r>
              <w:rPr>
                <w:rFonts w:hint="eastAsia"/>
                <w:sz w:val="21"/>
                <w:szCs w:val="21"/>
              </w:rPr>
              <w:t>≤50mg/kg</w:t>
            </w:r>
          </w:p>
        </w:tc>
      </w:tr>
      <w:tr w14:paraId="3730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60122E3C">
            <w:pPr>
              <w:pStyle w:val="764"/>
              <w:spacing w:line="240" w:lineRule="auto"/>
              <w:ind w:firstLine="0" w:firstLineChars="0"/>
              <w:jc w:val="center"/>
              <w:rPr>
                <w:sz w:val="21"/>
                <w:szCs w:val="21"/>
              </w:rPr>
            </w:pPr>
            <w:r>
              <w:rPr>
                <w:rFonts w:hint="eastAsia"/>
                <w:sz w:val="21"/>
                <w:szCs w:val="21"/>
              </w:rPr>
              <w:t>8</w:t>
            </w:r>
          </w:p>
        </w:tc>
        <w:tc>
          <w:tcPr>
            <w:tcW w:w="6202" w:type="dxa"/>
            <w:gridSpan w:val="2"/>
            <w:vAlign w:val="center"/>
          </w:tcPr>
          <w:p w14:paraId="60B8C4DE">
            <w:pPr>
              <w:pStyle w:val="764"/>
              <w:spacing w:line="240" w:lineRule="auto"/>
              <w:ind w:firstLine="0" w:firstLineChars="0"/>
              <w:jc w:val="center"/>
              <w:rPr>
                <w:sz w:val="21"/>
                <w:szCs w:val="21"/>
              </w:rPr>
            </w:pPr>
            <w:r>
              <w:rPr>
                <w:rFonts w:hint="eastAsia"/>
                <w:sz w:val="21"/>
                <w:szCs w:val="21"/>
              </w:rPr>
              <w:t>总镉（Cd）（以烘干基计）</w:t>
            </w:r>
          </w:p>
        </w:tc>
        <w:tc>
          <w:tcPr>
            <w:tcW w:w="2024" w:type="dxa"/>
            <w:vAlign w:val="center"/>
          </w:tcPr>
          <w:p w14:paraId="35754521">
            <w:pPr>
              <w:pStyle w:val="764"/>
              <w:spacing w:line="240" w:lineRule="auto"/>
              <w:ind w:firstLine="0" w:firstLineChars="0"/>
              <w:jc w:val="center"/>
              <w:rPr>
                <w:sz w:val="21"/>
                <w:szCs w:val="21"/>
              </w:rPr>
            </w:pPr>
            <w:r>
              <w:rPr>
                <w:rFonts w:hint="eastAsia"/>
                <w:sz w:val="21"/>
                <w:szCs w:val="21"/>
              </w:rPr>
              <w:t>≤3mg/kg</w:t>
            </w:r>
          </w:p>
        </w:tc>
      </w:tr>
      <w:tr w14:paraId="0D01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36E6059A">
            <w:pPr>
              <w:pStyle w:val="764"/>
              <w:spacing w:line="240" w:lineRule="auto"/>
              <w:ind w:firstLine="0" w:firstLineChars="0"/>
              <w:jc w:val="center"/>
              <w:rPr>
                <w:sz w:val="21"/>
                <w:szCs w:val="21"/>
              </w:rPr>
            </w:pPr>
            <w:r>
              <w:rPr>
                <w:rFonts w:hint="eastAsia"/>
                <w:sz w:val="21"/>
                <w:szCs w:val="21"/>
              </w:rPr>
              <w:t>9</w:t>
            </w:r>
          </w:p>
        </w:tc>
        <w:tc>
          <w:tcPr>
            <w:tcW w:w="6202" w:type="dxa"/>
            <w:gridSpan w:val="2"/>
            <w:vAlign w:val="center"/>
          </w:tcPr>
          <w:p w14:paraId="7DF828B5">
            <w:pPr>
              <w:pStyle w:val="764"/>
              <w:spacing w:line="240" w:lineRule="auto"/>
              <w:ind w:firstLine="0" w:firstLineChars="0"/>
              <w:jc w:val="center"/>
              <w:rPr>
                <w:sz w:val="21"/>
                <w:szCs w:val="21"/>
              </w:rPr>
            </w:pPr>
            <w:r>
              <w:rPr>
                <w:rFonts w:hint="eastAsia"/>
                <w:sz w:val="21"/>
                <w:szCs w:val="21"/>
              </w:rPr>
              <w:t>总铬（Cr）（以烘干基计）</w:t>
            </w:r>
          </w:p>
        </w:tc>
        <w:tc>
          <w:tcPr>
            <w:tcW w:w="2024" w:type="dxa"/>
            <w:vAlign w:val="center"/>
          </w:tcPr>
          <w:p w14:paraId="2E7156EF">
            <w:pPr>
              <w:pStyle w:val="764"/>
              <w:spacing w:line="240" w:lineRule="auto"/>
              <w:ind w:firstLine="0" w:firstLineChars="0"/>
              <w:jc w:val="center"/>
              <w:rPr>
                <w:sz w:val="21"/>
                <w:szCs w:val="21"/>
              </w:rPr>
            </w:pPr>
            <w:r>
              <w:rPr>
                <w:rFonts w:hint="eastAsia"/>
                <w:sz w:val="21"/>
                <w:szCs w:val="21"/>
              </w:rPr>
              <w:t>≤150mg/kg</w:t>
            </w:r>
          </w:p>
        </w:tc>
      </w:tr>
      <w:tr w14:paraId="12AF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9319" w:type="dxa"/>
            <w:gridSpan w:val="4"/>
            <w:vAlign w:val="center"/>
          </w:tcPr>
          <w:p w14:paraId="58CA6492">
            <w:pPr>
              <w:pStyle w:val="764"/>
              <w:spacing w:line="240" w:lineRule="auto"/>
              <w:ind w:firstLine="0" w:firstLineChars="0"/>
              <w:jc w:val="center"/>
              <w:rPr>
                <w:sz w:val="21"/>
                <w:szCs w:val="21"/>
              </w:rPr>
            </w:pPr>
            <w:r>
              <w:rPr>
                <w:rFonts w:hint="eastAsia"/>
                <w:b/>
                <w:bCs/>
                <w:sz w:val="21"/>
                <w:szCs w:val="21"/>
              </w:rPr>
              <w:t>《肥料中有毒有害物质的限量要求》（GB38400-2019）</w:t>
            </w:r>
          </w:p>
        </w:tc>
      </w:tr>
      <w:tr w14:paraId="2FDB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28553C77">
            <w:pPr>
              <w:pStyle w:val="764"/>
              <w:spacing w:line="240" w:lineRule="auto"/>
              <w:ind w:firstLine="0" w:firstLineChars="0"/>
              <w:jc w:val="center"/>
              <w:rPr>
                <w:sz w:val="21"/>
                <w:szCs w:val="21"/>
              </w:rPr>
            </w:pPr>
            <w:r>
              <w:rPr>
                <w:rFonts w:hint="eastAsia"/>
                <w:sz w:val="21"/>
                <w:szCs w:val="21"/>
              </w:rPr>
              <w:t>1</w:t>
            </w:r>
          </w:p>
        </w:tc>
        <w:tc>
          <w:tcPr>
            <w:tcW w:w="6202" w:type="dxa"/>
            <w:gridSpan w:val="2"/>
            <w:vAlign w:val="center"/>
          </w:tcPr>
          <w:p w14:paraId="3AE492BF">
            <w:pPr>
              <w:pStyle w:val="764"/>
              <w:spacing w:line="240" w:lineRule="auto"/>
              <w:ind w:firstLine="0" w:firstLineChars="0"/>
              <w:jc w:val="center"/>
              <w:rPr>
                <w:sz w:val="21"/>
                <w:szCs w:val="21"/>
              </w:rPr>
            </w:pPr>
            <w:r>
              <w:rPr>
                <w:rFonts w:hint="eastAsia"/>
                <w:sz w:val="21"/>
                <w:szCs w:val="21"/>
              </w:rPr>
              <w:t>总镉</w:t>
            </w:r>
          </w:p>
        </w:tc>
        <w:tc>
          <w:tcPr>
            <w:tcW w:w="2024" w:type="dxa"/>
            <w:vAlign w:val="center"/>
          </w:tcPr>
          <w:p w14:paraId="664DA959">
            <w:pPr>
              <w:pStyle w:val="764"/>
              <w:spacing w:line="240" w:lineRule="auto"/>
              <w:ind w:firstLine="0" w:firstLineChars="0"/>
              <w:jc w:val="center"/>
              <w:rPr>
                <w:sz w:val="21"/>
                <w:szCs w:val="21"/>
              </w:rPr>
            </w:pPr>
            <w:r>
              <w:rPr>
                <w:rFonts w:hint="eastAsia"/>
                <w:sz w:val="21"/>
                <w:szCs w:val="21"/>
              </w:rPr>
              <w:t>≤3mg/kg</w:t>
            </w:r>
          </w:p>
        </w:tc>
      </w:tr>
      <w:tr w14:paraId="549A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459C9626">
            <w:pPr>
              <w:pStyle w:val="764"/>
              <w:spacing w:line="240" w:lineRule="auto"/>
              <w:ind w:firstLine="0" w:firstLineChars="0"/>
              <w:jc w:val="center"/>
              <w:rPr>
                <w:sz w:val="21"/>
                <w:szCs w:val="21"/>
              </w:rPr>
            </w:pPr>
            <w:r>
              <w:rPr>
                <w:rFonts w:hint="eastAsia"/>
                <w:sz w:val="21"/>
                <w:szCs w:val="21"/>
              </w:rPr>
              <w:t>2</w:t>
            </w:r>
          </w:p>
        </w:tc>
        <w:tc>
          <w:tcPr>
            <w:tcW w:w="6202" w:type="dxa"/>
            <w:gridSpan w:val="2"/>
            <w:vAlign w:val="center"/>
          </w:tcPr>
          <w:p w14:paraId="0C97E583">
            <w:pPr>
              <w:pStyle w:val="764"/>
              <w:spacing w:line="240" w:lineRule="auto"/>
              <w:ind w:firstLine="0" w:firstLineChars="0"/>
              <w:jc w:val="center"/>
              <w:rPr>
                <w:sz w:val="21"/>
                <w:szCs w:val="21"/>
              </w:rPr>
            </w:pPr>
            <w:r>
              <w:rPr>
                <w:rFonts w:hint="eastAsia"/>
                <w:sz w:val="21"/>
                <w:szCs w:val="21"/>
              </w:rPr>
              <w:t>总汞</w:t>
            </w:r>
          </w:p>
        </w:tc>
        <w:tc>
          <w:tcPr>
            <w:tcW w:w="2024" w:type="dxa"/>
            <w:vAlign w:val="center"/>
          </w:tcPr>
          <w:p w14:paraId="6A204CB3">
            <w:pPr>
              <w:pStyle w:val="764"/>
              <w:spacing w:line="240" w:lineRule="auto"/>
              <w:ind w:firstLine="0" w:firstLineChars="0"/>
              <w:jc w:val="center"/>
              <w:rPr>
                <w:sz w:val="21"/>
                <w:szCs w:val="21"/>
              </w:rPr>
            </w:pPr>
            <w:r>
              <w:rPr>
                <w:rFonts w:hint="eastAsia"/>
                <w:sz w:val="21"/>
                <w:szCs w:val="21"/>
              </w:rPr>
              <w:t>≤2mg/kg</w:t>
            </w:r>
          </w:p>
        </w:tc>
      </w:tr>
      <w:tr w14:paraId="36A7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0E4C1E76">
            <w:pPr>
              <w:pStyle w:val="764"/>
              <w:spacing w:line="240" w:lineRule="auto"/>
              <w:ind w:firstLine="0" w:firstLineChars="0"/>
              <w:jc w:val="center"/>
              <w:rPr>
                <w:sz w:val="21"/>
                <w:szCs w:val="21"/>
              </w:rPr>
            </w:pPr>
            <w:r>
              <w:rPr>
                <w:rFonts w:hint="eastAsia"/>
                <w:sz w:val="21"/>
                <w:szCs w:val="21"/>
              </w:rPr>
              <w:t>3</w:t>
            </w:r>
          </w:p>
        </w:tc>
        <w:tc>
          <w:tcPr>
            <w:tcW w:w="6202" w:type="dxa"/>
            <w:gridSpan w:val="2"/>
            <w:vAlign w:val="center"/>
          </w:tcPr>
          <w:p w14:paraId="4ED3509D">
            <w:pPr>
              <w:pStyle w:val="764"/>
              <w:spacing w:line="240" w:lineRule="auto"/>
              <w:ind w:firstLine="0" w:firstLineChars="0"/>
              <w:jc w:val="center"/>
              <w:rPr>
                <w:sz w:val="21"/>
                <w:szCs w:val="21"/>
              </w:rPr>
            </w:pPr>
            <w:r>
              <w:rPr>
                <w:rFonts w:hint="eastAsia"/>
                <w:sz w:val="21"/>
                <w:szCs w:val="21"/>
              </w:rPr>
              <w:t>总砷</w:t>
            </w:r>
          </w:p>
        </w:tc>
        <w:tc>
          <w:tcPr>
            <w:tcW w:w="2024" w:type="dxa"/>
            <w:vAlign w:val="center"/>
          </w:tcPr>
          <w:p w14:paraId="329ADD0A">
            <w:pPr>
              <w:pStyle w:val="764"/>
              <w:spacing w:line="240" w:lineRule="auto"/>
              <w:ind w:firstLine="0" w:firstLineChars="0"/>
              <w:jc w:val="center"/>
              <w:rPr>
                <w:sz w:val="21"/>
                <w:szCs w:val="21"/>
              </w:rPr>
            </w:pPr>
            <w:r>
              <w:rPr>
                <w:rFonts w:hint="eastAsia"/>
                <w:sz w:val="21"/>
                <w:szCs w:val="21"/>
              </w:rPr>
              <w:t>≤15mg/kg</w:t>
            </w:r>
          </w:p>
        </w:tc>
      </w:tr>
      <w:tr w14:paraId="2438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257680F2">
            <w:pPr>
              <w:pStyle w:val="764"/>
              <w:spacing w:line="240" w:lineRule="auto"/>
              <w:ind w:firstLine="0" w:firstLineChars="0"/>
              <w:jc w:val="center"/>
              <w:rPr>
                <w:sz w:val="21"/>
                <w:szCs w:val="21"/>
              </w:rPr>
            </w:pPr>
            <w:r>
              <w:rPr>
                <w:rFonts w:hint="eastAsia"/>
                <w:sz w:val="21"/>
                <w:szCs w:val="21"/>
              </w:rPr>
              <w:t>4</w:t>
            </w:r>
          </w:p>
        </w:tc>
        <w:tc>
          <w:tcPr>
            <w:tcW w:w="6202" w:type="dxa"/>
            <w:gridSpan w:val="2"/>
            <w:vAlign w:val="center"/>
          </w:tcPr>
          <w:p w14:paraId="22DEDD9F">
            <w:pPr>
              <w:pStyle w:val="764"/>
              <w:spacing w:line="240" w:lineRule="auto"/>
              <w:ind w:firstLine="0" w:firstLineChars="0"/>
              <w:jc w:val="center"/>
              <w:rPr>
                <w:sz w:val="21"/>
                <w:szCs w:val="21"/>
              </w:rPr>
            </w:pPr>
            <w:r>
              <w:rPr>
                <w:rFonts w:hint="eastAsia"/>
                <w:sz w:val="21"/>
                <w:szCs w:val="21"/>
              </w:rPr>
              <w:t>总铅</w:t>
            </w:r>
          </w:p>
        </w:tc>
        <w:tc>
          <w:tcPr>
            <w:tcW w:w="2024" w:type="dxa"/>
            <w:vAlign w:val="center"/>
          </w:tcPr>
          <w:p w14:paraId="0496813E">
            <w:pPr>
              <w:pStyle w:val="764"/>
              <w:spacing w:line="240" w:lineRule="auto"/>
              <w:ind w:firstLine="0" w:firstLineChars="0"/>
              <w:jc w:val="center"/>
              <w:rPr>
                <w:sz w:val="21"/>
                <w:szCs w:val="21"/>
              </w:rPr>
            </w:pPr>
            <w:r>
              <w:rPr>
                <w:rFonts w:hint="eastAsia"/>
                <w:sz w:val="21"/>
                <w:szCs w:val="21"/>
              </w:rPr>
              <w:t>≤50mg/kg</w:t>
            </w:r>
          </w:p>
        </w:tc>
      </w:tr>
      <w:tr w14:paraId="0090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22707E19">
            <w:pPr>
              <w:pStyle w:val="764"/>
              <w:spacing w:line="240" w:lineRule="auto"/>
              <w:ind w:firstLine="0" w:firstLineChars="0"/>
              <w:jc w:val="center"/>
              <w:rPr>
                <w:sz w:val="21"/>
                <w:szCs w:val="21"/>
              </w:rPr>
            </w:pPr>
            <w:r>
              <w:rPr>
                <w:rFonts w:hint="eastAsia"/>
                <w:sz w:val="21"/>
                <w:szCs w:val="21"/>
              </w:rPr>
              <w:t>5</w:t>
            </w:r>
          </w:p>
        </w:tc>
        <w:tc>
          <w:tcPr>
            <w:tcW w:w="6202" w:type="dxa"/>
            <w:gridSpan w:val="2"/>
            <w:vAlign w:val="center"/>
          </w:tcPr>
          <w:p w14:paraId="0361E0DC">
            <w:pPr>
              <w:pStyle w:val="764"/>
              <w:spacing w:line="240" w:lineRule="auto"/>
              <w:ind w:firstLine="0" w:firstLineChars="0"/>
              <w:jc w:val="center"/>
              <w:rPr>
                <w:sz w:val="21"/>
                <w:szCs w:val="21"/>
              </w:rPr>
            </w:pPr>
            <w:r>
              <w:rPr>
                <w:rFonts w:hint="eastAsia"/>
                <w:sz w:val="21"/>
                <w:szCs w:val="21"/>
              </w:rPr>
              <w:t>总铬</w:t>
            </w:r>
          </w:p>
        </w:tc>
        <w:tc>
          <w:tcPr>
            <w:tcW w:w="2024" w:type="dxa"/>
            <w:vAlign w:val="center"/>
          </w:tcPr>
          <w:p w14:paraId="32B43B41">
            <w:pPr>
              <w:pStyle w:val="764"/>
              <w:spacing w:line="240" w:lineRule="auto"/>
              <w:ind w:firstLine="0" w:firstLineChars="0"/>
              <w:jc w:val="center"/>
              <w:rPr>
                <w:sz w:val="21"/>
                <w:szCs w:val="21"/>
              </w:rPr>
            </w:pPr>
            <w:r>
              <w:rPr>
                <w:rFonts w:hint="eastAsia"/>
                <w:sz w:val="21"/>
                <w:szCs w:val="21"/>
              </w:rPr>
              <w:t>≤150mg/kg</w:t>
            </w:r>
          </w:p>
        </w:tc>
      </w:tr>
      <w:tr w14:paraId="4AB9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299C6E33">
            <w:pPr>
              <w:pStyle w:val="764"/>
              <w:spacing w:line="240" w:lineRule="auto"/>
              <w:ind w:firstLine="0" w:firstLineChars="0"/>
              <w:jc w:val="center"/>
              <w:rPr>
                <w:sz w:val="21"/>
                <w:szCs w:val="21"/>
              </w:rPr>
            </w:pPr>
            <w:r>
              <w:rPr>
                <w:rFonts w:hint="eastAsia"/>
                <w:sz w:val="21"/>
                <w:szCs w:val="21"/>
              </w:rPr>
              <w:t>6</w:t>
            </w:r>
          </w:p>
        </w:tc>
        <w:tc>
          <w:tcPr>
            <w:tcW w:w="6202" w:type="dxa"/>
            <w:gridSpan w:val="2"/>
            <w:vAlign w:val="center"/>
          </w:tcPr>
          <w:p w14:paraId="159BAAA4">
            <w:pPr>
              <w:pStyle w:val="764"/>
              <w:spacing w:line="240" w:lineRule="auto"/>
              <w:ind w:firstLine="0" w:firstLineChars="0"/>
              <w:jc w:val="center"/>
              <w:rPr>
                <w:sz w:val="21"/>
                <w:szCs w:val="21"/>
              </w:rPr>
            </w:pPr>
            <w:r>
              <w:rPr>
                <w:rFonts w:hint="eastAsia"/>
                <w:sz w:val="21"/>
                <w:szCs w:val="21"/>
              </w:rPr>
              <w:t>总铊</w:t>
            </w:r>
          </w:p>
        </w:tc>
        <w:tc>
          <w:tcPr>
            <w:tcW w:w="2024" w:type="dxa"/>
            <w:vAlign w:val="center"/>
          </w:tcPr>
          <w:p w14:paraId="0783455F">
            <w:pPr>
              <w:pStyle w:val="764"/>
              <w:spacing w:line="240" w:lineRule="auto"/>
              <w:ind w:firstLine="0" w:firstLineChars="0"/>
              <w:jc w:val="center"/>
              <w:rPr>
                <w:sz w:val="21"/>
                <w:szCs w:val="21"/>
              </w:rPr>
            </w:pPr>
            <w:r>
              <w:rPr>
                <w:rFonts w:hint="eastAsia"/>
                <w:sz w:val="21"/>
                <w:szCs w:val="21"/>
              </w:rPr>
              <w:t>≤2.5mg/kg</w:t>
            </w:r>
          </w:p>
        </w:tc>
      </w:tr>
      <w:tr w14:paraId="37A7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66F21EDE">
            <w:pPr>
              <w:pStyle w:val="764"/>
              <w:spacing w:line="240" w:lineRule="auto"/>
              <w:ind w:firstLine="0" w:firstLineChars="0"/>
              <w:jc w:val="center"/>
              <w:rPr>
                <w:sz w:val="21"/>
                <w:szCs w:val="21"/>
              </w:rPr>
            </w:pPr>
            <w:r>
              <w:rPr>
                <w:rFonts w:hint="eastAsia"/>
                <w:sz w:val="21"/>
                <w:szCs w:val="21"/>
              </w:rPr>
              <w:t>7</w:t>
            </w:r>
          </w:p>
        </w:tc>
        <w:tc>
          <w:tcPr>
            <w:tcW w:w="6202" w:type="dxa"/>
            <w:gridSpan w:val="2"/>
            <w:vAlign w:val="center"/>
          </w:tcPr>
          <w:p w14:paraId="019B0C3C">
            <w:pPr>
              <w:pStyle w:val="764"/>
              <w:spacing w:line="240" w:lineRule="auto"/>
              <w:ind w:firstLine="0" w:firstLineChars="0"/>
              <w:jc w:val="center"/>
              <w:rPr>
                <w:sz w:val="21"/>
                <w:szCs w:val="21"/>
              </w:rPr>
            </w:pPr>
            <w:r>
              <w:rPr>
                <w:rFonts w:hint="eastAsia"/>
                <w:sz w:val="21"/>
                <w:szCs w:val="21"/>
              </w:rPr>
              <w:t>缩二脲</w:t>
            </w:r>
          </w:p>
        </w:tc>
        <w:tc>
          <w:tcPr>
            <w:tcW w:w="2024" w:type="dxa"/>
            <w:vAlign w:val="center"/>
          </w:tcPr>
          <w:p w14:paraId="277F1A95">
            <w:pPr>
              <w:pStyle w:val="764"/>
              <w:spacing w:line="240" w:lineRule="auto"/>
              <w:ind w:firstLine="0" w:firstLineChars="0"/>
              <w:jc w:val="center"/>
              <w:rPr>
                <w:sz w:val="21"/>
                <w:szCs w:val="21"/>
              </w:rPr>
            </w:pPr>
            <w:r>
              <w:rPr>
                <w:rFonts w:hint="eastAsia"/>
                <w:sz w:val="21"/>
                <w:szCs w:val="21"/>
              </w:rPr>
              <w:t>≤1.5%</w:t>
            </w:r>
          </w:p>
        </w:tc>
      </w:tr>
      <w:tr w14:paraId="1D400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7E233A0B">
            <w:pPr>
              <w:pStyle w:val="764"/>
              <w:spacing w:line="240" w:lineRule="auto"/>
              <w:ind w:firstLine="0" w:firstLineChars="0"/>
              <w:jc w:val="center"/>
              <w:rPr>
                <w:sz w:val="21"/>
                <w:szCs w:val="21"/>
              </w:rPr>
            </w:pPr>
            <w:r>
              <w:rPr>
                <w:rFonts w:hint="eastAsia"/>
                <w:sz w:val="21"/>
                <w:szCs w:val="21"/>
              </w:rPr>
              <w:t>8</w:t>
            </w:r>
          </w:p>
        </w:tc>
        <w:tc>
          <w:tcPr>
            <w:tcW w:w="6202" w:type="dxa"/>
            <w:gridSpan w:val="2"/>
            <w:vAlign w:val="center"/>
          </w:tcPr>
          <w:p w14:paraId="5060CA01">
            <w:pPr>
              <w:pStyle w:val="764"/>
              <w:spacing w:line="240" w:lineRule="auto"/>
              <w:ind w:firstLine="0" w:firstLineChars="0"/>
              <w:jc w:val="center"/>
              <w:rPr>
                <w:sz w:val="21"/>
                <w:szCs w:val="21"/>
              </w:rPr>
            </w:pPr>
            <w:r>
              <w:rPr>
                <w:rFonts w:hint="eastAsia"/>
                <w:sz w:val="21"/>
                <w:szCs w:val="21"/>
              </w:rPr>
              <w:t>蛔虫卵死亡率</w:t>
            </w:r>
          </w:p>
        </w:tc>
        <w:tc>
          <w:tcPr>
            <w:tcW w:w="2024" w:type="dxa"/>
            <w:vAlign w:val="center"/>
          </w:tcPr>
          <w:p w14:paraId="4D010491">
            <w:pPr>
              <w:pStyle w:val="764"/>
              <w:spacing w:line="240" w:lineRule="auto"/>
              <w:ind w:firstLine="0" w:firstLineChars="0"/>
              <w:jc w:val="center"/>
              <w:rPr>
                <w:sz w:val="21"/>
                <w:szCs w:val="21"/>
              </w:rPr>
            </w:pPr>
            <w:r>
              <w:rPr>
                <w:rFonts w:hint="eastAsia"/>
                <w:sz w:val="21"/>
                <w:szCs w:val="21"/>
              </w:rPr>
              <w:t>95%</w:t>
            </w:r>
          </w:p>
        </w:tc>
      </w:tr>
      <w:tr w14:paraId="40F5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26416B9A">
            <w:pPr>
              <w:pStyle w:val="764"/>
              <w:spacing w:line="240" w:lineRule="auto"/>
              <w:ind w:firstLine="0" w:firstLineChars="0"/>
              <w:jc w:val="center"/>
              <w:rPr>
                <w:sz w:val="21"/>
                <w:szCs w:val="21"/>
              </w:rPr>
            </w:pPr>
            <w:r>
              <w:rPr>
                <w:rFonts w:hint="eastAsia"/>
                <w:sz w:val="21"/>
                <w:szCs w:val="21"/>
              </w:rPr>
              <w:t>9</w:t>
            </w:r>
          </w:p>
        </w:tc>
        <w:tc>
          <w:tcPr>
            <w:tcW w:w="6202" w:type="dxa"/>
            <w:gridSpan w:val="2"/>
            <w:vAlign w:val="center"/>
          </w:tcPr>
          <w:p w14:paraId="1741B587">
            <w:pPr>
              <w:pStyle w:val="764"/>
              <w:spacing w:line="240" w:lineRule="auto"/>
              <w:ind w:firstLine="0" w:firstLineChars="0"/>
              <w:jc w:val="center"/>
              <w:rPr>
                <w:sz w:val="21"/>
                <w:szCs w:val="21"/>
              </w:rPr>
            </w:pPr>
            <w:r>
              <w:rPr>
                <w:rFonts w:hint="eastAsia"/>
                <w:sz w:val="21"/>
                <w:szCs w:val="21"/>
              </w:rPr>
              <w:t>粪大肠菌群数</w:t>
            </w:r>
          </w:p>
        </w:tc>
        <w:tc>
          <w:tcPr>
            <w:tcW w:w="2024" w:type="dxa"/>
            <w:vAlign w:val="center"/>
          </w:tcPr>
          <w:p w14:paraId="3CB0F409">
            <w:pPr>
              <w:pStyle w:val="764"/>
              <w:spacing w:line="240" w:lineRule="auto"/>
              <w:ind w:firstLine="0" w:firstLineChars="0"/>
              <w:jc w:val="center"/>
              <w:rPr>
                <w:sz w:val="21"/>
                <w:szCs w:val="21"/>
              </w:rPr>
            </w:pPr>
            <w:r>
              <w:rPr>
                <w:rFonts w:hint="eastAsia"/>
                <w:sz w:val="21"/>
                <w:szCs w:val="21"/>
              </w:rPr>
              <w:t>≤100个/g或100个/ml</w:t>
            </w:r>
          </w:p>
        </w:tc>
      </w:tr>
      <w:tr w14:paraId="5174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9319" w:type="dxa"/>
            <w:gridSpan w:val="4"/>
            <w:vAlign w:val="center"/>
          </w:tcPr>
          <w:p w14:paraId="270F303D">
            <w:pPr>
              <w:pStyle w:val="764"/>
              <w:spacing w:line="240" w:lineRule="auto"/>
              <w:ind w:firstLine="0" w:firstLineChars="0"/>
              <w:jc w:val="center"/>
              <w:rPr>
                <w:sz w:val="21"/>
                <w:szCs w:val="21"/>
              </w:rPr>
            </w:pPr>
            <w:r>
              <w:rPr>
                <w:rFonts w:hint="eastAsia"/>
                <w:b/>
                <w:bCs/>
                <w:sz w:val="21"/>
                <w:szCs w:val="21"/>
              </w:rPr>
              <w:t>食品安全国家标准 蛋与蛋制品（GB2749-2015）</w:t>
            </w:r>
          </w:p>
        </w:tc>
      </w:tr>
      <w:tr w14:paraId="08FD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1E57B4AC">
            <w:pPr>
              <w:pStyle w:val="764"/>
              <w:spacing w:line="240" w:lineRule="auto"/>
              <w:ind w:firstLine="0" w:firstLineChars="0"/>
              <w:jc w:val="center"/>
              <w:rPr>
                <w:sz w:val="21"/>
                <w:szCs w:val="21"/>
              </w:rPr>
            </w:pPr>
            <w:r>
              <w:rPr>
                <w:rFonts w:hint="eastAsia"/>
                <w:sz w:val="21"/>
                <w:szCs w:val="21"/>
              </w:rPr>
              <w:t>序号</w:t>
            </w:r>
          </w:p>
        </w:tc>
        <w:tc>
          <w:tcPr>
            <w:tcW w:w="3106" w:type="dxa"/>
            <w:vAlign w:val="center"/>
          </w:tcPr>
          <w:p w14:paraId="3555042E">
            <w:pPr>
              <w:pStyle w:val="764"/>
              <w:spacing w:line="240" w:lineRule="auto"/>
              <w:ind w:firstLine="0" w:firstLineChars="0"/>
              <w:jc w:val="center"/>
              <w:rPr>
                <w:sz w:val="21"/>
                <w:szCs w:val="21"/>
              </w:rPr>
            </w:pPr>
            <w:r>
              <w:rPr>
                <w:rFonts w:hint="eastAsia"/>
                <w:sz w:val="21"/>
                <w:szCs w:val="21"/>
              </w:rPr>
              <w:t>项目</w:t>
            </w:r>
          </w:p>
        </w:tc>
        <w:tc>
          <w:tcPr>
            <w:tcW w:w="5120" w:type="dxa"/>
            <w:gridSpan w:val="2"/>
            <w:vAlign w:val="center"/>
          </w:tcPr>
          <w:p w14:paraId="5BDB0326">
            <w:pPr>
              <w:pStyle w:val="764"/>
              <w:spacing w:line="240" w:lineRule="auto"/>
              <w:ind w:firstLine="0" w:firstLineChars="0"/>
              <w:jc w:val="center"/>
              <w:rPr>
                <w:sz w:val="21"/>
                <w:szCs w:val="21"/>
              </w:rPr>
            </w:pPr>
            <w:r>
              <w:rPr>
                <w:rFonts w:hint="eastAsia"/>
                <w:sz w:val="21"/>
                <w:szCs w:val="21"/>
              </w:rPr>
              <w:t>要求</w:t>
            </w:r>
          </w:p>
        </w:tc>
      </w:tr>
      <w:tr w14:paraId="409D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6C00F906">
            <w:pPr>
              <w:pStyle w:val="764"/>
              <w:spacing w:line="240" w:lineRule="auto"/>
              <w:ind w:firstLine="0" w:firstLineChars="0"/>
              <w:jc w:val="center"/>
              <w:rPr>
                <w:sz w:val="21"/>
                <w:szCs w:val="21"/>
              </w:rPr>
            </w:pPr>
            <w:r>
              <w:rPr>
                <w:rFonts w:hint="eastAsia"/>
                <w:sz w:val="21"/>
                <w:szCs w:val="21"/>
              </w:rPr>
              <w:t>1</w:t>
            </w:r>
          </w:p>
        </w:tc>
        <w:tc>
          <w:tcPr>
            <w:tcW w:w="3106" w:type="dxa"/>
            <w:vAlign w:val="center"/>
          </w:tcPr>
          <w:p w14:paraId="6F03D078">
            <w:pPr>
              <w:pStyle w:val="764"/>
              <w:spacing w:line="240" w:lineRule="auto"/>
              <w:ind w:firstLine="0" w:firstLineChars="0"/>
              <w:jc w:val="center"/>
              <w:rPr>
                <w:sz w:val="21"/>
                <w:szCs w:val="21"/>
              </w:rPr>
            </w:pPr>
            <w:r>
              <w:rPr>
                <w:rFonts w:hint="eastAsia"/>
                <w:sz w:val="21"/>
                <w:szCs w:val="21"/>
              </w:rPr>
              <w:t>色泽</w:t>
            </w:r>
          </w:p>
        </w:tc>
        <w:tc>
          <w:tcPr>
            <w:tcW w:w="5120" w:type="dxa"/>
            <w:gridSpan w:val="2"/>
            <w:vAlign w:val="center"/>
          </w:tcPr>
          <w:p w14:paraId="1652E2A7">
            <w:pPr>
              <w:pStyle w:val="764"/>
              <w:spacing w:line="240" w:lineRule="auto"/>
              <w:ind w:firstLine="0" w:firstLineChars="0"/>
              <w:jc w:val="center"/>
              <w:rPr>
                <w:sz w:val="21"/>
                <w:szCs w:val="21"/>
              </w:rPr>
            </w:pPr>
            <w:r>
              <w:rPr>
                <w:rFonts w:hint="eastAsia"/>
                <w:sz w:val="21"/>
                <w:szCs w:val="21"/>
              </w:rPr>
              <w:t>灯光透视时整个蛋呈微红色；去壳后蛋黄呈橘黄色至橙色，蛋白澄清、透明，无其他异常颜色</w:t>
            </w:r>
          </w:p>
        </w:tc>
      </w:tr>
      <w:tr w14:paraId="43C6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590511BC">
            <w:pPr>
              <w:pStyle w:val="764"/>
              <w:spacing w:line="240" w:lineRule="auto"/>
              <w:ind w:firstLine="0" w:firstLineChars="0"/>
              <w:jc w:val="center"/>
              <w:rPr>
                <w:sz w:val="21"/>
                <w:szCs w:val="21"/>
              </w:rPr>
            </w:pPr>
            <w:r>
              <w:rPr>
                <w:rFonts w:hint="eastAsia"/>
                <w:sz w:val="21"/>
                <w:szCs w:val="21"/>
              </w:rPr>
              <w:t>2</w:t>
            </w:r>
          </w:p>
        </w:tc>
        <w:tc>
          <w:tcPr>
            <w:tcW w:w="3106" w:type="dxa"/>
            <w:vAlign w:val="center"/>
          </w:tcPr>
          <w:p w14:paraId="34EC87FA">
            <w:pPr>
              <w:pStyle w:val="764"/>
              <w:spacing w:line="240" w:lineRule="auto"/>
              <w:ind w:firstLine="0" w:firstLineChars="0"/>
              <w:jc w:val="center"/>
              <w:rPr>
                <w:sz w:val="21"/>
                <w:szCs w:val="21"/>
              </w:rPr>
            </w:pPr>
            <w:r>
              <w:rPr>
                <w:rFonts w:hint="eastAsia"/>
                <w:sz w:val="21"/>
                <w:szCs w:val="21"/>
              </w:rPr>
              <w:t>气味</w:t>
            </w:r>
          </w:p>
        </w:tc>
        <w:tc>
          <w:tcPr>
            <w:tcW w:w="5120" w:type="dxa"/>
            <w:gridSpan w:val="2"/>
            <w:vAlign w:val="center"/>
          </w:tcPr>
          <w:p w14:paraId="112013C1">
            <w:pPr>
              <w:pStyle w:val="764"/>
              <w:spacing w:line="240" w:lineRule="auto"/>
              <w:ind w:firstLine="0" w:firstLineChars="0"/>
              <w:jc w:val="center"/>
              <w:rPr>
                <w:sz w:val="21"/>
                <w:szCs w:val="21"/>
              </w:rPr>
            </w:pPr>
            <w:r>
              <w:rPr>
                <w:rFonts w:hint="eastAsia"/>
                <w:sz w:val="21"/>
                <w:szCs w:val="21"/>
              </w:rPr>
              <w:t>蛋液具有固有的蛋腥味，无异味</w:t>
            </w:r>
          </w:p>
        </w:tc>
      </w:tr>
      <w:tr w14:paraId="568F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93" w:type="dxa"/>
            <w:vAlign w:val="center"/>
          </w:tcPr>
          <w:p w14:paraId="00E69B2D">
            <w:pPr>
              <w:pStyle w:val="764"/>
              <w:spacing w:line="240" w:lineRule="auto"/>
              <w:ind w:firstLine="0" w:firstLineChars="0"/>
              <w:jc w:val="center"/>
              <w:rPr>
                <w:sz w:val="21"/>
                <w:szCs w:val="21"/>
              </w:rPr>
            </w:pPr>
            <w:r>
              <w:rPr>
                <w:rFonts w:hint="eastAsia"/>
                <w:sz w:val="21"/>
                <w:szCs w:val="21"/>
              </w:rPr>
              <w:t>3</w:t>
            </w:r>
          </w:p>
        </w:tc>
        <w:tc>
          <w:tcPr>
            <w:tcW w:w="3106" w:type="dxa"/>
            <w:vAlign w:val="center"/>
          </w:tcPr>
          <w:p w14:paraId="18B39BFD">
            <w:pPr>
              <w:pStyle w:val="764"/>
              <w:spacing w:line="240" w:lineRule="auto"/>
              <w:ind w:firstLine="0" w:firstLineChars="0"/>
              <w:jc w:val="center"/>
              <w:rPr>
                <w:sz w:val="21"/>
                <w:szCs w:val="21"/>
              </w:rPr>
            </w:pPr>
            <w:r>
              <w:rPr>
                <w:rFonts w:hint="eastAsia"/>
                <w:sz w:val="21"/>
                <w:szCs w:val="21"/>
              </w:rPr>
              <w:t>状态</w:t>
            </w:r>
          </w:p>
        </w:tc>
        <w:tc>
          <w:tcPr>
            <w:tcW w:w="5120" w:type="dxa"/>
            <w:gridSpan w:val="2"/>
            <w:vAlign w:val="center"/>
          </w:tcPr>
          <w:p w14:paraId="2E4DB075">
            <w:pPr>
              <w:pStyle w:val="764"/>
              <w:spacing w:line="240" w:lineRule="auto"/>
              <w:ind w:firstLine="0" w:firstLineChars="0"/>
              <w:jc w:val="center"/>
              <w:rPr>
                <w:sz w:val="21"/>
                <w:szCs w:val="21"/>
              </w:rPr>
            </w:pPr>
            <w:r>
              <w:rPr>
                <w:rFonts w:hint="eastAsia"/>
                <w:sz w:val="21"/>
                <w:szCs w:val="21"/>
              </w:rPr>
              <w:t>蛋壳清洁完整，无裂纹，无霉斑，灯光透视时蛋内无黑点及异物；去壳后蛋黄凸起完整并带有韧性，蛋白稀稠分明，无正常视力可见外来异物</w:t>
            </w:r>
          </w:p>
        </w:tc>
      </w:tr>
    </w:tbl>
    <w:p w14:paraId="1052F00C">
      <w:pPr>
        <w:pStyle w:val="11"/>
        <w:rPr>
          <w:szCs w:val="28"/>
        </w:rPr>
      </w:pPr>
      <w:bookmarkStart w:id="171" w:name="_Toc166572264"/>
      <w:r>
        <w:t>3.1.</w:t>
      </w:r>
      <w:r>
        <w:rPr>
          <w:rFonts w:hint="eastAsia"/>
        </w:rPr>
        <w:t>3</w:t>
      </w:r>
      <w:r>
        <w:rPr>
          <w:szCs w:val="28"/>
        </w:rPr>
        <w:t>原辅材料能源消耗情况</w:t>
      </w:r>
      <w:bookmarkEnd w:id="171"/>
    </w:p>
    <w:p w14:paraId="54BA0466">
      <w:pPr>
        <w:pStyle w:val="764"/>
        <w:ind w:firstLine="480"/>
      </w:pPr>
      <w:r>
        <w:rPr>
          <w:bCs/>
        </w:rPr>
        <w:t>（1）</w:t>
      </w:r>
      <w:r>
        <w:t>主要原辅料及能源情况见表3.1-</w:t>
      </w:r>
      <w:r>
        <w:rPr>
          <w:rFonts w:hint="eastAsia"/>
        </w:rPr>
        <w:t>5</w:t>
      </w:r>
      <w:r>
        <w:t>。</w:t>
      </w:r>
    </w:p>
    <w:p w14:paraId="2BF5F8BE">
      <w:pPr>
        <w:pStyle w:val="743"/>
        <w:rPr>
          <w:rFonts w:cs="Times New Roman"/>
        </w:rPr>
      </w:pPr>
      <w:r>
        <w:rPr>
          <w:rFonts w:cs="Times New Roman"/>
        </w:rPr>
        <w:t>表3.1-</w:t>
      </w:r>
      <w:r>
        <w:rPr>
          <w:rFonts w:hint="eastAsia" w:cs="Times New Roman"/>
        </w:rPr>
        <w:t>5</w:t>
      </w:r>
      <w:r>
        <w:rPr>
          <w:rFonts w:cs="Times New Roman"/>
        </w:rPr>
        <w:t xml:space="preserve">  原辅材料及能源消耗一览表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603"/>
        <w:gridCol w:w="983"/>
        <w:gridCol w:w="1570"/>
        <w:gridCol w:w="4398"/>
      </w:tblGrid>
      <w:tr w14:paraId="7EB0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395" w:type="pct"/>
            <w:vAlign w:val="center"/>
          </w:tcPr>
          <w:p w14:paraId="2FE9423F">
            <w:pPr>
              <w:pStyle w:val="357"/>
            </w:pPr>
            <w:r>
              <w:t>序号</w:t>
            </w:r>
          </w:p>
        </w:tc>
        <w:tc>
          <w:tcPr>
            <w:tcW w:w="863" w:type="pct"/>
            <w:vAlign w:val="center"/>
          </w:tcPr>
          <w:p w14:paraId="33731F95">
            <w:pPr>
              <w:pStyle w:val="357"/>
            </w:pPr>
            <w:r>
              <w:t>名称</w:t>
            </w:r>
          </w:p>
        </w:tc>
        <w:tc>
          <w:tcPr>
            <w:tcW w:w="529" w:type="pct"/>
            <w:vAlign w:val="center"/>
          </w:tcPr>
          <w:p w14:paraId="076EF228">
            <w:pPr>
              <w:pStyle w:val="357"/>
            </w:pPr>
            <w:r>
              <w:t>用途</w:t>
            </w:r>
          </w:p>
        </w:tc>
        <w:tc>
          <w:tcPr>
            <w:tcW w:w="845" w:type="pct"/>
            <w:vAlign w:val="center"/>
          </w:tcPr>
          <w:p w14:paraId="3884ECF3">
            <w:pPr>
              <w:pStyle w:val="357"/>
            </w:pPr>
            <w:r>
              <w:t>用量</w:t>
            </w:r>
          </w:p>
        </w:tc>
        <w:tc>
          <w:tcPr>
            <w:tcW w:w="2366" w:type="pct"/>
            <w:vAlign w:val="center"/>
          </w:tcPr>
          <w:p w14:paraId="77E4FE17">
            <w:pPr>
              <w:pStyle w:val="357"/>
            </w:pPr>
            <w:r>
              <w:t>备注</w:t>
            </w:r>
          </w:p>
        </w:tc>
      </w:tr>
      <w:tr w14:paraId="67FE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3C03AAC8">
            <w:pPr>
              <w:pStyle w:val="357"/>
              <w:rPr>
                <w:bCs/>
                <w:lang w:eastAsia="zh-CN"/>
              </w:rPr>
            </w:pPr>
            <w:r>
              <w:rPr>
                <w:szCs w:val="21"/>
              </w:rPr>
              <w:t>主要原辅料消耗</w:t>
            </w:r>
          </w:p>
        </w:tc>
      </w:tr>
      <w:tr w14:paraId="7691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4FE6EE3A">
            <w:pPr>
              <w:pStyle w:val="357"/>
              <w:rPr>
                <w:lang w:eastAsia="zh-CN"/>
              </w:rPr>
            </w:pPr>
            <w:r>
              <w:rPr>
                <w:lang w:eastAsia="zh-CN"/>
              </w:rPr>
              <w:t>1</w:t>
            </w:r>
          </w:p>
        </w:tc>
        <w:tc>
          <w:tcPr>
            <w:tcW w:w="863" w:type="pct"/>
            <w:vAlign w:val="center"/>
          </w:tcPr>
          <w:p w14:paraId="17C4FC64">
            <w:pPr>
              <w:pStyle w:val="357"/>
            </w:pPr>
            <w:r>
              <w:t>碘伏</w:t>
            </w:r>
          </w:p>
        </w:tc>
        <w:tc>
          <w:tcPr>
            <w:tcW w:w="529" w:type="pct"/>
            <w:vMerge w:val="restart"/>
            <w:vAlign w:val="center"/>
          </w:tcPr>
          <w:p w14:paraId="5D687952">
            <w:pPr>
              <w:pStyle w:val="357"/>
            </w:pPr>
            <w:r>
              <w:t>消毒</w:t>
            </w:r>
          </w:p>
        </w:tc>
        <w:tc>
          <w:tcPr>
            <w:tcW w:w="845" w:type="pct"/>
            <w:vAlign w:val="center"/>
          </w:tcPr>
          <w:p w14:paraId="64117B48">
            <w:pPr>
              <w:pStyle w:val="357"/>
            </w:pPr>
            <w:r>
              <w:t>1</w:t>
            </w:r>
            <w:r>
              <w:rPr>
                <w:lang w:eastAsia="zh-CN"/>
              </w:rPr>
              <w:t>2</w:t>
            </w:r>
            <w:r>
              <w:t>00L/a</w:t>
            </w:r>
          </w:p>
        </w:tc>
        <w:tc>
          <w:tcPr>
            <w:tcW w:w="2366" w:type="pct"/>
            <w:vMerge w:val="restart"/>
            <w:vAlign w:val="center"/>
          </w:tcPr>
          <w:p w14:paraId="5ACA5CD5">
            <w:pPr>
              <w:pStyle w:val="357"/>
              <w:rPr>
                <w:lang w:eastAsia="zh-CN"/>
              </w:rPr>
            </w:pPr>
            <w:r>
              <w:rPr>
                <w:bCs/>
                <w:lang w:eastAsia="zh-CN"/>
              </w:rPr>
              <w:t>外购</w:t>
            </w:r>
            <w:r>
              <w:rPr>
                <w:lang w:eastAsia="zh-CN"/>
              </w:rPr>
              <w:t>，用于厂区消毒，瓶装，随用随买，临时存储于消毒室</w:t>
            </w:r>
          </w:p>
        </w:tc>
      </w:tr>
      <w:tr w14:paraId="77D6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4139891B">
            <w:pPr>
              <w:pStyle w:val="357"/>
            </w:pPr>
            <w:r>
              <w:t>2</w:t>
            </w:r>
          </w:p>
        </w:tc>
        <w:tc>
          <w:tcPr>
            <w:tcW w:w="863" w:type="pct"/>
            <w:vAlign w:val="center"/>
          </w:tcPr>
          <w:p w14:paraId="59F3932A">
            <w:pPr>
              <w:pStyle w:val="357"/>
            </w:pPr>
            <w:r>
              <w:t>复方酚溶液</w:t>
            </w:r>
          </w:p>
        </w:tc>
        <w:tc>
          <w:tcPr>
            <w:tcW w:w="529" w:type="pct"/>
            <w:vMerge w:val="continue"/>
            <w:vAlign w:val="center"/>
          </w:tcPr>
          <w:p w14:paraId="3CF38FFB">
            <w:pPr>
              <w:pStyle w:val="357"/>
            </w:pPr>
          </w:p>
        </w:tc>
        <w:tc>
          <w:tcPr>
            <w:tcW w:w="845" w:type="pct"/>
            <w:vAlign w:val="center"/>
          </w:tcPr>
          <w:p w14:paraId="1A6B27E3">
            <w:pPr>
              <w:pStyle w:val="357"/>
            </w:pPr>
            <w:r>
              <w:t>1</w:t>
            </w:r>
            <w:r>
              <w:rPr>
                <w:lang w:eastAsia="zh-CN"/>
              </w:rPr>
              <w:t>2</w:t>
            </w:r>
            <w:r>
              <w:t>00L/a</w:t>
            </w:r>
          </w:p>
        </w:tc>
        <w:tc>
          <w:tcPr>
            <w:tcW w:w="2366" w:type="pct"/>
            <w:vMerge w:val="continue"/>
            <w:vAlign w:val="center"/>
          </w:tcPr>
          <w:p w14:paraId="34DCCC08">
            <w:pPr>
              <w:pStyle w:val="357"/>
              <w:rPr>
                <w:bCs/>
              </w:rPr>
            </w:pPr>
          </w:p>
        </w:tc>
      </w:tr>
      <w:tr w14:paraId="6D89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4BFA2208">
            <w:pPr>
              <w:pStyle w:val="357"/>
            </w:pPr>
            <w:r>
              <w:t>3</w:t>
            </w:r>
          </w:p>
        </w:tc>
        <w:tc>
          <w:tcPr>
            <w:tcW w:w="863" w:type="pct"/>
            <w:vAlign w:val="center"/>
          </w:tcPr>
          <w:p w14:paraId="6517D45B">
            <w:pPr>
              <w:pStyle w:val="357"/>
            </w:pPr>
            <w:r>
              <w:rPr>
                <w:rFonts w:hint="eastAsia"/>
                <w:lang w:eastAsia="zh-CN"/>
              </w:rPr>
              <w:t>植物</w:t>
            </w:r>
            <w:r>
              <w:t>除臭剂</w:t>
            </w:r>
          </w:p>
        </w:tc>
        <w:tc>
          <w:tcPr>
            <w:tcW w:w="529" w:type="pct"/>
            <w:vAlign w:val="center"/>
          </w:tcPr>
          <w:p w14:paraId="722057A8">
            <w:pPr>
              <w:pStyle w:val="357"/>
            </w:pPr>
            <w:r>
              <w:t>除臭</w:t>
            </w:r>
          </w:p>
        </w:tc>
        <w:tc>
          <w:tcPr>
            <w:tcW w:w="845" w:type="pct"/>
            <w:vAlign w:val="center"/>
          </w:tcPr>
          <w:p w14:paraId="3D540CD8">
            <w:pPr>
              <w:pStyle w:val="357"/>
            </w:pPr>
            <w:r>
              <w:rPr>
                <w:lang w:eastAsia="zh-CN"/>
              </w:rPr>
              <w:t>1.17</w:t>
            </w:r>
            <w:r>
              <w:t>t/a</w:t>
            </w:r>
          </w:p>
        </w:tc>
        <w:tc>
          <w:tcPr>
            <w:tcW w:w="2366" w:type="pct"/>
            <w:vAlign w:val="center"/>
          </w:tcPr>
          <w:p w14:paraId="5601A49E">
            <w:pPr>
              <w:pStyle w:val="357"/>
              <w:rPr>
                <w:lang w:eastAsia="zh-CN"/>
              </w:rPr>
            </w:pPr>
            <w:r>
              <w:rPr>
                <w:lang w:eastAsia="zh-CN"/>
              </w:rPr>
              <w:t>外购，用于鸡舍、</w:t>
            </w:r>
            <w:r>
              <w:rPr>
                <w:rFonts w:hint="eastAsia"/>
                <w:lang w:eastAsia="zh-CN"/>
              </w:rPr>
              <w:t>有机肥车间</w:t>
            </w:r>
            <w:r>
              <w:rPr>
                <w:lang w:eastAsia="zh-CN"/>
              </w:rPr>
              <w:t>除臭，用水稀释，每三天配比一次，场内最大贮存量为0.0975t，约为1个月的用量</w:t>
            </w:r>
          </w:p>
        </w:tc>
      </w:tr>
      <w:tr w14:paraId="197B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2E2B904E">
            <w:pPr>
              <w:pStyle w:val="357"/>
            </w:pPr>
            <w:r>
              <w:t>4</w:t>
            </w:r>
          </w:p>
        </w:tc>
        <w:tc>
          <w:tcPr>
            <w:tcW w:w="863" w:type="pct"/>
            <w:vAlign w:val="center"/>
          </w:tcPr>
          <w:p w14:paraId="446F96E0">
            <w:pPr>
              <w:pStyle w:val="357"/>
              <w:rPr>
                <w:bCs/>
              </w:rPr>
            </w:pPr>
            <w:r>
              <w:rPr>
                <w:bCs/>
              </w:rPr>
              <w:t>饲料</w:t>
            </w:r>
          </w:p>
        </w:tc>
        <w:tc>
          <w:tcPr>
            <w:tcW w:w="529" w:type="pct"/>
            <w:vAlign w:val="center"/>
          </w:tcPr>
          <w:p w14:paraId="63B06A92">
            <w:pPr>
              <w:pStyle w:val="357"/>
            </w:pPr>
            <w:r>
              <w:t>喂养</w:t>
            </w:r>
          </w:p>
        </w:tc>
        <w:tc>
          <w:tcPr>
            <w:tcW w:w="845" w:type="pct"/>
            <w:vAlign w:val="center"/>
          </w:tcPr>
          <w:p w14:paraId="66B9B9A6">
            <w:pPr>
              <w:pStyle w:val="357"/>
            </w:pPr>
            <w:r>
              <w:t>4</w:t>
            </w:r>
            <w:r>
              <w:rPr>
                <w:lang w:eastAsia="zh-CN"/>
              </w:rPr>
              <w:t>.8</w:t>
            </w:r>
            <w:r>
              <w:t>万t/a</w:t>
            </w:r>
          </w:p>
        </w:tc>
        <w:tc>
          <w:tcPr>
            <w:tcW w:w="2366" w:type="pct"/>
            <w:vAlign w:val="center"/>
          </w:tcPr>
          <w:p w14:paraId="5D53ADB3">
            <w:pPr>
              <w:pStyle w:val="357"/>
              <w:rPr>
                <w:lang w:eastAsia="zh-CN"/>
              </w:rPr>
            </w:pPr>
            <w:r>
              <w:rPr>
                <w:rFonts w:hint="eastAsia"/>
                <w:lang w:eastAsia="zh-CN"/>
              </w:rPr>
              <w:t>通过外购</w:t>
            </w:r>
            <w:r>
              <w:rPr>
                <w:lang w:eastAsia="zh-CN"/>
              </w:rPr>
              <w:t>精饲料2400t/a、</w:t>
            </w:r>
            <w:r>
              <w:rPr>
                <w:szCs w:val="21"/>
                <w:lang w:eastAsia="zh-CN"/>
              </w:rPr>
              <w:t>玉米30240t/a、豆粕11520t/a、</w:t>
            </w:r>
            <w:r>
              <w:rPr>
                <w:rFonts w:hint="eastAsia"/>
                <w:szCs w:val="21"/>
                <w:lang w:eastAsia="zh-CN"/>
              </w:rPr>
              <w:t>含钙</w:t>
            </w:r>
            <w:r>
              <w:rPr>
                <w:szCs w:val="21"/>
                <w:lang w:eastAsia="zh-CN"/>
              </w:rPr>
              <w:t>石粉3840t/a</w:t>
            </w:r>
            <w:r>
              <w:rPr>
                <w:rFonts w:hint="eastAsia"/>
                <w:szCs w:val="21"/>
                <w:lang w:eastAsia="zh-CN"/>
              </w:rPr>
              <w:t>等进入厂区内制作饲料</w:t>
            </w:r>
          </w:p>
        </w:tc>
      </w:tr>
      <w:tr w14:paraId="4493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2738E278">
            <w:pPr>
              <w:pStyle w:val="357"/>
            </w:pPr>
            <w:r>
              <w:t>5</w:t>
            </w:r>
          </w:p>
        </w:tc>
        <w:tc>
          <w:tcPr>
            <w:tcW w:w="863" w:type="pct"/>
            <w:vAlign w:val="center"/>
          </w:tcPr>
          <w:p w14:paraId="08671D7C">
            <w:pPr>
              <w:pStyle w:val="357"/>
              <w:rPr>
                <w:bCs/>
              </w:rPr>
            </w:pPr>
            <w:r>
              <w:rPr>
                <w:bCs/>
              </w:rPr>
              <w:t>新支减流</w:t>
            </w:r>
          </w:p>
        </w:tc>
        <w:tc>
          <w:tcPr>
            <w:tcW w:w="529" w:type="pct"/>
            <w:vMerge w:val="restart"/>
            <w:vAlign w:val="center"/>
          </w:tcPr>
          <w:p w14:paraId="5491A98D">
            <w:pPr>
              <w:pStyle w:val="357"/>
            </w:pPr>
            <w:r>
              <w:t>防疫</w:t>
            </w:r>
          </w:p>
        </w:tc>
        <w:tc>
          <w:tcPr>
            <w:tcW w:w="845" w:type="pct"/>
            <w:vAlign w:val="center"/>
          </w:tcPr>
          <w:p w14:paraId="1FDA945F">
            <w:pPr>
              <w:pStyle w:val="357"/>
            </w:pPr>
            <w:r>
              <w:t>2</w:t>
            </w:r>
            <w:r>
              <w:rPr>
                <w:lang w:eastAsia="zh-CN"/>
              </w:rPr>
              <w:t>4</w:t>
            </w:r>
            <w:r>
              <w:t>00瓶/年</w:t>
            </w:r>
          </w:p>
        </w:tc>
        <w:tc>
          <w:tcPr>
            <w:tcW w:w="2366" w:type="pct"/>
            <w:vAlign w:val="center"/>
          </w:tcPr>
          <w:p w14:paraId="3921BF1E">
            <w:pPr>
              <w:pStyle w:val="357"/>
              <w:rPr>
                <w:lang w:eastAsia="zh-CN"/>
              </w:rPr>
            </w:pPr>
            <w:r>
              <w:rPr>
                <w:lang w:eastAsia="zh-CN"/>
              </w:rPr>
              <w:t>随用随买，临时存储在</w:t>
            </w:r>
            <w:r>
              <w:rPr>
                <w:rFonts w:hint="eastAsia"/>
                <w:lang w:eastAsia="zh-CN"/>
              </w:rPr>
              <w:t>解剖室</w:t>
            </w:r>
            <w:r>
              <w:rPr>
                <w:lang w:eastAsia="zh-CN"/>
              </w:rPr>
              <w:t>，250ml/瓶</w:t>
            </w:r>
          </w:p>
        </w:tc>
      </w:tr>
      <w:tr w14:paraId="4C68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6848C1B8">
            <w:pPr>
              <w:pStyle w:val="357"/>
            </w:pPr>
            <w:r>
              <w:t>6</w:t>
            </w:r>
          </w:p>
        </w:tc>
        <w:tc>
          <w:tcPr>
            <w:tcW w:w="863" w:type="pct"/>
            <w:vAlign w:val="center"/>
          </w:tcPr>
          <w:p w14:paraId="5AA25028">
            <w:pPr>
              <w:pStyle w:val="357"/>
              <w:rPr>
                <w:bCs/>
              </w:rPr>
            </w:pPr>
            <w:r>
              <w:rPr>
                <w:bCs/>
              </w:rPr>
              <w:t>H5+H7</w:t>
            </w:r>
          </w:p>
        </w:tc>
        <w:tc>
          <w:tcPr>
            <w:tcW w:w="529" w:type="pct"/>
            <w:vMerge w:val="continue"/>
            <w:vAlign w:val="center"/>
          </w:tcPr>
          <w:p w14:paraId="4AE32C7C">
            <w:pPr>
              <w:pStyle w:val="357"/>
            </w:pPr>
          </w:p>
        </w:tc>
        <w:tc>
          <w:tcPr>
            <w:tcW w:w="845" w:type="pct"/>
            <w:vAlign w:val="center"/>
          </w:tcPr>
          <w:p w14:paraId="3A0D43BB">
            <w:pPr>
              <w:pStyle w:val="357"/>
            </w:pPr>
            <w:r>
              <w:t>2400瓶/年</w:t>
            </w:r>
          </w:p>
        </w:tc>
        <w:tc>
          <w:tcPr>
            <w:tcW w:w="2366" w:type="pct"/>
            <w:vAlign w:val="center"/>
          </w:tcPr>
          <w:p w14:paraId="033B7D51">
            <w:pPr>
              <w:pStyle w:val="357"/>
              <w:rPr>
                <w:lang w:eastAsia="zh-CN"/>
              </w:rPr>
            </w:pPr>
            <w:r>
              <w:rPr>
                <w:lang w:eastAsia="zh-CN"/>
              </w:rPr>
              <w:t>随用随买，临时存储在解剖室，500ml/瓶</w:t>
            </w:r>
          </w:p>
        </w:tc>
      </w:tr>
      <w:tr w14:paraId="737E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21267E6A">
            <w:pPr>
              <w:pStyle w:val="357"/>
            </w:pPr>
            <w:r>
              <w:t>7</w:t>
            </w:r>
          </w:p>
        </w:tc>
        <w:tc>
          <w:tcPr>
            <w:tcW w:w="863" w:type="pct"/>
            <w:vAlign w:val="center"/>
          </w:tcPr>
          <w:p w14:paraId="3B12A00A">
            <w:pPr>
              <w:pStyle w:val="357"/>
              <w:rPr>
                <w:bCs/>
              </w:rPr>
            </w:pPr>
            <w:r>
              <w:rPr>
                <w:bCs/>
              </w:rPr>
              <w:t>新流腺</w:t>
            </w:r>
          </w:p>
        </w:tc>
        <w:tc>
          <w:tcPr>
            <w:tcW w:w="529" w:type="pct"/>
            <w:vMerge w:val="continue"/>
            <w:vAlign w:val="center"/>
          </w:tcPr>
          <w:p w14:paraId="6ABBB079">
            <w:pPr>
              <w:pStyle w:val="357"/>
            </w:pPr>
          </w:p>
        </w:tc>
        <w:tc>
          <w:tcPr>
            <w:tcW w:w="845" w:type="pct"/>
            <w:vAlign w:val="center"/>
          </w:tcPr>
          <w:p w14:paraId="1116BE15">
            <w:pPr>
              <w:pStyle w:val="357"/>
            </w:pPr>
            <w:r>
              <w:t>2</w:t>
            </w:r>
            <w:r>
              <w:rPr>
                <w:lang w:eastAsia="zh-CN"/>
              </w:rPr>
              <w:t>4</w:t>
            </w:r>
            <w:r>
              <w:t>00瓶/年</w:t>
            </w:r>
          </w:p>
        </w:tc>
        <w:tc>
          <w:tcPr>
            <w:tcW w:w="2366" w:type="pct"/>
            <w:vAlign w:val="center"/>
          </w:tcPr>
          <w:p w14:paraId="6E7AA9EA">
            <w:pPr>
              <w:pStyle w:val="357"/>
              <w:rPr>
                <w:lang w:eastAsia="zh-CN"/>
              </w:rPr>
            </w:pPr>
            <w:r>
              <w:rPr>
                <w:lang w:eastAsia="zh-CN"/>
              </w:rPr>
              <w:t>随用随买，临时存储在解剖室，250ml/瓶</w:t>
            </w:r>
          </w:p>
        </w:tc>
      </w:tr>
      <w:tr w14:paraId="1A8D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2E8D63B7">
            <w:pPr>
              <w:pStyle w:val="357"/>
            </w:pPr>
            <w:r>
              <w:t>8</w:t>
            </w:r>
          </w:p>
        </w:tc>
        <w:tc>
          <w:tcPr>
            <w:tcW w:w="863" w:type="pct"/>
            <w:vAlign w:val="center"/>
          </w:tcPr>
          <w:p w14:paraId="3BD7D9FD">
            <w:pPr>
              <w:pStyle w:val="357"/>
              <w:rPr>
                <w:bCs/>
              </w:rPr>
            </w:pPr>
            <w:r>
              <w:rPr>
                <w:bCs/>
              </w:rPr>
              <w:t>新支二联</w:t>
            </w:r>
          </w:p>
        </w:tc>
        <w:tc>
          <w:tcPr>
            <w:tcW w:w="529" w:type="pct"/>
            <w:vMerge w:val="continue"/>
            <w:vAlign w:val="center"/>
          </w:tcPr>
          <w:p w14:paraId="5ED66B24">
            <w:pPr>
              <w:pStyle w:val="357"/>
            </w:pPr>
          </w:p>
        </w:tc>
        <w:tc>
          <w:tcPr>
            <w:tcW w:w="845" w:type="pct"/>
            <w:vAlign w:val="center"/>
          </w:tcPr>
          <w:p w14:paraId="6E797DAB">
            <w:pPr>
              <w:pStyle w:val="357"/>
            </w:pPr>
            <w:r>
              <w:t>1</w:t>
            </w:r>
            <w:r>
              <w:rPr>
                <w:lang w:eastAsia="zh-CN"/>
              </w:rPr>
              <w:t>2</w:t>
            </w:r>
            <w:r>
              <w:t>00瓶/年</w:t>
            </w:r>
          </w:p>
        </w:tc>
        <w:tc>
          <w:tcPr>
            <w:tcW w:w="2366" w:type="pct"/>
            <w:vAlign w:val="center"/>
          </w:tcPr>
          <w:p w14:paraId="3210347B">
            <w:pPr>
              <w:pStyle w:val="357"/>
              <w:rPr>
                <w:lang w:eastAsia="zh-CN"/>
              </w:rPr>
            </w:pPr>
            <w:r>
              <w:rPr>
                <w:lang w:eastAsia="zh-CN"/>
              </w:rPr>
              <w:t>随用随买，临时存储在解剖室，1000羽/瓶</w:t>
            </w:r>
          </w:p>
        </w:tc>
      </w:tr>
      <w:tr w14:paraId="453B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4AEC767A">
            <w:pPr>
              <w:pStyle w:val="357"/>
            </w:pPr>
            <w:r>
              <w:t>9</w:t>
            </w:r>
          </w:p>
        </w:tc>
        <w:tc>
          <w:tcPr>
            <w:tcW w:w="863" w:type="pct"/>
            <w:vAlign w:val="center"/>
          </w:tcPr>
          <w:p w14:paraId="2D780401">
            <w:pPr>
              <w:pStyle w:val="357"/>
              <w:rPr>
                <w:bCs/>
              </w:rPr>
            </w:pPr>
            <w:r>
              <w:rPr>
                <w:bCs/>
              </w:rPr>
              <w:t>新支流</w:t>
            </w:r>
          </w:p>
        </w:tc>
        <w:tc>
          <w:tcPr>
            <w:tcW w:w="529" w:type="pct"/>
            <w:vMerge w:val="continue"/>
            <w:vAlign w:val="center"/>
          </w:tcPr>
          <w:p w14:paraId="4E007B1F">
            <w:pPr>
              <w:pStyle w:val="357"/>
            </w:pPr>
          </w:p>
        </w:tc>
        <w:tc>
          <w:tcPr>
            <w:tcW w:w="845" w:type="pct"/>
            <w:vAlign w:val="center"/>
          </w:tcPr>
          <w:p w14:paraId="7EDC6395">
            <w:pPr>
              <w:pStyle w:val="357"/>
            </w:pPr>
            <w:r>
              <w:t>2</w:t>
            </w:r>
            <w:r>
              <w:rPr>
                <w:lang w:eastAsia="zh-CN"/>
              </w:rPr>
              <w:t>4</w:t>
            </w:r>
            <w:r>
              <w:t>00瓶/年</w:t>
            </w:r>
          </w:p>
        </w:tc>
        <w:tc>
          <w:tcPr>
            <w:tcW w:w="2366" w:type="pct"/>
            <w:vAlign w:val="center"/>
          </w:tcPr>
          <w:p w14:paraId="37524657">
            <w:pPr>
              <w:pStyle w:val="357"/>
              <w:rPr>
                <w:lang w:eastAsia="zh-CN"/>
              </w:rPr>
            </w:pPr>
            <w:r>
              <w:rPr>
                <w:lang w:eastAsia="zh-CN"/>
              </w:rPr>
              <w:t>随用随买，临时存储在解剖室，250ml/瓶</w:t>
            </w:r>
          </w:p>
        </w:tc>
      </w:tr>
      <w:tr w14:paraId="16CB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001659F4">
            <w:pPr>
              <w:pStyle w:val="357"/>
            </w:pPr>
            <w:r>
              <w:t>10</w:t>
            </w:r>
          </w:p>
        </w:tc>
        <w:tc>
          <w:tcPr>
            <w:tcW w:w="863" w:type="pct"/>
            <w:vAlign w:val="center"/>
          </w:tcPr>
          <w:p w14:paraId="6F8F7DC1">
            <w:pPr>
              <w:pStyle w:val="357"/>
              <w:rPr>
                <w:bCs/>
              </w:rPr>
            </w:pPr>
            <w:r>
              <w:rPr>
                <w:bCs/>
              </w:rPr>
              <w:t>新支宝</w:t>
            </w:r>
          </w:p>
        </w:tc>
        <w:tc>
          <w:tcPr>
            <w:tcW w:w="529" w:type="pct"/>
            <w:vMerge w:val="continue"/>
            <w:vAlign w:val="center"/>
          </w:tcPr>
          <w:p w14:paraId="76669AB1">
            <w:pPr>
              <w:pStyle w:val="357"/>
            </w:pPr>
          </w:p>
        </w:tc>
        <w:tc>
          <w:tcPr>
            <w:tcW w:w="845" w:type="pct"/>
            <w:vAlign w:val="center"/>
          </w:tcPr>
          <w:p w14:paraId="1A6BA0B2">
            <w:pPr>
              <w:pStyle w:val="357"/>
            </w:pPr>
            <w:r>
              <w:t>1</w:t>
            </w:r>
            <w:r>
              <w:rPr>
                <w:lang w:eastAsia="zh-CN"/>
              </w:rPr>
              <w:t>2</w:t>
            </w:r>
            <w:r>
              <w:t>00瓶/年</w:t>
            </w:r>
          </w:p>
        </w:tc>
        <w:tc>
          <w:tcPr>
            <w:tcW w:w="2366" w:type="pct"/>
            <w:vAlign w:val="center"/>
          </w:tcPr>
          <w:p w14:paraId="711E4724">
            <w:pPr>
              <w:pStyle w:val="357"/>
              <w:rPr>
                <w:lang w:eastAsia="zh-CN"/>
              </w:rPr>
            </w:pPr>
            <w:r>
              <w:rPr>
                <w:lang w:eastAsia="zh-CN"/>
              </w:rPr>
              <w:t>随用随买，临时存储在解剖室，1000羽/瓶</w:t>
            </w:r>
          </w:p>
        </w:tc>
      </w:tr>
      <w:tr w14:paraId="065B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32F048D6">
            <w:pPr>
              <w:pStyle w:val="357"/>
            </w:pPr>
            <w:r>
              <w:t>11</w:t>
            </w:r>
          </w:p>
        </w:tc>
        <w:tc>
          <w:tcPr>
            <w:tcW w:w="863" w:type="pct"/>
            <w:vAlign w:val="center"/>
          </w:tcPr>
          <w:p w14:paraId="05F60DBB">
            <w:pPr>
              <w:pStyle w:val="357"/>
              <w:rPr>
                <w:bCs/>
              </w:rPr>
            </w:pPr>
            <w:r>
              <w:rPr>
                <w:bCs/>
              </w:rPr>
              <w:t>猴痘</w:t>
            </w:r>
          </w:p>
        </w:tc>
        <w:tc>
          <w:tcPr>
            <w:tcW w:w="529" w:type="pct"/>
            <w:vMerge w:val="continue"/>
            <w:vAlign w:val="center"/>
          </w:tcPr>
          <w:p w14:paraId="10B4947C">
            <w:pPr>
              <w:pStyle w:val="357"/>
            </w:pPr>
          </w:p>
        </w:tc>
        <w:tc>
          <w:tcPr>
            <w:tcW w:w="845" w:type="pct"/>
            <w:vAlign w:val="center"/>
          </w:tcPr>
          <w:p w14:paraId="65E94108">
            <w:pPr>
              <w:pStyle w:val="357"/>
            </w:pPr>
            <w:r>
              <w:t>1</w:t>
            </w:r>
            <w:r>
              <w:rPr>
                <w:lang w:eastAsia="zh-CN"/>
              </w:rPr>
              <w:t>2</w:t>
            </w:r>
            <w:r>
              <w:t>00瓶/年</w:t>
            </w:r>
          </w:p>
        </w:tc>
        <w:tc>
          <w:tcPr>
            <w:tcW w:w="2366" w:type="pct"/>
            <w:vAlign w:val="center"/>
          </w:tcPr>
          <w:p w14:paraId="2112146D">
            <w:pPr>
              <w:pStyle w:val="357"/>
              <w:rPr>
                <w:lang w:eastAsia="zh-CN"/>
              </w:rPr>
            </w:pPr>
            <w:r>
              <w:rPr>
                <w:lang w:eastAsia="zh-CN"/>
              </w:rPr>
              <w:t>随用随买，临时存储在解剖室，1000羽/瓶</w:t>
            </w:r>
          </w:p>
        </w:tc>
      </w:tr>
      <w:tr w14:paraId="604F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4B09DE9A">
            <w:pPr>
              <w:pStyle w:val="357"/>
            </w:pPr>
            <w:r>
              <w:t>12</w:t>
            </w:r>
          </w:p>
        </w:tc>
        <w:tc>
          <w:tcPr>
            <w:tcW w:w="863" w:type="pct"/>
            <w:vAlign w:val="center"/>
          </w:tcPr>
          <w:p w14:paraId="7E7D7BCE">
            <w:pPr>
              <w:pStyle w:val="357"/>
              <w:rPr>
                <w:bCs/>
              </w:rPr>
            </w:pPr>
            <w:r>
              <w:rPr>
                <w:bCs/>
              </w:rPr>
              <w:t>传喉</w:t>
            </w:r>
          </w:p>
        </w:tc>
        <w:tc>
          <w:tcPr>
            <w:tcW w:w="529" w:type="pct"/>
            <w:vMerge w:val="continue"/>
            <w:vAlign w:val="center"/>
          </w:tcPr>
          <w:p w14:paraId="32C8D984">
            <w:pPr>
              <w:pStyle w:val="357"/>
            </w:pPr>
          </w:p>
        </w:tc>
        <w:tc>
          <w:tcPr>
            <w:tcW w:w="845" w:type="pct"/>
            <w:vAlign w:val="center"/>
          </w:tcPr>
          <w:p w14:paraId="0268A0BB">
            <w:pPr>
              <w:pStyle w:val="357"/>
            </w:pPr>
            <w:r>
              <w:t>1</w:t>
            </w:r>
            <w:r>
              <w:rPr>
                <w:lang w:eastAsia="zh-CN"/>
              </w:rPr>
              <w:t>2</w:t>
            </w:r>
            <w:r>
              <w:t>00瓶/年</w:t>
            </w:r>
          </w:p>
        </w:tc>
        <w:tc>
          <w:tcPr>
            <w:tcW w:w="2366" w:type="pct"/>
            <w:vAlign w:val="center"/>
          </w:tcPr>
          <w:p w14:paraId="6F0E4591">
            <w:pPr>
              <w:pStyle w:val="357"/>
              <w:rPr>
                <w:lang w:eastAsia="zh-CN"/>
              </w:rPr>
            </w:pPr>
            <w:r>
              <w:rPr>
                <w:lang w:eastAsia="zh-CN"/>
              </w:rPr>
              <w:t>随用随买，临时存储在解剖室，1000羽/瓶</w:t>
            </w:r>
          </w:p>
        </w:tc>
      </w:tr>
      <w:tr w14:paraId="4FB1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1E877365">
            <w:pPr>
              <w:pStyle w:val="357"/>
            </w:pPr>
            <w:r>
              <w:t>13</w:t>
            </w:r>
          </w:p>
        </w:tc>
        <w:tc>
          <w:tcPr>
            <w:tcW w:w="863" w:type="pct"/>
            <w:vAlign w:val="center"/>
          </w:tcPr>
          <w:p w14:paraId="3AFBB9EC">
            <w:pPr>
              <w:pStyle w:val="357"/>
              <w:rPr>
                <w:bCs/>
              </w:rPr>
            </w:pPr>
            <w:r>
              <w:rPr>
                <w:bCs/>
              </w:rPr>
              <w:t>IV或C30</w:t>
            </w:r>
          </w:p>
        </w:tc>
        <w:tc>
          <w:tcPr>
            <w:tcW w:w="529" w:type="pct"/>
            <w:vMerge w:val="continue"/>
            <w:vAlign w:val="center"/>
          </w:tcPr>
          <w:p w14:paraId="3676B461">
            <w:pPr>
              <w:pStyle w:val="357"/>
            </w:pPr>
          </w:p>
        </w:tc>
        <w:tc>
          <w:tcPr>
            <w:tcW w:w="845" w:type="pct"/>
            <w:vAlign w:val="center"/>
          </w:tcPr>
          <w:p w14:paraId="1973941B">
            <w:pPr>
              <w:pStyle w:val="357"/>
            </w:pPr>
            <w:r>
              <w:t>1</w:t>
            </w:r>
            <w:r>
              <w:rPr>
                <w:lang w:eastAsia="zh-CN"/>
              </w:rPr>
              <w:t>2</w:t>
            </w:r>
            <w:r>
              <w:t>00瓶/年</w:t>
            </w:r>
          </w:p>
        </w:tc>
        <w:tc>
          <w:tcPr>
            <w:tcW w:w="2366" w:type="pct"/>
            <w:vAlign w:val="center"/>
          </w:tcPr>
          <w:p w14:paraId="5F5D3931">
            <w:pPr>
              <w:pStyle w:val="357"/>
              <w:rPr>
                <w:lang w:eastAsia="zh-CN"/>
              </w:rPr>
            </w:pPr>
            <w:r>
              <w:rPr>
                <w:lang w:eastAsia="zh-CN"/>
              </w:rPr>
              <w:t>随用随买，临时存储在解剖室，1000羽/瓶</w:t>
            </w:r>
          </w:p>
        </w:tc>
      </w:tr>
      <w:tr w14:paraId="3D2A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7A358CF1">
            <w:pPr>
              <w:pStyle w:val="357"/>
            </w:pPr>
            <w:r>
              <w:t>14</w:t>
            </w:r>
          </w:p>
        </w:tc>
        <w:tc>
          <w:tcPr>
            <w:tcW w:w="863" w:type="pct"/>
            <w:vAlign w:val="center"/>
          </w:tcPr>
          <w:p w14:paraId="3A47C509">
            <w:pPr>
              <w:pStyle w:val="357"/>
              <w:rPr>
                <w:bCs/>
              </w:rPr>
            </w:pPr>
            <w:r>
              <w:rPr>
                <w:bCs/>
              </w:rPr>
              <w:t>蛋箱</w:t>
            </w:r>
          </w:p>
        </w:tc>
        <w:tc>
          <w:tcPr>
            <w:tcW w:w="529" w:type="pct"/>
            <w:vAlign w:val="center"/>
          </w:tcPr>
          <w:p w14:paraId="30E7E28F">
            <w:pPr>
              <w:pStyle w:val="357"/>
            </w:pPr>
            <w:r>
              <w:t>鸡蛋包装</w:t>
            </w:r>
          </w:p>
        </w:tc>
        <w:tc>
          <w:tcPr>
            <w:tcW w:w="845" w:type="pct"/>
            <w:vAlign w:val="center"/>
          </w:tcPr>
          <w:p w14:paraId="2F19D8A4">
            <w:pPr>
              <w:pStyle w:val="357"/>
            </w:pPr>
            <w:r>
              <w:rPr>
                <w:lang w:eastAsia="zh-CN"/>
              </w:rPr>
              <w:t>45</w:t>
            </w:r>
            <w:r>
              <w:t>万个</w:t>
            </w:r>
          </w:p>
        </w:tc>
        <w:tc>
          <w:tcPr>
            <w:tcW w:w="2366" w:type="pct"/>
            <w:vAlign w:val="center"/>
          </w:tcPr>
          <w:p w14:paraId="683930BF">
            <w:pPr>
              <w:pStyle w:val="357"/>
            </w:pPr>
            <w:r>
              <w:t>外购</w:t>
            </w:r>
          </w:p>
        </w:tc>
      </w:tr>
      <w:tr w14:paraId="6D7B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6BE6210B">
            <w:pPr>
              <w:pStyle w:val="357"/>
            </w:pPr>
            <w:r>
              <w:rPr>
                <w:lang w:eastAsia="zh-CN"/>
              </w:rPr>
              <w:t>能源消耗</w:t>
            </w:r>
          </w:p>
        </w:tc>
      </w:tr>
      <w:tr w14:paraId="26E7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0E904303">
            <w:pPr>
              <w:pStyle w:val="357"/>
              <w:rPr>
                <w:lang w:eastAsia="zh-CN"/>
              </w:rPr>
            </w:pPr>
            <w:r>
              <w:rPr>
                <w:lang w:eastAsia="zh-CN"/>
              </w:rPr>
              <w:t>1</w:t>
            </w:r>
          </w:p>
        </w:tc>
        <w:tc>
          <w:tcPr>
            <w:tcW w:w="863" w:type="pct"/>
            <w:vAlign w:val="center"/>
          </w:tcPr>
          <w:p w14:paraId="0500D47C">
            <w:pPr>
              <w:pStyle w:val="357"/>
            </w:pPr>
            <w:r>
              <w:t>电</w:t>
            </w:r>
          </w:p>
        </w:tc>
        <w:tc>
          <w:tcPr>
            <w:tcW w:w="529" w:type="pct"/>
            <w:vAlign w:val="center"/>
          </w:tcPr>
          <w:p w14:paraId="4BF111A9">
            <w:pPr>
              <w:pStyle w:val="357"/>
            </w:pPr>
            <w:r>
              <w:t>供电</w:t>
            </w:r>
          </w:p>
        </w:tc>
        <w:tc>
          <w:tcPr>
            <w:tcW w:w="845" w:type="pct"/>
            <w:vAlign w:val="center"/>
          </w:tcPr>
          <w:p w14:paraId="6068B827">
            <w:pPr>
              <w:pStyle w:val="357"/>
            </w:pPr>
            <w:r>
              <w:t>100万kWh</w:t>
            </w:r>
          </w:p>
        </w:tc>
        <w:tc>
          <w:tcPr>
            <w:tcW w:w="2366" w:type="pct"/>
            <w:vAlign w:val="center"/>
          </w:tcPr>
          <w:p w14:paraId="22453678">
            <w:pPr>
              <w:pStyle w:val="357"/>
            </w:pPr>
            <w:r>
              <w:rPr>
                <w:lang w:eastAsia="zh-CN"/>
              </w:rPr>
              <w:t>周边电网接入</w:t>
            </w:r>
          </w:p>
        </w:tc>
      </w:tr>
      <w:tr w14:paraId="4D9B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34524A16">
            <w:pPr>
              <w:pStyle w:val="357"/>
              <w:rPr>
                <w:lang w:eastAsia="zh-CN"/>
              </w:rPr>
            </w:pPr>
            <w:r>
              <w:rPr>
                <w:lang w:eastAsia="zh-CN"/>
              </w:rPr>
              <w:t>2</w:t>
            </w:r>
          </w:p>
        </w:tc>
        <w:tc>
          <w:tcPr>
            <w:tcW w:w="863" w:type="pct"/>
            <w:vAlign w:val="center"/>
          </w:tcPr>
          <w:p w14:paraId="7ED9B85B">
            <w:pPr>
              <w:pStyle w:val="357"/>
            </w:pPr>
            <w:r>
              <w:t>水</w:t>
            </w:r>
          </w:p>
        </w:tc>
        <w:tc>
          <w:tcPr>
            <w:tcW w:w="529" w:type="pct"/>
            <w:vAlign w:val="center"/>
          </w:tcPr>
          <w:p w14:paraId="4BB87167">
            <w:pPr>
              <w:pStyle w:val="357"/>
            </w:pPr>
            <w:r>
              <w:t>供水</w:t>
            </w:r>
          </w:p>
        </w:tc>
        <w:tc>
          <w:tcPr>
            <w:tcW w:w="845" w:type="pct"/>
            <w:vAlign w:val="center"/>
          </w:tcPr>
          <w:p w14:paraId="4CEFDF6C">
            <w:pPr>
              <w:pStyle w:val="357"/>
            </w:pPr>
            <w:r>
              <w:t>105290.25t/a</w:t>
            </w:r>
          </w:p>
        </w:tc>
        <w:tc>
          <w:tcPr>
            <w:tcW w:w="2366" w:type="pct"/>
            <w:vAlign w:val="center"/>
          </w:tcPr>
          <w:p w14:paraId="4BEF99E5">
            <w:pPr>
              <w:pStyle w:val="357"/>
            </w:pPr>
            <w:r>
              <w:rPr>
                <w:lang w:eastAsia="zh-CN"/>
              </w:rPr>
              <w:t>自备井</w:t>
            </w:r>
          </w:p>
        </w:tc>
      </w:tr>
      <w:tr w14:paraId="452A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3ED58996">
            <w:pPr>
              <w:pStyle w:val="357"/>
              <w:rPr>
                <w:lang w:eastAsia="zh-CN"/>
              </w:rPr>
            </w:pPr>
            <w:r>
              <w:rPr>
                <w:lang w:eastAsia="zh-CN"/>
              </w:rPr>
              <w:t>3</w:t>
            </w:r>
          </w:p>
        </w:tc>
        <w:tc>
          <w:tcPr>
            <w:tcW w:w="863" w:type="pct"/>
            <w:vAlign w:val="center"/>
          </w:tcPr>
          <w:p w14:paraId="34585A0E">
            <w:pPr>
              <w:pStyle w:val="357"/>
              <w:rPr>
                <w:lang w:eastAsia="zh-CN"/>
              </w:rPr>
            </w:pPr>
            <w:r>
              <w:rPr>
                <w:lang w:eastAsia="zh-CN"/>
              </w:rPr>
              <w:t>天然气</w:t>
            </w:r>
          </w:p>
        </w:tc>
        <w:tc>
          <w:tcPr>
            <w:tcW w:w="529" w:type="pct"/>
            <w:vAlign w:val="center"/>
          </w:tcPr>
          <w:p w14:paraId="501968E3">
            <w:pPr>
              <w:pStyle w:val="357"/>
            </w:pPr>
            <w:r>
              <w:t>供暖</w:t>
            </w:r>
          </w:p>
        </w:tc>
        <w:tc>
          <w:tcPr>
            <w:tcW w:w="845" w:type="pct"/>
            <w:vAlign w:val="center"/>
          </w:tcPr>
          <w:p w14:paraId="7D8F4416">
            <w:pPr>
              <w:pStyle w:val="357"/>
            </w:pPr>
            <w:r>
              <w:rPr>
                <w:lang w:eastAsia="zh-CN"/>
              </w:rPr>
              <w:t>70</w:t>
            </w:r>
            <w:r>
              <w:rPr>
                <w:rFonts w:hint="eastAsia"/>
                <w:lang w:eastAsia="zh-CN"/>
              </w:rPr>
              <w:t>万</w:t>
            </w:r>
            <w:r>
              <w:rPr>
                <w:lang w:eastAsia="zh-CN"/>
              </w:rPr>
              <w:t>m</w:t>
            </w:r>
            <w:r>
              <w:rPr>
                <w:vertAlign w:val="superscript"/>
                <w:lang w:eastAsia="zh-CN"/>
              </w:rPr>
              <w:t>3</w:t>
            </w:r>
            <w:r>
              <w:t>/a</w:t>
            </w:r>
          </w:p>
        </w:tc>
        <w:tc>
          <w:tcPr>
            <w:tcW w:w="2366" w:type="pct"/>
            <w:vAlign w:val="center"/>
          </w:tcPr>
          <w:p w14:paraId="439C2B0D">
            <w:pPr>
              <w:pStyle w:val="357"/>
              <w:rPr>
                <w:lang w:eastAsia="zh-CN"/>
              </w:rPr>
            </w:pPr>
            <w:r>
              <w:rPr>
                <w:rFonts w:hint="eastAsia"/>
                <w:lang w:eastAsia="zh-CN"/>
              </w:rPr>
              <w:t>当地加气站管线输送至厂区锅炉</w:t>
            </w:r>
          </w:p>
        </w:tc>
      </w:tr>
      <w:tr w14:paraId="0907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vAlign w:val="center"/>
          </w:tcPr>
          <w:p w14:paraId="65AE0E3F">
            <w:pPr>
              <w:pStyle w:val="357"/>
              <w:tabs>
                <w:tab w:val="left" w:pos="0"/>
              </w:tabs>
              <w:rPr>
                <w:lang w:eastAsia="zh-CN"/>
              </w:rPr>
            </w:pPr>
            <w:r>
              <w:rPr>
                <w:rFonts w:hint="eastAsia"/>
                <w:lang w:eastAsia="zh-CN"/>
              </w:rPr>
              <w:t>4</w:t>
            </w:r>
          </w:p>
        </w:tc>
        <w:tc>
          <w:tcPr>
            <w:tcW w:w="863" w:type="pct"/>
            <w:vAlign w:val="center"/>
          </w:tcPr>
          <w:p w14:paraId="74990B26">
            <w:pPr>
              <w:pStyle w:val="357"/>
              <w:tabs>
                <w:tab w:val="left" w:pos="0"/>
              </w:tabs>
              <w:rPr>
                <w:lang w:eastAsia="zh-CN"/>
              </w:rPr>
            </w:pPr>
            <w:r>
              <w:rPr>
                <w:rFonts w:hint="eastAsia"/>
                <w:lang w:eastAsia="zh-CN"/>
              </w:rPr>
              <w:t>制冷剂（液氮）</w:t>
            </w:r>
          </w:p>
        </w:tc>
        <w:tc>
          <w:tcPr>
            <w:tcW w:w="529" w:type="pct"/>
            <w:vAlign w:val="center"/>
          </w:tcPr>
          <w:p w14:paraId="6B909968">
            <w:pPr>
              <w:pStyle w:val="357"/>
              <w:tabs>
                <w:tab w:val="left" w:pos="0"/>
              </w:tabs>
              <w:rPr>
                <w:lang w:eastAsia="zh-CN"/>
              </w:rPr>
            </w:pPr>
            <w:r>
              <w:rPr>
                <w:rFonts w:hint="eastAsia"/>
                <w:lang w:eastAsia="zh-CN"/>
              </w:rPr>
              <w:t>冷柜</w:t>
            </w:r>
          </w:p>
        </w:tc>
        <w:tc>
          <w:tcPr>
            <w:tcW w:w="845" w:type="pct"/>
            <w:vAlign w:val="center"/>
          </w:tcPr>
          <w:p w14:paraId="344028C9">
            <w:pPr>
              <w:pStyle w:val="357"/>
              <w:tabs>
                <w:tab w:val="left" w:pos="0"/>
              </w:tabs>
              <w:rPr>
                <w:lang w:eastAsia="zh-CN"/>
              </w:rPr>
            </w:pPr>
            <w:r>
              <w:rPr>
                <w:rFonts w:hint="eastAsia"/>
                <w:lang w:eastAsia="zh-CN"/>
              </w:rPr>
              <w:t>4.38万L/a</w:t>
            </w:r>
          </w:p>
        </w:tc>
        <w:tc>
          <w:tcPr>
            <w:tcW w:w="2366" w:type="pct"/>
            <w:vAlign w:val="center"/>
          </w:tcPr>
          <w:p w14:paraId="752D6E8E">
            <w:pPr>
              <w:pStyle w:val="357"/>
              <w:tabs>
                <w:tab w:val="left" w:pos="0"/>
              </w:tabs>
              <w:rPr>
                <w:lang w:eastAsia="zh-CN"/>
              </w:rPr>
            </w:pPr>
            <w:r>
              <w:rPr>
                <w:rFonts w:hint="eastAsia"/>
                <w:lang w:eastAsia="zh-CN"/>
              </w:rPr>
              <w:t>定期加注，不在厂区暂存</w:t>
            </w:r>
          </w:p>
        </w:tc>
      </w:tr>
    </w:tbl>
    <w:p w14:paraId="03ADE0D8">
      <w:pPr>
        <w:ind w:firstLine="482"/>
        <w:rPr>
          <w:b/>
          <w:bCs/>
        </w:rPr>
      </w:pPr>
      <w:r>
        <w:rPr>
          <w:b/>
          <w:bCs/>
        </w:rPr>
        <w:t>1）除臭剂</w:t>
      </w:r>
    </w:p>
    <w:p w14:paraId="670C8B37">
      <w:pPr>
        <w:ind w:firstLine="480"/>
      </w:pPr>
      <w:r>
        <w:t>根据山东济南除臭剂厂家提供的除臭剂原液成分单，其成分如下：</w:t>
      </w:r>
    </w:p>
    <w:p w14:paraId="08C593FF">
      <w:pPr>
        <w:pStyle w:val="369"/>
        <w:ind w:firstLine="482"/>
        <w:rPr>
          <w:b w:val="0"/>
        </w:rPr>
      </w:pPr>
      <w:r>
        <w:t>表3.1-</w:t>
      </w:r>
      <w:r>
        <w:rPr>
          <w:rFonts w:hint="eastAsia"/>
        </w:rPr>
        <w:t>6</w:t>
      </w:r>
      <w:r>
        <w:t xml:space="preserve">  植物除臭剂原液成分</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5"/>
        <w:gridCol w:w="1651"/>
        <w:gridCol w:w="5411"/>
      </w:tblGrid>
      <w:tr w14:paraId="4FC0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15473394">
            <w:pPr>
              <w:pStyle w:val="766"/>
              <w:rPr>
                <w:color w:val="auto"/>
              </w:rPr>
            </w:pPr>
            <w:r>
              <w:rPr>
                <w:rFonts w:hint="eastAsia"/>
                <w:color w:val="auto"/>
              </w:rPr>
              <w:t>组成</w:t>
            </w:r>
          </w:p>
        </w:tc>
        <w:tc>
          <w:tcPr>
            <w:tcW w:w="889" w:type="pct"/>
            <w:vAlign w:val="center"/>
          </w:tcPr>
          <w:p w14:paraId="64E7B69E">
            <w:pPr>
              <w:pStyle w:val="766"/>
              <w:rPr>
                <w:color w:val="auto"/>
              </w:rPr>
            </w:pPr>
            <w:r>
              <w:rPr>
                <w:rFonts w:hint="eastAsia"/>
                <w:color w:val="auto"/>
              </w:rPr>
              <w:t>状态</w:t>
            </w:r>
          </w:p>
        </w:tc>
        <w:tc>
          <w:tcPr>
            <w:tcW w:w="2913" w:type="pct"/>
            <w:vAlign w:val="center"/>
          </w:tcPr>
          <w:p w14:paraId="20E576EC">
            <w:pPr>
              <w:pStyle w:val="766"/>
              <w:rPr>
                <w:color w:val="auto"/>
              </w:rPr>
            </w:pPr>
            <w:r>
              <w:rPr>
                <w:rFonts w:hint="eastAsia"/>
                <w:color w:val="auto"/>
              </w:rPr>
              <w:t>成分</w:t>
            </w:r>
          </w:p>
        </w:tc>
      </w:tr>
      <w:tr w14:paraId="7326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02584436">
            <w:pPr>
              <w:pStyle w:val="766"/>
              <w:rPr>
                <w:color w:val="auto"/>
              </w:rPr>
            </w:pPr>
            <w:r>
              <w:rPr>
                <w:color w:val="auto"/>
              </w:rPr>
              <w:t>姜</w:t>
            </w:r>
          </w:p>
        </w:tc>
        <w:tc>
          <w:tcPr>
            <w:tcW w:w="889" w:type="pct"/>
            <w:vAlign w:val="center"/>
          </w:tcPr>
          <w:p w14:paraId="2FBF8EDB">
            <w:pPr>
              <w:pStyle w:val="766"/>
              <w:rPr>
                <w:color w:val="auto"/>
              </w:rPr>
            </w:pPr>
            <w:r>
              <w:rPr>
                <w:color w:val="auto"/>
              </w:rPr>
              <w:t>汁</w:t>
            </w:r>
          </w:p>
        </w:tc>
        <w:tc>
          <w:tcPr>
            <w:tcW w:w="2913" w:type="pct"/>
            <w:vAlign w:val="center"/>
          </w:tcPr>
          <w:p w14:paraId="44B20E45">
            <w:pPr>
              <w:pStyle w:val="766"/>
              <w:rPr>
                <w:color w:val="auto"/>
              </w:rPr>
            </w:pPr>
            <w:r>
              <w:rPr>
                <w:color w:val="auto"/>
              </w:rPr>
              <w:t>姜酮、姜醇、姜烯、龙脑、芳樟醇</w:t>
            </w:r>
          </w:p>
        </w:tc>
      </w:tr>
      <w:tr w14:paraId="0C3F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504667DA">
            <w:pPr>
              <w:pStyle w:val="766"/>
              <w:rPr>
                <w:color w:val="auto"/>
              </w:rPr>
            </w:pPr>
            <w:r>
              <w:rPr>
                <w:color w:val="auto"/>
              </w:rPr>
              <w:t>葱</w:t>
            </w:r>
          </w:p>
        </w:tc>
        <w:tc>
          <w:tcPr>
            <w:tcW w:w="889" w:type="pct"/>
            <w:vAlign w:val="center"/>
          </w:tcPr>
          <w:p w14:paraId="19578F4F">
            <w:pPr>
              <w:pStyle w:val="766"/>
              <w:rPr>
                <w:color w:val="auto"/>
              </w:rPr>
            </w:pPr>
            <w:r>
              <w:rPr>
                <w:color w:val="auto"/>
              </w:rPr>
              <w:t>汁</w:t>
            </w:r>
          </w:p>
        </w:tc>
        <w:tc>
          <w:tcPr>
            <w:tcW w:w="2913" w:type="pct"/>
            <w:vAlign w:val="center"/>
          </w:tcPr>
          <w:p w14:paraId="144E0C8B">
            <w:pPr>
              <w:pStyle w:val="766"/>
              <w:rPr>
                <w:color w:val="auto"/>
              </w:rPr>
            </w:pPr>
            <w:r>
              <w:rPr>
                <w:color w:val="auto"/>
              </w:rPr>
              <w:t>蒜辣素、二烯丙基硫醚</w:t>
            </w:r>
          </w:p>
        </w:tc>
      </w:tr>
      <w:tr w14:paraId="5F8A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40366D04">
            <w:pPr>
              <w:pStyle w:val="766"/>
              <w:rPr>
                <w:color w:val="auto"/>
              </w:rPr>
            </w:pPr>
            <w:r>
              <w:rPr>
                <w:color w:val="auto"/>
              </w:rPr>
              <w:t>蒜</w:t>
            </w:r>
          </w:p>
        </w:tc>
        <w:tc>
          <w:tcPr>
            <w:tcW w:w="889" w:type="pct"/>
            <w:vAlign w:val="center"/>
          </w:tcPr>
          <w:p w14:paraId="2BC73E7F">
            <w:pPr>
              <w:pStyle w:val="766"/>
              <w:rPr>
                <w:color w:val="auto"/>
              </w:rPr>
            </w:pPr>
            <w:r>
              <w:rPr>
                <w:color w:val="auto"/>
              </w:rPr>
              <w:t>汁</w:t>
            </w:r>
          </w:p>
        </w:tc>
        <w:tc>
          <w:tcPr>
            <w:tcW w:w="2913" w:type="pct"/>
            <w:vAlign w:val="center"/>
          </w:tcPr>
          <w:p w14:paraId="37D75DE9">
            <w:pPr>
              <w:pStyle w:val="766"/>
              <w:rPr>
                <w:color w:val="auto"/>
              </w:rPr>
            </w:pPr>
            <w:r>
              <w:rPr>
                <w:color w:val="auto"/>
              </w:rPr>
              <w:t>大蒜辣素、大蒜新素、大蒜甙</w:t>
            </w:r>
          </w:p>
        </w:tc>
      </w:tr>
      <w:tr w14:paraId="6C55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6D1EE060">
            <w:pPr>
              <w:pStyle w:val="766"/>
              <w:rPr>
                <w:color w:val="auto"/>
              </w:rPr>
            </w:pPr>
            <w:r>
              <w:rPr>
                <w:color w:val="auto"/>
              </w:rPr>
              <w:t>芫荽</w:t>
            </w:r>
          </w:p>
        </w:tc>
        <w:tc>
          <w:tcPr>
            <w:tcW w:w="889" w:type="pct"/>
            <w:vAlign w:val="center"/>
          </w:tcPr>
          <w:p w14:paraId="1CE54811">
            <w:pPr>
              <w:pStyle w:val="766"/>
              <w:rPr>
                <w:color w:val="auto"/>
              </w:rPr>
            </w:pPr>
            <w:r>
              <w:rPr>
                <w:color w:val="auto"/>
              </w:rPr>
              <w:t>汁</w:t>
            </w:r>
          </w:p>
        </w:tc>
        <w:tc>
          <w:tcPr>
            <w:tcW w:w="2913" w:type="pct"/>
            <w:vAlign w:val="center"/>
          </w:tcPr>
          <w:p w14:paraId="34C72C04">
            <w:pPr>
              <w:pStyle w:val="766"/>
              <w:rPr>
                <w:color w:val="auto"/>
              </w:rPr>
            </w:pPr>
            <w:r>
              <w:rPr>
                <w:color w:val="auto"/>
              </w:rPr>
              <w:t>芳樟醇、水芹烯、葵醛、龙脑、蒎烯</w:t>
            </w:r>
          </w:p>
        </w:tc>
      </w:tr>
      <w:tr w14:paraId="5CE7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232E11A0">
            <w:pPr>
              <w:pStyle w:val="766"/>
              <w:rPr>
                <w:color w:val="auto"/>
              </w:rPr>
            </w:pPr>
            <w:r>
              <w:rPr>
                <w:color w:val="auto"/>
              </w:rPr>
              <w:t>芹菜</w:t>
            </w:r>
          </w:p>
        </w:tc>
        <w:tc>
          <w:tcPr>
            <w:tcW w:w="889" w:type="pct"/>
            <w:vAlign w:val="center"/>
          </w:tcPr>
          <w:p w14:paraId="2D800210">
            <w:pPr>
              <w:pStyle w:val="766"/>
              <w:rPr>
                <w:color w:val="auto"/>
              </w:rPr>
            </w:pPr>
            <w:r>
              <w:rPr>
                <w:color w:val="auto"/>
              </w:rPr>
              <w:t>汁</w:t>
            </w:r>
          </w:p>
        </w:tc>
        <w:tc>
          <w:tcPr>
            <w:tcW w:w="2913" w:type="pct"/>
            <w:vAlign w:val="center"/>
          </w:tcPr>
          <w:p w14:paraId="3CD81919">
            <w:pPr>
              <w:pStyle w:val="766"/>
              <w:rPr>
                <w:color w:val="auto"/>
              </w:rPr>
            </w:pPr>
            <w:r>
              <w:rPr>
                <w:color w:val="auto"/>
              </w:rPr>
              <w:t>β-月桂酸烯、蒎烯、石竹烯</w:t>
            </w:r>
          </w:p>
        </w:tc>
      </w:tr>
      <w:tr w14:paraId="3D69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64E4BF83">
            <w:pPr>
              <w:pStyle w:val="766"/>
              <w:rPr>
                <w:color w:val="auto"/>
              </w:rPr>
            </w:pPr>
            <w:r>
              <w:rPr>
                <w:color w:val="auto"/>
              </w:rPr>
              <w:t>辣椒</w:t>
            </w:r>
          </w:p>
        </w:tc>
        <w:tc>
          <w:tcPr>
            <w:tcW w:w="889" w:type="pct"/>
            <w:vAlign w:val="center"/>
          </w:tcPr>
          <w:p w14:paraId="4158DD45">
            <w:pPr>
              <w:pStyle w:val="766"/>
              <w:rPr>
                <w:color w:val="auto"/>
              </w:rPr>
            </w:pPr>
            <w:r>
              <w:rPr>
                <w:color w:val="auto"/>
              </w:rPr>
              <w:t>油</w:t>
            </w:r>
          </w:p>
        </w:tc>
        <w:tc>
          <w:tcPr>
            <w:tcW w:w="2913" w:type="pct"/>
            <w:vAlign w:val="center"/>
          </w:tcPr>
          <w:p w14:paraId="02BB034C">
            <w:pPr>
              <w:pStyle w:val="766"/>
              <w:rPr>
                <w:color w:val="auto"/>
              </w:rPr>
            </w:pPr>
            <w:r>
              <w:rPr>
                <w:color w:val="auto"/>
              </w:rPr>
              <w:t>辣椒碱、辣椒素</w:t>
            </w:r>
          </w:p>
        </w:tc>
      </w:tr>
      <w:tr w14:paraId="0187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1D40E05B">
            <w:pPr>
              <w:pStyle w:val="766"/>
              <w:rPr>
                <w:color w:val="auto"/>
              </w:rPr>
            </w:pPr>
            <w:r>
              <w:rPr>
                <w:color w:val="auto"/>
              </w:rPr>
              <w:t>花椒</w:t>
            </w:r>
          </w:p>
        </w:tc>
        <w:tc>
          <w:tcPr>
            <w:tcW w:w="889" w:type="pct"/>
            <w:vAlign w:val="center"/>
          </w:tcPr>
          <w:p w14:paraId="61C7B1E8">
            <w:pPr>
              <w:pStyle w:val="766"/>
              <w:rPr>
                <w:color w:val="auto"/>
              </w:rPr>
            </w:pPr>
            <w:r>
              <w:rPr>
                <w:color w:val="auto"/>
              </w:rPr>
              <w:t>油</w:t>
            </w:r>
          </w:p>
        </w:tc>
        <w:tc>
          <w:tcPr>
            <w:tcW w:w="2913" w:type="pct"/>
            <w:vAlign w:val="center"/>
          </w:tcPr>
          <w:p w14:paraId="2AC67C76">
            <w:pPr>
              <w:pStyle w:val="766"/>
              <w:rPr>
                <w:color w:val="auto"/>
              </w:rPr>
            </w:pPr>
            <w:r>
              <w:rPr>
                <w:color w:val="auto"/>
              </w:rPr>
              <w:t>异茴香醚</w:t>
            </w:r>
          </w:p>
        </w:tc>
      </w:tr>
      <w:tr w14:paraId="17B5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5BA3E6E2">
            <w:pPr>
              <w:pStyle w:val="766"/>
              <w:rPr>
                <w:color w:val="auto"/>
              </w:rPr>
            </w:pPr>
            <w:r>
              <w:rPr>
                <w:color w:val="auto"/>
              </w:rPr>
              <w:t>胡椒</w:t>
            </w:r>
          </w:p>
        </w:tc>
        <w:tc>
          <w:tcPr>
            <w:tcW w:w="889" w:type="pct"/>
            <w:vAlign w:val="center"/>
          </w:tcPr>
          <w:p w14:paraId="4D81724D">
            <w:pPr>
              <w:pStyle w:val="766"/>
              <w:rPr>
                <w:color w:val="auto"/>
              </w:rPr>
            </w:pPr>
            <w:r>
              <w:rPr>
                <w:color w:val="auto"/>
              </w:rPr>
              <w:t>油</w:t>
            </w:r>
          </w:p>
        </w:tc>
        <w:tc>
          <w:tcPr>
            <w:tcW w:w="2913" w:type="pct"/>
            <w:vAlign w:val="center"/>
          </w:tcPr>
          <w:p w14:paraId="67AAD48F">
            <w:pPr>
              <w:pStyle w:val="766"/>
              <w:rPr>
                <w:color w:val="auto"/>
              </w:rPr>
            </w:pPr>
            <w:r>
              <w:rPr>
                <w:color w:val="auto"/>
              </w:rPr>
              <w:t>胡椒碱、胡辣椒酯碱</w:t>
            </w:r>
          </w:p>
        </w:tc>
      </w:tr>
      <w:tr w14:paraId="3BF6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751CA847">
            <w:pPr>
              <w:pStyle w:val="766"/>
              <w:rPr>
                <w:color w:val="auto"/>
              </w:rPr>
            </w:pPr>
            <w:r>
              <w:rPr>
                <w:color w:val="auto"/>
              </w:rPr>
              <w:t>大茴香</w:t>
            </w:r>
          </w:p>
        </w:tc>
        <w:tc>
          <w:tcPr>
            <w:tcW w:w="889" w:type="pct"/>
            <w:vAlign w:val="center"/>
          </w:tcPr>
          <w:p w14:paraId="1394C79F">
            <w:pPr>
              <w:pStyle w:val="766"/>
              <w:rPr>
                <w:color w:val="auto"/>
              </w:rPr>
            </w:pPr>
            <w:r>
              <w:rPr>
                <w:color w:val="auto"/>
              </w:rPr>
              <w:t>油</w:t>
            </w:r>
          </w:p>
        </w:tc>
        <w:tc>
          <w:tcPr>
            <w:tcW w:w="2913" w:type="pct"/>
            <w:vAlign w:val="center"/>
          </w:tcPr>
          <w:p w14:paraId="485E481A">
            <w:pPr>
              <w:pStyle w:val="766"/>
              <w:rPr>
                <w:color w:val="auto"/>
              </w:rPr>
            </w:pPr>
            <w:r>
              <w:rPr>
                <w:color w:val="auto"/>
              </w:rPr>
              <w:t>大茴香脑、大茴香醛、芳樟醇</w:t>
            </w:r>
          </w:p>
        </w:tc>
      </w:tr>
      <w:tr w14:paraId="1A67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66A6DBAF">
            <w:pPr>
              <w:pStyle w:val="766"/>
              <w:rPr>
                <w:color w:val="auto"/>
              </w:rPr>
            </w:pPr>
            <w:r>
              <w:rPr>
                <w:color w:val="auto"/>
              </w:rPr>
              <w:t>玫瑰</w:t>
            </w:r>
          </w:p>
        </w:tc>
        <w:tc>
          <w:tcPr>
            <w:tcW w:w="889" w:type="pct"/>
            <w:vAlign w:val="center"/>
          </w:tcPr>
          <w:p w14:paraId="34D3599E">
            <w:pPr>
              <w:pStyle w:val="766"/>
              <w:rPr>
                <w:color w:val="auto"/>
              </w:rPr>
            </w:pPr>
            <w:r>
              <w:rPr>
                <w:color w:val="auto"/>
              </w:rPr>
              <w:t>油</w:t>
            </w:r>
          </w:p>
        </w:tc>
        <w:tc>
          <w:tcPr>
            <w:tcW w:w="2913" w:type="pct"/>
            <w:vAlign w:val="center"/>
          </w:tcPr>
          <w:p w14:paraId="29718EB5">
            <w:pPr>
              <w:pStyle w:val="766"/>
              <w:rPr>
                <w:color w:val="auto"/>
              </w:rPr>
            </w:pPr>
            <w:r>
              <w:rPr>
                <w:color w:val="auto"/>
              </w:rPr>
              <w:t>香茅醇、桂花醇、丁香油醇、苯乙醇</w:t>
            </w:r>
          </w:p>
        </w:tc>
      </w:tr>
      <w:tr w14:paraId="6EDA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79EB1F9C">
            <w:pPr>
              <w:pStyle w:val="766"/>
              <w:rPr>
                <w:color w:val="auto"/>
              </w:rPr>
            </w:pPr>
            <w:r>
              <w:rPr>
                <w:color w:val="auto"/>
              </w:rPr>
              <w:t>薄荷</w:t>
            </w:r>
          </w:p>
        </w:tc>
        <w:tc>
          <w:tcPr>
            <w:tcW w:w="889" w:type="pct"/>
            <w:vAlign w:val="center"/>
          </w:tcPr>
          <w:p w14:paraId="3F93E188">
            <w:pPr>
              <w:pStyle w:val="766"/>
              <w:rPr>
                <w:color w:val="auto"/>
              </w:rPr>
            </w:pPr>
            <w:r>
              <w:rPr>
                <w:color w:val="auto"/>
              </w:rPr>
              <w:t>油、汁</w:t>
            </w:r>
          </w:p>
        </w:tc>
        <w:tc>
          <w:tcPr>
            <w:tcW w:w="2913" w:type="pct"/>
            <w:vAlign w:val="center"/>
          </w:tcPr>
          <w:p w14:paraId="67482960">
            <w:pPr>
              <w:pStyle w:val="766"/>
              <w:rPr>
                <w:color w:val="auto"/>
              </w:rPr>
            </w:pPr>
            <w:r>
              <w:rPr>
                <w:color w:val="auto"/>
              </w:rPr>
              <w:t>薄荷脑、薄荷醇、乙酸薄荷醇、丙酸叶酯、α-蒎烯</w:t>
            </w:r>
          </w:p>
        </w:tc>
      </w:tr>
      <w:tr w14:paraId="1ABD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700B0D55">
            <w:pPr>
              <w:pStyle w:val="766"/>
              <w:rPr>
                <w:color w:val="auto"/>
              </w:rPr>
            </w:pPr>
            <w:r>
              <w:rPr>
                <w:color w:val="auto"/>
              </w:rPr>
              <w:t>茉莉</w:t>
            </w:r>
          </w:p>
        </w:tc>
        <w:tc>
          <w:tcPr>
            <w:tcW w:w="889" w:type="pct"/>
            <w:vAlign w:val="center"/>
          </w:tcPr>
          <w:p w14:paraId="1789826F">
            <w:pPr>
              <w:pStyle w:val="766"/>
              <w:rPr>
                <w:color w:val="auto"/>
              </w:rPr>
            </w:pPr>
            <w:r>
              <w:rPr>
                <w:color w:val="auto"/>
              </w:rPr>
              <w:t>油、汁</w:t>
            </w:r>
          </w:p>
        </w:tc>
        <w:tc>
          <w:tcPr>
            <w:tcW w:w="2913" w:type="pct"/>
            <w:vAlign w:val="center"/>
          </w:tcPr>
          <w:p w14:paraId="2A504A37">
            <w:pPr>
              <w:pStyle w:val="766"/>
              <w:rPr>
                <w:color w:val="auto"/>
              </w:rPr>
            </w:pPr>
            <w:r>
              <w:rPr>
                <w:color w:val="auto"/>
              </w:rPr>
              <w:t>苯甲醇、芳樟醇、安息酸、乙酸叶酯、苯甲酸叶酯</w:t>
            </w:r>
          </w:p>
        </w:tc>
      </w:tr>
      <w:tr w14:paraId="54E4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4AD067A3">
            <w:pPr>
              <w:pStyle w:val="766"/>
              <w:rPr>
                <w:color w:val="auto"/>
              </w:rPr>
            </w:pPr>
            <w:r>
              <w:rPr>
                <w:color w:val="auto"/>
              </w:rPr>
              <w:t>橙橘</w:t>
            </w:r>
          </w:p>
        </w:tc>
        <w:tc>
          <w:tcPr>
            <w:tcW w:w="889" w:type="pct"/>
            <w:vAlign w:val="center"/>
          </w:tcPr>
          <w:p w14:paraId="66F830F9">
            <w:pPr>
              <w:pStyle w:val="766"/>
              <w:rPr>
                <w:color w:val="auto"/>
              </w:rPr>
            </w:pPr>
            <w:r>
              <w:rPr>
                <w:color w:val="auto"/>
              </w:rPr>
              <w:t>油</w:t>
            </w:r>
          </w:p>
        </w:tc>
        <w:tc>
          <w:tcPr>
            <w:tcW w:w="2913" w:type="pct"/>
            <w:vAlign w:val="center"/>
          </w:tcPr>
          <w:p w14:paraId="768CD54A">
            <w:pPr>
              <w:pStyle w:val="766"/>
              <w:rPr>
                <w:color w:val="auto"/>
              </w:rPr>
            </w:pPr>
            <w:r>
              <w:rPr>
                <w:color w:val="auto"/>
              </w:rPr>
              <w:t>葵醛、辛醛、柠檬醛、芳樟醛、橙花醛</w:t>
            </w:r>
          </w:p>
        </w:tc>
      </w:tr>
      <w:tr w14:paraId="3B33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044045E8">
            <w:pPr>
              <w:pStyle w:val="766"/>
              <w:rPr>
                <w:color w:val="auto"/>
              </w:rPr>
            </w:pPr>
            <w:r>
              <w:rPr>
                <w:color w:val="auto"/>
              </w:rPr>
              <w:t>柚子</w:t>
            </w:r>
          </w:p>
        </w:tc>
        <w:tc>
          <w:tcPr>
            <w:tcW w:w="889" w:type="pct"/>
            <w:vAlign w:val="center"/>
          </w:tcPr>
          <w:p w14:paraId="11F5E31C">
            <w:pPr>
              <w:pStyle w:val="766"/>
              <w:rPr>
                <w:color w:val="auto"/>
              </w:rPr>
            </w:pPr>
            <w:r>
              <w:rPr>
                <w:color w:val="auto"/>
              </w:rPr>
              <w:t>油</w:t>
            </w:r>
          </w:p>
        </w:tc>
        <w:tc>
          <w:tcPr>
            <w:tcW w:w="2913" w:type="pct"/>
            <w:vAlign w:val="center"/>
          </w:tcPr>
          <w:p w14:paraId="2B942DC7">
            <w:pPr>
              <w:pStyle w:val="766"/>
              <w:rPr>
                <w:color w:val="auto"/>
              </w:rPr>
            </w:pPr>
            <w:r>
              <w:rPr>
                <w:color w:val="auto"/>
              </w:rPr>
              <w:t>柠檬醛、香叶醛、芳樟醛、橙花醛</w:t>
            </w:r>
          </w:p>
        </w:tc>
      </w:tr>
      <w:tr w14:paraId="4E00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1B99F329">
            <w:pPr>
              <w:pStyle w:val="766"/>
              <w:rPr>
                <w:color w:val="auto"/>
              </w:rPr>
            </w:pPr>
            <w:r>
              <w:rPr>
                <w:color w:val="auto"/>
              </w:rPr>
              <w:t>柠檬</w:t>
            </w:r>
          </w:p>
        </w:tc>
        <w:tc>
          <w:tcPr>
            <w:tcW w:w="889" w:type="pct"/>
            <w:vAlign w:val="center"/>
          </w:tcPr>
          <w:p w14:paraId="701F5794">
            <w:pPr>
              <w:pStyle w:val="766"/>
              <w:rPr>
                <w:color w:val="auto"/>
              </w:rPr>
            </w:pPr>
            <w:r>
              <w:rPr>
                <w:color w:val="auto"/>
              </w:rPr>
              <w:t>油</w:t>
            </w:r>
          </w:p>
        </w:tc>
        <w:tc>
          <w:tcPr>
            <w:tcW w:w="2913" w:type="pct"/>
            <w:vAlign w:val="center"/>
          </w:tcPr>
          <w:p w14:paraId="35A7DE53">
            <w:pPr>
              <w:pStyle w:val="766"/>
              <w:rPr>
                <w:color w:val="auto"/>
              </w:rPr>
            </w:pPr>
            <w:r>
              <w:rPr>
                <w:color w:val="auto"/>
              </w:rPr>
              <w:t>柠檬醛、辛醛、王醛、十二醛、蒎烯、芳樟醛</w:t>
            </w:r>
          </w:p>
        </w:tc>
      </w:tr>
      <w:tr w14:paraId="6036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54EBA7E8">
            <w:pPr>
              <w:pStyle w:val="766"/>
              <w:rPr>
                <w:color w:val="auto"/>
              </w:rPr>
            </w:pPr>
            <w:r>
              <w:rPr>
                <w:color w:val="auto"/>
              </w:rPr>
              <w:t>九月香</w:t>
            </w:r>
          </w:p>
        </w:tc>
        <w:tc>
          <w:tcPr>
            <w:tcW w:w="889" w:type="pct"/>
            <w:vAlign w:val="center"/>
          </w:tcPr>
          <w:p w14:paraId="1D12783A">
            <w:pPr>
              <w:pStyle w:val="766"/>
              <w:rPr>
                <w:color w:val="auto"/>
              </w:rPr>
            </w:pPr>
            <w:r>
              <w:rPr>
                <w:color w:val="auto"/>
              </w:rPr>
              <w:t>汁</w:t>
            </w:r>
          </w:p>
        </w:tc>
        <w:tc>
          <w:tcPr>
            <w:tcW w:w="2913" w:type="pct"/>
            <w:vAlign w:val="center"/>
          </w:tcPr>
          <w:p w14:paraId="4A44252B">
            <w:pPr>
              <w:pStyle w:val="766"/>
              <w:rPr>
                <w:color w:val="auto"/>
              </w:rPr>
            </w:pPr>
            <w:r>
              <w:rPr>
                <w:color w:val="auto"/>
              </w:rPr>
              <w:t>水芹烯、蒎烯、松油醇</w:t>
            </w:r>
          </w:p>
        </w:tc>
      </w:tr>
      <w:tr w14:paraId="3AAD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7356AFE2">
            <w:pPr>
              <w:pStyle w:val="766"/>
              <w:rPr>
                <w:color w:val="auto"/>
              </w:rPr>
            </w:pPr>
            <w:r>
              <w:rPr>
                <w:color w:val="auto"/>
              </w:rPr>
              <w:t>月桂</w:t>
            </w:r>
          </w:p>
        </w:tc>
        <w:tc>
          <w:tcPr>
            <w:tcW w:w="889" w:type="pct"/>
            <w:vAlign w:val="center"/>
          </w:tcPr>
          <w:p w14:paraId="44848BDA">
            <w:pPr>
              <w:pStyle w:val="766"/>
              <w:rPr>
                <w:color w:val="auto"/>
              </w:rPr>
            </w:pPr>
            <w:r>
              <w:rPr>
                <w:color w:val="auto"/>
              </w:rPr>
              <w:t>油</w:t>
            </w:r>
          </w:p>
        </w:tc>
        <w:tc>
          <w:tcPr>
            <w:tcW w:w="2913" w:type="pct"/>
            <w:vAlign w:val="center"/>
          </w:tcPr>
          <w:p w14:paraId="6B398190">
            <w:pPr>
              <w:pStyle w:val="766"/>
              <w:rPr>
                <w:color w:val="auto"/>
              </w:rPr>
            </w:pPr>
            <w:r>
              <w:rPr>
                <w:color w:val="auto"/>
              </w:rPr>
              <w:t>桉叶素、芳樟醇、松油醇、月桂烯</w:t>
            </w:r>
          </w:p>
        </w:tc>
      </w:tr>
      <w:tr w14:paraId="32E9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14803DE1">
            <w:pPr>
              <w:pStyle w:val="766"/>
              <w:rPr>
                <w:color w:val="auto"/>
              </w:rPr>
            </w:pPr>
            <w:r>
              <w:rPr>
                <w:color w:val="auto"/>
              </w:rPr>
              <w:t>水仙</w:t>
            </w:r>
          </w:p>
        </w:tc>
        <w:tc>
          <w:tcPr>
            <w:tcW w:w="889" w:type="pct"/>
            <w:vAlign w:val="center"/>
          </w:tcPr>
          <w:p w14:paraId="5699CC16">
            <w:pPr>
              <w:pStyle w:val="766"/>
              <w:rPr>
                <w:color w:val="auto"/>
              </w:rPr>
            </w:pPr>
            <w:r>
              <w:rPr>
                <w:color w:val="auto"/>
              </w:rPr>
              <w:t>汁</w:t>
            </w:r>
          </w:p>
        </w:tc>
        <w:tc>
          <w:tcPr>
            <w:tcW w:w="2913" w:type="pct"/>
            <w:vAlign w:val="center"/>
          </w:tcPr>
          <w:p w14:paraId="12B11AA9">
            <w:pPr>
              <w:pStyle w:val="766"/>
              <w:rPr>
                <w:color w:val="auto"/>
              </w:rPr>
            </w:pPr>
            <w:r>
              <w:rPr>
                <w:color w:val="auto"/>
              </w:rPr>
              <w:t>丁香酚、苯甲醛、苯甲酸甲酯、茉莉酮、香叶醇</w:t>
            </w:r>
          </w:p>
        </w:tc>
      </w:tr>
      <w:tr w14:paraId="6816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0BE69DBD">
            <w:pPr>
              <w:pStyle w:val="766"/>
              <w:rPr>
                <w:color w:val="auto"/>
              </w:rPr>
            </w:pPr>
            <w:r>
              <w:rPr>
                <w:color w:val="auto"/>
              </w:rPr>
              <w:t>冬青</w:t>
            </w:r>
          </w:p>
        </w:tc>
        <w:tc>
          <w:tcPr>
            <w:tcW w:w="889" w:type="pct"/>
            <w:vAlign w:val="center"/>
          </w:tcPr>
          <w:p w14:paraId="33C03800">
            <w:pPr>
              <w:pStyle w:val="766"/>
              <w:rPr>
                <w:color w:val="auto"/>
              </w:rPr>
            </w:pPr>
            <w:r>
              <w:rPr>
                <w:color w:val="auto"/>
              </w:rPr>
              <w:t>油</w:t>
            </w:r>
          </w:p>
        </w:tc>
        <w:tc>
          <w:tcPr>
            <w:tcW w:w="2913" w:type="pct"/>
            <w:vAlign w:val="center"/>
          </w:tcPr>
          <w:p w14:paraId="4F50B535">
            <w:pPr>
              <w:pStyle w:val="766"/>
              <w:rPr>
                <w:color w:val="auto"/>
              </w:rPr>
            </w:pPr>
            <w:r>
              <w:rPr>
                <w:color w:val="auto"/>
              </w:rPr>
              <w:t>水杨酸甲酯</w:t>
            </w:r>
          </w:p>
        </w:tc>
      </w:tr>
      <w:tr w14:paraId="5EF1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37019DFF">
            <w:pPr>
              <w:pStyle w:val="766"/>
              <w:rPr>
                <w:color w:val="auto"/>
              </w:rPr>
            </w:pPr>
            <w:r>
              <w:rPr>
                <w:color w:val="auto"/>
              </w:rPr>
              <w:t>松针</w:t>
            </w:r>
          </w:p>
        </w:tc>
        <w:tc>
          <w:tcPr>
            <w:tcW w:w="889" w:type="pct"/>
            <w:vAlign w:val="center"/>
          </w:tcPr>
          <w:p w14:paraId="5C93AD55">
            <w:pPr>
              <w:pStyle w:val="766"/>
              <w:rPr>
                <w:color w:val="auto"/>
              </w:rPr>
            </w:pPr>
            <w:r>
              <w:rPr>
                <w:color w:val="auto"/>
              </w:rPr>
              <w:t>油</w:t>
            </w:r>
          </w:p>
        </w:tc>
        <w:tc>
          <w:tcPr>
            <w:tcW w:w="2913" w:type="pct"/>
            <w:vAlign w:val="center"/>
          </w:tcPr>
          <w:p w14:paraId="24A54A17">
            <w:pPr>
              <w:pStyle w:val="766"/>
              <w:rPr>
                <w:color w:val="auto"/>
              </w:rPr>
            </w:pPr>
            <w:r>
              <w:rPr>
                <w:color w:val="auto"/>
              </w:rPr>
              <w:t>月桂烯、水芹菜、莰烯、葵酝醛、十二醛</w:t>
            </w:r>
          </w:p>
        </w:tc>
      </w:tr>
      <w:tr w14:paraId="7FB6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8" w:type="pct"/>
            <w:vAlign w:val="center"/>
          </w:tcPr>
          <w:p w14:paraId="55B41963">
            <w:pPr>
              <w:pStyle w:val="766"/>
              <w:rPr>
                <w:color w:val="auto"/>
              </w:rPr>
            </w:pPr>
            <w:r>
              <w:rPr>
                <w:color w:val="auto"/>
              </w:rPr>
              <w:t>檀木</w:t>
            </w:r>
          </w:p>
        </w:tc>
        <w:tc>
          <w:tcPr>
            <w:tcW w:w="889" w:type="pct"/>
            <w:vAlign w:val="center"/>
          </w:tcPr>
          <w:p w14:paraId="4E5F7BB1">
            <w:pPr>
              <w:pStyle w:val="766"/>
              <w:rPr>
                <w:color w:val="auto"/>
              </w:rPr>
            </w:pPr>
            <w:r>
              <w:rPr>
                <w:color w:val="auto"/>
              </w:rPr>
              <w:t>油</w:t>
            </w:r>
          </w:p>
        </w:tc>
        <w:tc>
          <w:tcPr>
            <w:tcW w:w="2913" w:type="pct"/>
            <w:vAlign w:val="center"/>
          </w:tcPr>
          <w:p w14:paraId="5D92C01E">
            <w:pPr>
              <w:pStyle w:val="766"/>
              <w:rPr>
                <w:color w:val="auto"/>
              </w:rPr>
            </w:pPr>
            <w:r>
              <w:rPr>
                <w:color w:val="auto"/>
              </w:rPr>
              <w:t>α-檀香醇、β-檀香烯、β-檀香醇、α-檀香烯</w:t>
            </w:r>
          </w:p>
        </w:tc>
      </w:tr>
    </w:tbl>
    <w:p w14:paraId="67E008D1">
      <w:pPr>
        <w:ind w:firstLine="480"/>
      </w:pPr>
      <w:r>
        <w:t>除臭剂除臭原理：</w:t>
      </w:r>
    </w:p>
    <w:p w14:paraId="6F998C23">
      <w:pPr>
        <w:pStyle w:val="76"/>
        <w:spacing w:before="0" w:beforeAutospacing="0" w:after="0" w:afterAutospacing="0"/>
        <w:ind w:firstLine="480"/>
        <w:rPr>
          <w:rFonts w:ascii="Times New Roman"/>
        </w:rPr>
      </w:pPr>
      <w:r>
        <w:rPr>
          <w:rFonts w:ascii="Times New Roman"/>
        </w:rPr>
        <w:t>植物液除臭过程是很复杂的，本项目使用的除臭剂基本原理是通过分子间力的作用结合后气相溶解，然后发生化学、生化反应等一系列反应。分子间力的作用，主要有:范德华力；耦合力；化学反应力；吸引力等。通过分子间力的相互作用，使臭气分子同植物提取物结合，进而达到除臭的目的。国外科学家Urabe等分析了蒲公英、多刺蓟、低纹竹子及马尾草4种野草对甲硫醇的处理效果，其去除率分别高达97.5%、90.2%、93.7%、98.3%；此外，Ishimaru从豆科中的槐树、桑树、薇甘菊、珍珠草、百粉藤、鬼针草等30种植物中提取有效植物液成分，对甲醛、乙酸、胺、硫化氢等混合气体的处理效果，可达95%~97%。植物提取液与异味分子可发生如下几类反应：</w:t>
      </w:r>
    </w:p>
    <w:p w14:paraId="758435B7">
      <w:pPr>
        <w:pStyle w:val="76"/>
        <w:spacing w:before="0" w:beforeAutospacing="0" w:after="0" w:afterAutospacing="0"/>
        <w:ind w:firstLine="480"/>
        <w:rPr>
          <w:rFonts w:ascii="Times New Roman"/>
        </w:rPr>
      </w:pPr>
      <w:r>
        <w:rPr>
          <w:rFonts w:hint="eastAsia" w:hAnsi="宋体" w:cs="宋体"/>
        </w:rPr>
        <w:t>①</w:t>
      </w:r>
      <w:r>
        <w:rPr>
          <w:rFonts w:ascii="Times New Roman"/>
        </w:rPr>
        <w:t>催化氧化反应</w:t>
      </w:r>
    </w:p>
    <w:p w14:paraId="4E1EA105">
      <w:pPr>
        <w:pStyle w:val="76"/>
        <w:spacing w:before="0" w:beforeAutospacing="0" w:after="0" w:afterAutospacing="0"/>
        <w:ind w:firstLine="480"/>
        <w:rPr>
          <w:rFonts w:ascii="Times New Roman"/>
        </w:rPr>
      </w:pPr>
      <w:r>
        <w:rPr>
          <w:rFonts w:ascii="Times New Roman"/>
        </w:rPr>
        <w:t>一般情况下硫化氢不能与空气中的氧进行氧化反应，但在植物提取液所含有效成分的催化作反应，硫化氢则可与空气中的氧发生反应。</w:t>
      </w:r>
    </w:p>
    <w:p w14:paraId="338606E6">
      <w:pPr>
        <w:pStyle w:val="76"/>
        <w:spacing w:before="0" w:beforeAutospacing="0" w:after="0" w:afterAutospacing="0"/>
        <w:ind w:firstLine="480"/>
        <w:rPr>
          <w:rFonts w:ascii="Times New Roman"/>
        </w:rPr>
      </w:pPr>
      <w:r>
        <w:rPr>
          <w:rFonts w:hint="eastAsia" w:hAnsi="宋体" w:cs="宋体"/>
        </w:rPr>
        <w:t>②</w:t>
      </w:r>
      <w:r>
        <w:rPr>
          <w:rFonts w:ascii="Times New Roman"/>
        </w:rPr>
        <w:t>路易斯酸碱反应</w:t>
      </w:r>
    </w:p>
    <w:p w14:paraId="55303344">
      <w:pPr>
        <w:pStyle w:val="76"/>
        <w:spacing w:before="0" w:beforeAutospacing="0" w:after="0" w:afterAutospacing="0"/>
        <w:ind w:firstLine="480"/>
        <w:rPr>
          <w:rFonts w:ascii="Times New Roman"/>
        </w:rPr>
      </w:pPr>
      <w:r>
        <w:rPr>
          <w:rFonts w:ascii="Times New Roman"/>
        </w:rPr>
        <w:t>苯硫醚与植物提取液的反应就属于这一类。苯硫醚是一种路易斯酸，植物液中的含氮化合物属路易斯碱，两者可以反应，从而可以进行路易斯酸碱反应。同样机理也适用于不同的烃类物质。</w:t>
      </w:r>
    </w:p>
    <w:p w14:paraId="21447334">
      <w:pPr>
        <w:pStyle w:val="76"/>
        <w:spacing w:before="0" w:beforeAutospacing="0" w:after="0" w:afterAutospacing="0"/>
        <w:ind w:firstLine="480"/>
        <w:rPr>
          <w:rFonts w:ascii="Times New Roman"/>
        </w:rPr>
      </w:pPr>
      <w:r>
        <w:rPr>
          <w:rFonts w:hint="eastAsia" w:hAnsi="宋体" w:cs="宋体"/>
        </w:rPr>
        <w:t>③</w:t>
      </w:r>
      <w:r>
        <w:rPr>
          <w:rFonts w:ascii="Times New Roman"/>
        </w:rPr>
        <w:t>热力学分析</w:t>
      </w:r>
    </w:p>
    <w:p w14:paraId="2DA7F7F2">
      <w:pPr>
        <w:pStyle w:val="76"/>
        <w:spacing w:before="0" w:beforeAutospacing="0" w:after="0" w:afterAutospacing="0"/>
        <w:ind w:firstLine="480"/>
        <w:rPr>
          <w:rFonts w:ascii="Times New Roman"/>
        </w:rPr>
      </w:pPr>
      <w:r>
        <w:rPr>
          <w:rFonts w:ascii="Times New Roman"/>
        </w:rPr>
        <w:t>经过雾化的植物提取液液滴直径≤0.04mm，液滴的表面能已达到一些有机化合物键能的1/3或1/2，在这种情况下足以破坏臭气分子中的键，使它们不稳定，易分解。</w:t>
      </w:r>
    </w:p>
    <w:p w14:paraId="4492041F">
      <w:pPr>
        <w:pStyle w:val="76"/>
        <w:spacing w:before="0" w:beforeAutospacing="0" w:after="0" w:afterAutospacing="0"/>
        <w:ind w:firstLine="480"/>
        <w:rPr>
          <w:rFonts w:ascii="Times New Roman"/>
        </w:rPr>
      </w:pPr>
      <w:r>
        <w:rPr>
          <w:rFonts w:hint="eastAsia" w:hAnsi="宋体" w:cs="宋体"/>
        </w:rPr>
        <w:t>④</w:t>
      </w:r>
      <w:r>
        <w:rPr>
          <w:rFonts w:ascii="Times New Roman"/>
        </w:rPr>
        <w:t>吸附溶解</w:t>
      </w:r>
    </w:p>
    <w:p w14:paraId="3B705BD2">
      <w:pPr>
        <w:pStyle w:val="76"/>
        <w:spacing w:before="0" w:beforeAutospacing="0" w:after="0" w:afterAutospacing="0"/>
        <w:ind w:firstLine="480"/>
        <w:rPr>
          <w:rFonts w:ascii="Times New Roman"/>
        </w:rPr>
      </w:pPr>
      <w:r>
        <w:rPr>
          <w:rFonts w:ascii="Times New Roman"/>
        </w:rPr>
        <w:t>植物液中的一些糖类可吸附并溶解臭气中的异味分子</w:t>
      </w:r>
    </w:p>
    <w:p w14:paraId="63F1D1AC">
      <w:pPr>
        <w:pStyle w:val="76"/>
        <w:spacing w:before="0" w:beforeAutospacing="0" w:after="0" w:afterAutospacing="0"/>
        <w:ind w:firstLine="480"/>
        <w:rPr>
          <w:rFonts w:ascii="Times New Roman"/>
        </w:rPr>
      </w:pPr>
      <w:r>
        <w:rPr>
          <w:rFonts w:hint="eastAsia" w:hAnsi="宋体" w:cs="宋体"/>
        </w:rPr>
        <w:t>⑤</w:t>
      </w:r>
      <w:r>
        <w:rPr>
          <w:rFonts w:ascii="Times New Roman"/>
        </w:rPr>
        <w:t>酯化反应</w:t>
      </w:r>
    </w:p>
    <w:p w14:paraId="46A7D434">
      <w:pPr>
        <w:pStyle w:val="76"/>
        <w:spacing w:before="0" w:beforeAutospacing="0" w:after="0" w:afterAutospacing="0"/>
        <w:ind w:firstLine="480"/>
        <w:rPr>
          <w:rFonts w:ascii="Times New Roman"/>
        </w:rPr>
      </w:pPr>
      <w:r>
        <w:rPr>
          <w:rFonts w:ascii="Times New Roman"/>
        </w:rPr>
        <w:t>植物液中的单宁类物质可以同异味分子发生酯化或酯交换反应，从而去除异味或生成具有芳香的物质。</w:t>
      </w:r>
    </w:p>
    <w:p w14:paraId="72A0671F">
      <w:pPr>
        <w:ind w:firstLine="482"/>
        <w:rPr>
          <w:b/>
          <w:bCs/>
        </w:rPr>
      </w:pPr>
      <w:r>
        <w:rPr>
          <w:b/>
          <w:bCs/>
        </w:rPr>
        <w:t>2）复方酚溶液</w:t>
      </w:r>
    </w:p>
    <w:p w14:paraId="4CC4FF7C">
      <w:pPr>
        <w:ind w:firstLine="480"/>
      </w:pPr>
      <w:r>
        <w:t>主要成分为邻苯基苯酚和对氯间甲酚，具体规格为100g复方酚溶液中含有12g邻苯基苯酚及12g对氯间甲酚，使用时需稀释后喷雾，主要用于动物圈舍表面、器具、设备的消毒。</w:t>
      </w:r>
    </w:p>
    <w:p w14:paraId="6DE03872">
      <w:pPr>
        <w:ind w:firstLine="482"/>
        <w:rPr>
          <w:b/>
          <w:bCs/>
        </w:rPr>
      </w:pPr>
      <w:r>
        <w:rPr>
          <w:b/>
          <w:bCs/>
        </w:rPr>
        <w:t>3）碘伏</w:t>
      </w:r>
    </w:p>
    <w:p w14:paraId="6172CBFD">
      <w:pPr>
        <w:ind w:firstLine="480"/>
      </w:pPr>
      <w:r>
        <w:t>红色粘稠液体，主要成分为碘、碘化钾、磷酸、硫酸、表面活化剂，使用时需配置成0.5%~1%溶液，常用于手术部位和手术器械消毒，为消毒防腐药。碘具有强大的消毒作用，可杀灭细菌芽孢、真菌、病毒、原虫。碘主要以分子（I</w:t>
      </w:r>
      <w:r>
        <w:rPr>
          <w:vertAlign w:val="subscript"/>
        </w:rPr>
        <w:t>2</w:t>
      </w:r>
      <w:r>
        <w:t>）形式发挥作用，其原理可能是碘化和氧化病原微生物蛋白活性基因，并与蛋白的氨基结合而导致蛋白变性和抑制病原微生物的代谢酶系统。碘在酸性条件下，有力碘增多，杀菌作用强。</w:t>
      </w:r>
    </w:p>
    <w:bookmarkEnd w:id="170"/>
    <w:p w14:paraId="28D86302">
      <w:pPr>
        <w:pStyle w:val="11"/>
      </w:pPr>
      <w:bookmarkStart w:id="172" w:name="_Toc166572265"/>
      <w:r>
        <w:t>3.1.</w:t>
      </w:r>
      <w:r>
        <w:rPr>
          <w:rFonts w:hint="eastAsia"/>
        </w:rPr>
        <w:t>4</w:t>
      </w:r>
      <w:r>
        <w:t>生产设备情况</w:t>
      </w:r>
      <w:bookmarkEnd w:id="172"/>
    </w:p>
    <w:p w14:paraId="463E1622">
      <w:pPr>
        <w:pStyle w:val="105"/>
        <w:ind w:firstLine="480"/>
        <w:rPr>
          <w:b/>
        </w:rPr>
      </w:pPr>
      <w:r>
        <w:t>项目各组成部分分区生产设备见表3.1-</w:t>
      </w:r>
      <w:r>
        <w:rPr>
          <w:rFonts w:hint="eastAsia"/>
        </w:rPr>
        <w:t>7</w:t>
      </w:r>
      <w:r>
        <w:t>。</w:t>
      </w:r>
    </w:p>
    <w:p w14:paraId="68514158">
      <w:pPr>
        <w:pStyle w:val="743"/>
        <w:rPr>
          <w:rFonts w:cs="Times New Roman"/>
        </w:rPr>
      </w:pPr>
      <w:r>
        <w:rPr>
          <w:rFonts w:cs="Times New Roman"/>
        </w:rPr>
        <w:t>表3.1-</w:t>
      </w:r>
      <w:r>
        <w:rPr>
          <w:rFonts w:hint="eastAsia" w:cs="Times New Roman"/>
        </w:rPr>
        <w:t>7</w:t>
      </w:r>
      <w:r>
        <w:rPr>
          <w:rFonts w:cs="Times New Roman"/>
        </w:rPr>
        <w:t>主要生产设备一览表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2972"/>
        <w:gridCol w:w="1909"/>
        <w:gridCol w:w="1555"/>
        <w:gridCol w:w="1856"/>
      </w:tblGrid>
      <w:tr w14:paraId="6D2E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tcPr>
          <w:p w14:paraId="2C6D1D31">
            <w:pPr>
              <w:pStyle w:val="766"/>
              <w:rPr>
                <w:color w:val="auto"/>
              </w:rPr>
            </w:pPr>
            <w:r>
              <w:rPr>
                <w:color w:val="auto"/>
              </w:rPr>
              <w:t>序号</w:t>
            </w:r>
          </w:p>
        </w:tc>
        <w:tc>
          <w:tcPr>
            <w:tcW w:w="1600" w:type="pct"/>
          </w:tcPr>
          <w:p w14:paraId="790D18B9">
            <w:pPr>
              <w:pStyle w:val="766"/>
              <w:rPr>
                <w:color w:val="auto"/>
              </w:rPr>
            </w:pPr>
            <w:r>
              <w:rPr>
                <w:color w:val="auto"/>
              </w:rPr>
              <w:t>名称</w:t>
            </w:r>
          </w:p>
        </w:tc>
        <w:tc>
          <w:tcPr>
            <w:tcW w:w="1028" w:type="pct"/>
          </w:tcPr>
          <w:p w14:paraId="4F2593BC">
            <w:pPr>
              <w:pStyle w:val="766"/>
              <w:rPr>
                <w:color w:val="auto"/>
              </w:rPr>
            </w:pPr>
            <w:r>
              <w:rPr>
                <w:color w:val="auto"/>
              </w:rPr>
              <w:t>规格</w:t>
            </w:r>
          </w:p>
        </w:tc>
        <w:tc>
          <w:tcPr>
            <w:tcW w:w="837" w:type="pct"/>
          </w:tcPr>
          <w:p w14:paraId="335386A2">
            <w:pPr>
              <w:pStyle w:val="766"/>
              <w:rPr>
                <w:color w:val="auto"/>
              </w:rPr>
            </w:pPr>
            <w:r>
              <w:rPr>
                <w:color w:val="auto"/>
              </w:rPr>
              <w:t>单位</w:t>
            </w:r>
          </w:p>
        </w:tc>
        <w:tc>
          <w:tcPr>
            <w:tcW w:w="997" w:type="pct"/>
          </w:tcPr>
          <w:p w14:paraId="0D95F92C">
            <w:pPr>
              <w:pStyle w:val="766"/>
              <w:rPr>
                <w:color w:val="auto"/>
              </w:rPr>
            </w:pPr>
            <w:r>
              <w:rPr>
                <w:color w:val="auto"/>
              </w:rPr>
              <w:t>数量</w:t>
            </w:r>
          </w:p>
        </w:tc>
      </w:tr>
      <w:tr w14:paraId="18BD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6E09D814">
            <w:pPr>
              <w:pStyle w:val="766"/>
              <w:rPr>
                <w:color w:val="auto"/>
              </w:rPr>
            </w:pPr>
            <w:r>
              <w:rPr>
                <w:color w:val="auto"/>
                <w:lang w:bidi="ar"/>
              </w:rPr>
              <w:t>育雏育成养殖</w:t>
            </w:r>
            <w:r>
              <w:rPr>
                <w:rFonts w:hint="eastAsia"/>
                <w:color w:val="auto"/>
                <w:lang w:bidi="ar"/>
              </w:rPr>
              <w:t>区</w:t>
            </w:r>
          </w:p>
        </w:tc>
      </w:tr>
      <w:tr w14:paraId="43F9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54EC4A49">
            <w:pPr>
              <w:pStyle w:val="766"/>
              <w:rPr>
                <w:color w:val="auto"/>
              </w:rPr>
            </w:pPr>
            <w:r>
              <w:rPr>
                <w:rFonts w:hint="eastAsia"/>
                <w:color w:val="auto"/>
              </w:rPr>
              <w:t>1</w:t>
            </w:r>
            <w:r>
              <w:rPr>
                <w:color w:val="auto"/>
              </w:rPr>
              <w:t>.1</w:t>
            </w:r>
          </w:p>
        </w:tc>
        <w:tc>
          <w:tcPr>
            <w:tcW w:w="1600" w:type="pct"/>
            <w:vAlign w:val="center"/>
          </w:tcPr>
          <w:p w14:paraId="79105498">
            <w:pPr>
              <w:pStyle w:val="766"/>
              <w:rPr>
                <w:color w:val="auto"/>
              </w:rPr>
            </w:pPr>
            <w:r>
              <w:rPr>
                <w:color w:val="auto"/>
                <w:lang w:bidi="ar"/>
              </w:rPr>
              <w:t>笼架系统</w:t>
            </w:r>
          </w:p>
        </w:tc>
        <w:tc>
          <w:tcPr>
            <w:tcW w:w="1028" w:type="pct"/>
          </w:tcPr>
          <w:p w14:paraId="6403E5C6">
            <w:pPr>
              <w:pStyle w:val="766"/>
              <w:rPr>
                <w:b/>
                <w:bCs/>
                <w:color w:val="auto"/>
              </w:rPr>
            </w:pPr>
            <w:r>
              <w:rPr>
                <w:rFonts w:hint="eastAsia"/>
                <w:color w:val="auto"/>
              </w:rPr>
              <w:t>/</w:t>
            </w:r>
          </w:p>
        </w:tc>
        <w:tc>
          <w:tcPr>
            <w:tcW w:w="837" w:type="pct"/>
          </w:tcPr>
          <w:p w14:paraId="59B595E2">
            <w:pPr>
              <w:pStyle w:val="766"/>
              <w:rPr>
                <w:b/>
                <w:bCs/>
                <w:color w:val="auto"/>
              </w:rPr>
            </w:pPr>
            <w:r>
              <w:rPr>
                <w:rFonts w:hint="eastAsia"/>
                <w:color w:val="auto"/>
              </w:rPr>
              <w:t>套</w:t>
            </w:r>
          </w:p>
        </w:tc>
        <w:tc>
          <w:tcPr>
            <w:tcW w:w="997" w:type="pct"/>
            <w:vAlign w:val="center"/>
          </w:tcPr>
          <w:p w14:paraId="0722971D">
            <w:pPr>
              <w:pStyle w:val="766"/>
              <w:rPr>
                <w:color w:val="auto"/>
              </w:rPr>
            </w:pPr>
            <w:r>
              <w:rPr>
                <w:color w:val="auto"/>
                <w:lang w:bidi="ar"/>
              </w:rPr>
              <w:t>6</w:t>
            </w:r>
          </w:p>
        </w:tc>
      </w:tr>
      <w:tr w14:paraId="4A35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5801AFD9">
            <w:pPr>
              <w:pStyle w:val="766"/>
              <w:rPr>
                <w:color w:val="auto"/>
              </w:rPr>
            </w:pPr>
            <w:r>
              <w:rPr>
                <w:color w:val="auto"/>
              </w:rPr>
              <w:t>1.</w:t>
            </w:r>
            <w:r>
              <w:rPr>
                <w:rFonts w:hint="eastAsia"/>
                <w:color w:val="auto"/>
              </w:rPr>
              <w:t>2</w:t>
            </w:r>
          </w:p>
        </w:tc>
        <w:tc>
          <w:tcPr>
            <w:tcW w:w="1600" w:type="pct"/>
            <w:vAlign w:val="center"/>
          </w:tcPr>
          <w:p w14:paraId="7DF27BB5">
            <w:pPr>
              <w:pStyle w:val="766"/>
              <w:rPr>
                <w:color w:val="auto"/>
              </w:rPr>
            </w:pPr>
            <w:r>
              <w:rPr>
                <w:color w:val="auto"/>
                <w:lang w:bidi="ar"/>
              </w:rPr>
              <w:t>喂料系统</w:t>
            </w:r>
          </w:p>
        </w:tc>
        <w:tc>
          <w:tcPr>
            <w:tcW w:w="1028" w:type="pct"/>
          </w:tcPr>
          <w:p w14:paraId="0215CEC8">
            <w:pPr>
              <w:pStyle w:val="766"/>
              <w:rPr>
                <w:b/>
                <w:bCs/>
                <w:color w:val="auto"/>
              </w:rPr>
            </w:pPr>
            <w:r>
              <w:rPr>
                <w:rFonts w:hint="eastAsia"/>
                <w:color w:val="auto"/>
              </w:rPr>
              <w:t>/</w:t>
            </w:r>
          </w:p>
        </w:tc>
        <w:tc>
          <w:tcPr>
            <w:tcW w:w="837" w:type="pct"/>
          </w:tcPr>
          <w:p w14:paraId="7B758E39">
            <w:pPr>
              <w:pStyle w:val="766"/>
              <w:rPr>
                <w:b/>
                <w:bCs/>
                <w:color w:val="auto"/>
              </w:rPr>
            </w:pPr>
            <w:r>
              <w:rPr>
                <w:rFonts w:hint="eastAsia"/>
                <w:color w:val="auto"/>
              </w:rPr>
              <w:t>套</w:t>
            </w:r>
          </w:p>
        </w:tc>
        <w:tc>
          <w:tcPr>
            <w:tcW w:w="997" w:type="pct"/>
            <w:vAlign w:val="center"/>
          </w:tcPr>
          <w:p w14:paraId="2669DF41">
            <w:pPr>
              <w:pStyle w:val="766"/>
              <w:rPr>
                <w:color w:val="auto"/>
              </w:rPr>
            </w:pPr>
            <w:r>
              <w:rPr>
                <w:color w:val="auto"/>
                <w:lang w:bidi="ar"/>
              </w:rPr>
              <w:t>6</w:t>
            </w:r>
          </w:p>
        </w:tc>
      </w:tr>
      <w:tr w14:paraId="2ECE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36" w:type="pct"/>
            <w:vAlign w:val="center"/>
          </w:tcPr>
          <w:p w14:paraId="01DEFF8C">
            <w:pPr>
              <w:pStyle w:val="766"/>
              <w:rPr>
                <w:color w:val="auto"/>
              </w:rPr>
            </w:pPr>
            <w:r>
              <w:rPr>
                <w:color w:val="auto"/>
              </w:rPr>
              <w:t>1.</w:t>
            </w:r>
            <w:r>
              <w:rPr>
                <w:rFonts w:hint="eastAsia"/>
                <w:color w:val="auto"/>
              </w:rPr>
              <w:t>3</w:t>
            </w:r>
          </w:p>
        </w:tc>
        <w:tc>
          <w:tcPr>
            <w:tcW w:w="1600" w:type="pct"/>
            <w:vAlign w:val="center"/>
          </w:tcPr>
          <w:p w14:paraId="21A4BCDF">
            <w:pPr>
              <w:pStyle w:val="766"/>
              <w:rPr>
                <w:color w:val="auto"/>
              </w:rPr>
            </w:pPr>
            <w:r>
              <w:rPr>
                <w:color w:val="auto"/>
                <w:lang w:bidi="ar"/>
              </w:rPr>
              <w:t>饮水系统</w:t>
            </w:r>
          </w:p>
        </w:tc>
        <w:tc>
          <w:tcPr>
            <w:tcW w:w="1028" w:type="pct"/>
          </w:tcPr>
          <w:p w14:paraId="5C24B10C">
            <w:pPr>
              <w:pStyle w:val="766"/>
              <w:rPr>
                <w:b/>
                <w:bCs/>
                <w:color w:val="auto"/>
              </w:rPr>
            </w:pPr>
            <w:r>
              <w:rPr>
                <w:rFonts w:hint="eastAsia"/>
                <w:color w:val="auto"/>
              </w:rPr>
              <w:t>/</w:t>
            </w:r>
          </w:p>
        </w:tc>
        <w:tc>
          <w:tcPr>
            <w:tcW w:w="837" w:type="pct"/>
          </w:tcPr>
          <w:p w14:paraId="29E12784">
            <w:pPr>
              <w:pStyle w:val="766"/>
              <w:rPr>
                <w:b/>
                <w:bCs/>
                <w:color w:val="auto"/>
              </w:rPr>
            </w:pPr>
            <w:r>
              <w:rPr>
                <w:rFonts w:hint="eastAsia"/>
                <w:color w:val="auto"/>
              </w:rPr>
              <w:t>套</w:t>
            </w:r>
          </w:p>
        </w:tc>
        <w:tc>
          <w:tcPr>
            <w:tcW w:w="997" w:type="pct"/>
            <w:vAlign w:val="center"/>
          </w:tcPr>
          <w:p w14:paraId="0F2C8B67">
            <w:pPr>
              <w:pStyle w:val="766"/>
              <w:rPr>
                <w:color w:val="auto"/>
              </w:rPr>
            </w:pPr>
            <w:r>
              <w:rPr>
                <w:color w:val="auto"/>
                <w:lang w:bidi="ar"/>
              </w:rPr>
              <w:t>6</w:t>
            </w:r>
          </w:p>
        </w:tc>
      </w:tr>
      <w:tr w14:paraId="2134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6" w:type="pct"/>
            <w:vAlign w:val="center"/>
          </w:tcPr>
          <w:p w14:paraId="11E86ABA">
            <w:pPr>
              <w:pStyle w:val="766"/>
              <w:rPr>
                <w:color w:val="auto"/>
              </w:rPr>
            </w:pPr>
            <w:r>
              <w:rPr>
                <w:color w:val="auto"/>
              </w:rPr>
              <w:t>1.</w:t>
            </w:r>
            <w:r>
              <w:rPr>
                <w:rFonts w:hint="eastAsia"/>
                <w:color w:val="auto"/>
              </w:rPr>
              <w:t>4</w:t>
            </w:r>
          </w:p>
        </w:tc>
        <w:tc>
          <w:tcPr>
            <w:tcW w:w="1600" w:type="pct"/>
            <w:vAlign w:val="center"/>
          </w:tcPr>
          <w:p w14:paraId="38386F61">
            <w:pPr>
              <w:pStyle w:val="766"/>
              <w:rPr>
                <w:color w:val="auto"/>
              </w:rPr>
            </w:pPr>
            <w:r>
              <w:rPr>
                <w:color w:val="auto"/>
                <w:lang w:bidi="ar"/>
              </w:rPr>
              <w:t>自动清粪系统</w:t>
            </w:r>
          </w:p>
        </w:tc>
        <w:tc>
          <w:tcPr>
            <w:tcW w:w="1028" w:type="pct"/>
          </w:tcPr>
          <w:p w14:paraId="2FF636BD">
            <w:pPr>
              <w:pStyle w:val="766"/>
              <w:rPr>
                <w:b/>
                <w:bCs/>
                <w:color w:val="auto"/>
              </w:rPr>
            </w:pPr>
            <w:r>
              <w:rPr>
                <w:rFonts w:hint="eastAsia"/>
                <w:color w:val="auto"/>
              </w:rPr>
              <w:t>/</w:t>
            </w:r>
          </w:p>
        </w:tc>
        <w:tc>
          <w:tcPr>
            <w:tcW w:w="837" w:type="pct"/>
          </w:tcPr>
          <w:p w14:paraId="5D72060C">
            <w:pPr>
              <w:pStyle w:val="766"/>
              <w:rPr>
                <w:b/>
                <w:bCs/>
                <w:color w:val="auto"/>
              </w:rPr>
            </w:pPr>
            <w:r>
              <w:rPr>
                <w:rFonts w:hint="eastAsia"/>
                <w:color w:val="auto"/>
              </w:rPr>
              <w:t>套</w:t>
            </w:r>
          </w:p>
        </w:tc>
        <w:tc>
          <w:tcPr>
            <w:tcW w:w="997" w:type="pct"/>
            <w:vAlign w:val="center"/>
          </w:tcPr>
          <w:p w14:paraId="76376B01">
            <w:pPr>
              <w:pStyle w:val="766"/>
              <w:rPr>
                <w:color w:val="auto"/>
              </w:rPr>
            </w:pPr>
            <w:r>
              <w:rPr>
                <w:color w:val="auto"/>
                <w:lang w:bidi="ar"/>
              </w:rPr>
              <w:t>6</w:t>
            </w:r>
          </w:p>
        </w:tc>
      </w:tr>
      <w:tr w14:paraId="64A4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0EAD2344">
            <w:pPr>
              <w:pStyle w:val="766"/>
              <w:rPr>
                <w:color w:val="auto"/>
              </w:rPr>
            </w:pPr>
            <w:r>
              <w:rPr>
                <w:color w:val="auto"/>
              </w:rPr>
              <w:t>1.</w:t>
            </w:r>
            <w:r>
              <w:rPr>
                <w:rFonts w:hint="eastAsia"/>
                <w:color w:val="auto"/>
              </w:rPr>
              <w:t>5</w:t>
            </w:r>
          </w:p>
        </w:tc>
        <w:tc>
          <w:tcPr>
            <w:tcW w:w="1600" w:type="pct"/>
            <w:vAlign w:val="center"/>
          </w:tcPr>
          <w:p w14:paraId="1B9F05F5">
            <w:pPr>
              <w:pStyle w:val="766"/>
              <w:rPr>
                <w:color w:val="auto"/>
              </w:rPr>
            </w:pPr>
            <w:r>
              <w:rPr>
                <w:color w:val="auto"/>
                <w:lang w:bidi="ar"/>
              </w:rPr>
              <w:t>照明系统</w:t>
            </w:r>
          </w:p>
        </w:tc>
        <w:tc>
          <w:tcPr>
            <w:tcW w:w="1028" w:type="pct"/>
          </w:tcPr>
          <w:p w14:paraId="78796AA5">
            <w:pPr>
              <w:pStyle w:val="766"/>
              <w:rPr>
                <w:b/>
                <w:bCs/>
                <w:color w:val="auto"/>
              </w:rPr>
            </w:pPr>
            <w:r>
              <w:rPr>
                <w:rFonts w:hint="eastAsia"/>
                <w:color w:val="auto"/>
              </w:rPr>
              <w:t>/</w:t>
            </w:r>
          </w:p>
        </w:tc>
        <w:tc>
          <w:tcPr>
            <w:tcW w:w="837" w:type="pct"/>
          </w:tcPr>
          <w:p w14:paraId="52CDD888">
            <w:pPr>
              <w:pStyle w:val="766"/>
              <w:rPr>
                <w:b/>
                <w:bCs/>
                <w:color w:val="auto"/>
              </w:rPr>
            </w:pPr>
            <w:r>
              <w:rPr>
                <w:rFonts w:hint="eastAsia"/>
                <w:color w:val="auto"/>
              </w:rPr>
              <w:t>套</w:t>
            </w:r>
          </w:p>
        </w:tc>
        <w:tc>
          <w:tcPr>
            <w:tcW w:w="997" w:type="pct"/>
            <w:vAlign w:val="center"/>
          </w:tcPr>
          <w:p w14:paraId="41C9D6B1">
            <w:pPr>
              <w:pStyle w:val="766"/>
              <w:rPr>
                <w:color w:val="auto"/>
              </w:rPr>
            </w:pPr>
            <w:r>
              <w:rPr>
                <w:color w:val="auto"/>
                <w:lang w:bidi="ar"/>
              </w:rPr>
              <w:t>6</w:t>
            </w:r>
          </w:p>
        </w:tc>
      </w:tr>
      <w:tr w14:paraId="77FE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4A605B08">
            <w:pPr>
              <w:pStyle w:val="766"/>
              <w:rPr>
                <w:color w:val="auto"/>
              </w:rPr>
            </w:pPr>
            <w:r>
              <w:rPr>
                <w:color w:val="auto"/>
              </w:rPr>
              <w:t>1.</w:t>
            </w:r>
            <w:r>
              <w:rPr>
                <w:rFonts w:hint="eastAsia"/>
                <w:color w:val="auto"/>
              </w:rPr>
              <w:t>6</w:t>
            </w:r>
          </w:p>
        </w:tc>
        <w:tc>
          <w:tcPr>
            <w:tcW w:w="1600" w:type="pct"/>
            <w:vAlign w:val="center"/>
          </w:tcPr>
          <w:p w14:paraId="55FA1930">
            <w:pPr>
              <w:pStyle w:val="766"/>
              <w:rPr>
                <w:color w:val="auto"/>
              </w:rPr>
            </w:pPr>
            <w:r>
              <w:rPr>
                <w:color w:val="auto"/>
                <w:lang w:bidi="ar"/>
              </w:rPr>
              <w:t>环控系统</w:t>
            </w:r>
          </w:p>
        </w:tc>
        <w:tc>
          <w:tcPr>
            <w:tcW w:w="1028" w:type="pct"/>
          </w:tcPr>
          <w:p w14:paraId="478D0D56">
            <w:pPr>
              <w:pStyle w:val="766"/>
              <w:rPr>
                <w:b/>
                <w:bCs/>
                <w:color w:val="auto"/>
              </w:rPr>
            </w:pPr>
            <w:r>
              <w:rPr>
                <w:rFonts w:hint="eastAsia"/>
                <w:color w:val="auto"/>
              </w:rPr>
              <w:t>/</w:t>
            </w:r>
          </w:p>
        </w:tc>
        <w:tc>
          <w:tcPr>
            <w:tcW w:w="837" w:type="pct"/>
          </w:tcPr>
          <w:p w14:paraId="27E67384">
            <w:pPr>
              <w:pStyle w:val="766"/>
              <w:rPr>
                <w:b/>
                <w:bCs/>
                <w:color w:val="auto"/>
              </w:rPr>
            </w:pPr>
            <w:r>
              <w:rPr>
                <w:rFonts w:hint="eastAsia"/>
                <w:color w:val="auto"/>
              </w:rPr>
              <w:t>套</w:t>
            </w:r>
          </w:p>
        </w:tc>
        <w:tc>
          <w:tcPr>
            <w:tcW w:w="997" w:type="pct"/>
            <w:vAlign w:val="center"/>
          </w:tcPr>
          <w:p w14:paraId="22C5E2BD">
            <w:pPr>
              <w:pStyle w:val="766"/>
              <w:rPr>
                <w:color w:val="auto"/>
              </w:rPr>
            </w:pPr>
            <w:r>
              <w:rPr>
                <w:color w:val="auto"/>
                <w:lang w:bidi="ar"/>
              </w:rPr>
              <w:t>6</w:t>
            </w:r>
          </w:p>
        </w:tc>
      </w:tr>
      <w:tr w14:paraId="2800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07210A27">
            <w:pPr>
              <w:pStyle w:val="766"/>
              <w:rPr>
                <w:color w:val="auto"/>
              </w:rPr>
            </w:pPr>
            <w:r>
              <w:rPr>
                <w:color w:val="auto"/>
              </w:rPr>
              <w:t>1.</w:t>
            </w:r>
            <w:r>
              <w:rPr>
                <w:rFonts w:hint="eastAsia"/>
                <w:color w:val="auto"/>
              </w:rPr>
              <w:t>7</w:t>
            </w:r>
          </w:p>
        </w:tc>
        <w:tc>
          <w:tcPr>
            <w:tcW w:w="1600" w:type="pct"/>
            <w:vAlign w:val="center"/>
          </w:tcPr>
          <w:p w14:paraId="50B9E572">
            <w:pPr>
              <w:pStyle w:val="766"/>
              <w:rPr>
                <w:color w:val="auto"/>
              </w:rPr>
            </w:pPr>
            <w:r>
              <w:rPr>
                <w:color w:val="auto"/>
                <w:lang w:bidi="ar"/>
              </w:rPr>
              <w:t>自动控制系统</w:t>
            </w:r>
          </w:p>
        </w:tc>
        <w:tc>
          <w:tcPr>
            <w:tcW w:w="1028" w:type="pct"/>
          </w:tcPr>
          <w:p w14:paraId="29CFAC36">
            <w:pPr>
              <w:pStyle w:val="766"/>
              <w:rPr>
                <w:b/>
                <w:bCs/>
                <w:color w:val="auto"/>
              </w:rPr>
            </w:pPr>
            <w:r>
              <w:rPr>
                <w:rFonts w:hint="eastAsia"/>
                <w:color w:val="auto"/>
              </w:rPr>
              <w:t>/</w:t>
            </w:r>
          </w:p>
        </w:tc>
        <w:tc>
          <w:tcPr>
            <w:tcW w:w="837" w:type="pct"/>
          </w:tcPr>
          <w:p w14:paraId="2321A1F4">
            <w:pPr>
              <w:pStyle w:val="766"/>
              <w:rPr>
                <w:b/>
                <w:bCs/>
                <w:color w:val="auto"/>
              </w:rPr>
            </w:pPr>
            <w:r>
              <w:rPr>
                <w:rFonts w:hint="eastAsia"/>
                <w:color w:val="auto"/>
              </w:rPr>
              <w:t>套</w:t>
            </w:r>
          </w:p>
        </w:tc>
        <w:tc>
          <w:tcPr>
            <w:tcW w:w="997" w:type="pct"/>
            <w:vAlign w:val="center"/>
          </w:tcPr>
          <w:p w14:paraId="34D940C6">
            <w:pPr>
              <w:pStyle w:val="766"/>
              <w:rPr>
                <w:color w:val="auto"/>
              </w:rPr>
            </w:pPr>
            <w:r>
              <w:rPr>
                <w:color w:val="auto"/>
                <w:lang w:bidi="ar"/>
              </w:rPr>
              <w:t>6</w:t>
            </w:r>
          </w:p>
        </w:tc>
      </w:tr>
      <w:tr w14:paraId="7AEC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43F17AD6">
            <w:pPr>
              <w:pStyle w:val="766"/>
              <w:rPr>
                <w:color w:val="auto"/>
              </w:rPr>
            </w:pPr>
            <w:r>
              <w:rPr>
                <w:color w:val="auto"/>
              </w:rPr>
              <w:t>1.</w:t>
            </w:r>
            <w:r>
              <w:rPr>
                <w:rFonts w:hint="eastAsia"/>
                <w:color w:val="auto"/>
              </w:rPr>
              <w:t>8</w:t>
            </w:r>
          </w:p>
        </w:tc>
        <w:tc>
          <w:tcPr>
            <w:tcW w:w="1600" w:type="pct"/>
            <w:vAlign w:val="center"/>
          </w:tcPr>
          <w:p w14:paraId="6170DD0D">
            <w:pPr>
              <w:pStyle w:val="766"/>
              <w:rPr>
                <w:color w:val="auto"/>
              </w:rPr>
            </w:pPr>
            <w:r>
              <w:rPr>
                <w:color w:val="auto"/>
                <w:lang w:bidi="ar"/>
              </w:rPr>
              <w:t>安装及其他</w:t>
            </w:r>
          </w:p>
        </w:tc>
        <w:tc>
          <w:tcPr>
            <w:tcW w:w="1028" w:type="pct"/>
          </w:tcPr>
          <w:p w14:paraId="5DC02D27">
            <w:pPr>
              <w:pStyle w:val="766"/>
              <w:rPr>
                <w:b/>
                <w:bCs/>
                <w:color w:val="auto"/>
              </w:rPr>
            </w:pPr>
            <w:r>
              <w:rPr>
                <w:rFonts w:hint="eastAsia"/>
                <w:color w:val="auto"/>
              </w:rPr>
              <w:t>/</w:t>
            </w:r>
          </w:p>
        </w:tc>
        <w:tc>
          <w:tcPr>
            <w:tcW w:w="837" w:type="pct"/>
          </w:tcPr>
          <w:p w14:paraId="4E7E8827">
            <w:pPr>
              <w:pStyle w:val="766"/>
              <w:rPr>
                <w:b/>
                <w:bCs/>
                <w:color w:val="auto"/>
              </w:rPr>
            </w:pPr>
            <w:r>
              <w:rPr>
                <w:rFonts w:hint="eastAsia"/>
                <w:color w:val="auto"/>
              </w:rPr>
              <w:t>套</w:t>
            </w:r>
          </w:p>
        </w:tc>
        <w:tc>
          <w:tcPr>
            <w:tcW w:w="997" w:type="pct"/>
            <w:vAlign w:val="center"/>
          </w:tcPr>
          <w:p w14:paraId="753B1CC8">
            <w:pPr>
              <w:pStyle w:val="766"/>
              <w:rPr>
                <w:color w:val="auto"/>
              </w:rPr>
            </w:pPr>
            <w:r>
              <w:rPr>
                <w:color w:val="auto"/>
                <w:lang w:bidi="ar"/>
              </w:rPr>
              <w:t>6</w:t>
            </w:r>
          </w:p>
        </w:tc>
      </w:tr>
      <w:tr w14:paraId="74BD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23961470">
            <w:pPr>
              <w:pStyle w:val="766"/>
              <w:rPr>
                <w:color w:val="auto"/>
              </w:rPr>
            </w:pPr>
            <w:r>
              <w:rPr>
                <w:color w:val="auto"/>
                <w:lang w:bidi="ar"/>
              </w:rPr>
              <w:t>蛋鸡养殖</w:t>
            </w:r>
            <w:r>
              <w:rPr>
                <w:rFonts w:hint="eastAsia"/>
                <w:color w:val="auto"/>
                <w:lang w:bidi="ar"/>
              </w:rPr>
              <w:t>区</w:t>
            </w:r>
          </w:p>
        </w:tc>
      </w:tr>
      <w:tr w14:paraId="59ED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11D970EC">
            <w:pPr>
              <w:pStyle w:val="766"/>
              <w:rPr>
                <w:color w:val="auto"/>
              </w:rPr>
            </w:pPr>
            <w:r>
              <w:rPr>
                <w:color w:val="auto"/>
              </w:rPr>
              <w:t>2.</w:t>
            </w:r>
            <w:r>
              <w:rPr>
                <w:rFonts w:hint="eastAsia"/>
                <w:color w:val="auto"/>
              </w:rPr>
              <w:t>1</w:t>
            </w:r>
          </w:p>
        </w:tc>
        <w:tc>
          <w:tcPr>
            <w:tcW w:w="1600" w:type="pct"/>
            <w:vAlign w:val="center"/>
          </w:tcPr>
          <w:p w14:paraId="4CD69F31">
            <w:pPr>
              <w:pStyle w:val="766"/>
              <w:rPr>
                <w:color w:val="auto"/>
              </w:rPr>
            </w:pPr>
            <w:r>
              <w:rPr>
                <w:color w:val="auto"/>
                <w:lang w:bidi="ar"/>
              </w:rPr>
              <w:t>笼架系统</w:t>
            </w:r>
          </w:p>
        </w:tc>
        <w:tc>
          <w:tcPr>
            <w:tcW w:w="1028" w:type="pct"/>
          </w:tcPr>
          <w:p w14:paraId="381A63D4">
            <w:pPr>
              <w:pStyle w:val="766"/>
              <w:rPr>
                <w:b/>
                <w:bCs/>
                <w:color w:val="auto"/>
              </w:rPr>
            </w:pPr>
            <w:r>
              <w:rPr>
                <w:rFonts w:hint="eastAsia"/>
                <w:color w:val="auto"/>
              </w:rPr>
              <w:t>/</w:t>
            </w:r>
          </w:p>
        </w:tc>
        <w:tc>
          <w:tcPr>
            <w:tcW w:w="837" w:type="pct"/>
          </w:tcPr>
          <w:p w14:paraId="5D8DE6AE">
            <w:pPr>
              <w:pStyle w:val="766"/>
              <w:rPr>
                <w:b/>
                <w:bCs/>
                <w:color w:val="auto"/>
              </w:rPr>
            </w:pPr>
            <w:r>
              <w:rPr>
                <w:rFonts w:hint="eastAsia"/>
                <w:color w:val="auto"/>
              </w:rPr>
              <w:t>套</w:t>
            </w:r>
          </w:p>
        </w:tc>
        <w:tc>
          <w:tcPr>
            <w:tcW w:w="997" w:type="pct"/>
            <w:vAlign w:val="center"/>
          </w:tcPr>
          <w:p w14:paraId="26BD85C8">
            <w:pPr>
              <w:pStyle w:val="766"/>
              <w:rPr>
                <w:color w:val="auto"/>
              </w:rPr>
            </w:pPr>
            <w:r>
              <w:rPr>
                <w:color w:val="auto"/>
                <w:lang w:bidi="ar"/>
              </w:rPr>
              <w:t>9</w:t>
            </w:r>
          </w:p>
        </w:tc>
      </w:tr>
      <w:tr w14:paraId="4DAC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10BAA349">
            <w:pPr>
              <w:pStyle w:val="766"/>
              <w:rPr>
                <w:color w:val="auto"/>
              </w:rPr>
            </w:pPr>
            <w:r>
              <w:rPr>
                <w:color w:val="auto"/>
              </w:rPr>
              <w:t>2.</w:t>
            </w:r>
            <w:r>
              <w:rPr>
                <w:rFonts w:hint="eastAsia"/>
                <w:color w:val="auto"/>
              </w:rPr>
              <w:t>2</w:t>
            </w:r>
          </w:p>
        </w:tc>
        <w:tc>
          <w:tcPr>
            <w:tcW w:w="1600" w:type="pct"/>
            <w:vAlign w:val="center"/>
          </w:tcPr>
          <w:p w14:paraId="2309BB5D">
            <w:pPr>
              <w:pStyle w:val="766"/>
              <w:rPr>
                <w:color w:val="auto"/>
              </w:rPr>
            </w:pPr>
            <w:r>
              <w:rPr>
                <w:color w:val="auto"/>
                <w:lang w:bidi="ar"/>
              </w:rPr>
              <w:t>喂料系统</w:t>
            </w:r>
          </w:p>
        </w:tc>
        <w:tc>
          <w:tcPr>
            <w:tcW w:w="1028" w:type="pct"/>
          </w:tcPr>
          <w:p w14:paraId="1A430C5D">
            <w:pPr>
              <w:pStyle w:val="766"/>
              <w:rPr>
                <w:b/>
                <w:bCs/>
                <w:color w:val="auto"/>
              </w:rPr>
            </w:pPr>
            <w:r>
              <w:rPr>
                <w:rFonts w:hint="eastAsia"/>
                <w:color w:val="auto"/>
              </w:rPr>
              <w:t>/</w:t>
            </w:r>
          </w:p>
        </w:tc>
        <w:tc>
          <w:tcPr>
            <w:tcW w:w="837" w:type="pct"/>
          </w:tcPr>
          <w:p w14:paraId="53EF72A2">
            <w:pPr>
              <w:pStyle w:val="766"/>
              <w:rPr>
                <w:b/>
                <w:bCs/>
                <w:color w:val="auto"/>
              </w:rPr>
            </w:pPr>
            <w:r>
              <w:rPr>
                <w:rFonts w:hint="eastAsia"/>
                <w:color w:val="auto"/>
              </w:rPr>
              <w:t>套</w:t>
            </w:r>
          </w:p>
        </w:tc>
        <w:tc>
          <w:tcPr>
            <w:tcW w:w="997" w:type="pct"/>
            <w:vAlign w:val="center"/>
          </w:tcPr>
          <w:p w14:paraId="6FADC3D3">
            <w:pPr>
              <w:pStyle w:val="766"/>
              <w:rPr>
                <w:color w:val="auto"/>
              </w:rPr>
            </w:pPr>
            <w:r>
              <w:rPr>
                <w:color w:val="auto"/>
                <w:lang w:bidi="ar"/>
              </w:rPr>
              <w:t>9</w:t>
            </w:r>
          </w:p>
        </w:tc>
      </w:tr>
      <w:tr w14:paraId="3E38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4AA95C52">
            <w:pPr>
              <w:pStyle w:val="766"/>
              <w:rPr>
                <w:color w:val="auto"/>
              </w:rPr>
            </w:pPr>
            <w:r>
              <w:rPr>
                <w:color w:val="auto"/>
              </w:rPr>
              <w:t>2.</w:t>
            </w:r>
            <w:r>
              <w:rPr>
                <w:rFonts w:hint="eastAsia"/>
                <w:color w:val="auto"/>
              </w:rPr>
              <w:t>3</w:t>
            </w:r>
          </w:p>
        </w:tc>
        <w:tc>
          <w:tcPr>
            <w:tcW w:w="1600" w:type="pct"/>
            <w:vAlign w:val="center"/>
          </w:tcPr>
          <w:p w14:paraId="671B57F6">
            <w:pPr>
              <w:pStyle w:val="766"/>
              <w:rPr>
                <w:color w:val="auto"/>
              </w:rPr>
            </w:pPr>
            <w:r>
              <w:rPr>
                <w:color w:val="auto"/>
                <w:lang w:bidi="ar"/>
              </w:rPr>
              <w:t>饮水系统</w:t>
            </w:r>
          </w:p>
        </w:tc>
        <w:tc>
          <w:tcPr>
            <w:tcW w:w="1028" w:type="pct"/>
          </w:tcPr>
          <w:p w14:paraId="67A035D5">
            <w:pPr>
              <w:pStyle w:val="766"/>
              <w:rPr>
                <w:b/>
                <w:bCs/>
                <w:color w:val="auto"/>
              </w:rPr>
            </w:pPr>
            <w:r>
              <w:rPr>
                <w:rFonts w:hint="eastAsia"/>
                <w:color w:val="auto"/>
              </w:rPr>
              <w:t>/</w:t>
            </w:r>
          </w:p>
        </w:tc>
        <w:tc>
          <w:tcPr>
            <w:tcW w:w="837" w:type="pct"/>
          </w:tcPr>
          <w:p w14:paraId="08CC70BD">
            <w:pPr>
              <w:pStyle w:val="766"/>
              <w:rPr>
                <w:b/>
                <w:bCs/>
                <w:color w:val="auto"/>
              </w:rPr>
            </w:pPr>
            <w:r>
              <w:rPr>
                <w:rFonts w:hint="eastAsia"/>
                <w:color w:val="auto"/>
              </w:rPr>
              <w:t>套</w:t>
            </w:r>
          </w:p>
        </w:tc>
        <w:tc>
          <w:tcPr>
            <w:tcW w:w="997" w:type="pct"/>
            <w:vAlign w:val="center"/>
          </w:tcPr>
          <w:p w14:paraId="0A5C842F">
            <w:pPr>
              <w:pStyle w:val="766"/>
              <w:rPr>
                <w:color w:val="auto"/>
              </w:rPr>
            </w:pPr>
            <w:r>
              <w:rPr>
                <w:color w:val="auto"/>
                <w:lang w:bidi="ar"/>
              </w:rPr>
              <w:t>9</w:t>
            </w:r>
          </w:p>
        </w:tc>
      </w:tr>
      <w:tr w14:paraId="41CB8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31FFBC52">
            <w:pPr>
              <w:pStyle w:val="766"/>
              <w:rPr>
                <w:color w:val="auto"/>
              </w:rPr>
            </w:pPr>
            <w:r>
              <w:rPr>
                <w:color w:val="auto"/>
              </w:rPr>
              <w:t>2.</w:t>
            </w:r>
            <w:r>
              <w:rPr>
                <w:rFonts w:hint="eastAsia"/>
                <w:color w:val="auto"/>
              </w:rPr>
              <w:t>4</w:t>
            </w:r>
          </w:p>
        </w:tc>
        <w:tc>
          <w:tcPr>
            <w:tcW w:w="1600" w:type="pct"/>
            <w:vAlign w:val="center"/>
          </w:tcPr>
          <w:p w14:paraId="4E6B4C25">
            <w:pPr>
              <w:pStyle w:val="766"/>
              <w:rPr>
                <w:color w:val="auto"/>
              </w:rPr>
            </w:pPr>
            <w:r>
              <w:rPr>
                <w:color w:val="auto"/>
                <w:lang w:bidi="ar"/>
              </w:rPr>
              <w:t>走道网架</w:t>
            </w:r>
          </w:p>
        </w:tc>
        <w:tc>
          <w:tcPr>
            <w:tcW w:w="1028" w:type="pct"/>
          </w:tcPr>
          <w:p w14:paraId="494253B5">
            <w:pPr>
              <w:pStyle w:val="766"/>
              <w:rPr>
                <w:b/>
                <w:bCs/>
                <w:color w:val="auto"/>
              </w:rPr>
            </w:pPr>
            <w:r>
              <w:rPr>
                <w:rFonts w:hint="eastAsia"/>
                <w:color w:val="auto"/>
              </w:rPr>
              <w:t>/</w:t>
            </w:r>
          </w:p>
        </w:tc>
        <w:tc>
          <w:tcPr>
            <w:tcW w:w="837" w:type="pct"/>
          </w:tcPr>
          <w:p w14:paraId="090AD788">
            <w:pPr>
              <w:pStyle w:val="766"/>
              <w:rPr>
                <w:b/>
                <w:bCs/>
                <w:color w:val="auto"/>
              </w:rPr>
            </w:pPr>
            <w:r>
              <w:rPr>
                <w:rFonts w:hint="eastAsia"/>
                <w:color w:val="auto"/>
              </w:rPr>
              <w:t>套</w:t>
            </w:r>
          </w:p>
        </w:tc>
        <w:tc>
          <w:tcPr>
            <w:tcW w:w="997" w:type="pct"/>
            <w:vAlign w:val="center"/>
          </w:tcPr>
          <w:p w14:paraId="3583582F">
            <w:pPr>
              <w:pStyle w:val="766"/>
              <w:rPr>
                <w:color w:val="auto"/>
              </w:rPr>
            </w:pPr>
            <w:r>
              <w:rPr>
                <w:color w:val="auto"/>
                <w:lang w:bidi="ar"/>
              </w:rPr>
              <w:t>9</w:t>
            </w:r>
          </w:p>
        </w:tc>
      </w:tr>
      <w:tr w14:paraId="27C6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6" w:type="pct"/>
            <w:vAlign w:val="center"/>
          </w:tcPr>
          <w:p w14:paraId="616F06A6">
            <w:pPr>
              <w:pStyle w:val="766"/>
              <w:rPr>
                <w:color w:val="auto"/>
              </w:rPr>
            </w:pPr>
            <w:r>
              <w:rPr>
                <w:color w:val="auto"/>
              </w:rPr>
              <w:t>2.</w:t>
            </w:r>
            <w:r>
              <w:rPr>
                <w:rFonts w:hint="eastAsia"/>
                <w:color w:val="auto"/>
              </w:rPr>
              <w:t>5</w:t>
            </w:r>
          </w:p>
        </w:tc>
        <w:tc>
          <w:tcPr>
            <w:tcW w:w="1600" w:type="pct"/>
            <w:vAlign w:val="center"/>
          </w:tcPr>
          <w:p w14:paraId="09E96789">
            <w:pPr>
              <w:pStyle w:val="766"/>
              <w:rPr>
                <w:color w:val="auto"/>
              </w:rPr>
            </w:pPr>
            <w:r>
              <w:rPr>
                <w:color w:val="auto"/>
                <w:lang w:bidi="ar"/>
              </w:rPr>
              <w:t>自动清粪系统</w:t>
            </w:r>
          </w:p>
        </w:tc>
        <w:tc>
          <w:tcPr>
            <w:tcW w:w="1028" w:type="pct"/>
          </w:tcPr>
          <w:p w14:paraId="6C1694C6">
            <w:pPr>
              <w:pStyle w:val="766"/>
              <w:rPr>
                <w:b/>
                <w:bCs/>
                <w:color w:val="auto"/>
              </w:rPr>
            </w:pPr>
            <w:r>
              <w:rPr>
                <w:rFonts w:hint="eastAsia"/>
                <w:color w:val="auto"/>
              </w:rPr>
              <w:t>/</w:t>
            </w:r>
          </w:p>
        </w:tc>
        <w:tc>
          <w:tcPr>
            <w:tcW w:w="837" w:type="pct"/>
          </w:tcPr>
          <w:p w14:paraId="66083767">
            <w:pPr>
              <w:pStyle w:val="766"/>
              <w:rPr>
                <w:b/>
                <w:bCs/>
                <w:color w:val="auto"/>
              </w:rPr>
            </w:pPr>
            <w:r>
              <w:rPr>
                <w:rFonts w:hint="eastAsia"/>
                <w:color w:val="auto"/>
              </w:rPr>
              <w:t>套</w:t>
            </w:r>
          </w:p>
        </w:tc>
        <w:tc>
          <w:tcPr>
            <w:tcW w:w="997" w:type="pct"/>
            <w:vAlign w:val="center"/>
          </w:tcPr>
          <w:p w14:paraId="61ED4EB6">
            <w:pPr>
              <w:pStyle w:val="766"/>
              <w:rPr>
                <w:color w:val="auto"/>
              </w:rPr>
            </w:pPr>
            <w:r>
              <w:rPr>
                <w:color w:val="auto"/>
                <w:lang w:bidi="ar"/>
              </w:rPr>
              <w:t>9</w:t>
            </w:r>
          </w:p>
        </w:tc>
      </w:tr>
      <w:tr w14:paraId="04B8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521D310D">
            <w:pPr>
              <w:pStyle w:val="766"/>
              <w:rPr>
                <w:color w:val="auto"/>
              </w:rPr>
            </w:pPr>
            <w:r>
              <w:rPr>
                <w:color w:val="auto"/>
              </w:rPr>
              <w:t>2.</w:t>
            </w:r>
            <w:r>
              <w:rPr>
                <w:rFonts w:hint="eastAsia"/>
                <w:color w:val="auto"/>
              </w:rPr>
              <w:t>6</w:t>
            </w:r>
          </w:p>
        </w:tc>
        <w:tc>
          <w:tcPr>
            <w:tcW w:w="1600" w:type="pct"/>
            <w:vAlign w:val="center"/>
          </w:tcPr>
          <w:p w14:paraId="508CA2DE">
            <w:pPr>
              <w:pStyle w:val="766"/>
              <w:rPr>
                <w:color w:val="auto"/>
              </w:rPr>
            </w:pPr>
            <w:r>
              <w:rPr>
                <w:color w:val="auto"/>
                <w:lang w:bidi="ar"/>
              </w:rPr>
              <w:t>自动集蛋系统</w:t>
            </w:r>
          </w:p>
        </w:tc>
        <w:tc>
          <w:tcPr>
            <w:tcW w:w="1028" w:type="pct"/>
          </w:tcPr>
          <w:p w14:paraId="1C370652">
            <w:pPr>
              <w:pStyle w:val="766"/>
              <w:rPr>
                <w:b/>
                <w:bCs/>
                <w:color w:val="auto"/>
              </w:rPr>
            </w:pPr>
            <w:r>
              <w:rPr>
                <w:rFonts w:hint="eastAsia"/>
                <w:color w:val="auto"/>
              </w:rPr>
              <w:t>/</w:t>
            </w:r>
          </w:p>
        </w:tc>
        <w:tc>
          <w:tcPr>
            <w:tcW w:w="837" w:type="pct"/>
          </w:tcPr>
          <w:p w14:paraId="0AAFFBA4">
            <w:pPr>
              <w:pStyle w:val="766"/>
              <w:rPr>
                <w:b/>
                <w:bCs/>
                <w:color w:val="auto"/>
              </w:rPr>
            </w:pPr>
            <w:r>
              <w:rPr>
                <w:rFonts w:hint="eastAsia"/>
                <w:color w:val="auto"/>
              </w:rPr>
              <w:t>套</w:t>
            </w:r>
          </w:p>
        </w:tc>
        <w:tc>
          <w:tcPr>
            <w:tcW w:w="997" w:type="pct"/>
            <w:vAlign w:val="center"/>
          </w:tcPr>
          <w:p w14:paraId="05B89FBD">
            <w:pPr>
              <w:pStyle w:val="766"/>
              <w:rPr>
                <w:color w:val="auto"/>
              </w:rPr>
            </w:pPr>
            <w:r>
              <w:rPr>
                <w:color w:val="auto"/>
                <w:lang w:bidi="ar"/>
              </w:rPr>
              <w:t>9</w:t>
            </w:r>
          </w:p>
        </w:tc>
      </w:tr>
      <w:tr w14:paraId="0FDE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04B4C8B5">
            <w:pPr>
              <w:pStyle w:val="766"/>
              <w:rPr>
                <w:color w:val="auto"/>
              </w:rPr>
            </w:pPr>
            <w:r>
              <w:rPr>
                <w:color w:val="auto"/>
              </w:rPr>
              <w:t>2.</w:t>
            </w:r>
            <w:r>
              <w:rPr>
                <w:rFonts w:hint="eastAsia"/>
                <w:color w:val="auto"/>
              </w:rPr>
              <w:t>7</w:t>
            </w:r>
          </w:p>
        </w:tc>
        <w:tc>
          <w:tcPr>
            <w:tcW w:w="1600" w:type="pct"/>
            <w:vAlign w:val="center"/>
          </w:tcPr>
          <w:p w14:paraId="7685DEE7">
            <w:pPr>
              <w:pStyle w:val="766"/>
              <w:rPr>
                <w:color w:val="auto"/>
              </w:rPr>
            </w:pPr>
            <w:r>
              <w:rPr>
                <w:color w:val="auto"/>
                <w:lang w:bidi="ar"/>
              </w:rPr>
              <w:t>照明系统</w:t>
            </w:r>
          </w:p>
        </w:tc>
        <w:tc>
          <w:tcPr>
            <w:tcW w:w="1028" w:type="pct"/>
          </w:tcPr>
          <w:p w14:paraId="00AD67D0">
            <w:pPr>
              <w:pStyle w:val="766"/>
              <w:rPr>
                <w:b/>
                <w:bCs/>
                <w:color w:val="auto"/>
              </w:rPr>
            </w:pPr>
            <w:r>
              <w:rPr>
                <w:rFonts w:hint="eastAsia"/>
                <w:color w:val="auto"/>
              </w:rPr>
              <w:t>/</w:t>
            </w:r>
          </w:p>
        </w:tc>
        <w:tc>
          <w:tcPr>
            <w:tcW w:w="837" w:type="pct"/>
          </w:tcPr>
          <w:p w14:paraId="49DE48A1">
            <w:pPr>
              <w:pStyle w:val="766"/>
              <w:rPr>
                <w:b/>
                <w:bCs/>
                <w:color w:val="auto"/>
              </w:rPr>
            </w:pPr>
            <w:r>
              <w:rPr>
                <w:rFonts w:hint="eastAsia"/>
                <w:color w:val="auto"/>
              </w:rPr>
              <w:t>套</w:t>
            </w:r>
          </w:p>
        </w:tc>
        <w:tc>
          <w:tcPr>
            <w:tcW w:w="997" w:type="pct"/>
            <w:vAlign w:val="center"/>
          </w:tcPr>
          <w:p w14:paraId="1463C3AE">
            <w:pPr>
              <w:pStyle w:val="766"/>
              <w:rPr>
                <w:color w:val="auto"/>
              </w:rPr>
            </w:pPr>
            <w:r>
              <w:rPr>
                <w:color w:val="auto"/>
                <w:lang w:bidi="ar"/>
              </w:rPr>
              <w:t>9</w:t>
            </w:r>
          </w:p>
        </w:tc>
      </w:tr>
      <w:tr w14:paraId="4C25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059E7F13">
            <w:pPr>
              <w:pStyle w:val="766"/>
              <w:rPr>
                <w:color w:val="auto"/>
              </w:rPr>
            </w:pPr>
            <w:r>
              <w:rPr>
                <w:color w:val="auto"/>
              </w:rPr>
              <w:t>2.</w:t>
            </w:r>
            <w:r>
              <w:rPr>
                <w:rFonts w:hint="eastAsia"/>
                <w:color w:val="auto"/>
              </w:rPr>
              <w:t>8</w:t>
            </w:r>
          </w:p>
        </w:tc>
        <w:tc>
          <w:tcPr>
            <w:tcW w:w="1600" w:type="pct"/>
            <w:vAlign w:val="center"/>
          </w:tcPr>
          <w:p w14:paraId="459FEABC">
            <w:pPr>
              <w:pStyle w:val="766"/>
              <w:rPr>
                <w:color w:val="auto"/>
              </w:rPr>
            </w:pPr>
            <w:r>
              <w:rPr>
                <w:color w:val="auto"/>
                <w:lang w:bidi="ar"/>
              </w:rPr>
              <w:t>环控系统</w:t>
            </w:r>
          </w:p>
        </w:tc>
        <w:tc>
          <w:tcPr>
            <w:tcW w:w="1028" w:type="pct"/>
          </w:tcPr>
          <w:p w14:paraId="04F8A8E7">
            <w:pPr>
              <w:pStyle w:val="766"/>
              <w:rPr>
                <w:b/>
                <w:bCs/>
                <w:color w:val="auto"/>
              </w:rPr>
            </w:pPr>
            <w:r>
              <w:rPr>
                <w:rFonts w:hint="eastAsia"/>
                <w:color w:val="auto"/>
              </w:rPr>
              <w:t>/</w:t>
            </w:r>
          </w:p>
        </w:tc>
        <w:tc>
          <w:tcPr>
            <w:tcW w:w="837" w:type="pct"/>
          </w:tcPr>
          <w:p w14:paraId="6657A7AE">
            <w:pPr>
              <w:pStyle w:val="766"/>
              <w:rPr>
                <w:b/>
                <w:bCs/>
                <w:color w:val="auto"/>
              </w:rPr>
            </w:pPr>
            <w:r>
              <w:rPr>
                <w:rFonts w:hint="eastAsia"/>
                <w:color w:val="auto"/>
              </w:rPr>
              <w:t>套</w:t>
            </w:r>
          </w:p>
        </w:tc>
        <w:tc>
          <w:tcPr>
            <w:tcW w:w="997" w:type="pct"/>
            <w:vAlign w:val="center"/>
          </w:tcPr>
          <w:p w14:paraId="57CAF879">
            <w:pPr>
              <w:pStyle w:val="766"/>
              <w:rPr>
                <w:color w:val="auto"/>
              </w:rPr>
            </w:pPr>
            <w:r>
              <w:rPr>
                <w:color w:val="auto"/>
                <w:lang w:bidi="ar"/>
              </w:rPr>
              <w:t>9</w:t>
            </w:r>
          </w:p>
        </w:tc>
      </w:tr>
      <w:tr w14:paraId="308D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17D09105">
            <w:pPr>
              <w:pStyle w:val="766"/>
              <w:rPr>
                <w:color w:val="auto"/>
              </w:rPr>
            </w:pPr>
            <w:r>
              <w:rPr>
                <w:color w:val="auto"/>
              </w:rPr>
              <w:t>2.</w:t>
            </w:r>
            <w:r>
              <w:rPr>
                <w:rFonts w:hint="eastAsia"/>
                <w:color w:val="auto"/>
              </w:rPr>
              <w:t>9</w:t>
            </w:r>
          </w:p>
        </w:tc>
        <w:tc>
          <w:tcPr>
            <w:tcW w:w="1600" w:type="pct"/>
            <w:vAlign w:val="center"/>
          </w:tcPr>
          <w:p w14:paraId="73C00D80">
            <w:pPr>
              <w:pStyle w:val="766"/>
              <w:rPr>
                <w:color w:val="auto"/>
              </w:rPr>
            </w:pPr>
            <w:r>
              <w:rPr>
                <w:color w:val="auto"/>
                <w:lang w:bidi="ar"/>
              </w:rPr>
              <w:t>控制系统</w:t>
            </w:r>
          </w:p>
        </w:tc>
        <w:tc>
          <w:tcPr>
            <w:tcW w:w="1028" w:type="pct"/>
          </w:tcPr>
          <w:p w14:paraId="61939732">
            <w:pPr>
              <w:pStyle w:val="766"/>
              <w:rPr>
                <w:b/>
                <w:bCs/>
                <w:color w:val="auto"/>
              </w:rPr>
            </w:pPr>
            <w:r>
              <w:rPr>
                <w:rFonts w:hint="eastAsia"/>
                <w:color w:val="auto"/>
              </w:rPr>
              <w:t>/</w:t>
            </w:r>
          </w:p>
        </w:tc>
        <w:tc>
          <w:tcPr>
            <w:tcW w:w="837" w:type="pct"/>
          </w:tcPr>
          <w:p w14:paraId="4166DCB7">
            <w:pPr>
              <w:pStyle w:val="766"/>
              <w:rPr>
                <w:b/>
                <w:bCs/>
                <w:color w:val="auto"/>
              </w:rPr>
            </w:pPr>
            <w:r>
              <w:rPr>
                <w:rFonts w:hint="eastAsia"/>
                <w:color w:val="auto"/>
              </w:rPr>
              <w:t>套</w:t>
            </w:r>
          </w:p>
        </w:tc>
        <w:tc>
          <w:tcPr>
            <w:tcW w:w="997" w:type="pct"/>
            <w:vAlign w:val="center"/>
          </w:tcPr>
          <w:p w14:paraId="79295AA7">
            <w:pPr>
              <w:pStyle w:val="766"/>
              <w:rPr>
                <w:color w:val="auto"/>
              </w:rPr>
            </w:pPr>
            <w:r>
              <w:rPr>
                <w:color w:val="auto"/>
                <w:lang w:bidi="ar"/>
              </w:rPr>
              <w:t>9</w:t>
            </w:r>
          </w:p>
        </w:tc>
      </w:tr>
      <w:tr w14:paraId="1641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69DD7269">
            <w:pPr>
              <w:pStyle w:val="766"/>
              <w:rPr>
                <w:color w:val="auto"/>
              </w:rPr>
            </w:pPr>
            <w:r>
              <w:rPr>
                <w:color w:val="auto"/>
              </w:rPr>
              <w:t>2.</w:t>
            </w:r>
            <w:r>
              <w:rPr>
                <w:rFonts w:hint="eastAsia"/>
                <w:color w:val="auto"/>
              </w:rPr>
              <w:t>1</w:t>
            </w:r>
            <w:r>
              <w:rPr>
                <w:color w:val="auto"/>
              </w:rPr>
              <w:t>0</w:t>
            </w:r>
          </w:p>
        </w:tc>
        <w:tc>
          <w:tcPr>
            <w:tcW w:w="1600" w:type="pct"/>
            <w:vAlign w:val="center"/>
          </w:tcPr>
          <w:p w14:paraId="4575F032">
            <w:pPr>
              <w:pStyle w:val="766"/>
              <w:rPr>
                <w:color w:val="auto"/>
              </w:rPr>
            </w:pPr>
            <w:r>
              <w:rPr>
                <w:color w:val="auto"/>
                <w:lang w:bidi="ar"/>
              </w:rPr>
              <w:t>安装及其他</w:t>
            </w:r>
          </w:p>
        </w:tc>
        <w:tc>
          <w:tcPr>
            <w:tcW w:w="1028" w:type="pct"/>
          </w:tcPr>
          <w:p w14:paraId="1640D4BD">
            <w:pPr>
              <w:pStyle w:val="766"/>
              <w:rPr>
                <w:b/>
                <w:bCs/>
                <w:color w:val="auto"/>
              </w:rPr>
            </w:pPr>
            <w:r>
              <w:rPr>
                <w:rFonts w:hint="eastAsia"/>
                <w:color w:val="auto"/>
              </w:rPr>
              <w:t>/</w:t>
            </w:r>
          </w:p>
        </w:tc>
        <w:tc>
          <w:tcPr>
            <w:tcW w:w="837" w:type="pct"/>
          </w:tcPr>
          <w:p w14:paraId="27E33444">
            <w:pPr>
              <w:pStyle w:val="766"/>
              <w:rPr>
                <w:b/>
                <w:bCs/>
                <w:color w:val="auto"/>
              </w:rPr>
            </w:pPr>
            <w:r>
              <w:rPr>
                <w:rFonts w:hint="eastAsia"/>
                <w:color w:val="auto"/>
              </w:rPr>
              <w:t>套</w:t>
            </w:r>
          </w:p>
        </w:tc>
        <w:tc>
          <w:tcPr>
            <w:tcW w:w="997" w:type="pct"/>
            <w:vAlign w:val="center"/>
          </w:tcPr>
          <w:p w14:paraId="3AF6124D">
            <w:pPr>
              <w:pStyle w:val="766"/>
              <w:rPr>
                <w:color w:val="auto"/>
              </w:rPr>
            </w:pPr>
            <w:r>
              <w:rPr>
                <w:color w:val="auto"/>
                <w:lang w:bidi="ar"/>
              </w:rPr>
              <w:t>9</w:t>
            </w:r>
          </w:p>
        </w:tc>
      </w:tr>
      <w:tr w14:paraId="7FBA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45AEA950">
            <w:pPr>
              <w:pStyle w:val="766"/>
              <w:rPr>
                <w:color w:val="auto"/>
              </w:rPr>
            </w:pPr>
            <w:r>
              <w:rPr>
                <w:color w:val="auto"/>
                <w:lang w:bidi="ar"/>
              </w:rPr>
              <w:t>蛋品分级和包装设备</w:t>
            </w:r>
          </w:p>
        </w:tc>
      </w:tr>
      <w:tr w14:paraId="44AD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3293E841">
            <w:pPr>
              <w:pStyle w:val="766"/>
              <w:rPr>
                <w:color w:val="auto"/>
              </w:rPr>
            </w:pPr>
            <w:r>
              <w:rPr>
                <w:color w:val="auto"/>
              </w:rPr>
              <w:t>3.</w:t>
            </w:r>
            <w:r>
              <w:rPr>
                <w:rFonts w:hint="eastAsia"/>
                <w:color w:val="auto"/>
              </w:rPr>
              <w:t>1</w:t>
            </w:r>
          </w:p>
        </w:tc>
        <w:tc>
          <w:tcPr>
            <w:tcW w:w="1600" w:type="pct"/>
            <w:vAlign w:val="center"/>
          </w:tcPr>
          <w:p w14:paraId="7DE5A5E5">
            <w:pPr>
              <w:pStyle w:val="766"/>
              <w:rPr>
                <w:color w:val="auto"/>
              </w:rPr>
            </w:pPr>
            <w:r>
              <w:rPr>
                <w:color w:val="auto"/>
                <w:lang w:bidi="ar"/>
              </w:rPr>
              <w:t>分级机</w:t>
            </w:r>
          </w:p>
        </w:tc>
        <w:tc>
          <w:tcPr>
            <w:tcW w:w="1028" w:type="pct"/>
          </w:tcPr>
          <w:p w14:paraId="5679454E">
            <w:pPr>
              <w:pStyle w:val="766"/>
              <w:rPr>
                <w:b/>
                <w:bCs/>
                <w:color w:val="auto"/>
              </w:rPr>
            </w:pPr>
            <w:r>
              <w:rPr>
                <w:rFonts w:hint="eastAsia"/>
                <w:color w:val="auto"/>
              </w:rPr>
              <w:t>/</w:t>
            </w:r>
          </w:p>
        </w:tc>
        <w:tc>
          <w:tcPr>
            <w:tcW w:w="837" w:type="pct"/>
          </w:tcPr>
          <w:p w14:paraId="448211B8">
            <w:pPr>
              <w:pStyle w:val="766"/>
              <w:rPr>
                <w:b/>
                <w:bCs/>
                <w:color w:val="auto"/>
              </w:rPr>
            </w:pPr>
            <w:r>
              <w:rPr>
                <w:rFonts w:hint="eastAsia"/>
                <w:color w:val="auto"/>
              </w:rPr>
              <w:t>台</w:t>
            </w:r>
          </w:p>
        </w:tc>
        <w:tc>
          <w:tcPr>
            <w:tcW w:w="997" w:type="pct"/>
            <w:vAlign w:val="center"/>
          </w:tcPr>
          <w:p w14:paraId="059204B8">
            <w:pPr>
              <w:pStyle w:val="766"/>
              <w:rPr>
                <w:color w:val="auto"/>
              </w:rPr>
            </w:pPr>
            <w:r>
              <w:rPr>
                <w:color w:val="auto"/>
                <w:lang w:bidi="ar"/>
              </w:rPr>
              <w:t>1</w:t>
            </w:r>
          </w:p>
        </w:tc>
      </w:tr>
      <w:tr w14:paraId="3F32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5BECEB6D">
            <w:pPr>
              <w:pStyle w:val="766"/>
              <w:rPr>
                <w:color w:val="auto"/>
              </w:rPr>
            </w:pPr>
            <w:r>
              <w:rPr>
                <w:color w:val="auto"/>
              </w:rPr>
              <w:t>3.</w:t>
            </w:r>
            <w:r>
              <w:rPr>
                <w:rFonts w:hint="eastAsia"/>
                <w:color w:val="auto"/>
              </w:rPr>
              <w:t>2</w:t>
            </w:r>
          </w:p>
        </w:tc>
        <w:tc>
          <w:tcPr>
            <w:tcW w:w="1600" w:type="pct"/>
            <w:vAlign w:val="center"/>
          </w:tcPr>
          <w:p w14:paraId="77D79AC3">
            <w:pPr>
              <w:pStyle w:val="766"/>
              <w:rPr>
                <w:color w:val="auto"/>
                <w:lang w:bidi="ar"/>
              </w:rPr>
            </w:pPr>
            <w:r>
              <w:rPr>
                <w:color w:val="auto"/>
                <w:lang w:bidi="ar"/>
              </w:rPr>
              <w:t>全自动装箱机</w:t>
            </w:r>
          </w:p>
        </w:tc>
        <w:tc>
          <w:tcPr>
            <w:tcW w:w="1028" w:type="pct"/>
          </w:tcPr>
          <w:p w14:paraId="75E672B3">
            <w:pPr>
              <w:pStyle w:val="766"/>
              <w:rPr>
                <w:b/>
                <w:bCs/>
                <w:color w:val="auto"/>
              </w:rPr>
            </w:pPr>
            <w:r>
              <w:rPr>
                <w:rFonts w:hint="eastAsia"/>
                <w:color w:val="auto"/>
              </w:rPr>
              <w:t>/</w:t>
            </w:r>
          </w:p>
        </w:tc>
        <w:tc>
          <w:tcPr>
            <w:tcW w:w="837" w:type="pct"/>
          </w:tcPr>
          <w:p w14:paraId="64914CFF">
            <w:pPr>
              <w:pStyle w:val="766"/>
              <w:rPr>
                <w:b/>
                <w:bCs/>
                <w:color w:val="auto"/>
              </w:rPr>
            </w:pPr>
            <w:r>
              <w:rPr>
                <w:rFonts w:hint="eastAsia"/>
                <w:color w:val="auto"/>
              </w:rPr>
              <w:t>台</w:t>
            </w:r>
          </w:p>
        </w:tc>
        <w:tc>
          <w:tcPr>
            <w:tcW w:w="997" w:type="pct"/>
            <w:vAlign w:val="center"/>
          </w:tcPr>
          <w:p w14:paraId="37E0D71E">
            <w:pPr>
              <w:pStyle w:val="766"/>
              <w:rPr>
                <w:color w:val="auto"/>
              </w:rPr>
            </w:pPr>
            <w:r>
              <w:rPr>
                <w:color w:val="auto"/>
                <w:lang w:bidi="ar"/>
              </w:rPr>
              <w:t>1</w:t>
            </w:r>
          </w:p>
        </w:tc>
      </w:tr>
      <w:tr w14:paraId="2E47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012ABB72">
            <w:pPr>
              <w:pStyle w:val="766"/>
              <w:rPr>
                <w:color w:val="auto"/>
              </w:rPr>
            </w:pPr>
            <w:r>
              <w:rPr>
                <w:color w:val="auto"/>
              </w:rPr>
              <w:t>3.</w:t>
            </w:r>
            <w:r>
              <w:rPr>
                <w:rFonts w:hint="eastAsia"/>
                <w:color w:val="auto"/>
              </w:rPr>
              <w:t>3</w:t>
            </w:r>
          </w:p>
        </w:tc>
        <w:tc>
          <w:tcPr>
            <w:tcW w:w="1600" w:type="pct"/>
            <w:vAlign w:val="center"/>
          </w:tcPr>
          <w:p w14:paraId="7383FA13">
            <w:pPr>
              <w:pStyle w:val="766"/>
              <w:rPr>
                <w:color w:val="auto"/>
                <w:lang w:bidi="ar"/>
              </w:rPr>
            </w:pPr>
            <w:r>
              <w:rPr>
                <w:color w:val="auto"/>
                <w:lang w:bidi="ar"/>
              </w:rPr>
              <w:t>国内自动化部分</w:t>
            </w:r>
          </w:p>
        </w:tc>
        <w:tc>
          <w:tcPr>
            <w:tcW w:w="1028" w:type="pct"/>
          </w:tcPr>
          <w:p w14:paraId="73596B43">
            <w:pPr>
              <w:pStyle w:val="766"/>
              <w:rPr>
                <w:b/>
                <w:bCs/>
                <w:color w:val="auto"/>
              </w:rPr>
            </w:pPr>
            <w:r>
              <w:rPr>
                <w:rFonts w:hint="eastAsia"/>
                <w:color w:val="auto"/>
              </w:rPr>
              <w:t>/</w:t>
            </w:r>
          </w:p>
        </w:tc>
        <w:tc>
          <w:tcPr>
            <w:tcW w:w="837" w:type="pct"/>
          </w:tcPr>
          <w:p w14:paraId="2809521D">
            <w:pPr>
              <w:pStyle w:val="766"/>
              <w:rPr>
                <w:b/>
                <w:bCs/>
                <w:color w:val="auto"/>
              </w:rPr>
            </w:pPr>
            <w:r>
              <w:rPr>
                <w:rFonts w:hint="eastAsia"/>
                <w:color w:val="auto"/>
              </w:rPr>
              <w:t>套</w:t>
            </w:r>
          </w:p>
        </w:tc>
        <w:tc>
          <w:tcPr>
            <w:tcW w:w="997" w:type="pct"/>
            <w:vAlign w:val="center"/>
          </w:tcPr>
          <w:p w14:paraId="0517D347">
            <w:pPr>
              <w:pStyle w:val="766"/>
              <w:rPr>
                <w:color w:val="auto"/>
              </w:rPr>
            </w:pPr>
            <w:r>
              <w:rPr>
                <w:color w:val="auto"/>
                <w:lang w:bidi="ar"/>
              </w:rPr>
              <w:t>1</w:t>
            </w:r>
          </w:p>
        </w:tc>
      </w:tr>
      <w:tr w14:paraId="5862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0AA98C70">
            <w:pPr>
              <w:pStyle w:val="766"/>
              <w:rPr>
                <w:color w:val="auto"/>
              </w:rPr>
            </w:pPr>
            <w:r>
              <w:rPr>
                <w:color w:val="auto"/>
              </w:rPr>
              <w:t>3.</w:t>
            </w:r>
            <w:r>
              <w:rPr>
                <w:rFonts w:hint="eastAsia"/>
                <w:color w:val="auto"/>
              </w:rPr>
              <w:t>4</w:t>
            </w:r>
          </w:p>
        </w:tc>
        <w:tc>
          <w:tcPr>
            <w:tcW w:w="1600" w:type="pct"/>
            <w:vAlign w:val="center"/>
          </w:tcPr>
          <w:p w14:paraId="4B9F6E14">
            <w:pPr>
              <w:pStyle w:val="766"/>
              <w:rPr>
                <w:color w:val="auto"/>
                <w:lang w:bidi="ar"/>
              </w:rPr>
            </w:pPr>
            <w:r>
              <w:rPr>
                <w:color w:val="auto"/>
                <w:lang w:bidi="ar"/>
              </w:rPr>
              <w:t>热水和压缩空气</w:t>
            </w:r>
            <w:r>
              <w:rPr>
                <w:rFonts w:hint="eastAsia"/>
                <w:color w:val="auto"/>
                <w:lang w:bidi="ar"/>
              </w:rPr>
              <w:t>设备</w:t>
            </w:r>
          </w:p>
        </w:tc>
        <w:tc>
          <w:tcPr>
            <w:tcW w:w="1028" w:type="pct"/>
          </w:tcPr>
          <w:p w14:paraId="1A41C836">
            <w:pPr>
              <w:pStyle w:val="766"/>
              <w:rPr>
                <w:b/>
                <w:bCs/>
                <w:color w:val="auto"/>
              </w:rPr>
            </w:pPr>
            <w:r>
              <w:rPr>
                <w:rFonts w:hint="eastAsia"/>
                <w:color w:val="auto"/>
              </w:rPr>
              <w:t>/</w:t>
            </w:r>
          </w:p>
        </w:tc>
        <w:tc>
          <w:tcPr>
            <w:tcW w:w="837" w:type="pct"/>
          </w:tcPr>
          <w:p w14:paraId="5D3E68EB">
            <w:pPr>
              <w:pStyle w:val="766"/>
              <w:rPr>
                <w:b/>
                <w:bCs/>
                <w:color w:val="auto"/>
              </w:rPr>
            </w:pPr>
            <w:r>
              <w:rPr>
                <w:rFonts w:hint="eastAsia"/>
                <w:color w:val="auto"/>
              </w:rPr>
              <w:t>套</w:t>
            </w:r>
          </w:p>
        </w:tc>
        <w:tc>
          <w:tcPr>
            <w:tcW w:w="997" w:type="pct"/>
            <w:vAlign w:val="center"/>
          </w:tcPr>
          <w:p w14:paraId="70FB80C1">
            <w:pPr>
              <w:pStyle w:val="766"/>
              <w:rPr>
                <w:color w:val="auto"/>
              </w:rPr>
            </w:pPr>
            <w:r>
              <w:rPr>
                <w:color w:val="auto"/>
                <w:lang w:bidi="ar"/>
              </w:rPr>
              <w:t>1</w:t>
            </w:r>
          </w:p>
        </w:tc>
      </w:tr>
      <w:tr w14:paraId="0B86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3E5FAC6A">
            <w:pPr>
              <w:pStyle w:val="766"/>
              <w:rPr>
                <w:color w:val="auto"/>
              </w:rPr>
            </w:pPr>
            <w:r>
              <w:rPr>
                <w:color w:val="auto"/>
              </w:rPr>
              <w:t>3.</w:t>
            </w:r>
            <w:r>
              <w:rPr>
                <w:rFonts w:hint="eastAsia"/>
                <w:color w:val="auto"/>
              </w:rPr>
              <w:t>5</w:t>
            </w:r>
          </w:p>
        </w:tc>
        <w:tc>
          <w:tcPr>
            <w:tcW w:w="1600" w:type="pct"/>
            <w:vAlign w:val="center"/>
          </w:tcPr>
          <w:p w14:paraId="09089696">
            <w:pPr>
              <w:pStyle w:val="766"/>
              <w:rPr>
                <w:color w:val="auto"/>
                <w:lang w:bidi="ar"/>
              </w:rPr>
            </w:pPr>
            <w:r>
              <w:rPr>
                <w:rFonts w:hint="eastAsia"/>
                <w:color w:val="auto"/>
                <w:lang w:bidi="ar"/>
              </w:rPr>
              <w:t>蛋品加工</w:t>
            </w:r>
            <w:r>
              <w:rPr>
                <w:color w:val="auto"/>
                <w:lang w:bidi="ar"/>
              </w:rPr>
              <w:t>设备</w:t>
            </w:r>
          </w:p>
        </w:tc>
        <w:tc>
          <w:tcPr>
            <w:tcW w:w="1028" w:type="pct"/>
          </w:tcPr>
          <w:p w14:paraId="0B045923">
            <w:pPr>
              <w:pStyle w:val="766"/>
              <w:rPr>
                <w:b/>
                <w:bCs/>
                <w:color w:val="auto"/>
              </w:rPr>
            </w:pPr>
            <w:r>
              <w:rPr>
                <w:rFonts w:hint="eastAsia"/>
                <w:color w:val="auto"/>
              </w:rPr>
              <w:t>/</w:t>
            </w:r>
          </w:p>
        </w:tc>
        <w:tc>
          <w:tcPr>
            <w:tcW w:w="837" w:type="pct"/>
          </w:tcPr>
          <w:p w14:paraId="07CE0B54">
            <w:pPr>
              <w:pStyle w:val="766"/>
              <w:rPr>
                <w:b/>
                <w:bCs/>
                <w:color w:val="auto"/>
              </w:rPr>
            </w:pPr>
            <w:r>
              <w:rPr>
                <w:rFonts w:hint="eastAsia"/>
                <w:color w:val="auto"/>
              </w:rPr>
              <w:t>台</w:t>
            </w:r>
          </w:p>
        </w:tc>
        <w:tc>
          <w:tcPr>
            <w:tcW w:w="997" w:type="pct"/>
            <w:vAlign w:val="center"/>
          </w:tcPr>
          <w:p w14:paraId="7915248D">
            <w:pPr>
              <w:pStyle w:val="766"/>
              <w:rPr>
                <w:color w:val="auto"/>
              </w:rPr>
            </w:pPr>
            <w:r>
              <w:rPr>
                <w:color w:val="auto"/>
                <w:lang w:bidi="ar"/>
              </w:rPr>
              <w:t>1</w:t>
            </w:r>
          </w:p>
        </w:tc>
      </w:tr>
      <w:tr w14:paraId="145A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4F1900F6">
            <w:pPr>
              <w:pStyle w:val="766"/>
              <w:rPr>
                <w:color w:val="auto"/>
              </w:rPr>
            </w:pPr>
            <w:r>
              <w:rPr>
                <w:rFonts w:hint="eastAsia"/>
                <w:color w:val="auto"/>
              </w:rPr>
              <w:t>3.6</w:t>
            </w:r>
          </w:p>
        </w:tc>
        <w:tc>
          <w:tcPr>
            <w:tcW w:w="1600" w:type="pct"/>
            <w:vAlign w:val="center"/>
          </w:tcPr>
          <w:p w14:paraId="2A304354">
            <w:pPr>
              <w:pStyle w:val="766"/>
              <w:rPr>
                <w:color w:val="auto"/>
                <w:lang w:bidi="ar"/>
              </w:rPr>
            </w:pPr>
            <w:r>
              <w:rPr>
                <w:color w:val="auto"/>
                <w:lang w:bidi="ar"/>
              </w:rPr>
              <w:t>叉车</w:t>
            </w:r>
          </w:p>
        </w:tc>
        <w:tc>
          <w:tcPr>
            <w:tcW w:w="1028" w:type="pct"/>
          </w:tcPr>
          <w:p w14:paraId="63607A66">
            <w:pPr>
              <w:pStyle w:val="766"/>
              <w:rPr>
                <w:color w:val="auto"/>
              </w:rPr>
            </w:pPr>
            <w:r>
              <w:rPr>
                <w:rFonts w:hint="eastAsia"/>
                <w:color w:val="auto"/>
              </w:rPr>
              <w:t>/</w:t>
            </w:r>
          </w:p>
        </w:tc>
        <w:tc>
          <w:tcPr>
            <w:tcW w:w="837" w:type="pct"/>
          </w:tcPr>
          <w:p w14:paraId="1B778DCA">
            <w:pPr>
              <w:pStyle w:val="766"/>
              <w:rPr>
                <w:color w:val="auto"/>
              </w:rPr>
            </w:pPr>
            <w:r>
              <w:rPr>
                <w:rFonts w:hint="eastAsia"/>
                <w:color w:val="auto"/>
              </w:rPr>
              <w:t>台</w:t>
            </w:r>
          </w:p>
        </w:tc>
        <w:tc>
          <w:tcPr>
            <w:tcW w:w="997" w:type="pct"/>
            <w:vAlign w:val="center"/>
          </w:tcPr>
          <w:p w14:paraId="2B797CF6">
            <w:pPr>
              <w:pStyle w:val="766"/>
              <w:rPr>
                <w:color w:val="auto"/>
                <w:lang w:bidi="ar"/>
              </w:rPr>
            </w:pPr>
            <w:r>
              <w:rPr>
                <w:rFonts w:hint="eastAsia"/>
                <w:color w:val="auto"/>
                <w:lang w:bidi="ar"/>
              </w:rPr>
              <w:t>1</w:t>
            </w:r>
          </w:p>
        </w:tc>
      </w:tr>
      <w:tr w14:paraId="4B4C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22DF20D3">
            <w:pPr>
              <w:pStyle w:val="766"/>
              <w:rPr>
                <w:color w:val="auto"/>
              </w:rPr>
            </w:pPr>
            <w:r>
              <w:rPr>
                <w:color w:val="auto"/>
                <w:lang w:bidi="ar"/>
              </w:rPr>
              <w:t>饲料加工设备及运输车辆</w:t>
            </w:r>
          </w:p>
        </w:tc>
      </w:tr>
      <w:tr w14:paraId="16F8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67794861">
            <w:pPr>
              <w:pStyle w:val="766"/>
              <w:rPr>
                <w:color w:val="auto"/>
              </w:rPr>
            </w:pPr>
            <w:r>
              <w:rPr>
                <w:color w:val="auto"/>
              </w:rPr>
              <w:t>4.</w:t>
            </w:r>
            <w:r>
              <w:rPr>
                <w:rFonts w:hint="eastAsia"/>
                <w:color w:val="auto"/>
              </w:rPr>
              <w:t>1</w:t>
            </w:r>
          </w:p>
        </w:tc>
        <w:tc>
          <w:tcPr>
            <w:tcW w:w="1600" w:type="pct"/>
            <w:vAlign w:val="center"/>
          </w:tcPr>
          <w:p w14:paraId="0789E4AC">
            <w:pPr>
              <w:pStyle w:val="766"/>
              <w:rPr>
                <w:color w:val="auto"/>
                <w:lang w:bidi="ar"/>
              </w:rPr>
            </w:pPr>
            <w:r>
              <w:rPr>
                <w:color w:val="auto"/>
                <w:lang w:bidi="ar"/>
              </w:rPr>
              <w:t>饲料成套加工设备</w:t>
            </w:r>
          </w:p>
        </w:tc>
        <w:tc>
          <w:tcPr>
            <w:tcW w:w="1028" w:type="pct"/>
          </w:tcPr>
          <w:p w14:paraId="134BEC8E">
            <w:pPr>
              <w:pStyle w:val="766"/>
              <w:rPr>
                <w:b/>
                <w:bCs/>
                <w:color w:val="auto"/>
              </w:rPr>
            </w:pPr>
            <w:r>
              <w:rPr>
                <w:rFonts w:hint="eastAsia"/>
                <w:color w:val="auto"/>
              </w:rPr>
              <w:t>/</w:t>
            </w:r>
          </w:p>
        </w:tc>
        <w:tc>
          <w:tcPr>
            <w:tcW w:w="837" w:type="pct"/>
          </w:tcPr>
          <w:p w14:paraId="16A0F5F2">
            <w:pPr>
              <w:pStyle w:val="766"/>
              <w:rPr>
                <w:color w:val="auto"/>
              </w:rPr>
            </w:pPr>
            <w:r>
              <w:rPr>
                <w:rFonts w:hint="eastAsia"/>
                <w:color w:val="auto"/>
              </w:rPr>
              <w:t>套</w:t>
            </w:r>
          </w:p>
        </w:tc>
        <w:tc>
          <w:tcPr>
            <w:tcW w:w="997" w:type="pct"/>
            <w:vAlign w:val="center"/>
          </w:tcPr>
          <w:p w14:paraId="26902757">
            <w:pPr>
              <w:pStyle w:val="766"/>
              <w:rPr>
                <w:color w:val="auto"/>
              </w:rPr>
            </w:pPr>
            <w:r>
              <w:rPr>
                <w:rFonts w:hint="eastAsia"/>
                <w:color w:val="auto"/>
              </w:rPr>
              <w:t>1</w:t>
            </w:r>
          </w:p>
        </w:tc>
      </w:tr>
      <w:tr w14:paraId="3BC0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44189369">
            <w:pPr>
              <w:pStyle w:val="766"/>
              <w:rPr>
                <w:color w:val="auto"/>
              </w:rPr>
            </w:pPr>
            <w:r>
              <w:rPr>
                <w:color w:val="auto"/>
              </w:rPr>
              <w:t>4.</w:t>
            </w:r>
            <w:r>
              <w:rPr>
                <w:rFonts w:hint="eastAsia"/>
                <w:color w:val="auto"/>
              </w:rPr>
              <w:t>2</w:t>
            </w:r>
          </w:p>
        </w:tc>
        <w:tc>
          <w:tcPr>
            <w:tcW w:w="1600" w:type="pct"/>
            <w:vAlign w:val="center"/>
          </w:tcPr>
          <w:p w14:paraId="391C76AB">
            <w:pPr>
              <w:pStyle w:val="766"/>
              <w:rPr>
                <w:color w:val="auto"/>
                <w:lang w:bidi="ar"/>
              </w:rPr>
            </w:pPr>
            <w:r>
              <w:rPr>
                <w:color w:val="auto"/>
                <w:lang w:bidi="ar"/>
              </w:rPr>
              <w:t>饲料配套筒仓设备</w:t>
            </w:r>
          </w:p>
        </w:tc>
        <w:tc>
          <w:tcPr>
            <w:tcW w:w="1028" w:type="pct"/>
          </w:tcPr>
          <w:p w14:paraId="6C712BFC">
            <w:pPr>
              <w:pStyle w:val="766"/>
              <w:rPr>
                <w:b/>
                <w:bCs/>
                <w:color w:val="auto"/>
              </w:rPr>
            </w:pPr>
            <w:r>
              <w:rPr>
                <w:rFonts w:hint="eastAsia"/>
                <w:color w:val="auto"/>
              </w:rPr>
              <w:t>/</w:t>
            </w:r>
          </w:p>
        </w:tc>
        <w:tc>
          <w:tcPr>
            <w:tcW w:w="837" w:type="pct"/>
          </w:tcPr>
          <w:p w14:paraId="3E80C053">
            <w:pPr>
              <w:pStyle w:val="766"/>
              <w:rPr>
                <w:color w:val="auto"/>
              </w:rPr>
            </w:pPr>
            <w:r>
              <w:rPr>
                <w:rFonts w:hint="eastAsia"/>
                <w:color w:val="auto"/>
              </w:rPr>
              <w:t>台</w:t>
            </w:r>
          </w:p>
        </w:tc>
        <w:tc>
          <w:tcPr>
            <w:tcW w:w="997" w:type="pct"/>
            <w:vAlign w:val="center"/>
          </w:tcPr>
          <w:p w14:paraId="6F314B00">
            <w:pPr>
              <w:pStyle w:val="766"/>
              <w:rPr>
                <w:color w:val="auto"/>
              </w:rPr>
            </w:pPr>
            <w:r>
              <w:rPr>
                <w:rFonts w:hint="eastAsia"/>
                <w:color w:val="auto"/>
              </w:rPr>
              <w:t>1</w:t>
            </w:r>
          </w:p>
        </w:tc>
      </w:tr>
      <w:tr w14:paraId="40EE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2F6D61FD">
            <w:pPr>
              <w:pStyle w:val="766"/>
              <w:rPr>
                <w:color w:val="auto"/>
              </w:rPr>
            </w:pPr>
            <w:r>
              <w:rPr>
                <w:color w:val="auto"/>
              </w:rPr>
              <w:t>4.</w:t>
            </w:r>
            <w:r>
              <w:rPr>
                <w:rFonts w:hint="eastAsia"/>
                <w:color w:val="auto"/>
              </w:rPr>
              <w:t>3</w:t>
            </w:r>
          </w:p>
        </w:tc>
        <w:tc>
          <w:tcPr>
            <w:tcW w:w="1600" w:type="pct"/>
            <w:vAlign w:val="center"/>
          </w:tcPr>
          <w:p w14:paraId="748E184D">
            <w:pPr>
              <w:pStyle w:val="766"/>
              <w:rPr>
                <w:color w:val="auto"/>
                <w:lang w:bidi="ar"/>
              </w:rPr>
            </w:pPr>
            <w:r>
              <w:rPr>
                <w:color w:val="auto"/>
                <w:lang w:bidi="ar"/>
              </w:rPr>
              <w:t>场区饲草车辆</w:t>
            </w:r>
          </w:p>
        </w:tc>
        <w:tc>
          <w:tcPr>
            <w:tcW w:w="1028" w:type="pct"/>
          </w:tcPr>
          <w:p w14:paraId="618E0D39">
            <w:pPr>
              <w:pStyle w:val="766"/>
              <w:rPr>
                <w:b/>
                <w:bCs/>
                <w:color w:val="auto"/>
              </w:rPr>
            </w:pPr>
            <w:r>
              <w:rPr>
                <w:rFonts w:hint="eastAsia"/>
                <w:color w:val="auto"/>
              </w:rPr>
              <w:t>/</w:t>
            </w:r>
          </w:p>
        </w:tc>
        <w:tc>
          <w:tcPr>
            <w:tcW w:w="837" w:type="pct"/>
          </w:tcPr>
          <w:p w14:paraId="779039B3">
            <w:pPr>
              <w:pStyle w:val="766"/>
              <w:rPr>
                <w:color w:val="auto"/>
              </w:rPr>
            </w:pPr>
            <w:r>
              <w:rPr>
                <w:rFonts w:hint="eastAsia"/>
                <w:color w:val="auto"/>
              </w:rPr>
              <w:t>台</w:t>
            </w:r>
          </w:p>
        </w:tc>
        <w:tc>
          <w:tcPr>
            <w:tcW w:w="997" w:type="pct"/>
            <w:vAlign w:val="center"/>
          </w:tcPr>
          <w:p w14:paraId="30A636CE">
            <w:pPr>
              <w:pStyle w:val="766"/>
              <w:rPr>
                <w:color w:val="auto"/>
              </w:rPr>
            </w:pPr>
            <w:r>
              <w:rPr>
                <w:rFonts w:hint="eastAsia"/>
                <w:color w:val="auto"/>
              </w:rPr>
              <w:t>1</w:t>
            </w:r>
          </w:p>
        </w:tc>
      </w:tr>
      <w:tr w14:paraId="19E9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3FEC5930">
            <w:pPr>
              <w:pStyle w:val="766"/>
              <w:rPr>
                <w:color w:val="auto"/>
              </w:rPr>
            </w:pPr>
            <w:r>
              <w:rPr>
                <w:rFonts w:hint="eastAsia"/>
                <w:color w:val="auto"/>
              </w:rPr>
              <w:t>5</w:t>
            </w:r>
          </w:p>
        </w:tc>
        <w:tc>
          <w:tcPr>
            <w:tcW w:w="1600" w:type="pct"/>
            <w:vAlign w:val="center"/>
          </w:tcPr>
          <w:p w14:paraId="49773736">
            <w:pPr>
              <w:pStyle w:val="766"/>
              <w:rPr>
                <w:color w:val="auto"/>
                <w:lang w:bidi="ar"/>
              </w:rPr>
            </w:pPr>
            <w:r>
              <w:rPr>
                <w:color w:val="auto"/>
                <w:lang w:bidi="ar"/>
              </w:rPr>
              <w:t>有机肥加工设备</w:t>
            </w:r>
          </w:p>
        </w:tc>
        <w:tc>
          <w:tcPr>
            <w:tcW w:w="1028" w:type="pct"/>
          </w:tcPr>
          <w:p w14:paraId="2B7D3EA3">
            <w:pPr>
              <w:pStyle w:val="766"/>
              <w:rPr>
                <w:b/>
                <w:bCs/>
                <w:color w:val="auto"/>
              </w:rPr>
            </w:pPr>
            <w:r>
              <w:rPr>
                <w:rFonts w:hint="eastAsia"/>
                <w:color w:val="auto"/>
              </w:rPr>
              <w:t>/</w:t>
            </w:r>
          </w:p>
        </w:tc>
        <w:tc>
          <w:tcPr>
            <w:tcW w:w="837" w:type="pct"/>
          </w:tcPr>
          <w:p w14:paraId="41FD8C57">
            <w:pPr>
              <w:pStyle w:val="766"/>
              <w:rPr>
                <w:color w:val="auto"/>
              </w:rPr>
            </w:pPr>
            <w:r>
              <w:rPr>
                <w:rFonts w:hint="eastAsia"/>
                <w:color w:val="auto"/>
              </w:rPr>
              <w:t>套</w:t>
            </w:r>
          </w:p>
        </w:tc>
        <w:tc>
          <w:tcPr>
            <w:tcW w:w="997" w:type="pct"/>
            <w:vAlign w:val="center"/>
          </w:tcPr>
          <w:p w14:paraId="36A14F41">
            <w:pPr>
              <w:pStyle w:val="766"/>
              <w:rPr>
                <w:color w:val="auto"/>
              </w:rPr>
            </w:pPr>
            <w:r>
              <w:rPr>
                <w:color w:val="auto"/>
                <w:lang w:bidi="ar"/>
              </w:rPr>
              <w:t>1</w:t>
            </w:r>
          </w:p>
        </w:tc>
      </w:tr>
      <w:tr w14:paraId="116E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37F02662">
            <w:pPr>
              <w:pStyle w:val="766"/>
              <w:rPr>
                <w:color w:val="auto"/>
              </w:rPr>
            </w:pPr>
            <w:r>
              <w:rPr>
                <w:rFonts w:hint="eastAsia"/>
                <w:color w:val="auto"/>
              </w:rPr>
              <w:t>6</w:t>
            </w:r>
          </w:p>
        </w:tc>
        <w:tc>
          <w:tcPr>
            <w:tcW w:w="1600" w:type="pct"/>
            <w:vAlign w:val="center"/>
          </w:tcPr>
          <w:p w14:paraId="2A14D452">
            <w:pPr>
              <w:pStyle w:val="766"/>
              <w:rPr>
                <w:color w:val="auto"/>
                <w:lang w:bidi="ar"/>
              </w:rPr>
            </w:pPr>
            <w:r>
              <w:rPr>
                <w:color w:val="auto"/>
                <w:lang w:bidi="ar"/>
              </w:rPr>
              <w:t>配电设备</w:t>
            </w:r>
          </w:p>
        </w:tc>
        <w:tc>
          <w:tcPr>
            <w:tcW w:w="1028" w:type="pct"/>
          </w:tcPr>
          <w:p w14:paraId="774F0446">
            <w:pPr>
              <w:pStyle w:val="766"/>
              <w:rPr>
                <w:b/>
                <w:bCs/>
                <w:color w:val="auto"/>
              </w:rPr>
            </w:pPr>
            <w:r>
              <w:rPr>
                <w:rFonts w:hint="eastAsia"/>
                <w:color w:val="auto"/>
              </w:rPr>
              <w:t>/</w:t>
            </w:r>
          </w:p>
        </w:tc>
        <w:tc>
          <w:tcPr>
            <w:tcW w:w="837" w:type="pct"/>
          </w:tcPr>
          <w:p w14:paraId="41B24478">
            <w:pPr>
              <w:pStyle w:val="766"/>
              <w:rPr>
                <w:color w:val="auto"/>
              </w:rPr>
            </w:pPr>
            <w:r>
              <w:rPr>
                <w:rFonts w:hint="eastAsia"/>
                <w:color w:val="auto"/>
              </w:rPr>
              <w:t>套</w:t>
            </w:r>
          </w:p>
        </w:tc>
        <w:tc>
          <w:tcPr>
            <w:tcW w:w="997" w:type="pct"/>
            <w:vAlign w:val="center"/>
          </w:tcPr>
          <w:p w14:paraId="5DB67D1A">
            <w:pPr>
              <w:pStyle w:val="766"/>
              <w:rPr>
                <w:color w:val="auto"/>
              </w:rPr>
            </w:pPr>
            <w:r>
              <w:rPr>
                <w:color w:val="auto"/>
                <w:lang w:bidi="ar"/>
              </w:rPr>
              <w:t>1</w:t>
            </w:r>
          </w:p>
        </w:tc>
      </w:tr>
      <w:tr w14:paraId="0CAB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7E391171">
            <w:pPr>
              <w:pStyle w:val="766"/>
              <w:rPr>
                <w:color w:val="auto"/>
              </w:rPr>
            </w:pPr>
            <w:r>
              <w:rPr>
                <w:rFonts w:hint="eastAsia"/>
                <w:color w:val="auto"/>
              </w:rPr>
              <w:t>7</w:t>
            </w:r>
          </w:p>
        </w:tc>
        <w:tc>
          <w:tcPr>
            <w:tcW w:w="1600" w:type="pct"/>
            <w:vAlign w:val="center"/>
          </w:tcPr>
          <w:p w14:paraId="27FCCE97">
            <w:pPr>
              <w:pStyle w:val="766"/>
              <w:rPr>
                <w:color w:val="auto"/>
                <w:lang w:bidi="ar"/>
              </w:rPr>
            </w:pPr>
            <w:r>
              <w:rPr>
                <w:color w:val="auto"/>
                <w:lang w:bidi="ar"/>
              </w:rPr>
              <w:t>供水设备</w:t>
            </w:r>
          </w:p>
        </w:tc>
        <w:tc>
          <w:tcPr>
            <w:tcW w:w="1028" w:type="pct"/>
          </w:tcPr>
          <w:p w14:paraId="0AC6E6F3">
            <w:pPr>
              <w:pStyle w:val="766"/>
              <w:rPr>
                <w:b/>
                <w:bCs/>
                <w:color w:val="auto"/>
              </w:rPr>
            </w:pPr>
            <w:r>
              <w:rPr>
                <w:rFonts w:hint="eastAsia"/>
                <w:color w:val="auto"/>
              </w:rPr>
              <w:t>/</w:t>
            </w:r>
          </w:p>
        </w:tc>
        <w:tc>
          <w:tcPr>
            <w:tcW w:w="837" w:type="pct"/>
          </w:tcPr>
          <w:p w14:paraId="2C775AFA">
            <w:pPr>
              <w:pStyle w:val="766"/>
              <w:rPr>
                <w:color w:val="auto"/>
              </w:rPr>
            </w:pPr>
            <w:r>
              <w:rPr>
                <w:rFonts w:hint="eastAsia"/>
                <w:color w:val="auto"/>
              </w:rPr>
              <w:t>套</w:t>
            </w:r>
          </w:p>
        </w:tc>
        <w:tc>
          <w:tcPr>
            <w:tcW w:w="997" w:type="pct"/>
            <w:vAlign w:val="center"/>
          </w:tcPr>
          <w:p w14:paraId="2BE5FCD4">
            <w:pPr>
              <w:pStyle w:val="766"/>
              <w:rPr>
                <w:color w:val="auto"/>
              </w:rPr>
            </w:pPr>
            <w:r>
              <w:rPr>
                <w:color w:val="auto"/>
                <w:lang w:bidi="ar"/>
              </w:rPr>
              <w:t>1</w:t>
            </w:r>
          </w:p>
        </w:tc>
      </w:tr>
      <w:tr w14:paraId="4A13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52204AA7">
            <w:pPr>
              <w:pStyle w:val="766"/>
              <w:rPr>
                <w:color w:val="auto"/>
              </w:rPr>
            </w:pPr>
            <w:r>
              <w:rPr>
                <w:rFonts w:hint="eastAsia"/>
                <w:color w:val="auto"/>
              </w:rPr>
              <w:t>8</w:t>
            </w:r>
          </w:p>
        </w:tc>
        <w:tc>
          <w:tcPr>
            <w:tcW w:w="1600" w:type="pct"/>
            <w:vAlign w:val="center"/>
          </w:tcPr>
          <w:p w14:paraId="3D01A9CE">
            <w:pPr>
              <w:pStyle w:val="766"/>
              <w:rPr>
                <w:color w:val="auto"/>
                <w:lang w:bidi="ar"/>
              </w:rPr>
            </w:pPr>
            <w:r>
              <w:rPr>
                <w:color w:val="auto"/>
                <w:lang w:bidi="ar"/>
              </w:rPr>
              <w:t>监控设备</w:t>
            </w:r>
          </w:p>
        </w:tc>
        <w:tc>
          <w:tcPr>
            <w:tcW w:w="1028" w:type="pct"/>
          </w:tcPr>
          <w:p w14:paraId="521E1A07">
            <w:pPr>
              <w:pStyle w:val="766"/>
              <w:rPr>
                <w:b/>
                <w:bCs/>
                <w:color w:val="auto"/>
              </w:rPr>
            </w:pPr>
            <w:r>
              <w:rPr>
                <w:rFonts w:hint="eastAsia"/>
                <w:color w:val="auto"/>
              </w:rPr>
              <w:t>/</w:t>
            </w:r>
          </w:p>
        </w:tc>
        <w:tc>
          <w:tcPr>
            <w:tcW w:w="837" w:type="pct"/>
          </w:tcPr>
          <w:p w14:paraId="7F2AA543">
            <w:pPr>
              <w:pStyle w:val="766"/>
              <w:rPr>
                <w:color w:val="auto"/>
              </w:rPr>
            </w:pPr>
            <w:r>
              <w:rPr>
                <w:rFonts w:hint="eastAsia"/>
                <w:color w:val="auto"/>
              </w:rPr>
              <w:t>套</w:t>
            </w:r>
          </w:p>
        </w:tc>
        <w:tc>
          <w:tcPr>
            <w:tcW w:w="997" w:type="pct"/>
            <w:vAlign w:val="center"/>
          </w:tcPr>
          <w:p w14:paraId="0A51F408">
            <w:pPr>
              <w:pStyle w:val="766"/>
              <w:rPr>
                <w:color w:val="auto"/>
              </w:rPr>
            </w:pPr>
            <w:r>
              <w:rPr>
                <w:color w:val="auto"/>
                <w:lang w:bidi="ar"/>
              </w:rPr>
              <w:t>1</w:t>
            </w:r>
          </w:p>
        </w:tc>
      </w:tr>
      <w:tr w14:paraId="02C6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pct"/>
            <w:vAlign w:val="center"/>
          </w:tcPr>
          <w:p w14:paraId="666DB9ED">
            <w:pPr>
              <w:pStyle w:val="766"/>
              <w:rPr>
                <w:color w:val="auto"/>
              </w:rPr>
            </w:pPr>
            <w:r>
              <w:rPr>
                <w:rFonts w:hint="eastAsia"/>
                <w:color w:val="auto"/>
              </w:rPr>
              <w:t>9</w:t>
            </w:r>
          </w:p>
        </w:tc>
        <w:tc>
          <w:tcPr>
            <w:tcW w:w="1600" w:type="pct"/>
            <w:vAlign w:val="center"/>
          </w:tcPr>
          <w:p w14:paraId="3B34E4E1">
            <w:pPr>
              <w:pStyle w:val="766"/>
              <w:rPr>
                <w:color w:val="auto"/>
                <w:lang w:bidi="ar"/>
              </w:rPr>
            </w:pPr>
            <w:r>
              <w:rPr>
                <w:color w:val="auto"/>
                <w:lang w:bidi="ar"/>
              </w:rPr>
              <w:t>供暖系统</w:t>
            </w:r>
          </w:p>
        </w:tc>
        <w:tc>
          <w:tcPr>
            <w:tcW w:w="1028" w:type="pct"/>
          </w:tcPr>
          <w:p w14:paraId="4C19A38A">
            <w:pPr>
              <w:pStyle w:val="766"/>
              <w:rPr>
                <w:b/>
                <w:bCs/>
                <w:color w:val="auto"/>
              </w:rPr>
            </w:pPr>
            <w:r>
              <w:rPr>
                <w:rFonts w:hint="eastAsia"/>
                <w:color w:val="auto"/>
              </w:rPr>
              <w:t>/</w:t>
            </w:r>
          </w:p>
        </w:tc>
        <w:tc>
          <w:tcPr>
            <w:tcW w:w="837" w:type="pct"/>
          </w:tcPr>
          <w:p w14:paraId="432D16A9">
            <w:pPr>
              <w:pStyle w:val="766"/>
              <w:rPr>
                <w:color w:val="auto"/>
              </w:rPr>
            </w:pPr>
            <w:r>
              <w:rPr>
                <w:rFonts w:hint="eastAsia"/>
                <w:color w:val="auto"/>
              </w:rPr>
              <w:t>套</w:t>
            </w:r>
          </w:p>
        </w:tc>
        <w:tc>
          <w:tcPr>
            <w:tcW w:w="997" w:type="pct"/>
            <w:vAlign w:val="center"/>
          </w:tcPr>
          <w:p w14:paraId="22ECF3B6">
            <w:pPr>
              <w:pStyle w:val="766"/>
              <w:rPr>
                <w:color w:val="auto"/>
              </w:rPr>
            </w:pPr>
            <w:r>
              <w:rPr>
                <w:color w:val="auto"/>
                <w:lang w:bidi="ar"/>
              </w:rPr>
              <w:t>1</w:t>
            </w:r>
          </w:p>
        </w:tc>
      </w:tr>
    </w:tbl>
    <w:p w14:paraId="4FBB7AA3">
      <w:pPr>
        <w:pStyle w:val="11"/>
      </w:pPr>
      <w:bookmarkStart w:id="173" w:name="_Toc166572266"/>
      <w:r>
        <w:t>3.1.</w:t>
      </w:r>
      <w:r>
        <w:rPr>
          <w:rFonts w:hint="eastAsia"/>
        </w:rPr>
        <w:t>5</w:t>
      </w:r>
      <w:r>
        <w:t>厂区总平面布置</w:t>
      </w:r>
      <w:bookmarkEnd w:id="173"/>
    </w:p>
    <w:p w14:paraId="73FFDEE0">
      <w:pPr>
        <w:widowControl w:val="0"/>
        <w:ind w:firstLine="480"/>
      </w:pPr>
      <w:r>
        <w:t>（1）场区平面布置</w:t>
      </w:r>
    </w:p>
    <w:p w14:paraId="23DF8ACE">
      <w:pPr>
        <w:widowControl w:val="0"/>
        <w:ind w:firstLine="480"/>
      </w:pPr>
      <w:r>
        <w:t>拟建项目总占地面积</w:t>
      </w:r>
      <w:r>
        <w:rPr>
          <w:rFonts w:hint="eastAsia"/>
        </w:rPr>
        <w:t>28.02</w:t>
      </w:r>
      <w:r>
        <w:t>hm</w:t>
      </w:r>
      <w:r>
        <w:rPr>
          <w:vertAlign w:val="superscript"/>
        </w:rPr>
        <w:t>2</w:t>
      </w:r>
      <w:r>
        <w:t>，</w:t>
      </w:r>
      <w:r>
        <w:rPr>
          <w:rFonts w:hint="eastAsia"/>
        </w:rPr>
        <w:t>主要占地类型为灌木林地，</w:t>
      </w:r>
      <w:r>
        <w:t>工程场地呈</w:t>
      </w:r>
      <w:r>
        <w:rPr>
          <w:rFonts w:hint="eastAsia"/>
        </w:rPr>
        <w:t>不规则倒</w:t>
      </w:r>
      <w:r>
        <w:t>L形，工程场地地形平坦。总体看来，</w:t>
      </w:r>
      <w:r>
        <w:rPr>
          <w:rFonts w:hint="eastAsia"/>
        </w:rPr>
        <w:t>根据蛋鸡场各功能特点及范畴，可将整个鸡场划分为标准化蛋鸡养殖区、标准化育雏育成养殖区、有机肥加工车间、办公生活中心、饲料加工区及蛋品加工中心等六个区域。</w:t>
      </w:r>
      <w:r>
        <w:rPr>
          <w:bCs/>
        </w:rPr>
        <w:t>项目平面布置情况见附图。</w:t>
      </w:r>
      <w:r>
        <w:t>生活区位于主导风向的上风向且与生产区、</w:t>
      </w:r>
      <w:r>
        <w:rPr>
          <w:rFonts w:hint="eastAsia"/>
        </w:rPr>
        <w:t>有机肥加工车间</w:t>
      </w:r>
      <w:r>
        <w:t>隔离开，</w:t>
      </w:r>
      <w:r>
        <w:rPr>
          <w:rFonts w:hint="eastAsia"/>
        </w:rPr>
        <w:t>有机肥加工车间</w:t>
      </w:r>
      <w:r>
        <w:t>位于主导风向的下风向。项目各区周边栽植绿化带，既可以作为绿化隔离带，同时又作为防疫隔离带。</w:t>
      </w:r>
    </w:p>
    <w:p w14:paraId="1F028611">
      <w:pPr>
        <w:widowControl w:val="0"/>
        <w:ind w:firstLine="480"/>
      </w:pPr>
      <w:r>
        <w:t>本项目场区总平面布置见附图</w:t>
      </w:r>
      <w:r>
        <w:rPr>
          <w:rFonts w:hint="eastAsia"/>
        </w:rPr>
        <w:t>2</w:t>
      </w:r>
      <w:r>
        <w:t>。</w:t>
      </w:r>
    </w:p>
    <w:p w14:paraId="50989D2D">
      <w:pPr>
        <w:widowControl w:val="0"/>
        <w:ind w:firstLine="480"/>
      </w:pPr>
      <w:r>
        <w:t>（2）平面布置合理性分析</w:t>
      </w:r>
    </w:p>
    <w:p w14:paraId="2060D08C">
      <w:pPr>
        <w:widowControl w:val="0"/>
        <w:ind w:firstLine="480"/>
      </w:pPr>
      <w:r>
        <w:t>根据《畜禽养殖业污染防治技术规范》（HJ/T81-2001）中有关规定：新建、改建、扩建的畜禽养殖场应实现生产区、生产管理区的隔离；粪便废水处理设施和粪便临时堆存点应设在养殖场的生产区、生活管理区的常年主导风向的下风向或侧风向处，粪便临时堆放点还必须远离各项功能地表水体（距离不得小于400m）。养殖场的排水系统应实行雨水和污水收集输送系统分离，在厂区内外设置的污水收集输送系统，不得采取明沟布设。</w:t>
      </w:r>
    </w:p>
    <w:p w14:paraId="75BF2860">
      <w:pPr>
        <w:widowControl w:val="0"/>
        <w:ind w:firstLine="480"/>
      </w:pPr>
      <w:r>
        <w:t>本项目厂区</w:t>
      </w:r>
      <w:r>
        <w:rPr>
          <w:rFonts w:hint="eastAsia"/>
        </w:rPr>
        <w:t>规划共有2个出入口，均与外的公路衔接，出入口的数量、位置及疏散宽度均满足消防疏散等要求</w:t>
      </w:r>
      <w:r>
        <w:t>。项目区域主导风向为东南风，办公生活用房位于场区南侧，位于上风向，可以有效减少鸡舍恶臭气体对员工生活区域的影响；</w:t>
      </w:r>
      <w:r>
        <w:rPr>
          <w:rFonts w:hint="eastAsia"/>
        </w:rPr>
        <w:t>有机肥加工车间</w:t>
      </w:r>
      <w:r>
        <w:t>位于项目北侧，处于主导风向的下风向，可以有效减少恶臭气体对员工生活区域的影响。</w:t>
      </w:r>
    </w:p>
    <w:p w14:paraId="7364DDD3">
      <w:pPr>
        <w:widowControl w:val="0"/>
        <w:ind w:firstLine="480"/>
      </w:pPr>
      <w:r>
        <w:t>养殖场的排水系统实行雨污分流，厂内设置的污水收集输送系统，均布设为密闭管网，雨水不会混入其中，厂外不设置污水输送管网。项目采用干清粪工艺，鸡粪日产日清，鸡粪</w:t>
      </w:r>
      <w:r>
        <w:rPr>
          <w:rFonts w:hint="eastAsia"/>
        </w:rPr>
        <w:t>输送至有机肥加工车间</w:t>
      </w:r>
      <w:r>
        <w:t>，不在厂内长期贮存，符合《畜禽养殖业污染防治技术规范》（HJ/T81-2001）要求。</w:t>
      </w:r>
    </w:p>
    <w:p w14:paraId="6631352F">
      <w:pPr>
        <w:widowControl w:val="0"/>
        <w:ind w:firstLine="480"/>
      </w:pPr>
      <w:r>
        <w:t>综上所述，本项目平面布置较为合理。</w:t>
      </w:r>
    </w:p>
    <w:p w14:paraId="238BAF04">
      <w:pPr>
        <w:widowControl w:val="0"/>
        <w:tabs>
          <w:tab w:val="left" w:pos="900"/>
        </w:tabs>
        <w:ind w:firstLine="480"/>
      </w:pPr>
      <w:r>
        <w:t>（3）周边环境</w:t>
      </w:r>
    </w:p>
    <w:p w14:paraId="73F24CF5">
      <w:pPr>
        <w:widowControl w:val="0"/>
        <w:ind w:firstLine="480"/>
        <w:rPr>
          <w:kern w:val="0"/>
        </w:rPr>
      </w:pPr>
      <w:r>
        <w:rPr>
          <w:kern w:val="0"/>
        </w:rPr>
        <w:t>本项目位于</w:t>
      </w:r>
      <w:r>
        <w:rPr>
          <w:bCs/>
          <w:szCs w:val="28"/>
        </w:rPr>
        <w:t>鄂托克旗蒙西镇</w:t>
      </w:r>
      <w:r>
        <w:rPr>
          <w:kern w:val="0"/>
        </w:rPr>
        <w:t>，项目区</w:t>
      </w:r>
      <w:r>
        <w:rPr>
          <w:rFonts w:hint="eastAsia"/>
          <w:kern w:val="0"/>
        </w:rPr>
        <w:t>为未利用地</w:t>
      </w:r>
      <w:r>
        <w:rPr>
          <w:kern w:val="0"/>
        </w:rPr>
        <w:t>，</w:t>
      </w:r>
      <w:r>
        <w:rPr>
          <w:rFonts w:hint="eastAsia"/>
          <w:kern w:val="0"/>
        </w:rPr>
        <w:t>东南西北均为荒地，</w:t>
      </w:r>
      <w:r>
        <w:t>本项目东南侧</w:t>
      </w:r>
      <w:r>
        <w:rPr>
          <w:rFonts w:hint="eastAsia"/>
        </w:rPr>
        <w:t>700m</w:t>
      </w:r>
      <w:r>
        <w:t>为京藏高速</w:t>
      </w:r>
      <w:r>
        <w:rPr>
          <w:rFonts w:hint="eastAsia"/>
        </w:rPr>
        <w:t>。</w:t>
      </w:r>
    </w:p>
    <w:p w14:paraId="18B446FD">
      <w:pPr>
        <w:pStyle w:val="11"/>
      </w:pPr>
      <w:bookmarkStart w:id="174" w:name="_Toc166572267"/>
      <w:r>
        <w:t>3.1.</w:t>
      </w:r>
      <w:r>
        <w:rPr>
          <w:rFonts w:hint="eastAsia"/>
        </w:rPr>
        <w:t>6</w:t>
      </w:r>
      <w:r>
        <w:t>公用工程</w:t>
      </w:r>
      <w:bookmarkEnd w:id="174"/>
    </w:p>
    <w:p w14:paraId="1EBD5709">
      <w:pPr>
        <w:pStyle w:val="12"/>
      </w:pPr>
      <w:r>
        <w:t>3.1.</w:t>
      </w:r>
      <w:r>
        <w:rPr>
          <w:rFonts w:hint="eastAsia"/>
        </w:rPr>
        <w:t>6</w:t>
      </w:r>
      <w:r>
        <w:t>.1供水</w:t>
      </w:r>
    </w:p>
    <w:p w14:paraId="285DD3A2">
      <w:pPr>
        <w:pStyle w:val="105"/>
        <w:ind w:firstLine="480"/>
      </w:pPr>
      <w:r>
        <w:t>1、新鲜水给水水源</w:t>
      </w:r>
    </w:p>
    <w:p w14:paraId="6AF749C8">
      <w:pPr>
        <w:pStyle w:val="105"/>
        <w:ind w:firstLine="480"/>
      </w:pPr>
      <w:r>
        <w:t>本项目供水采用地下水，项目区含水层在50-150m之间。企业拟自备机井</w:t>
      </w:r>
      <w:r>
        <w:rPr>
          <w:rFonts w:hint="eastAsia"/>
        </w:rPr>
        <w:t>1</w:t>
      </w:r>
      <w:r>
        <w:t>眼，机井出水量50吨/小时，水质良好，可满足生产、生活所需</w:t>
      </w:r>
      <w:r>
        <w:rPr>
          <w:rFonts w:hint="eastAsia"/>
        </w:rPr>
        <w:t>；根据鄂政水审</w:t>
      </w:r>
      <w:r>
        <w:t>发〔2020〕44号文</w:t>
      </w:r>
      <w:r>
        <w:rPr>
          <w:rFonts w:hint="eastAsia"/>
        </w:rPr>
        <w:t>已准予本项目取水许可审批行政许可</w:t>
      </w:r>
      <w:r>
        <w:t>。</w:t>
      </w:r>
    </w:p>
    <w:p w14:paraId="12CA065D">
      <w:pPr>
        <w:pStyle w:val="105"/>
        <w:ind w:firstLine="480"/>
      </w:pPr>
      <w:r>
        <w:t>2、用水水量</w:t>
      </w:r>
    </w:p>
    <w:p w14:paraId="07E5B6A6">
      <w:pPr>
        <w:pStyle w:val="105"/>
        <w:ind w:firstLine="480"/>
      </w:pPr>
      <w:r>
        <w:t>项目用水包括鸡饮用水、鸡舍冲洗用水、消毒用水、湿帘降温补充水、职工生活用水、</w:t>
      </w:r>
      <w:r>
        <w:rPr>
          <w:rFonts w:hint="eastAsia"/>
        </w:rPr>
        <w:t>软化水</w:t>
      </w:r>
      <w:r>
        <w:t>设备用水</w:t>
      </w:r>
      <w:r>
        <w:rPr>
          <w:szCs w:val="21"/>
        </w:rPr>
        <w:t>、绿化用水。</w:t>
      </w:r>
    </w:p>
    <w:p w14:paraId="093815CF">
      <w:pPr>
        <w:pStyle w:val="105"/>
        <w:ind w:firstLine="480"/>
      </w:pPr>
      <w:r>
        <w:fldChar w:fldCharType="begin"/>
      </w:r>
      <w:r>
        <w:instrText xml:space="preserve"> = 1 \* GB3 </w:instrText>
      </w:r>
      <w:r>
        <w:fldChar w:fldCharType="separate"/>
      </w:r>
      <w:r>
        <w:rPr>
          <w:rFonts w:hint="eastAsia" w:ascii="宋体" w:hAnsi="宋体" w:cs="宋体"/>
        </w:rPr>
        <w:t>①</w:t>
      </w:r>
      <w:r>
        <w:fldChar w:fldCharType="end"/>
      </w:r>
      <w:r>
        <w:t>鸡饮用水</w:t>
      </w:r>
    </w:p>
    <w:p w14:paraId="0F8A0A0C">
      <w:pPr>
        <w:pStyle w:val="105"/>
        <w:ind w:firstLine="480"/>
        <w:jc w:val="both"/>
      </w:pPr>
      <w:r>
        <w:rPr>
          <w:rFonts w:hint="eastAsia"/>
        </w:rPr>
        <w:t>根据《养鸡课堂》蛋鸡最佳饮水量为230ml/d·只~300ml/d·只，本次计算取250ml/d·只，本项目存栏鸡120万只，</w:t>
      </w:r>
      <w:r>
        <w:rPr>
          <w:szCs w:val="21"/>
        </w:rPr>
        <w:t>则</w:t>
      </w:r>
      <w:r>
        <w:rPr>
          <w:rFonts w:hint="eastAsia"/>
        </w:rPr>
        <w:t>本项目鸡饮用水量为300m</w:t>
      </w:r>
      <w:r>
        <w:rPr>
          <w:rFonts w:hint="eastAsia"/>
          <w:vertAlign w:val="superscript"/>
        </w:rPr>
        <w:t>3</w:t>
      </w:r>
      <w:r>
        <w:rPr>
          <w:rFonts w:hint="eastAsia"/>
        </w:rPr>
        <w:t>/d，即109500m</w:t>
      </w:r>
      <w:r>
        <w:rPr>
          <w:rFonts w:hint="eastAsia"/>
          <w:vertAlign w:val="superscript"/>
        </w:rPr>
        <w:t>3</w:t>
      </w:r>
      <w:r>
        <w:rPr>
          <w:rFonts w:hint="eastAsia"/>
        </w:rPr>
        <w:t>/a。</w:t>
      </w:r>
    </w:p>
    <w:p w14:paraId="45714268">
      <w:pPr>
        <w:pStyle w:val="105"/>
        <w:ind w:firstLine="480"/>
      </w:pPr>
      <w:r>
        <w:fldChar w:fldCharType="begin"/>
      </w:r>
      <w:r>
        <w:instrText xml:space="preserve"> = 2 \* GB3 </w:instrText>
      </w:r>
      <w:r>
        <w:fldChar w:fldCharType="separate"/>
      </w:r>
      <w:r>
        <w:rPr>
          <w:rFonts w:hint="eastAsia" w:ascii="宋体" w:hAnsi="宋体" w:cs="宋体"/>
        </w:rPr>
        <w:t>②</w:t>
      </w:r>
      <w:r>
        <w:fldChar w:fldCharType="end"/>
      </w:r>
      <w:r>
        <w:t>鸡舍冲洗用水</w:t>
      </w:r>
    </w:p>
    <w:p w14:paraId="35C22D36">
      <w:pPr>
        <w:pStyle w:val="105"/>
        <w:ind w:firstLine="480"/>
        <w:jc w:val="both"/>
        <w:rPr>
          <w:szCs w:val="21"/>
        </w:rPr>
      </w:pPr>
      <w:r>
        <w:t>本项目共设置6栋</w:t>
      </w:r>
      <w:r>
        <w:rPr>
          <w:rFonts w:hint="eastAsia"/>
        </w:rPr>
        <w:t>青年</w:t>
      </w:r>
      <w:r>
        <w:t>鸡舍，据养殖周期一年清洗3次，单栋</w:t>
      </w:r>
      <w:r>
        <w:rPr>
          <w:rFonts w:hint="eastAsia"/>
        </w:rPr>
        <w:t>单次清洗</w:t>
      </w:r>
      <w:r>
        <w:t>使用水量</w:t>
      </w:r>
      <w:r>
        <w:rPr>
          <w:szCs w:val="21"/>
        </w:rPr>
        <w:t>35m</w:t>
      </w:r>
      <w:r>
        <w:rPr>
          <w:szCs w:val="21"/>
          <w:vertAlign w:val="superscript"/>
        </w:rPr>
        <w:t>3</w:t>
      </w:r>
      <w:r>
        <w:rPr>
          <w:szCs w:val="21"/>
        </w:rPr>
        <w:t>/次</w:t>
      </w:r>
      <w:r>
        <w:rPr>
          <w:rFonts w:hint="eastAsia"/>
          <w:szCs w:val="21"/>
        </w:rPr>
        <w:t>，折算为每天用水量为1.73</w:t>
      </w:r>
      <w:r>
        <w:t>m</w:t>
      </w:r>
      <w:r>
        <w:rPr>
          <w:vertAlign w:val="superscript"/>
        </w:rPr>
        <w:t>3</w:t>
      </w:r>
      <w:r>
        <w:t>/</w:t>
      </w:r>
      <w:r>
        <w:rPr>
          <w:rFonts w:hint="eastAsia"/>
        </w:rPr>
        <w:t>d</w:t>
      </w:r>
      <w:r>
        <w:t>；9栋蛋鸡舍，据养殖周期一年清洗1次，单栋</w:t>
      </w:r>
      <w:r>
        <w:rPr>
          <w:rFonts w:hint="eastAsia"/>
        </w:rPr>
        <w:t>单次清洗</w:t>
      </w:r>
      <w:r>
        <w:t>使用水量</w:t>
      </w:r>
      <w:r>
        <w:rPr>
          <w:szCs w:val="21"/>
        </w:rPr>
        <w:t>80m</w:t>
      </w:r>
      <w:r>
        <w:rPr>
          <w:szCs w:val="21"/>
          <w:vertAlign w:val="superscript"/>
        </w:rPr>
        <w:t>3</w:t>
      </w:r>
      <w:r>
        <w:rPr>
          <w:szCs w:val="21"/>
        </w:rPr>
        <w:t>/次</w:t>
      </w:r>
      <w:r>
        <w:rPr>
          <w:rFonts w:hint="eastAsia"/>
          <w:szCs w:val="21"/>
        </w:rPr>
        <w:t>，折算为每天用水量为1.97</w:t>
      </w:r>
      <w:r>
        <w:t>m</w:t>
      </w:r>
      <w:r>
        <w:rPr>
          <w:vertAlign w:val="superscript"/>
        </w:rPr>
        <w:t>3</w:t>
      </w:r>
      <w:r>
        <w:t>/</w:t>
      </w:r>
      <w:r>
        <w:rPr>
          <w:rFonts w:hint="eastAsia"/>
        </w:rPr>
        <w:t>d</w:t>
      </w:r>
      <w:r>
        <w:rPr>
          <w:szCs w:val="21"/>
        </w:rPr>
        <w:t>。</w:t>
      </w:r>
    </w:p>
    <w:p w14:paraId="47FF83E9">
      <w:pPr>
        <w:pStyle w:val="105"/>
        <w:ind w:firstLine="480"/>
        <w:jc w:val="both"/>
      </w:pPr>
      <w:r>
        <w:t>本项目鸡舍冲洗用水</w:t>
      </w:r>
      <w:r>
        <w:rPr>
          <w:rFonts w:hint="eastAsia"/>
        </w:rPr>
        <w:t>总</w:t>
      </w:r>
      <w:r>
        <w:t>量为1</w:t>
      </w:r>
      <w:r>
        <w:rPr>
          <w:rFonts w:hint="eastAsia"/>
        </w:rPr>
        <w:t>350</w:t>
      </w:r>
      <w:r>
        <w:t>m</w:t>
      </w:r>
      <w:r>
        <w:rPr>
          <w:vertAlign w:val="superscript"/>
        </w:rPr>
        <w:t>3</w:t>
      </w:r>
      <w:r>
        <w:t>/a</w:t>
      </w:r>
      <w:r>
        <w:rPr>
          <w:rFonts w:hint="eastAsia"/>
        </w:rPr>
        <w:t>（3.7</w:t>
      </w:r>
      <w:r>
        <w:t>m</w:t>
      </w:r>
      <w:r>
        <w:rPr>
          <w:vertAlign w:val="superscript"/>
        </w:rPr>
        <w:t>3</w:t>
      </w:r>
      <w:r>
        <w:t>/</w:t>
      </w:r>
      <w:r>
        <w:rPr>
          <w:rFonts w:hint="eastAsia"/>
        </w:rPr>
        <w:t>d）</w:t>
      </w:r>
      <w:r>
        <w:t>。</w:t>
      </w:r>
    </w:p>
    <w:p w14:paraId="097FCDCB">
      <w:pPr>
        <w:pStyle w:val="105"/>
        <w:ind w:firstLine="480"/>
      </w:pPr>
      <w:r>
        <w:fldChar w:fldCharType="begin"/>
      </w:r>
      <w:r>
        <w:instrText xml:space="preserve"> = 3 \* GB3 </w:instrText>
      </w:r>
      <w:r>
        <w:fldChar w:fldCharType="separate"/>
      </w:r>
      <w:r>
        <w:rPr>
          <w:rFonts w:hint="eastAsia" w:ascii="宋体" w:hAnsi="宋体" w:cs="宋体"/>
        </w:rPr>
        <w:t>③</w:t>
      </w:r>
      <w:r>
        <w:fldChar w:fldCharType="end"/>
      </w:r>
      <w:r>
        <w:t>消毒用水</w:t>
      </w:r>
    </w:p>
    <w:p w14:paraId="0867ED35">
      <w:pPr>
        <w:pStyle w:val="105"/>
        <w:ind w:firstLine="480"/>
        <w:jc w:val="both"/>
        <w:rPr>
          <w:kern w:val="0"/>
        </w:rPr>
      </w:pPr>
      <w:r>
        <w:rPr>
          <w:kern w:val="0"/>
        </w:rPr>
        <w:t>项目鸡舍、车辆及人员进场均需要消毒，消毒剂需加水调配。</w:t>
      </w:r>
    </w:p>
    <w:p w14:paraId="6B0DD4EB">
      <w:pPr>
        <w:pStyle w:val="105"/>
        <w:ind w:firstLine="480"/>
        <w:jc w:val="both"/>
        <w:rPr>
          <w:kern w:val="0"/>
        </w:rPr>
      </w:pPr>
      <w:r>
        <w:rPr>
          <w:kern w:val="0"/>
        </w:rPr>
        <w:t>鸡舍消毒用水：鸡舍消毒采取鸡舍内喷洒模式，消毒水在鸡舍内挥发殆尽，消毒频率为一周1次，全年消毒约52次，平均每次消毒用水量约6</w:t>
      </w:r>
      <w:r>
        <w:t>m</w:t>
      </w:r>
      <w:r>
        <w:rPr>
          <w:vertAlign w:val="superscript"/>
        </w:rPr>
        <w:t>3</w:t>
      </w:r>
      <w:r>
        <w:rPr>
          <w:kern w:val="0"/>
        </w:rPr>
        <w:t>，则鸡舍全年消毒用水量为312</w:t>
      </w:r>
      <w:r>
        <w:t>m</w:t>
      </w:r>
      <w:r>
        <w:rPr>
          <w:vertAlign w:val="superscript"/>
        </w:rPr>
        <w:t>3</w:t>
      </w:r>
      <w:r>
        <w:t>/a</w:t>
      </w:r>
      <w:r>
        <w:rPr>
          <w:kern w:val="0"/>
        </w:rPr>
        <w:t>。</w:t>
      </w:r>
    </w:p>
    <w:p w14:paraId="598AF35E">
      <w:pPr>
        <w:pStyle w:val="105"/>
        <w:ind w:firstLine="480"/>
        <w:rPr>
          <w:kern w:val="0"/>
        </w:rPr>
      </w:pPr>
      <w:r>
        <w:rPr>
          <w:kern w:val="0"/>
        </w:rPr>
        <w:t>车辆消毒用水：车辆进入鸡场前需消毒，用水量为</w:t>
      </w:r>
      <w:r>
        <w:rPr>
          <w:szCs w:val="21"/>
        </w:rPr>
        <w:t>2</w:t>
      </w:r>
      <w:r>
        <w:t>m</w:t>
      </w:r>
      <w:r>
        <w:rPr>
          <w:vertAlign w:val="superscript"/>
        </w:rPr>
        <w:t>3</w:t>
      </w:r>
      <w:r>
        <w:rPr>
          <w:szCs w:val="21"/>
        </w:rPr>
        <w:t>/周，全年用水量为</w:t>
      </w:r>
      <w:r>
        <w:rPr>
          <w:kern w:val="0"/>
        </w:rPr>
        <w:t>104</w:t>
      </w:r>
      <w:r>
        <w:t>m</w:t>
      </w:r>
      <w:r>
        <w:rPr>
          <w:vertAlign w:val="superscript"/>
        </w:rPr>
        <w:t>3</w:t>
      </w:r>
      <w:r>
        <w:t>/a</w:t>
      </w:r>
      <w:r>
        <w:rPr>
          <w:kern w:val="0"/>
        </w:rPr>
        <w:t>。</w:t>
      </w:r>
    </w:p>
    <w:p w14:paraId="3368C93B">
      <w:pPr>
        <w:pStyle w:val="105"/>
        <w:ind w:firstLine="480"/>
        <w:rPr>
          <w:kern w:val="0"/>
        </w:rPr>
      </w:pPr>
      <w:r>
        <w:t>人员消毒用水：人员入鸡舍前需进行消毒，用水量为</w:t>
      </w:r>
      <w:r>
        <w:rPr>
          <w:szCs w:val="21"/>
        </w:rPr>
        <w:t>1</w:t>
      </w:r>
      <w:r>
        <w:t>m</w:t>
      </w:r>
      <w:r>
        <w:rPr>
          <w:vertAlign w:val="superscript"/>
        </w:rPr>
        <w:t>3</w:t>
      </w:r>
      <w:r>
        <w:rPr>
          <w:szCs w:val="21"/>
        </w:rPr>
        <w:t>/周，全年用水量为</w:t>
      </w:r>
      <w:r>
        <w:rPr>
          <w:kern w:val="0"/>
        </w:rPr>
        <w:t>52</w:t>
      </w:r>
      <w:r>
        <w:t>m</w:t>
      </w:r>
      <w:r>
        <w:rPr>
          <w:vertAlign w:val="superscript"/>
        </w:rPr>
        <w:t>3</w:t>
      </w:r>
      <w:r>
        <w:t>/a</w:t>
      </w:r>
      <w:r>
        <w:rPr>
          <w:kern w:val="0"/>
        </w:rPr>
        <w:t>。</w:t>
      </w:r>
    </w:p>
    <w:p w14:paraId="3C707798">
      <w:pPr>
        <w:pStyle w:val="105"/>
        <w:ind w:firstLine="480"/>
      </w:pPr>
      <w:r>
        <w:rPr>
          <w:kern w:val="0"/>
        </w:rPr>
        <w:t>综上，项目鸡舍、车辆及人员消毒用水</w:t>
      </w:r>
      <w:r>
        <w:t>共计</w:t>
      </w:r>
      <w:r>
        <w:rPr>
          <w:kern w:val="0"/>
        </w:rPr>
        <w:t>468</w:t>
      </w:r>
      <w:r>
        <w:t>m</w:t>
      </w:r>
      <w:r>
        <w:rPr>
          <w:vertAlign w:val="superscript"/>
        </w:rPr>
        <w:t>3</w:t>
      </w:r>
      <w:r>
        <w:t>/a</w:t>
      </w:r>
      <w:r>
        <w:rPr>
          <w:rFonts w:hint="eastAsia"/>
        </w:rPr>
        <w:t>（1.28</w:t>
      </w:r>
      <w:r>
        <w:t>m</w:t>
      </w:r>
      <w:r>
        <w:rPr>
          <w:vertAlign w:val="superscript"/>
        </w:rPr>
        <w:t>3</w:t>
      </w:r>
      <w:r>
        <w:t>/</w:t>
      </w:r>
      <w:r>
        <w:rPr>
          <w:rFonts w:hint="eastAsia"/>
        </w:rPr>
        <w:t>d）</w:t>
      </w:r>
      <w:r>
        <w:t>。</w:t>
      </w:r>
    </w:p>
    <w:p w14:paraId="4428E9C9">
      <w:pPr>
        <w:pStyle w:val="105"/>
        <w:ind w:firstLine="480"/>
      </w:pPr>
      <w:r>
        <w:rPr>
          <w:rFonts w:hint="eastAsia" w:ascii="宋体" w:hAnsi="宋体" w:cs="宋体"/>
        </w:rPr>
        <w:t>④</w:t>
      </w:r>
      <w:r>
        <w:t>湿帘降温补充水</w:t>
      </w:r>
    </w:p>
    <w:p w14:paraId="27468F0B">
      <w:pPr>
        <w:adjustRightInd w:val="0"/>
        <w:snapToGrid w:val="0"/>
        <w:ind w:firstLine="480"/>
      </w:pPr>
      <w:r>
        <w:t>夏季鸡舍温度较高，当温度达到35℃以上，需开启鸡舍的循环水帘降温装置。根据建设单位提供的资料，每栋蛋鸡舍内设置3套水帘降温系统，每栋</w:t>
      </w:r>
      <w:r>
        <w:rPr>
          <w:rFonts w:hint="eastAsia"/>
        </w:rPr>
        <w:t>青年</w:t>
      </w:r>
      <w:r>
        <w:t>鸡舍设置1套水帘降温系统，</w:t>
      </w:r>
      <w:r>
        <w:rPr>
          <w:rFonts w:hint="eastAsia"/>
          <w:szCs w:val="21"/>
        </w:rPr>
        <w:t>青年</w:t>
      </w:r>
      <w:r>
        <w:rPr>
          <w:szCs w:val="21"/>
        </w:rPr>
        <w:t>鸡舍使用40d，蛋鸡舍使用100d，</w:t>
      </w:r>
      <w:r>
        <w:t>湿帘降温补充水</w:t>
      </w:r>
      <w:r>
        <w:rPr>
          <w:szCs w:val="21"/>
        </w:rPr>
        <w:t>0.5</w:t>
      </w:r>
      <w:r>
        <w:rPr>
          <w:rFonts w:hint="eastAsia"/>
          <w:szCs w:val="21"/>
        </w:rPr>
        <w:t>m</w:t>
      </w:r>
      <w:r>
        <w:rPr>
          <w:rFonts w:hint="eastAsia"/>
          <w:szCs w:val="21"/>
          <w:vertAlign w:val="superscript"/>
        </w:rPr>
        <w:t>3</w:t>
      </w:r>
      <w:r>
        <w:rPr>
          <w:szCs w:val="21"/>
        </w:rPr>
        <w:t>/（帘·d）</w:t>
      </w:r>
      <w:r>
        <w:t>，全厂湿帘降温补充水1410m</w:t>
      </w:r>
      <w:r>
        <w:rPr>
          <w:vertAlign w:val="superscript"/>
        </w:rPr>
        <w:t>3</w:t>
      </w:r>
      <w:r>
        <w:t>/a，全部蒸发损失，无废水产生。</w:t>
      </w:r>
    </w:p>
    <w:p w14:paraId="03423A84">
      <w:pPr>
        <w:pStyle w:val="105"/>
        <w:ind w:firstLine="480"/>
      </w:pPr>
      <w:r>
        <w:fldChar w:fldCharType="begin"/>
      </w:r>
      <w:r>
        <w:instrText xml:space="preserve"> = 5 \* GB3 </w:instrText>
      </w:r>
      <w:r>
        <w:fldChar w:fldCharType="separate"/>
      </w:r>
      <w:r>
        <w:rPr>
          <w:rFonts w:hint="eastAsia" w:ascii="宋体" w:hAnsi="宋体" w:cs="宋体"/>
        </w:rPr>
        <w:t>⑤</w:t>
      </w:r>
      <w:r>
        <w:fldChar w:fldCharType="end"/>
      </w:r>
      <w:r>
        <w:t>职工生活用水</w:t>
      </w:r>
    </w:p>
    <w:p w14:paraId="055E7C60">
      <w:pPr>
        <w:pStyle w:val="105"/>
        <w:ind w:firstLine="480"/>
      </w:pPr>
      <w:r>
        <w:t>根据《内蒙古自治区行业用水定额》（DB15/T385-2020），生活用水按90L/人•d计，本项目全厂劳动定员50人，在厂区食宿，年生产365天，则生活用水量为1642.5m³/a</w:t>
      </w:r>
      <w:r>
        <w:rPr>
          <w:rFonts w:hint="eastAsia"/>
        </w:rPr>
        <w:t>（4.5</w:t>
      </w:r>
      <w:r>
        <w:t>m</w:t>
      </w:r>
      <w:r>
        <w:rPr>
          <w:vertAlign w:val="superscript"/>
        </w:rPr>
        <w:t>3</w:t>
      </w:r>
      <w:r>
        <w:t>/</w:t>
      </w:r>
      <w:r>
        <w:rPr>
          <w:rFonts w:hint="eastAsia"/>
        </w:rPr>
        <w:t>d）</w:t>
      </w:r>
      <w:r>
        <w:t>。</w:t>
      </w:r>
    </w:p>
    <w:p w14:paraId="71AD5857">
      <w:pPr>
        <w:pStyle w:val="105"/>
        <w:ind w:firstLine="480"/>
        <w:rPr>
          <w:szCs w:val="22"/>
        </w:rPr>
      </w:pPr>
      <w:r>
        <w:fldChar w:fldCharType="begin"/>
      </w:r>
      <w:r>
        <w:instrText xml:space="preserve"> = 6 \* GB3 </w:instrText>
      </w:r>
      <w:r>
        <w:fldChar w:fldCharType="separate"/>
      </w:r>
      <w:r>
        <w:rPr>
          <w:rFonts w:hint="eastAsia" w:ascii="宋体" w:hAnsi="宋体" w:cs="宋体"/>
        </w:rPr>
        <w:t>⑥</w:t>
      </w:r>
      <w:r>
        <w:fldChar w:fldCharType="end"/>
      </w:r>
      <w:r>
        <w:rPr>
          <w:rFonts w:hint="eastAsia"/>
        </w:rPr>
        <w:t>软化水</w:t>
      </w:r>
      <w:r>
        <w:t>设备用水</w:t>
      </w:r>
    </w:p>
    <w:p w14:paraId="34AD4589">
      <w:pPr>
        <w:pStyle w:val="105"/>
        <w:ind w:firstLine="480"/>
        <w:rPr>
          <w:szCs w:val="24"/>
        </w:rPr>
      </w:pPr>
      <w:r>
        <w:rPr>
          <w:szCs w:val="24"/>
        </w:rPr>
        <w:t>为满足项目冬季供暖的需求，本项目拟建3台3t/h天</w:t>
      </w:r>
      <w:r>
        <w:rPr>
          <w:rFonts w:hint="eastAsia"/>
          <w:szCs w:val="24"/>
          <w:lang w:val="en-US" w:eastAsia="zh-CN"/>
        </w:rPr>
        <w:t>然</w:t>
      </w:r>
      <w:r>
        <w:rPr>
          <w:szCs w:val="24"/>
        </w:rPr>
        <w:t>气热水锅炉</w:t>
      </w:r>
      <w:r>
        <w:rPr>
          <w:rFonts w:hint="eastAsia"/>
          <w:szCs w:val="24"/>
        </w:rPr>
        <w:t>，1台0.5t</w:t>
      </w:r>
      <w:r>
        <w:rPr>
          <w:szCs w:val="24"/>
        </w:rPr>
        <w:t>/</w:t>
      </w:r>
      <w:r>
        <w:rPr>
          <w:rFonts w:hint="eastAsia"/>
          <w:szCs w:val="24"/>
        </w:rPr>
        <w:t>h的电锅炉</w:t>
      </w:r>
      <w:r>
        <w:rPr>
          <w:szCs w:val="24"/>
        </w:rPr>
        <w:t>。本项目供暖时间为180d，锅炉每天运行时间约为16h，锅炉循环水量按照《工业锅炉房设计手册》中的经验公式，循环水量=1000*0.86kcal/MW*吸热量（MW）/一次网温度差（℃），</w:t>
      </w:r>
    </w:p>
    <w:p w14:paraId="301F5A4A">
      <w:pPr>
        <w:pStyle w:val="105"/>
        <w:ind w:firstLine="480"/>
        <w:rPr>
          <w:szCs w:val="24"/>
        </w:rPr>
      </w:pPr>
      <w:r>
        <w:rPr>
          <w:szCs w:val="24"/>
        </w:rPr>
        <w:drawing>
          <wp:inline distT="0" distB="0" distL="114300" distR="114300">
            <wp:extent cx="981075" cy="302895"/>
            <wp:effectExtent l="0" t="0" r="9525" b="1905"/>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29"/>
                    <a:stretch>
                      <a:fillRect/>
                    </a:stretch>
                  </pic:blipFill>
                  <pic:spPr>
                    <a:xfrm>
                      <a:off x="0" y="0"/>
                      <a:ext cx="981075" cy="303359"/>
                    </a:xfrm>
                    <a:prstGeom prst="rect">
                      <a:avLst/>
                    </a:prstGeom>
                    <a:noFill/>
                    <a:ln>
                      <a:noFill/>
                    </a:ln>
                  </pic:spPr>
                </pic:pic>
              </a:graphicData>
            </a:graphic>
          </wp:inline>
        </w:drawing>
      </w:r>
    </w:p>
    <w:p w14:paraId="3457ABD1">
      <w:pPr>
        <w:pStyle w:val="105"/>
        <w:ind w:firstLine="480"/>
        <w:rPr>
          <w:szCs w:val="24"/>
        </w:rPr>
      </w:pPr>
      <w:r>
        <w:rPr>
          <w:szCs w:val="24"/>
        </w:rPr>
        <w:t>根据公式计算可知，Q吸=</w:t>
      </w:r>
      <w:r>
        <w:rPr>
          <w:szCs w:val="24"/>
          <w:shd w:val="clear" w:color="auto" w:fill="FFFFFF"/>
        </w:rPr>
        <w:t>4200焦/千克·摄氏度*3000kg*20</w:t>
      </w:r>
      <w:r>
        <w:rPr>
          <w:szCs w:val="24"/>
        </w:rPr>
        <w:t>℃=0.069MW</w:t>
      </w:r>
    </w:p>
    <w:p w14:paraId="79A6FE87">
      <w:pPr>
        <w:pStyle w:val="105"/>
        <w:ind w:firstLine="480"/>
        <w:rPr>
          <w:szCs w:val="24"/>
        </w:rPr>
      </w:pPr>
      <w:r>
        <w:rPr>
          <w:szCs w:val="24"/>
        </w:rPr>
        <w:t>则循环水量为2.97t/h，锅炉补水率通常为1%-2%计，按2%计算，则1台锅炉软化水用量为2.85m</w:t>
      </w:r>
      <w:r>
        <w:rPr>
          <w:szCs w:val="24"/>
          <w:vertAlign w:val="superscript"/>
        </w:rPr>
        <w:t>3</w:t>
      </w:r>
      <w:r>
        <w:rPr>
          <w:szCs w:val="24"/>
        </w:rPr>
        <w:t>/d（513m</w:t>
      </w:r>
      <w:r>
        <w:rPr>
          <w:szCs w:val="24"/>
          <w:vertAlign w:val="superscript"/>
        </w:rPr>
        <w:t>3</w:t>
      </w:r>
      <w:r>
        <w:rPr>
          <w:szCs w:val="24"/>
        </w:rPr>
        <w:t>/a）</w:t>
      </w:r>
      <w:r>
        <w:rPr>
          <w:rFonts w:hint="eastAsia"/>
          <w:szCs w:val="24"/>
        </w:rPr>
        <w:t>，全厂锅炉用水量为1</w:t>
      </w:r>
      <w:r>
        <w:rPr>
          <w:szCs w:val="24"/>
        </w:rPr>
        <w:t>539m</w:t>
      </w:r>
      <w:r>
        <w:rPr>
          <w:szCs w:val="24"/>
          <w:vertAlign w:val="superscript"/>
        </w:rPr>
        <w:t>3</w:t>
      </w:r>
      <w:r>
        <w:rPr>
          <w:szCs w:val="24"/>
        </w:rPr>
        <w:t>/a。</w:t>
      </w:r>
    </w:p>
    <w:p w14:paraId="3550BCE2">
      <w:pPr>
        <w:pStyle w:val="105"/>
        <w:ind w:firstLine="480"/>
      </w:pPr>
      <w:r>
        <w:t>本项目设置1套</w:t>
      </w:r>
      <w:r>
        <w:rPr>
          <w:rFonts w:hint="eastAsia"/>
        </w:rPr>
        <w:t>软化水</w:t>
      </w:r>
      <w:r>
        <w:t>设备为锅炉提供供暖所需用水，该</w:t>
      </w:r>
      <w:r>
        <w:rPr>
          <w:rFonts w:hint="eastAsia"/>
        </w:rPr>
        <w:t>软化水</w:t>
      </w:r>
      <w:r>
        <w:t>设备采用“</w:t>
      </w:r>
      <w:r>
        <w:rPr>
          <w:rFonts w:hint="eastAsia"/>
        </w:rPr>
        <w:t>离子交换树脂</w:t>
      </w:r>
      <w:r>
        <w:t>工艺”，制水率为80%，则新鲜水用量为10.69m</w:t>
      </w:r>
      <w:r>
        <w:rPr>
          <w:vertAlign w:val="superscript"/>
        </w:rPr>
        <w:t>3</w:t>
      </w:r>
      <w:r>
        <w:t>/d（1924m</w:t>
      </w:r>
      <w:r>
        <w:rPr>
          <w:vertAlign w:val="superscript"/>
        </w:rPr>
        <w:t>3</w:t>
      </w:r>
      <w:r>
        <w:t>/a）。</w:t>
      </w:r>
    </w:p>
    <w:p w14:paraId="67C22067">
      <w:pPr>
        <w:pStyle w:val="105"/>
        <w:ind w:firstLine="480"/>
        <w:rPr>
          <w:szCs w:val="22"/>
        </w:rPr>
      </w:pPr>
      <w:r>
        <w:rPr>
          <w:szCs w:val="22"/>
        </w:rPr>
        <w:fldChar w:fldCharType="begin"/>
      </w:r>
      <w:r>
        <w:rPr>
          <w:szCs w:val="22"/>
        </w:rPr>
        <w:instrText xml:space="preserve"> = 7 \* GB3 </w:instrText>
      </w:r>
      <w:r>
        <w:rPr>
          <w:szCs w:val="22"/>
        </w:rPr>
        <w:fldChar w:fldCharType="separate"/>
      </w:r>
      <w:r>
        <w:rPr>
          <w:rFonts w:hint="eastAsia" w:ascii="宋体" w:hAnsi="宋体" w:cs="宋体"/>
          <w:szCs w:val="22"/>
        </w:rPr>
        <w:t>⑦</w:t>
      </w:r>
      <w:r>
        <w:rPr>
          <w:szCs w:val="22"/>
        </w:rPr>
        <w:fldChar w:fldCharType="end"/>
      </w:r>
      <w:r>
        <w:rPr>
          <w:szCs w:val="22"/>
        </w:rPr>
        <w:t>绿化用水</w:t>
      </w:r>
    </w:p>
    <w:p w14:paraId="4369DEF2">
      <w:pPr>
        <w:pStyle w:val="105"/>
        <w:ind w:firstLine="480"/>
        <w:rPr>
          <w:szCs w:val="22"/>
        </w:rPr>
      </w:pPr>
      <w:r>
        <w:rPr>
          <w:szCs w:val="22"/>
        </w:rPr>
        <w:t>项目场区绿化面积</w:t>
      </w:r>
      <w:r>
        <w:rPr>
          <w:rFonts w:hint="eastAsia"/>
          <w:szCs w:val="22"/>
        </w:rPr>
        <w:t>9</w:t>
      </w:r>
      <w:r>
        <w:rPr>
          <w:szCs w:val="22"/>
        </w:rPr>
        <w:t>hm</w:t>
      </w:r>
      <w:r>
        <w:rPr>
          <w:szCs w:val="22"/>
          <w:vertAlign w:val="superscript"/>
        </w:rPr>
        <w:t>2</w:t>
      </w:r>
      <w:r>
        <w:rPr>
          <w:szCs w:val="22"/>
        </w:rPr>
        <w:t>，根据</w:t>
      </w:r>
      <w:r>
        <w:t>《内蒙古自治区行业用水定额》（DB15/T385-2020）</w:t>
      </w:r>
      <w:r>
        <w:rPr>
          <w:szCs w:val="22"/>
        </w:rPr>
        <w:t>绿化用水按</w:t>
      </w:r>
      <w:r>
        <w:rPr>
          <w:rFonts w:hint="eastAsia"/>
          <w:szCs w:val="22"/>
        </w:rPr>
        <w:t>3.3</w:t>
      </w:r>
      <w:r>
        <w:rPr>
          <w:szCs w:val="22"/>
        </w:rPr>
        <w:t>L/m</w:t>
      </w:r>
      <w:r>
        <w:rPr>
          <w:szCs w:val="22"/>
          <w:vertAlign w:val="superscript"/>
        </w:rPr>
        <w:t>2</w:t>
      </w:r>
      <w:r>
        <w:t>·d</w:t>
      </w:r>
      <w:r>
        <w:rPr>
          <w:szCs w:val="22"/>
        </w:rPr>
        <w:t>计算，年绿化天数60天计</w:t>
      </w:r>
      <w:r>
        <w:rPr>
          <w:rFonts w:hint="eastAsia"/>
          <w:szCs w:val="22"/>
        </w:rPr>
        <w:t>（绿化用水时间5个月，按每周3天计）</w:t>
      </w:r>
      <w:r>
        <w:rPr>
          <w:szCs w:val="22"/>
        </w:rPr>
        <w:t>，则绿化用水量为</w:t>
      </w:r>
      <w:r>
        <w:rPr>
          <w:rFonts w:hint="eastAsia"/>
          <w:szCs w:val="22"/>
        </w:rPr>
        <w:t>17820</w:t>
      </w:r>
      <w:r>
        <w:rPr>
          <w:szCs w:val="22"/>
        </w:rPr>
        <w:t>m</w:t>
      </w:r>
      <w:r>
        <w:rPr>
          <w:szCs w:val="22"/>
          <w:vertAlign w:val="superscript"/>
        </w:rPr>
        <w:t>3</w:t>
      </w:r>
      <w:r>
        <w:rPr>
          <w:szCs w:val="22"/>
        </w:rPr>
        <w:t>/a</w:t>
      </w:r>
      <w:r>
        <w:rPr>
          <w:rFonts w:hint="eastAsia"/>
          <w:szCs w:val="22"/>
        </w:rPr>
        <w:t>（297</w:t>
      </w:r>
      <w:r>
        <w:t>m</w:t>
      </w:r>
      <w:r>
        <w:rPr>
          <w:vertAlign w:val="superscript"/>
        </w:rPr>
        <w:t>3</w:t>
      </w:r>
      <w:r>
        <w:t>/</w:t>
      </w:r>
      <w:r>
        <w:rPr>
          <w:rFonts w:hint="eastAsia"/>
        </w:rPr>
        <w:t>d</w:t>
      </w:r>
      <w:r>
        <w:rPr>
          <w:rFonts w:hint="eastAsia"/>
          <w:szCs w:val="22"/>
        </w:rPr>
        <w:t>），绿化用水优先使用污水处理站处理达标后的水浇灌。</w:t>
      </w:r>
    </w:p>
    <w:p w14:paraId="42873729">
      <w:pPr>
        <w:pStyle w:val="105"/>
        <w:ind w:firstLine="480"/>
        <w:rPr>
          <w:szCs w:val="22"/>
        </w:rPr>
      </w:pPr>
      <w:r>
        <w:rPr>
          <w:szCs w:val="22"/>
        </w:rPr>
        <w:t>综上，项目总用水量为</w:t>
      </w:r>
      <w:r>
        <w:rPr>
          <w:rFonts w:hint="eastAsia"/>
          <w:szCs w:val="22"/>
        </w:rPr>
        <w:t>134114.5</w:t>
      </w:r>
      <w:r>
        <w:rPr>
          <w:szCs w:val="22"/>
        </w:rPr>
        <w:t>m</w:t>
      </w:r>
      <w:r>
        <w:rPr>
          <w:szCs w:val="22"/>
          <w:vertAlign w:val="superscript"/>
        </w:rPr>
        <w:t>3</w:t>
      </w:r>
      <w:r>
        <w:rPr>
          <w:szCs w:val="22"/>
        </w:rPr>
        <w:t>/a。</w:t>
      </w:r>
    </w:p>
    <w:p w14:paraId="453C5468">
      <w:pPr>
        <w:pStyle w:val="12"/>
      </w:pPr>
      <w:r>
        <w:t>3.1.</w:t>
      </w:r>
      <w:r>
        <w:rPr>
          <w:rFonts w:hint="eastAsia"/>
        </w:rPr>
        <w:t>6</w:t>
      </w:r>
      <w:r>
        <w:t>.2排水</w:t>
      </w:r>
    </w:p>
    <w:p w14:paraId="06D52C5F">
      <w:pPr>
        <w:pStyle w:val="105"/>
        <w:ind w:firstLine="480"/>
        <w:jc w:val="both"/>
      </w:pPr>
      <w:r>
        <w:rPr>
          <w:kern w:val="0"/>
          <w:szCs w:val="24"/>
          <w:lang w:bidi="ar"/>
        </w:rPr>
        <w:t>本项目实施雨污分流制，</w:t>
      </w:r>
      <w:r>
        <w:t>项目排水采用污水、雨水分流制形式，雨水经</w:t>
      </w:r>
      <w:r>
        <w:rPr>
          <w:rFonts w:hint="eastAsia"/>
        </w:rPr>
        <w:t>雨水收集池</w:t>
      </w:r>
      <w:r>
        <w:t>收集后</w:t>
      </w:r>
      <w:r>
        <w:rPr>
          <w:rFonts w:hint="eastAsia"/>
        </w:rPr>
        <w:t>用于厂区绿湖或洒水抑尘</w:t>
      </w:r>
      <w:r>
        <w:t>。</w:t>
      </w:r>
    </w:p>
    <w:p w14:paraId="4FDCAC8E">
      <w:pPr>
        <w:pStyle w:val="105"/>
        <w:ind w:firstLine="480"/>
        <w:jc w:val="both"/>
      </w:pPr>
      <w:r>
        <w:fldChar w:fldCharType="begin"/>
      </w:r>
      <w:r>
        <w:instrText xml:space="preserve"> = 1 \* GB3 </w:instrText>
      </w:r>
      <w:r>
        <w:fldChar w:fldCharType="separate"/>
      </w:r>
      <w:r>
        <w:rPr>
          <w:rFonts w:hint="eastAsia" w:ascii="宋体" w:hAnsi="宋体" w:cs="宋体"/>
        </w:rPr>
        <w:t>①</w:t>
      </w:r>
      <w:r>
        <w:fldChar w:fldCharType="end"/>
      </w:r>
      <w:r>
        <w:t>鸡饮用水其中</w:t>
      </w:r>
      <w:r>
        <w:rPr>
          <w:rFonts w:hint="eastAsia"/>
        </w:rPr>
        <w:t>83271</w:t>
      </w:r>
      <w:r>
        <w:t>t</w:t>
      </w:r>
      <w:r>
        <w:rPr>
          <w:rFonts w:hint="eastAsia"/>
        </w:rPr>
        <w:t>/a</w:t>
      </w:r>
      <w:r>
        <w:t>由鸡只吸收，</w:t>
      </w:r>
      <w:r>
        <w:rPr>
          <w:rFonts w:hint="eastAsia"/>
        </w:rPr>
        <w:t>26229</w:t>
      </w:r>
      <w:r>
        <w:t>t</w:t>
      </w:r>
      <w:r>
        <w:rPr>
          <w:rFonts w:hint="eastAsia"/>
        </w:rPr>
        <w:t>/a</w:t>
      </w:r>
      <w:r>
        <w:t>进入鸡粪，鸡粪</w:t>
      </w:r>
      <w:r>
        <w:rPr>
          <w:rFonts w:hint="eastAsia"/>
        </w:rPr>
        <w:t>用于发酵制作有机肥，有机肥经发酵后含水率约3</w:t>
      </w:r>
      <w:r>
        <w:t>5%</w:t>
      </w:r>
      <w:r>
        <w:rPr>
          <w:rFonts w:hint="eastAsia"/>
        </w:rPr>
        <w:t>，因此以6</w:t>
      </w:r>
      <w:r>
        <w:t>5%</w:t>
      </w:r>
      <w:r>
        <w:rPr>
          <w:rFonts w:hint="eastAsia"/>
        </w:rPr>
        <w:t>进入堆肥渗滤液，3</w:t>
      </w:r>
      <w:r>
        <w:t>5%</w:t>
      </w:r>
      <w:r>
        <w:rPr>
          <w:rFonts w:hint="eastAsia"/>
        </w:rPr>
        <w:t>进入有机肥，产生17049t/a堆肥渗滤液进入污水收集池后经</w:t>
      </w:r>
      <w:r>
        <w:rPr>
          <w:rFonts w:hint="eastAsia"/>
          <w:szCs w:val="21"/>
        </w:rPr>
        <w:t>污水处理站</w:t>
      </w:r>
      <w:r>
        <w:t>处理用于</w:t>
      </w:r>
      <w:r>
        <w:rPr>
          <w:rFonts w:hint="eastAsia"/>
        </w:rPr>
        <w:t>厂区绿化、鸡舍冲洗、湿帘降温和洒水抑尘</w:t>
      </w:r>
      <w:r>
        <w:t>；</w:t>
      </w:r>
    </w:p>
    <w:p w14:paraId="597B4C0C">
      <w:pPr>
        <w:pStyle w:val="105"/>
        <w:ind w:firstLine="480"/>
        <w:jc w:val="both"/>
        <w:rPr>
          <w:kern w:val="0"/>
          <w:szCs w:val="24"/>
          <w:lang w:bidi="ar"/>
        </w:rPr>
      </w:pPr>
      <w:r>
        <w:rPr>
          <w:kern w:val="0"/>
          <w:szCs w:val="24"/>
          <w:lang w:bidi="ar"/>
        </w:rPr>
        <w:fldChar w:fldCharType="begin"/>
      </w:r>
      <w:r>
        <w:rPr>
          <w:kern w:val="0"/>
          <w:szCs w:val="24"/>
          <w:lang w:bidi="ar"/>
        </w:rPr>
        <w:instrText xml:space="preserve"> = 2 \* GB3 </w:instrText>
      </w:r>
      <w:r>
        <w:rPr>
          <w:kern w:val="0"/>
          <w:szCs w:val="24"/>
          <w:lang w:bidi="ar"/>
        </w:rPr>
        <w:fldChar w:fldCharType="separate"/>
      </w:r>
      <w:r>
        <w:rPr>
          <w:rFonts w:hint="eastAsia" w:ascii="宋体" w:hAnsi="宋体" w:cs="宋体"/>
          <w:kern w:val="0"/>
          <w:szCs w:val="24"/>
          <w:lang w:bidi="ar"/>
        </w:rPr>
        <w:t>②</w:t>
      </w:r>
      <w:r>
        <w:rPr>
          <w:kern w:val="0"/>
          <w:szCs w:val="24"/>
          <w:lang w:bidi="ar"/>
        </w:rPr>
        <w:fldChar w:fldCharType="end"/>
      </w:r>
      <w:r>
        <w:t>鸡舍冲洗废水产生量</w:t>
      </w:r>
      <w:r>
        <w:rPr>
          <w:rFonts w:hint="eastAsia"/>
        </w:rPr>
        <w:t>为冲洗用水的90%，则青年鸡舍单次冲洗废水产生量为31.5m</w:t>
      </w:r>
      <w:r>
        <w:rPr>
          <w:rFonts w:hint="eastAsia"/>
          <w:vertAlign w:val="superscript"/>
        </w:rPr>
        <w:t>3</w:t>
      </w:r>
      <w:r>
        <w:rPr>
          <w:rFonts w:hint="eastAsia"/>
        </w:rPr>
        <w:t>/次，青年鸡舍6栋，每栋每年冲洗3次，年排水量为567</w:t>
      </w:r>
      <w:r>
        <w:rPr>
          <w:szCs w:val="22"/>
        </w:rPr>
        <w:t>m</w:t>
      </w:r>
      <w:r>
        <w:rPr>
          <w:szCs w:val="22"/>
          <w:vertAlign w:val="superscript"/>
        </w:rPr>
        <w:t>3</w:t>
      </w:r>
      <w:r>
        <w:rPr>
          <w:szCs w:val="22"/>
        </w:rPr>
        <w:t>/a</w:t>
      </w:r>
      <w:r>
        <w:rPr>
          <w:rFonts w:hint="eastAsia"/>
          <w:szCs w:val="22"/>
        </w:rPr>
        <w:t>（1.55</w:t>
      </w:r>
      <w:r>
        <w:rPr>
          <w:rFonts w:hint="eastAsia"/>
          <w:bCs/>
          <w:sz w:val="21"/>
          <w:szCs w:val="21"/>
        </w:rPr>
        <w:t>m</w:t>
      </w:r>
      <w:r>
        <w:rPr>
          <w:rFonts w:hint="eastAsia"/>
          <w:bCs/>
          <w:sz w:val="21"/>
          <w:szCs w:val="21"/>
          <w:vertAlign w:val="superscript"/>
        </w:rPr>
        <w:t>3</w:t>
      </w:r>
      <w:r>
        <w:rPr>
          <w:rFonts w:hint="eastAsia"/>
          <w:bCs/>
          <w:sz w:val="21"/>
          <w:szCs w:val="21"/>
        </w:rPr>
        <w:t>/d</w:t>
      </w:r>
      <w:r>
        <w:rPr>
          <w:rFonts w:hint="eastAsia"/>
          <w:szCs w:val="22"/>
        </w:rPr>
        <w:t>）</w:t>
      </w:r>
      <w:r>
        <w:rPr>
          <w:rFonts w:hint="eastAsia"/>
        </w:rPr>
        <w:t>；蛋鸡舍单次冲洗废水产生量为72m</w:t>
      </w:r>
      <w:r>
        <w:rPr>
          <w:rFonts w:hint="eastAsia"/>
          <w:vertAlign w:val="superscript"/>
        </w:rPr>
        <w:t>3</w:t>
      </w:r>
      <w:r>
        <w:rPr>
          <w:rFonts w:hint="eastAsia"/>
        </w:rPr>
        <w:t>/次，蛋鸡舍9栋，每栋每年冲洗1次，年排水量为648</w:t>
      </w:r>
      <w:r>
        <w:rPr>
          <w:szCs w:val="22"/>
        </w:rPr>
        <w:t>m</w:t>
      </w:r>
      <w:r>
        <w:rPr>
          <w:szCs w:val="22"/>
          <w:vertAlign w:val="superscript"/>
        </w:rPr>
        <w:t>3</w:t>
      </w:r>
      <w:r>
        <w:rPr>
          <w:szCs w:val="22"/>
        </w:rPr>
        <w:t>/a</w:t>
      </w:r>
      <w:r>
        <w:rPr>
          <w:rFonts w:hint="eastAsia"/>
          <w:szCs w:val="22"/>
        </w:rPr>
        <w:t>（1.78</w:t>
      </w:r>
      <w:r>
        <w:rPr>
          <w:rFonts w:hint="eastAsia"/>
          <w:bCs/>
          <w:sz w:val="21"/>
          <w:szCs w:val="21"/>
        </w:rPr>
        <w:t>m</w:t>
      </w:r>
      <w:r>
        <w:rPr>
          <w:rFonts w:hint="eastAsia"/>
          <w:bCs/>
          <w:sz w:val="21"/>
          <w:szCs w:val="21"/>
          <w:vertAlign w:val="superscript"/>
        </w:rPr>
        <w:t>3</w:t>
      </w:r>
      <w:r>
        <w:rPr>
          <w:rFonts w:hint="eastAsia"/>
          <w:bCs/>
          <w:sz w:val="21"/>
          <w:szCs w:val="21"/>
        </w:rPr>
        <w:t>/d</w:t>
      </w:r>
      <w:r>
        <w:rPr>
          <w:rFonts w:hint="eastAsia"/>
          <w:szCs w:val="22"/>
        </w:rPr>
        <w:t>）</w:t>
      </w:r>
      <w:r>
        <w:rPr>
          <w:rFonts w:hint="eastAsia"/>
        </w:rPr>
        <w:t>；鸡舍冲洗废水产生总量为1215</w:t>
      </w:r>
      <w:r>
        <w:rPr>
          <w:szCs w:val="22"/>
        </w:rPr>
        <w:t>m</w:t>
      </w:r>
      <w:r>
        <w:rPr>
          <w:szCs w:val="22"/>
          <w:vertAlign w:val="superscript"/>
        </w:rPr>
        <w:t>3</w:t>
      </w:r>
      <w:r>
        <w:rPr>
          <w:szCs w:val="22"/>
        </w:rPr>
        <w:t>/a</w:t>
      </w:r>
      <w:r>
        <w:rPr>
          <w:rFonts w:hint="eastAsia"/>
          <w:szCs w:val="22"/>
        </w:rPr>
        <w:t>（3.33</w:t>
      </w:r>
      <w:r>
        <w:rPr>
          <w:rFonts w:hint="eastAsia"/>
          <w:bCs/>
          <w:sz w:val="21"/>
          <w:szCs w:val="21"/>
        </w:rPr>
        <w:t>m</w:t>
      </w:r>
      <w:r>
        <w:rPr>
          <w:rFonts w:hint="eastAsia"/>
          <w:bCs/>
          <w:sz w:val="21"/>
          <w:szCs w:val="21"/>
          <w:vertAlign w:val="superscript"/>
        </w:rPr>
        <w:t>3</w:t>
      </w:r>
      <w:r>
        <w:rPr>
          <w:rFonts w:hint="eastAsia"/>
          <w:bCs/>
          <w:sz w:val="21"/>
          <w:szCs w:val="21"/>
        </w:rPr>
        <w:t>/d</w:t>
      </w:r>
      <w:r>
        <w:rPr>
          <w:rFonts w:hint="eastAsia"/>
          <w:szCs w:val="22"/>
        </w:rPr>
        <w:t>）</w:t>
      </w:r>
      <w:r>
        <w:rPr>
          <w:szCs w:val="22"/>
        </w:rPr>
        <w:t>，</w:t>
      </w:r>
      <w:r>
        <w:t>经</w:t>
      </w:r>
      <w:r>
        <w:rPr>
          <w:rFonts w:hint="eastAsia"/>
        </w:rPr>
        <w:t>污水收集池后经</w:t>
      </w:r>
      <w:r>
        <w:rPr>
          <w:rFonts w:hint="eastAsia"/>
          <w:szCs w:val="21"/>
        </w:rPr>
        <w:t>污水处理站</w:t>
      </w:r>
      <w:r>
        <w:t>处理用于</w:t>
      </w:r>
      <w:r>
        <w:rPr>
          <w:rFonts w:hint="eastAsia"/>
        </w:rPr>
        <w:t>厂区绿化、鸡舍冲洗、湿帘降温和洒水抑尘</w:t>
      </w:r>
      <w:r>
        <w:t>；</w:t>
      </w:r>
    </w:p>
    <w:p w14:paraId="1F726E84">
      <w:pPr>
        <w:pStyle w:val="105"/>
        <w:ind w:firstLine="480"/>
        <w:jc w:val="both"/>
        <w:rPr>
          <w:kern w:val="0"/>
          <w:szCs w:val="24"/>
          <w:lang w:bidi="ar"/>
        </w:rPr>
      </w:pPr>
      <w:r>
        <w:rPr>
          <w:rFonts w:hint="eastAsia"/>
        </w:rPr>
        <w:t>③</w:t>
      </w:r>
      <w:r>
        <w:t>职工生活废水产生量为1314</w:t>
      </w:r>
      <w:r>
        <w:rPr>
          <w:szCs w:val="22"/>
        </w:rPr>
        <w:t>m</w:t>
      </w:r>
      <w:r>
        <w:rPr>
          <w:szCs w:val="22"/>
          <w:vertAlign w:val="superscript"/>
        </w:rPr>
        <w:t>3</w:t>
      </w:r>
      <w:r>
        <w:rPr>
          <w:szCs w:val="22"/>
        </w:rPr>
        <w:t>/a</w:t>
      </w:r>
      <w:r>
        <w:rPr>
          <w:rFonts w:hint="eastAsia"/>
          <w:szCs w:val="22"/>
        </w:rPr>
        <w:t>（3.6</w:t>
      </w:r>
      <w:r>
        <w:rPr>
          <w:rFonts w:hint="eastAsia"/>
          <w:bCs/>
          <w:sz w:val="21"/>
          <w:szCs w:val="21"/>
        </w:rPr>
        <w:t>m</w:t>
      </w:r>
      <w:r>
        <w:rPr>
          <w:rFonts w:hint="eastAsia"/>
          <w:bCs/>
          <w:sz w:val="21"/>
          <w:szCs w:val="21"/>
          <w:vertAlign w:val="superscript"/>
        </w:rPr>
        <w:t>3</w:t>
      </w:r>
      <w:r>
        <w:rPr>
          <w:rFonts w:hint="eastAsia"/>
          <w:bCs/>
          <w:sz w:val="21"/>
          <w:szCs w:val="21"/>
        </w:rPr>
        <w:t>/d</w:t>
      </w:r>
      <w:r>
        <w:rPr>
          <w:rFonts w:hint="eastAsia"/>
          <w:szCs w:val="22"/>
        </w:rPr>
        <w:t>）</w:t>
      </w:r>
      <w:r>
        <w:rPr>
          <w:szCs w:val="22"/>
        </w:rPr>
        <w:t>，</w:t>
      </w:r>
      <w:r>
        <w:t>经</w:t>
      </w:r>
      <w:r>
        <w:rPr>
          <w:rFonts w:hint="eastAsia"/>
        </w:rPr>
        <w:t>污水收集池后送</w:t>
      </w:r>
      <w:r>
        <w:rPr>
          <w:rFonts w:hint="eastAsia"/>
          <w:szCs w:val="21"/>
        </w:rPr>
        <w:t>污水处理站</w:t>
      </w:r>
      <w:r>
        <w:t>处理</w:t>
      </w:r>
      <w:r>
        <w:rPr>
          <w:rFonts w:hint="eastAsia"/>
        </w:rPr>
        <w:t>后</w:t>
      </w:r>
      <w:r>
        <w:t>用于</w:t>
      </w:r>
      <w:r>
        <w:rPr>
          <w:rFonts w:hint="eastAsia"/>
        </w:rPr>
        <w:t>厂区绿化、鸡舍冲洗、湿帘降温和洒水抑尘</w:t>
      </w:r>
      <w:r>
        <w:t>；</w:t>
      </w:r>
    </w:p>
    <w:p w14:paraId="305AA6DB">
      <w:pPr>
        <w:pStyle w:val="105"/>
        <w:ind w:firstLine="480"/>
        <w:jc w:val="both"/>
        <w:rPr>
          <w:kern w:val="0"/>
          <w:szCs w:val="24"/>
          <w:lang w:bidi="ar"/>
        </w:rPr>
      </w:pPr>
      <w:r>
        <w:rPr>
          <w:rFonts w:hint="eastAsia"/>
        </w:rPr>
        <w:t>④</w:t>
      </w:r>
      <w:r>
        <w:t>锅炉</w:t>
      </w:r>
      <w:r>
        <w:rPr>
          <w:rFonts w:hint="eastAsia"/>
        </w:rPr>
        <w:t>软化水</w:t>
      </w:r>
      <w:r>
        <w:t>设备产生废水量为38</w:t>
      </w:r>
      <w:r>
        <w:rPr>
          <w:rFonts w:hint="eastAsia"/>
        </w:rPr>
        <w:t>5</w:t>
      </w:r>
      <w:r>
        <w:rPr>
          <w:szCs w:val="22"/>
        </w:rPr>
        <w:t>m</w:t>
      </w:r>
      <w:r>
        <w:rPr>
          <w:szCs w:val="22"/>
          <w:vertAlign w:val="superscript"/>
        </w:rPr>
        <w:t>3</w:t>
      </w:r>
      <w:r>
        <w:rPr>
          <w:szCs w:val="22"/>
        </w:rPr>
        <w:t>/a</w:t>
      </w:r>
      <w:r>
        <w:rPr>
          <w:rFonts w:hint="eastAsia"/>
          <w:szCs w:val="22"/>
        </w:rPr>
        <w:t>（2.14</w:t>
      </w:r>
      <w:r>
        <w:rPr>
          <w:rFonts w:hint="eastAsia"/>
          <w:bCs/>
          <w:sz w:val="21"/>
          <w:szCs w:val="21"/>
        </w:rPr>
        <w:t>m</w:t>
      </w:r>
      <w:r>
        <w:rPr>
          <w:rFonts w:hint="eastAsia"/>
          <w:bCs/>
          <w:sz w:val="21"/>
          <w:szCs w:val="21"/>
          <w:vertAlign w:val="superscript"/>
        </w:rPr>
        <w:t>3</w:t>
      </w:r>
      <w:r>
        <w:rPr>
          <w:rFonts w:hint="eastAsia"/>
          <w:bCs/>
          <w:sz w:val="21"/>
          <w:szCs w:val="21"/>
        </w:rPr>
        <w:t>/d</w:t>
      </w:r>
      <w:r>
        <w:rPr>
          <w:rFonts w:hint="eastAsia"/>
          <w:szCs w:val="22"/>
        </w:rPr>
        <w:t>）</w:t>
      </w:r>
      <w:r>
        <w:rPr>
          <w:szCs w:val="22"/>
        </w:rPr>
        <w:t>，</w:t>
      </w:r>
      <w:r>
        <w:t>用于</w:t>
      </w:r>
      <w:r>
        <w:rPr>
          <w:rFonts w:hint="eastAsia"/>
        </w:rPr>
        <w:t>厂区绿化、鸡舍冲洗、湿帘降温和洒水抑尘</w:t>
      </w:r>
      <w:r>
        <w:t>；</w:t>
      </w:r>
    </w:p>
    <w:p w14:paraId="395B20CB">
      <w:pPr>
        <w:pStyle w:val="49"/>
        <w:spacing w:after="0" w:line="360" w:lineRule="auto"/>
        <w:ind w:left="0" w:leftChars="0" w:firstLine="480"/>
      </w:pPr>
      <w:r>
        <w:rPr>
          <w:lang w:val="zh-CN"/>
        </w:rPr>
        <w:t>项目各功能区用排水情况见表</w:t>
      </w:r>
      <w:r>
        <w:t>3.1-8。</w:t>
      </w:r>
    </w:p>
    <w:p w14:paraId="3BD598A6">
      <w:pPr>
        <w:pStyle w:val="369"/>
      </w:pPr>
      <w:r>
        <w:t xml:space="preserve">表3.1-8  </w:t>
      </w:r>
      <w:r>
        <w:rPr>
          <w:rFonts w:hint="eastAsia"/>
        </w:rPr>
        <w:t>项目用排水一栏表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
        <w:gridCol w:w="644"/>
        <w:gridCol w:w="1068"/>
        <w:gridCol w:w="961"/>
        <w:gridCol w:w="933"/>
        <w:gridCol w:w="962"/>
        <w:gridCol w:w="846"/>
        <w:gridCol w:w="3408"/>
      </w:tblGrid>
      <w:tr w14:paraId="24C1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gridSpan w:val="2"/>
            <w:vAlign w:val="center"/>
          </w:tcPr>
          <w:p w14:paraId="2A1F5F4C">
            <w:pPr>
              <w:pStyle w:val="369"/>
              <w:rPr>
                <w:b w:val="0"/>
                <w:bCs/>
                <w:sz w:val="21"/>
                <w:szCs w:val="21"/>
              </w:rPr>
            </w:pPr>
            <w:r>
              <w:rPr>
                <w:rFonts w:hint="eastAsia"/>
                <w:b w:val="0"/>
                <w:bCs/>
                <w:sz w:val="21"/>
                <w:szCs w:val="21"/>
              </w:rPr>
              <w:t>用水工序</w:t>
            </w:r>
          </w:p>
        </w:tc>
        <w:tc>
          <w:tcPr>
            <w:tcW w:w="1068" w:type="dxa"/>
            <w:vAlign w:val="center"/>
          </w:tcPr>
          <w:p w14:paraId="2D8F40D0">
            <w:pPr>
              <w:pStyle w:val="369"/>
              <w:rPr>
                <w:b w:val="0"/>
                <w:bCs/>
                <w:sz w:val="21"/>
                <w:szCs w:val="21"/>
              </w:rPr>
            </w:pPr>
            <w:r>
              <w:rPr>
                <w:rFonts w:hint="eastAsia"/>
                <w:b w:val="0"/>
                <w:bCs/>
                <w:sz w:val="21"/>
                <w:szCs w:val="21"/>
              </w:rPr>
              <w:t>单位</w:t>
            </w:r>
          </w:p>
        </w:tc>
        <w:tc>
          <w:tcPr>
            <w:tcW w:w="961" w:type="dxa"/>
            <w:vAlign w:val="center"/>
          </w:tcPr>
          <w:p w14:paraId="247F51A8">
            <w:pPr>
              <w:pStyle w:val="369"/>
              <w:rPr>
                <w:b w:val="0"/>
                <w:bCs/>
                <w:sz w:val="21"/>
                <w:szCs w:val="21"/>
              </w:rPr>
            </w:pPr>
            <w:r>
              <w:rPr>
                <w:rFonts w:hint="eastAsia"/>
                <w:b w:val="0"/>
                <w:bCs/>
                <w:sz w:val="21"/>
                <w:szCs w:val="21"/>
              </w:rPr>
              <w:t>使用量</w:t>
            </w:r>
          </w:p>
        </w:tc>
        <w:tc>
          <w:tcPr>
            <w:tcW w:w="933" w:type="dxa"/>
            <w:vAlign w:val="center"/>
          </w:tcPr>
          <w:p w14:paraId="7E9306B7">
            <w:pPr>
              <w:pStyle w:val="369"/>
              <w:rPr>
                <w:b w:val="0"/>
                <w:bCs/>
                <w:sz w:val="21"/>
                <w:szCs w:val="21"/>
              </w:rPr>
            </w:pPr>
            <w:r>
              <w:rPr>
                <w:rFonts w:hint="eastAsia"/>
                <w:b w:val="0"/>
                <w:bCs/>
                <w:sz w:val="21"/>
                <w:szCs w:val="21"/>
              </w:rPr>
              <w:t>产水量</w:t>
            </w:r>
          </w:p>
        </w:tc>
        <w:tc>
          <w:tcPr>
            <w:tcW w:w="962" w:type="dxa"/>
            <w:vAlign w:val="center"/>
          </w:tcPr>
          <w:p w14:paraId="2D855CFE">
            <w:pPr>
              <w:pStyle w:val="369"/>
              <w:rPr>
                <w:b w:val="0"/>
                <w:bCs/>
                <w:sz w:val="21"/>
                <w:szCs w:val="21"/>
              </w:rPr>
            </w:pPr>
            <w:r>
              <w:rPr>
                <w:rFonts w:hint="eastAsia"/>
                <w:b w:val="0"/>
                <w:bCs/>
                <w:sz w:val="21"/>
                <w:szCs w:val="21"/>
              </w:rPr>
              <w:t>消耗量</w:t>
            </w:r>
          </w:p>
        </w:tc>
        <w:tc>
          <w:tcPr>
            <w:tcW w:w="846" w:type="dxa"/>
            <w:vAlign w:val="center"/>
          </w:tcPr>
          <w:p w14:paraId="5F87C330">
            <w:pPr>
              <w:pStyle w:val="369"/>
              <w:rPr>
                <w:b w:val="0"/>
                <w:bCs/>
                <w:sz w:val="21"/>
                <w:szCs w:val="21"/>
              </w:rPr>
            </w:pPr>
            <w:r>
              <w:rPr>
                <w:rFonts w:hint="eastAsia"/>
                <w:b w:val="0"/>
                <w:bCs/>
                <w:sz w:val="21"/>
                <w:szCs w:val="21"/>
              </w:rPr>
              <w:t>回用量</w:t>
            </w:r>
          </w:p>
        </w:tc>
        <w:tc>
          <w:tcPr>
            <w:tcW w:w="3408" w:type="dxa"/>
            <w:vAlign w:val="center"/>
          </w:tcPr>
          <w:p w14:paraId="05F7AB14">
            <w:pPr>
              <w:pStyle w:val="369"/>
              <w:rPr>
                <w:b w:val="0"/>
                <w:bCs/>
                <w:sz w:val="21"/>
                <w:szCs w:val="21"/>
              </w:rPr>
            </w:pPr>
            <w:r>
              <w:rPr>
                <w:rFonts w:hint="eastAsia"/>
                <w:b w:val="0"/>
                <w:bCs/>
                <w:sz w:val="21"/>
                <w:szCs w:val="21"/>
              </w:rPr>
              <w:t>备注</w:t>
            </w:r>
          </w:p>
        </w:tc>
      </w:tr>
      <w:tr w14:paraId="3D5B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gridSpan w:val="2"/>
            <w:vAlign w:val="center"/>
          </w:tcPr>
          <w:p w14:paraId="09E28542">
            <w:pPr>
              <w:pStyle w:val="369"/>
              <w:rPr>
                <w:b w:val="0"/>
                <w:bCs/>
                <w:sz w:val="21"/>
                <w:szCs w:val="21"/>
              </w:rPr>
            </w:pPr>
            <w:r>
              <w:rPr>
                <w:rFonts w:hint="eastAsia"/>
                <w:b w:val="0"/>
                <w:bCs/>
                <w:sz w:val="21"/>
                <w:szCs w:val="21"/>
              </w:rPr>
              <w:t>鸡饮用</w:t>
            </w:r>
          </w:p>
        </w:tc>
        <w:tc>
          <w:tcPr>
            <w:tcW w:w="1068" w:type="dxa"/>
            <w:vAlign w:val="center"/>
          </w:tcPr>
          <w:p w14:paraId="2F553C6F">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/d</w:t>
            </w:r>
          </w:p>
        </w:tc>
        <w:tc>
          <w:tcPr>
            <w:tcW w:w="961" w:type="dxa"/>
            <w:vAlign w:val="center"/>
          </w:tcPr>
          <w:p w14:paraId="33E55F1F">
            <w:pPr>
              <w:pStyle w:val="369"/>
              <w:rPr>
                <w:b w:val="0"/>
                <w:bCs/>
                <w:sz w:val="21"/>
                <w:szCs w:val="21"/>
              </w:rPr>
            </w:pPr>
            <w:r>
              <w:rPr>
                <w:rFonts w:hint="eastAsia"/>
                <w:b w:val="0"/>
                <w:bCs/>
                <w:sz w:val="21"/>
                <w:szCs w:val="21"/>
              </w:rPr>
              <w:t>300</w:t>
            </w:r>
          </w:p>
        </w:tc>
        <w:tc>
          <w:tcPr>
            <w:tcW w:w="933" w:type="dxa"/>
            <w:vAlign w:val="center"/>
          </w:tcPr>
          <w:p w14:paraId="3C71B400">
            <w:pPr>
              <w:pStyle w:val="369"/>
              <w:rPr>
                <w:b w:val="0"/>
                <w:bCs/>
                <w:sz w:val="21"/>
                <w:szCs w:val="21"/>
              </w:rPr>
            </w:pPr>
            <w:r>
              <w:rPr>
                <w:rFonts w:hint="eastAsia"/>
                <w:b w:val="0"/>
                <w:bCs/>
                <w:sz w:val="21"/>
                <w:szCs w:val="21"/>
              </w:rPr>
              <w:t>/</w:t>
            </w:r>
          </w:p>
        </w:tc>
        <w:tc>
          <w:tcPr>
            <w:tcW w:w="962" w:type="dxa"/>
            <w:vAlign w:val="center"/>
          </w:tcPr>
          <w:p w14:paraId="55247BDC">
            <w:pPr>
              <w:pStyle w:val="369"/>
              <w:rPr>
                <w:b w:val="0"/>
                <w:bCs/>
                <w:sz w:val="21"/>
                <w:szCs w:val="21"/>
              </w:rPr>
            </w:pPr>
            <w:r>
              <w:rPr>
                <w:rFonts w:hint="eastAsia"/>
                <w:b w:val="0"/>
                <w:bCs/>
                <w:sz w:val="21"/>
                <w:szCs w:val="21"/>
              </w:rPr>
              <w:t>228</w:t>
            </w:r>
          </w:p>
        </w:tc>
        <w:tc>
          <w:tcPr>
            <w:tcW w:w="846" w:type="dxa"/>
            <w:vAlign w:val="center"/>
          </w:tcPr>
          <w:p w14:paraId="3B99C982">
            <w:pPr>
              <w:pStyle w:val="369"/>
              <w:rPr>
                <w:b w:val="0"/>
                <w:bCs/>
                <w:sz w:val="21"/>
                <w:szCs w:val="21"/>
              </w:rPr>
            </w:pPr>
            <w:r>
              <w:rPr>
                <w:rFonts w:hint="eastAsia"/>
                <w:b w:val="0"/>
                <w:bCs/>
                <w:sz w:val="21"/>
                <w:szCs w:val="21"/>
              </w:rPr>
              <w:t>72</w:t>
            </w:r>
          </w:p>
        </w:tc>
        <w:tc>
          <w:tcPr>
            <w:tcW w:w="3408" w:type="dxa"/>
            <w:vAlign w:val="center"/>
          </w:tcPr>
          <w:p w14:paraId="47F78012">
            <w:pPr>
              <w:pStyle w:val="369"/>
              <w:jc w:val="both"/>
              <w:rPr>
                <w:b w:val="0"/>
                <w:bCs/>
                <w:sz w:val="21"/>
                <w:szCs w:val="21"/>
              </w:rPr>
            </w:pPr>
            <w:r>
              <w:rPr>
                <w:rFonts w:hint="eastAsia"/>
                <w:b w:val="0"/>
                <w:bCs/>
                <w:sz w:val="21"/>
                <w:szCs w:val="21"/>
              </w:rPr>
              <w:t>进入鸡粪的72m</w:t>
            </w:r>
            <w:r>
              <w:rPr>
                <w:rFonts w:hint="eastAsia"/>
                <w:b w:val="0"/>
                <w:bCs/>
                <w:sz w:val="21"/>
                <w:szCs w:val="21"/>
                <w:vertAlign w:val="superscript"/>
              </w:rPr>
              <w:t>3</w:t>
            </w:r>
            <w:r>
              <w:rPr>
                <w:rFonts w:hint="eastAsia"/>
                <w:b w:val="0"/>
                <w:bCs/>
                <w:sz w:val="21"/>
                <w:szCs w:val="21"/>
              </w:rPr>
              <w:t>/d水分，其中35%（25.2m</w:t>
            </w:r>
            <w:r>
              <w:rPr>
                <w:rFonts w:hint="eastAsia"/>
                <w:b w:val="0"/>
                <w:bCs/>
                <w:sz w:val="21"/>
                <w:szCs w:val="21"/>
                <w:vertAlign w:val="superscript"/>
              </w:rPr>
              <w:t>3</w:t>
            </w:r>
            <w:r>
              <w:rPr>
                <w:rFonts w:hint="eastAsia"/>
                <w:b w:val="0"/>
                <w:bCs/>
                <w:sz w:val="21"/>
                <w:szCs w:val="21"/>
              </w:rPr>
              <w:t>/d）进入发酵后有机肥带走，另外65%（46.8m</w:t>
            </w:r>
            <w:r>
              <w:rPr>
                <w:rFonts w:hint="eastAsia"/>
                <w:b w:val="0"/>
                <w:bCs/>
                <w:sz w:val="21"/>
                <w:szCs w:val="21"/>
                <w:vertAlign w:val="superscript"/>
              </w:rPr>
              <w:t>3</w:t>
            </w:r>
            <w:r>
              <w:rPr>
                <w:rFonts w:hint="eastAsia"/>
                <w:b w:val="0"/>
                <w:bCs/>
                <w:sz w:val="21"/>
                <w:szCs w:val="21"/>
              </w:rPr>
              <w:t>/d）以发酵产生的渗滤液形式进入污水处理站</w:t>
            </w:r>
          </w:p>
        </w:tc>
      </w:tr>
      <w:tr w14:paraId="47D0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 w:type="dxa"/>
            <w:vMerge w:val="restart"/>
            <w:vAlign w:val="center"/>
          </w:tcPr>
          <w:p w14:paraId="2BE29FD4">
            <w:pPr>
              <w:pStyle w:val="369"/>
              <w:rPr>
                <w:b w:val="0"/>
                <w:bCs/>
                <w:sz w:val="21"/>
                <w:szCs w:val="21"/>
              </w:rPr>
            </w:pPr>
            <w:r>
              <w:rPr>
                <w:rFonts w:hint="eastAsia"/>
                <w:b w:val="0"/>
                <w:bCs/>
                <w:sz w:val="21"/>
                <w:szCs w:val="21"/>
              </w:rPr>
              <w:t>鸡舍冲洗</w:t>
            </w:r>
          </w:p>
        </w:tc>
        <w:tc>
          <w:tcPr>
            <w:tcW w:w="644" w:type="dxa"/>
            <w:vAlign w:val="center"/>
          </w:tcPr>
          <w:p w14:paraId="2FD29CA3">
            <w:pPr>
              <w:pStyle w:val="369"/>
              <w:rPr>
                <w:b w:val="0"/>
                <w:bCs/>
                <w:sz w:val="21"/>
                <w:szCs w:val="21"/>
              </w:rPr>
            </w:pPr>
            <w:r>
              <w:rPr>
                <w:rFonts w:hint="eastAsia"/>
                <w:b w:val="0"/>
                <w:bCs/>
                <w:sz w:val="21"/>
                <w:szCs w:val="21"/>
              </w:rPr>
              <w:t>青年鸡舍</w:t>
            </w:r>
          </w:p>
        </w:tc>
        <w:tc>
          <w:tcPr>
            <w:tcW w:w="1068" w:type="dxa"/>
            <w:vAlign w:val="center"/>
          </w:tcPr>
          <w:p w14:paraId="3E9AFDD9">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/d</w:t>
            </w:r>
          </w:p>
        </w:tc>
        <w:tc>
          <w:tcPr>
            <w:tcW w:w="961" w:type="dxa"/>
            <w:vAlign w:val="center"/>
          </w:tcPr>
          <w:p w14:paraId="5B58B490">
            <w:pPr>
              <w:pStyle w:val="369"/>
              <w:rPr>
                <w:b w:val="0"/>
                <w:bCs/>
                <w:sz w:val="21"/>
                <w:szCs w:val="21"/>
              </w:rPr>
            </w:pPr>
            <w:r>
              <w:rPr>
                <w:rFonts w:hint="eastAsia"/>
                <w:b w:val="0"/>
                <w:bCs/>
                <w:sz w:val="21"/>
                <w:szCs w:val="21"/>
              </w:rPr>
              <w:t>1.73</w:t>
            </w:r>
          </w:p>
        </w:tc>
        <w:tc>
          <w:tcPr>
            <w:tcW w:w="933" w:type="dxa"/>
            <w:vAlign w:val="center"/>
          </w:tcPr>
          <w:p w14:paraId="644A5000">
            <w:pPr>
              <w:pStyle w:val="369"/>
              <w:rPr>
                <w:b w:val="0"/>
                <w:bCs/>
                <w:sz w:val="21"/>
                <w:szCs w:val="21"/>
              </w:rPr>
            </w:pPr>
            <w:r>
              <w:rPr>
                <w:rFonts w:hint="eastAsia"/>
                <w:b w:val="0"/>
                <w:bCs/>
                <w:sz w:val="21"/>
                <w:szCs w:val="21"/>
              </w:rPr>
              <w:t>/</w:t>
            </w:r>
          </w:p>
        </w:tc>
        <w:tc>
          <w:tcPr>
            <w:tcW w:w="962" w:type="dxa"/>
            <w:vAlign w:val="center"/>
          </w:tcPr>
          <w:p w14:paraId="3378DD41">
            <w:pPr>
              <w:pStyle w:val="369"/>
              <w:rPr>
                <w:b w:val="0"/>
                <w:bCs/>
                <w:sz w:val="21"/>
                <w:szCs w:val="21"/>
              </w:rPr>
            </w:pPr>
            <w:r>
              <w:rPr>
                <w:rFonts w:hint="eastAsia"/>
                <w:b w:val="0"/>
                <w:bCs/>
                <w:sz w:val="21"/>
                <w:szCs w:val="21"/>
              </w:rPr>
              <w:t>0.18</w:t>
            </w:r>
          </w:p>
        </w:tc>
        <w:tc>
          <w:tcPr>
            <w:tcW w:w="846" w:type="dxa"/>
            <w:vAlign w:val="center"/>
          </w:tcPr>
          <w:p w14:paraId="0ED703F1">
            <w:pPr>
              <w:pStyle w:val="369"/>
              <w:rPr>
                <w:b w:val="0"/>
                <w:bCs/>
                <w:sz w:val="21"/>
                <w:szCs w:val="21"/>
              </w:rPr>
            </w:pPr>
            <w:r>
              <w:rPr>
                <w:rFonts w:hint="eastAsia"/>
                <w:b w:val="0"/>
                <w:bCs/>
                <w:sz w:val="21"/>
                <w:szCs w:val="21"/>
              </w:rPr>
              <w:t>1.55</w:t>
            </w:r>
          </w:p>
        </w:tc>
        <w:tc>
          <w:tcPr>
            <w:tcW w:w="3408" w:type="dxa"/>
            <w:vMerge w:val="restart"/>
            <w:vAlign w:val="center"/>
          </w:tcPr>
          <w:p w14:paraId="24976C64">
            <w:pPr>
              <w:pStyle w:val="369"/>
              <w:jc w:val="both"/>
              <w:rPr>
                <w:b w:val="0"/>
                <w:bCs/>
                <w:sz w:val="21"/>
                <w:szCs w:val="21"/>
              </w:rPr>
            </w:pPr>
            <w:r>
              <w:rPr>
                <w:rFonts w:hint="eastAsia"/>
                <w:b w:val="0"/>
                <w:bCs/>
                <w:sz w:val="21"/>
                <w:szCs w:val="21"/>
              </w:rPr>
              <w:t>青年鸡舍每年冲洗3次，蛋鸡舍每年冲洗1次，冲洗用水则算为每天用水量后进行水平衡核算</w:t>
            </w:r>
          </w:p>
        </w:tc>
      </w:tr>
      <w:tr w14:paraId="1F2E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 w:type="dxa"/>
            <w:vMerge w:val="continue"/>
            <w:vAlign w:val="center"/>
          </w:tcPr>
          <w:p w14:paraId="5676E419">
            <w:pPr>
              <w:pStyle w:val="369"/>
              <w:rPr>
                <w:b w:val="0"/>
                <w:bCs/>
                <w:sz w:val="21"/>
                <w:szCs w:val="21"/>
              </w:rPr>
            </w:pPr>
          </w:p>
        </w:tc>
        <w:tc>
          <w:tcPr>
            <w:tcW w:w="644" w:type="dxa"/>
            <w:vAlign w:val="center"/>
          </w:tcPr>
          <w:p w14:paraId="5ED92D79">
            <w:pPr>
              <w:pStyle w:val="369"/>
              <w:rPr>
                <w:b w:val="0"/>
                <w:bCs/>
                <w:sz w:val="21"/>
                <w:szCs w:val="21"/>
              </w:rPr>
            </w:pPr>
            <w:r>
              <w:rPr>
                <w:rFonts w:hint="eastAsia"/>
                <w:b w:val="0"/>
                <w:bCs/>
                <w:sz w:val="21"/>
                <w:szCs w:val="21"/>
              </w:rPr>
              <w:t>蛋鸡舍</w:t>
            </w:r>
          </w:p>
        </w:tc>
        <w:tc>
          <w:tcPr>
            <w:tcW w:w="1068" w:type="dxa"/>
            <w:vAlign w:val="center"/>
          </w:tcPr>
          <w:p w14:paraId="65536DFD">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/d</w:t>
            </w:r>
          </w:p>
        </w:tc>
        <w:tc>
          <w:tcPr>
            <w:tcW w:w="961" w:type="dxa"/>
            <w:vAlign w:val="center"/>
          </w:tcPr>
          <w:p w14:paraId="35269117">
            <w:pPr>
              <w:pStyle w:val="369"/>
              <w:rPr>
                <w:b w:val="0"/>
                <w:bCs/>
                <w:sz w:val="21"/>
                <w:szCs w:val="21"/>
              </w:rPr>
            </w:pPr>
            <w:r>
              <w:rPr>
                <w:rFonts w:hint="eastAsia"/>
                <w:b w:val="0"/>
                <w:bCs/>
                <w:sz w:val="21"/>
                <w:szCs w:val="21"/>
              </w:rPr>
              <w:t>1.97</w:t>
            </w:r>
          </w:p>
        </w:tc>
        <w:tc>
          <w:tcPr>
            <w:tcW w:w="933" w:type="dxa"/>
            <w:vAlign w:val="center"/>
          </w:tcPr>
          <w:p w14:paraId="49C09C98">
            <w:pPr>
              <w:pStyle w:val="369"/>
              <w:rPr>
                <w:b w:val="0"/>
                <w:bCs/>
                <w:sz w:val="21"/>
                <w:szCs w:val="21"/>
              </w:rPr>
            </w:pPr>
            <w:r>
              <w:rPr>
                <w:rFonts w:hint="eastAsia"/>
                <w:b w:val="0"/>
                <w:bCs/>
                <w:sz w:val="21"/>
                <w:szCs w:val="21"/>
              </w:rPr>
              <w:t>/</w:t>
            </w:r>
          </w:p>
        </w:tc>
        <w:tc>
          <w:tcPr>
            <w:tcW w:w="962" w:type="dxa"/>
            <w:vAlign w:val="center"/>
          </w:tcPr>
          <w:p w14:paraId="60C167AE">
            <w:pPr>
              <w:pStyle w:val="369"/>
              <w:rPr>
                <w:b w:val="0"/>
                <w:bCs/>
                <w:sz w:val="21"/>
                <w:szCs w:val="21"/>
              </w:rPr>
            </w:pPr>
            <w:r>
              <w:rPr>
                <w:rFonts w:hint="eastAsia"/>
                <w:b w:val="0"/>
                <w:bCs/>
                <w:sz w:val="21"/>
                <w:szCs w:val="21"/>
              </w:rPr>
              <w:t>0.18</w:t>
            </w:r>
          </w:p>
        </w:tc>
        <w:tc>
          <w:tcPr>
            <w:tcW w:w="846" w:type="dxa"/>
            <w:vAlign w:val="center"/>
          </w:tcPr>
          <w:p w14:paraId="4B79906E">
            <w:pPr>
              <w:pStyle w:val="369"/>
              <w:rPr>
                <w:b w:val="0"/>
                <w:bCs/>
                <w:sz w:val="21"/>
                <w:szCs w:val="21"/>
              </w:rPr>
            </w:pPr>
            <w:r>
              <w:rPr>
                <w:rFonts w:hint="eastAsia"/>
                <w:b w:val="0"/>
                <w:bCs/>
                <w:sz w:val="21"/>
                <w:szCs w:val="21"/>
              </w:rPr>
              <w:t>1.79</w:t>
            </w:r>
          </w:p>
        </w:tc>
        <w:tc>
          <w:tcPr>
            <w:tcW w:w="3408" w:type="dxa"/>
            <w:vMerge w:val="continue"/>
            <w:vAlign w:val="center"/>
          </w:tcPr>
          <w:p w14:paraId="32E92C8D">
            <w:pPr>
              <w:pStyle w:val="369"/>
              <w:rPr>
                <w:b w:val="0"/>
                <w:bCs/>
                <w:sz w:val="21"/>
                <w:szCs w:val="21"/>
              </w:rPr>
            </w:pPr>
          </w:p>
        </w:tc>
      </w:tr>
      <w:tr w14:paraId="020B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gridSpan w:val="2"/>
            <w:vAlign w:val="center"/>
          </w:tcPr>
          <w:p w14:paraId="06E7E50B">
            <w:pPr>
              <w:pStyle w:val="369"/>
              <w:rPr>
                <w:b w:val="0"/>
                <w:bCs/>
                <w:sz w:val="21"/>
                <w:szCs w:val="21"/>
              </w:rPr>
            </w:pPr>
            <w:r>
              <w:rPr>
                <w:rFonts w:hint="eastAsia"/>
                <w:b w:val="0"/>
                <w:bCs/>
                <w:sz w:val="21"/>
                <w:szCs w:val="21"/>
              </w:rPr>
              <w:t>消毒用水</w:t>
            </w:r>
          </w:p>
        </w:tc>
        <w:tc>
          <w:tcPr>
            <w:tcW w:w="1068" w:type="dxa"/>
            <w:vAlign w:val="center"/>
          </w:tcPr>
          <w:p w14:paraId="547B2876">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/d</w:t>
            </w:r>
          </w:p>
        </w:tc>
        <w:tc>
          <w:tcPr>
            <w:tcW w:w="961" w:type="dxa"/>
            <w:vAlign w:val="center"/>
          </w:tcPr>
          <w:p w14:paraId="129E9331">
            <w:pPr>
              <w:pStyle w:val="369"/>
              <w:rPr>
                <w:b w:val="0"/>
                <w:bCs/>
                <w:sz w:val="21"/>
                <w:szCs w:val="21"/>
              </w:rPr>
            </w:pPr>
            <w:r>
              <w:rPr>
                <w:rFonts w:hint="eastAsia"/>
                <w:b w:val="0"/>
                <w:bCs/>
                <w:sz w:val="21"/>
                <w:szCs w:val="21"/>
              </w:rPr>
              <w:t>1.28</w:t>
            </w:r>
          </w:p>
        </w:tc>
        <w:tc>
          <w:tcPr>
            <w:tcW w:w="933" w:type="dxa"/>
            <w:vAlign w:val="center"/>
          </w:tcPr>
          <w:p w14:paraId="46C53C5B">
            <w:pPr>
              <w:pStyle w:val="369"/>
              <w:rPr>
                <w:b w:val="0"/>
                <w:bCs/>
                <w:sz w:val="21"/>
                <w:szCs w:val="21"/>
              </w:rPr>
            </w:pPr>
            <w:r>
              <w:rPr>
                <w:rFonts w:hint="eastAsia"/>
                <w:b w:val="0"/>
                <w:bCs/>
                <w:sz w:val="21"/>
                <w:szCs w:val="21"/>
              </w:rPr>
              <w:t>/</w:t>
            </w:r>
          </w:p>
        </w:tc>
        <w:tc>
          <w:tcPr>
            <w:tcW w:w="962" w:type="dxa"/>
            <w:vAlign w:val="center"/>
          </w:tcPr>
          <w:p w14:paraId="2A9232EF">
            <w:pPr>
              <w:pStyle w:val="369"/>
              <w:rPr>
                <w:b w:val="0"/>
                <w:bCs/>
                <w:sz w:val="21"/>
                <w:szCs w:val="21"/>
              </w:rPr>
            </w:pPr>
            <w:r>
              <w:rPr>
                <w:rFonts w:hint="eastAsia"/>
                <w:b w:val="0"/>
                <w:bCs/>
                <w:sz w:val="21"/>
                <w:szCs w:val="21"/>
              </w:rPr>
              <w:t>1.28</w:t>
            </w:r>
          </w:p>
        </w:tc>
        <w:tc>
          <w:tcPr>
            <w:tcW w:w="846" w:type="dxa"/>
            <w:vAlign w:val="center"/>
          </w:tcPr>
          <w:p w14:paraId="44A612B9">
            <w:pPr>
              <w:pStyle w:val="369"/>
              <w:rPr>
                <w:b w:val="0"/>
                <w:bCs/>
                <w:sz w:val="21"/>
                <w:szCs w:val="21"/>
              </w:rPr>
            </w:pPr>
            <w:r>
              <w:rPr>
                <w:rFonts w:hint="eastAsia"/>
                <w:b w:val="0"/>
                <w:bCs/>
                <w:sz w:val="21"/>
                <w:szCs w:val="21"/>
              </w:rPr>
              <w:t>0</w:t>
            </w:r>
          </w:p>
        </w:tc>
        <w:tc>
          <w:tcPr>
            <w:tcW w:w="3408" w:type="dxa"/>
            <w:vAlign w:val="center"/>
          </w:tcPr>
          <w:p w14:paraId="7AA5326A">
            <w:pPr>
              <w:pStyle w:val="369"/>
              <w:rPr>
                <w:b w:val="0"/>
                <w:bCs/>
                <w:sz w:val="21"/>
                <w:szCs w:val="21"/>
              </w:rPr>
            </w:pPr>
            <w:r>
              <w:rPr>
                <w:rFonts w:hint="eastAsia"/>
                <w:b w:val="0"/>
                <w:bCs/>
                <w:sz w:val="21"/>
                <w:szCs w:val="21"/>
              </w:rPr>
              <w:t>蒸发消耗</w:t>
            </w:r>
          </w:p>
        </w:tc>
      </w:tr>
      <w:tr w14:paraId="65A5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gridSpan w:val="2"/>
            <w:vAlign w:val="center"/>
          </w:tcPr>
          <w:p w14:paraId="64A84D2D">
            <w:pPr>
              <w:pStyle w:val="369"/>
              <w:rPr>
                <w:b w:val="0"/>
                <w:bCs/>
                <w:sz w:val="21"/>
                <w:szCs w:val="21"/>
              </w:rPr>
            </w:pPr>
            <w:r>
              <w:rPr>
                <w:rFonts w:hint="eastAsia"/>
                <w:b w:val="0"/>
                <w:bCs/>
                <w:sz w:val="21"/>
                <w:szCs w:val="21"/>
              </w:rPr>
              <w:t>湿帘降温用水</w:t>
            </w:r>
          </w:p>
        </w:tc>
        <w:tc>
          <w:tcPr>
            <w:tcW w:w="1068" w:type="dxa"/>
            <w:vAlign w:val="center"/>
          </w:tcPr>
          <w:p w14:paraId="2A6B1325">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/帘·d</w:t>
            </w:r>
          </w:p>
        </w:tc>
        <w:tc>
          <w:tcPr>
            <w:tcW w:w="961" w:type="dxa"/>
            <w:vAlign w:val="center"/>
          </w:tcPr>
          <w:p w14:paraId="727419EB">
            <w:pPr>
              <w:pStyle w:val="369"/>
              <w:rPr>
                <w:b w:val="0"/>
                <w:bCs/>
                <w:sz w:val="21"/>
                <w:szCs w:val="21"/>
              </w:rPr>
            </w:pPr>
            <w:r>
              <w:rPr>
                <w:rFonts w:hint="eastAsia"/>
                <w:b w:val="0"/>
                <w:bCs/>
                <w:sz w:val="21"/>
                <w:szCs w:val="21"/>
              </w:rPr>
              <w:t>0.5</w:t>
            </w:r>
          </w:p>
        </w:tc>
        <w:tc>
          <w:tcPr>
            <w:tcW w:w="933" w:type="dxa"/>
            <w:vAlign w:val="center"/>
          </w:tcPr>
          <w:p w14:paraId="353A8E93">
            <w:pPr>
              <w:pStyle w:val="369"/>
              <w:rPr>
                <w:b w:val="0"/>
                <w:bCs/>
                <w:sz w:val="21"/>
                <w:szCs w:val="21"/>
              </w:rPr>
            </w:pPr>
            <w:r>
              <w:rPr>
                <w:rFonts w:hint="eastAsia"/>
                <w:b w:val="0"/>
                <w:bCs/>
                <w:sz w:val="21"/>
                <w:szCs w:val="21"/>
              </w:rPr>
              <w:t>/</w:t>
            </w:r>
          </w:p>
        </w:tc>
        <w:tc>
          <w:tcPr>
            <w:tcW w:w="962" w:type="dxa"/>
            <w:vAlign w:val="center"/>
          </w:tcPr>
          <w:p w14:paraId="744387AE">
            <w:pPr>
              <w:pStyle w:val="369"/>
              <w:rPr>
                <w:b w:val="0"/>
                <w:bCs/>
                <w:sz w:val="21"/>
                <w:szCs w:val="21"/>
              </w:rPr>
            </w:pPr>
            <w:r>
              <w:rPr>
                <w:rFonts w:hint="eastAsia"/>
                <w:b w:val="0"/>
                <w:bCs/>
                <w:sz w:val="21"/>
                <w:szCs w:val="21"/>
              </w:rPr>
              <w:t>0.5</w:t>
            </w:r>
          </w:p>
        </w:tc>
        <w:tc>
          <w:tcPr>
            <w:tcW w:w="846" w:type="dxa"/>
            <w:vAlign w:val="center"/>
          </w:tcPr>
          <w:p w14:paraId="5356856D">
            <w:pPr>
              <w:pStyle w:val="369"/>
              <w:rPr>
                <w:b w:val="0"/>
                <w:bCs/>
                <w:sz w:val="21"/>
                <w:szCs w:val="21"/>
              </w:rPr>
            </w:pPr>
            <w:r>
              <w:rPr>
                <w:rFonts w:hint="eastAsia"/>
                <w:b w:val="0"/>
                <w:bCs/>
                <w:sz w:val="21"/>
                <w:szCs w:val="21"/>
              </w:rPr>
              <w:t>0</w:t>
            </w:r>
          </w:p>
        </w:tc>
        <w:tc>
          <w:tcPr>
            <w:tcW w:w="3408" w:type="dxa"/>
            <w:vAlign w:val="center"/>
          </w:tcPr>
          <w:p w14:paraId="27E8CF91">
            <w:pPr>
              <w:pStyle w:val="369"/>
              <w:jc w:val="both"/>
              <w:rPr>
                <w:b w:val="0"/>
                <w:bCs/>
                <w:sz w:val="21"/>
                <w:szCs w:val="21"/>
              </w:rPr>
            </w:pPr>
            <w:r>
              <w:rPr>
                <w:b w:val="0"/>
                <w:bCs/>
                <w:sz w:val="21"/>
                <w:szCs w:val="21"/>
              </w:rPr>
              <w:t>蛋鸡舍3套</w:t>
            </w:r>
            <w:r>
              <w:rPr>
                <w:rFonts w:hint="eastAsia"/>
                <w:b w:val="0"/>
                <w:bCs/>
                <w:sz w:val="21"/>
                <w:szCs w:val="21"/>
              </w:rPr>
              <w:t>/栋</w:t>
            </w:r>
            <w:r>
              <w:rPr>
                <w:b w:val="0"/>
                <w:bCs/>
                <w:sz w:val="21"/>
                <w:szCs w:val="21"/>
              </w:rPr>
              <w:t>水帘降温系统，</w:t>
            </w:r>
            <w:r>
              <w:rPr>
                <w:rFonts w:hint="eastAsia"/>
                <w:b w:val="0"/>
                <w:bCs/>
                <w:sz w:val="21"/>
                <w:szCs w:val="21"/>
              </w:rPr>
              <w:t>青年</w:t>
            </w:r>
            <w:r>
              <w:rPr>
                <w:b w:val="0"/>
                <w:bCs/>
                <w:sz w:val="21"/>
                <w:szCs w:val="21"/>
              </w:rPr>
              <w:t>鸡舍1套</w:t>
            </w:r>
            <w:r>
              <w:rPr>
                <w:rFonts w:hint="eastAsia"/>
                <w:b w:val="0"/>
                <w:bCs/>
                <w:sz w:val="21"/>
                <w:szCs w:val="21"/>
              </w:rPr>
              <w:t>/</w:t>
            </w:r>
            <w:r>
              <w:rPr>
                <w:b w:val="0"/>
                <w:bCs/>
                <w:sz w:val="21"/>
                <w:szCs w:val="21"/>
              </w:rPr>
              <w:t>栋水帘降温系统，</w:t>
            </w:r>
            <w:r>
              <w:rPr>
                <w:rFonts w:hint="eastAsia"/>
                <w:b w:val="0"/>
                <w:bCs/>
                <w:sz w:val="21"/>
                <w:szCs w:val="21"/>
              </w:rPr>
              <w:t>青年</w:t>
            </w:r>
            <w:r>
              <w:rPr>
                <w:b w:val="0"/>
                <w:bCs/>
                <w:sz w:val="21"/>
                <w:szCs w:val="21"/>
              </w:rPr>
              <w:t>鸡舍使用40d，蛋鸡舍使用100d</w:t>
            </w:r>
          </w:p>
        </w:tc>
      </w:tr>
      <w:tr w14:paraId="41C2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gridSpan w:val="2"/>
            <w:vAlign w:val="center"/>
          </w:tcPr>
          <w:p w14:paraId="1A332EC8">
            <w:pPr>
              <w:pStyle w:val="369"/>
              <w:rPr>
                <w:b w:val="0"/>
                <w:bCs/>
                <w:sz w:val="21"/>
                <w:szCs w:val="21"/>
              </w:rPr>
            </w:pPr>
            <w:r>
              <w:rPr>
                <w:rFonts w:hint="eastAsia"/>
                <w:b w:val="0"/>
                <w:bCs/>
                <w:sz w:val="21"/>
                <w:szCs w:val="21"/>
              </w:rPr>
              <w:t>职工生活用水</w:t>
            </w:r>
          </w:p>
        </w:tc>
        <w:tc>
          <w:tcPr>
            <w:tcW w:w="1068" w:type="dxa"/>
            <w:vAlign w:val="center"/>
          </w:tcPr>
          <w:p w14:paraId="496A5705">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/d</w:t>
            </w:r>
          </w:p>
        </w:tc>
        <w:tc>
          <w:tcPr>
            <w:tcW w:w="961" w:type="dxa"/>
            <w:vAlign w:val="center"/>
          </w:tcPr>
          <w:p w14:paraId="124A6EE1">
            <w:pPr>
              <w:pStyle w:val="369"/>
              <w:rPr>
                <w:b w:val="0"/>
                <w:bCs/>
                <w:sz w:val="21"/>
                <w:szCs w:val="21"/>
              </w:rPr>
            </w:pPr>
            <w:r>
              <w:rPr>
                <w:rFonts w:hint="eastAsia"/>
                <w:b w:val="0"/>
                <w:bCs/>
                <w:sz w:val="21"/>
                <w:szCs w:val="21"/>
              </w:rPr>
              <w:t>4.5</w:t>
            </w:r>
          </w:p>
        </w:tc>
        <w:tc>
          <w:tcPr>
            <w:tcW w:w="933" w:type="dxa"/>
            <w:vAlign w:val="center"/>
          </w:tcPr>
          <w:p w14:paraId="6F75BD1A">
            <w:pPr>
              <w:pStyle w:val="369"/>
              <w:rPr>
                <w:b w:val="0"/>
                <w:bCs/>
                <w:sz w:val="21"/>
                <w:szCs w:val="21"/>
              </w:rPr>
            </w:pPr>
            <w:r>
              <w:rPr>
                <w:rFonts w:hint="eastAsia"/>
                <w:b w:val="0"/>
                <w:bCs/>
                <w:sz w:val="21"/>
                <w:szCs w:val="21"/>
              </w:rPr>
              <w:t>/</w:t>
            </w:r>
          </w:p>
        </w:tc>
        <w:tc>
          <w:tcPr>
            <w:tcW w:w="962" w:type="dxa"/>
            <w:vAlign w:val="center"/>
          </w:tcPr>
          <w:p w14:paraId="4D94D0B5">
            <w:pPr>
              <w:pStyle w:val="369"/>
              <w:rPr>
                <w:b w:val="0"/>
                <w:bCs/>
                <w:sz w:val="21"/>
                <w:szCs w:val="21"/>
              </w:rPr>
            </w:pPr>
            <w:r>
              <w:rPr>
                <w:rFonts w:hint="eastAsia"/>
                <w:b w:val="0"/>
                <w:bCs/>
                <w:sz w:val="21"/>
                <w:szCs w:val="21"/>
              </w:rPr>
              <w:t>0.9</w:t>
            </w:r>
          </w:p>
        </w:tc>
        <w:tc>
          <w:tcPr>
            <w:tcW w:w="846" w:type="dxa"/>
            <w:vAlign w:val="center"/>
          </w:tcPr>
          <w:p w14:paraId="7F931F7D">
            <w:pPr>
              <w:pStyle w:val="369"/>
              <w:rPr>
                <w:b w:val="0"/>
                <w:bCs/>
                <w:sz w:val="21"/>
                <w:szCs w:val="21"/>
              </w:rPr>
            </w:pPr>
            <w:r>
              <w:rPr>
                <w:rFonts w:hint="eastAsia"/>
                <w:b w:val="0"/>
                <w:bCs/>
                <w:sz w:val="21"/>
                <w:szCs w:val="21"/>
              </w:rPr>
              <w:t>3.6</w:t>
            </w:r>
          </w:p>
        </w:tc>
        <w:tc>
          <w:tcPr>
            <w:tcW w:w="3408" w:type="dxa"/>
            <w:vAlign w:val="center"/>
          </w:tcPr>
          <w:p w14:paraId="5368404A">
            <w:pPr>
              <w:pStyle w:val="369"/>
              <w:rPr>
                <w:b w:val="0"/>
                <w:bCs/>
                <w:sz w:val="21"/>
                <w:szCs w:val="21"/>
              </w:rPr>
            </w:pPr>
            <w:r>
              <w:rPr>
                <w:rFonts w:hint="eastAsia"/>
                <w:b w:val="0"/>
                <w:bCs/>
                <w:sz w:val="21"/>
                <w:szCs w:val="21"/>
              </w:rPr>
              <w:t>/</w:t>
            </w:r>
          </w:p>
        </w:tc>
      </w:tr>
      <w:tr w14:paraId="7A0B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gridSpan w:val="2"/>
            <w:vAlign w:val="center"/>
          </w:tcPr>
          <w:p w14:paraId="461809E2">
            <w:pPr>
              <w:pStyle w:val="369"/>
              <w:rPr>
                <w:b w:val="0"/>
                <w:bCs/>
                <w:sz w:val="21"/>
                <w:szCs w:val="21"/>
              </w:rPr>
            </w:pPr>
            <w:r>
              <w:rPr>
                <w:rFonts w:hint="eastAsia"/>
                <w:b w:val="0"/>
                <w:bCs/>
                <w:sz w:val="21"/>
                <w:szCs w:val="21"/>
              </w:rPr>
              <w:t>软化设备用水</w:t>
            </w:r>
          </w:p>
        </w:tc>
        <w:tc>
          <w:tcPr>
            <w:tcW w:w="1068" w:type="dxa"/>
            <w:vAlign w:val="center"/>
          </w:tcPr>
          <w:p w14:paraId="45826399">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/d</w:t>
            </w:r>
          </w:p>
        </w:tc>
        <w:tc>
          <w:tcPr>
            <w:tcW w:w="961" w:type="dxa"/>
            <w:vAlign w:val="center"/>
          </w:tcPr>
          <w:p w14:paraId="606E2CBC">
            <w:pPr>
              <w:pStyle w:val="369"/>
              <w:rPr>
                <w:b w:val="0"/>
                <w:bCs/>
                <w:sz w:val="21"/>
                <w:szCs w:val="21"/>
              </w:rPr>
            </w:pPr>
            <w:r>
              <w:rPr>
                <w:rFonts w:hint="eastAsia"/>
                <w:b w:val="0"/>
                <w:bCs/>
                <w:sz w:val="21"/>
                <w:szCs w:val="21"/>
              </w:rPr>
              <w:t>10.69</w:t>
            </w:r>
          </w:p>
        </w:tc>
        <w:tc>
          <w:tcPr>
            <w:tcW w:w="933" w:type="dxa"/>
            <w:vAlign w:val="center"/>
          </w:tcPr>
          <w:p w14:paraId="3DFD7080">
            <w:pPr>
              <w:pStyle w:val="369"/>
              <w:rPr>
                <w:b w:val="0"/>
                <w:bCs/>
                <w:sz w:val="21"/>
                <w:szCs w:val="21"/>
              </w:rPr>
            </w:pPr>
            <w:r>
              <w:rPr>
                <w:rFonts w:hint="eastAsia"/>
                <w:b w:val="0"/>
                <w:bCs/>
                <w:sz w:val="21"/>
                <w:szCs w:val="21"/>
              </w:rPr>
              <w:t>8.55</w:t>
            </w:r>
          </w:p>
        </w:tc>
        <w:tc>
          <w:tcPr>
            <w:tcW w:w="962" w:type="dxa"/>
            <w:vAlign w:val="center"/>
          </w:tcPr>
          <w:p w14:paraId="7C9DCD85">
            <w:pPr>
              <w:pStyle w:val="369"/>
              <w:rPr>
                <w:b w:val="0"/>
                <w:bCs/>
                <w:sz w:val="21"/>
                <w:szCs w:val="21"/>
              </w:rPr>
            </w:pPr>
            <w:r>
              <w:rPr>
                <w:rFonts w:hint="eastAsia"/>
                <w:b w:val="0"/>
                <w:bCs/>
                <w:sz w:val="21"/>
                <w:szCs w:val="21"/>
              </w:rPr>
              <w:t>/</w:t>
            </w:r>
          </w:p>
        </w:tc>
        <w:tc>
          <w:tcPr>
            <w:tcW w:w="846" w:type="dxa"/>
            <w:vAlign w:val="center"/>
          </w:tcPr>
          <w:p w14:paraId="5509F42A">
            <w:pPr>
              <w:pStyle w:val="369"/>
              <w:rPr>
                <w:b w:val="0"/>
                <w:bCs/>
                <w:sz w:val="21"/>
                <w:szCs w:val="21"/>
              </w:rPr>
            </w:pPr>
            <w:r>
              <w:rPr>
                <w:rFonts w:hint="eastAsia"/>
                <w:b w:val="0"/>
                <w:bCs/>
                <w:sz w:val="21"/>
                <w:szCs w:val="21"/>
              </w:rPr>
              <w:t>2.14</w:t>
            </w:r>
          </w:p>
        </w:tc>
        <w:tc>
          <w:tcPr>
            <w:tcW w:w="3408" w:type="dxa"/>
            <w:vAlign w:val="center"/>
          </w:tcPr>
          <w:p w14:paraId="1ED6E8E4">
            <w:pPr>
              <w:pStyle w:val="369"/>
              <w:rPr>
                <w:b w:val="0"/>
                <w:bCs/>
                <w:sz w:val="21"/>
                <w:szCs w:val="21"/>
              </w:rPr>
            </w:pPr>
            <w:r>
              <w:rPr>
                <w:rFonts w:hint="eastAsia"/>
                <w:b w:val="0"/>
                <w:bCs/>
                <w:sz w:val="21"/>
                <w:szCs w:val="21"/>
              </w:rPr>
              <w:t>年运行180d，10月-次年4月</w:t>
            </w:r>
          </w:p>
        </w:tc>
      </w:tr>
      <w:tr w14:paraId="1698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108" w:type="dxa"/>
            <w:gridSpan w:val="2"/>
            <w:vAlign w:val="center"/>
          </w:tcPr>
          <w:p w14:paraId="1A45E7D0">
            <w:pPr>
              <w:pStyle w:val="369"/>
              <w:rPr>
                <w:b w:val="0"/>
                <w:bCs/>
                <w:sz w:val="21"/>
                <w:szCs w:val="21"/>
              </w:rPr>
            </w:pPr>
            <w:r>
              <w:rPr>
                <w:rFonts w:hint="eastAsia"/>
                <w:b w:val="0"/>
                <w:bCs/>
                <w:sz w:val="21"/>
                <w:szCs w:val="21"/>
              </w:rPr>
              <w:t>绿化用水</w:t>
            </w:r>
          </w:p>
        </w:tc>
        <w:tc>
          <w:tcPr>
            <w:tcW w:w="1068" w:type="dxa"/>
            <w:vAlign w:val="center"/>
          </w:tcPr>
          <w:p w14:paraId="1AFE5752">
            <w:pPr>
              <w:pStyle w:val="369"/>
              <w:rPr>
                <w:b w:val="0"/>
                <w:bCs/>
                <w:sz w:val="21"/>
                <w:szCs w:val="21"/>
              </w:rPr>
            </w:pPr>
            <w:r>
              <w:rPr>
                <w:rFonts w:hint="eastAsia"/>
                <w:b w:val="0"/>
                <w:bCs/>
                <w:sz w:val="21"/>
                <w:szCs w:val="21"/>
              </w:rPr>
              <w:t>m</w:t>
            </w:r>
            <w:r>
              <w:rPr>
                <w:rFonts w:hint="eastAsia"/>
                <w:b w:val="0"/>
                <w:bCs/>
                <w:sz w:val="21"/>
                <w:szCs w:val="21"/>
                <w:vertAlign w:val="superscript"/>
              </w:rPr>
              <w:t>3</w:t>
            </w:r>
            <w:r>
              <w:rPr>
                <w:rFonts w:hint="eastAsia"/>
                <w:b w:val="0"/>
                <w:bCs/>
                <w:sz w:val="21"/>
                <w:szCs w:val="21"/>
              </w:rPr>
              <w:t>/d</w:t>
            </w:r>
          </w:p>
        </w:tc>
        <w:tc>
          <w:tcPr>
            <w:tcW w:w="961" w:type="dxa"/>
            <w:vAlign w:val="center"/>
          </w:tcPr>
          <w:p w14:paraId="46C5DD8D">
            <w:pPr>
              <w:pStyle w:val="369"/>
              <w:rPr>
                <w:b w:val="0"/>
                <w:bCs/>
                <w:sz w:val="21"/>
                <w:szCs w:val="21"/>
              </w:rPr>
            </w:pPr>
            <w:r>
              <w:rPr>
                <w:rFonts w:hint="eastAsia"/>
                <w:b w:val="0"/>
                <w:bCs/>
                <w:sz w:val="21"/>
                <w:szCs w:val="21"/>
              </w:rPr>
              <w:t>297</w:t>
            </w:r>
          </w:p>
        </w:tc>
        <w:tc>
          <w:tcPr>
            <w:tcW w:w="933" w:type="dxa"/>
            <w:vAlign w:val="center"/>
          </w:tcPr>
          <w:p w14:paraId="300E79AF">
            <w:pPr>
              <w:pStyle w:val="369"/>
              <w:rPr>
                <w:b w:val="0"/>
                <w:bCs/>
                <w:sz w:val="21"/>
                <w:szCs w:val="21"/>
              </w:rPr>
            </w:pPr>
            <w:r>
              <w:rPr>
                <w:rFonts w:hint="eastAsia"/>
                <w:b w:val="0"/>
                <w:bCs/>
                <w:sz w:val="21"/>
                <w:szCs w:val="21"/>
              </w:rPr>
              <w:t>/</w:t>
            </w:r>
          </w:p>
        </w:tc>
        <w:tc>
          <w:tcPr>
            <w:tcW w:w="962" w:type="dxa"/>
            <w:vAlign w:val="center"/>
          </w:tcPr>
          <w:p w14:paraId="38C86642">
            <w:pPr>
              <w:pStyle w:val="369"/>
              <w:rPr>
                <w:b w:val="0"/>
                <w:bCs/>
                <w:sz w:val="21"/>
                <w:szCs w:val="21"/>
              </w:rPr>
            </w:pPr>
            <w:r>
              <w:rPr>
                <w:rFonts w:hint="eastAsia"/>
                <w:b w:val="0"/>
                <w:bCs/>
                <w:sz w:val="21"/>
                <w:szCs w:val="21"/>
              </w:rPr>
              <w:t>297</w:t>
            </w:r>
          </w:p>
        </w:tc>
        <w:tc>
          <w:tcPr>
            <w:tcW w:w="846" w:type="dxa"/>
            <w:vAlign w:val="center"/>
          </w:tcPr>
          <w:p w14:paraId="07A988C6">
            <w:pPr>
              <w:pStyle w:val="369"/>
              <w:rPr>
                <w:b w:val="0"/>
                <w:bCs/>
                <w:sz w:val="21"/>
                <w:szCs w:val="21"/>
              </w:rPr>
            </w:pPr>
            <w:r>
              <w:rPr>
                <w:rFonts w:hint="eastAsia"/>
                <w:b w:val="0"/>
                <w:bCs/>
                <w:sz w:val="21"/>
                <w:szCs w:val="21"/>
              </w:rPr>
              <w:t>0</w:t>
            </w:r>
          </w:p>
        </w:tc>
        <w:tc>
          <w:tcPr>
            <w:tcW w:w="3408" w:type="dxa"/>
            <w:vAlign w:val="center"/>
          </w:tcPr>
          <w:p w14:paraId="1844E7BB">
            <w:pPr>
              <w:pStyle w:val="369"/>
              <w:jc w:val="both"/>
              <w:rPr>
                <w:b w:val="0"/>
                <w:bCs/>
                <w:sz w:val="21"/>
                <w:szCs w:val="21"/>
              </w:rPr>
            </w:pPr>
            <w:r>
              <w:rPr>
                <w:rFonts w:hint="eastAsia"/>
                <w:b w:val="0"/>
                <w:bCs/>
                <w:sz w:val="21"/>
                <w:szCs w:val="21"/>
              </w:rPr>
              <w:t>每年5-9月浇水，每周浇水3d，共计60d</w:t>
            </w:r>
          </w:p>
        </w:tc>
      </w:tr>
    </w:tbl>
    <w:p w14:paraId="3E370D7D">
      <w:pPr>
        <w:ind w:firstLine="480"/>
      </w:pPr>
      <w:r>
        <w:t>水平衡图详见图3</w:t>
      </w:r>
      <w:r>
        <w:rPr>
          <w:rFonts w:hint="eastAsia"/>
        </w:rPr>
        <w:t>.1-2</w:t>
      </w:r>
      <w:r>
        <w:t>。</w:t>
      </w:r>
    </w:p>
    <w:p w14:paraId="5EFAFEC8">
      <w:pPr>
        <w:pStyle w:val="749"/>
        <w:rPr>
          <w:color w:val="auto"/>
        </w:rPr>
      </w:pPr>
      <w:r>
        <w:rPr>
          <w:rFonts w:hint="eastAsia"/>
          <w:color w:val="auto"/>
        </w:rPr>
        <w:drawing>
          <wp:inline distT="0" distB="0" distL="114300" distR="114300">
            <wp:extent cx="5731510" cy="4400550"/>
            <wp:effectExtent l="0" t="0" r="8890" b="6350"/>
            <wp:docPr id="35" name="图片 35" descr="C:/Users/lianglong/Desktop/水平衡图.png水平衡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lianglong/Desktop/水平衡图.png水平衡图"/>
                    <pic:cNvPicPr>
                      <a:picLocks noChangeAspect="1"/>
                    </pic:cNvPicPr>
                  </pic:nvPicPr>
                  <pic:blipFill>
                    <a:blip r:embed="rId30"/>
                    <a:srcRect l="22" r="22"/>
                    <a:stretch>
                      <a:fillRect/>
                    </a:stretch>
                  </pic:blipFill>
                  <pic:spPr>
                    <a:xfrm>
                      <a:off x="0" y="0"/>
                      <a:ext cx="5731510" cy="4400550"/>
                    </a:xfrm>
                    <a:prstGeom prst="rect">
                      <a:avLst/>
                    </a:prstGeom>
                  </pic:spPr>
                </pic:pic>
              </a:graphicData>
            </a:graphic>
          </wp:inline>
        </w:drawing>
      </w:r>
    </w:p>
    <w:p w14:paraId="0ABAADCF">
      <w:pPr>
        <w:pStyle w:val="749"/>
        <w:rPr>
          <w:b w:val="0"/>
          <w:color w:val="auto"/>
          <w:szCs w:val="22"/>
        </w:rPr>
      </w:pPr>
      <w:r>
        <w:rPr>
          <w:color w:val="auto"/>
        </w:rPr>
        <w:t>图3.1-</w:t>
      </w:r>
      <w:r>
        <w:rPr>
          <w:rFonts w:hint="eastAsia"/>
          <w:color w:val="auto"/>
        </w:rPr>
        <w:t>2</w:t>
      </w:r>
      <w:r>
        <w:rPr>
          <w:color w:val="auto"/>
        </w:rPr>
        <w:t xml:space="preserve">  </w:t>
      </w:r>
      <w:r>
        <w:rPr>
          <w:rFonts w:hint="eastAsia"/>
          <w:color w:val="auto"/>
        </w:rPr>
        <w:t>项目</w:t>
      </w:r>
      <w:r>
        <w:rPr>
          <w:color w:val="auto"/>
        </w:rPr>
        <w:t>水平衡图</w:t>
      </w:r>
    </w:p>
    <w:p w14:paraId="5D0AC024">
      <w:pPr>
        <w:pStyle w:val="12"/>
      </w:pPr>
      <w:r>
        <w:t>3.1.</w:t>
      </w:r>
      <w:r>
        <w:rPr>
          <w:rFonts w:hint="eastAsia"/>
        </w:rPr>
        <w:t>6</w:t>
      </w:r>
      <w:r>
        <w:t>.3供电</w:t>
      </w:r>
    </w:p>
    <w:p w14:paraId="6A89F399">
      <w:pPr>
        <w:pStyle w:val="105"/>
        <w:ind w:firstLine="480"/>
      </w:pPr>
      <w:r>
        <w:t>本项目用电负荷约100万千瓦时/年。电力由变电站提供就近的供电主管线接入，经变压器分配到各用电单元。</w:t>
      </w:r>
    </w:p>
    <w:p w14:paraId="077A92E8">
      <w:pPr>
        <w:pStyle w:val="105"/>
        <w:ind w:firstLine="480"/>
      </w:pPr>
      <w:r>
        <w:t>考虑到养殖区大量采用自动化设备，为确保项目生产，需要提供双路供电，目前可以保证养殖区的双路供电，但为避免停电造成事故，各养殖场区内仍需同时配备</w:t>
      </w:r>
      <w:r>
        <w:rPr>
          <w:rFonts w:hint="eastAsia"/>
        </w:rPr>
        <w:t>柴油</w:t>
      </w:r>
      <w:r>
        <w:t>发电机组，以在临时断电情况下保证应急电力供应。供电可靠度达到99.9%。</w:t>
      </w:r>
    </w:p>
    <w:p w14:paraId="23003187">
      <w:pPr>
        <w:pStyle w:val="12"/>
      </w:pPr>
      <w:r>
        <w:t>3.1.</w:t>
      </w:r>
      <w:r>
        <w:rPr>
          <w:rFonts w:hint="eastAsia"/>
        </w:rPr>
        <w:t>6</w:t>
      </w:r>
      <w:r>
        <w:t>.4供暖</w:t>
      </w:r>
    </w:p>
    <w:p w14:paraId="538D4FD9">
      <w:pPr>
        <w:pStyle w:val="105"/>
        <w:ind w:firstLine="480"/>
        <w:jc w:val="both"/>
      </w:pPr>
      <w:r>
        <w:t>参考北京生态园养殖情况，可以确认蛋鸡舍不需要安装专门的供暖设施，在有加厚的保温层和鸡舍保温墙体情况下，依靠鸡群自身散热可保证在舍内冬季温度不低于20℃。</w:t>
      </w:r>
      <w:r>
        <w:rPr>
          <w:rFonts w:hint="eastAsia"/>
        </w:rPr>
        <w:t>青年</w:t>
      </w:r>
      <w:r>
        <w:t>鸡舍需要配备热水锅炉供暖，以为</w:t>
      </w:r>
      <w:r>
        <w:rPr>
          <w:rFonts w:hint="eastAsia"/>
        </w:rPr>
        <w:t>青年</w:t>
      </w:r>
      <w:r>
        <w:t>鸡舍早期提供37℃以上的适宜高温。</w:t>
      </w:r>
    </w:p>
    <w:p w14:paraId="3668F887">
      <w:pPr>
        <w:pStyle w:val="105"/>
        <w:ind w:firstLine="480"/>
        <w:jc w:val="both"/>
      </w:pPr>
      <w:r>
        <w:t>本项目安装3台3t天然气热水锅炉</w:t>
      </w:r>
      <w:r>
        <w:rPr>
          <w:rFonts w:hint="eastAsia"/>
        </w:rPr>
        <w:t>（两用一备）以及1台0</w:t>
      </w:r>
      <w:r>
        <w:t>.5</w:t>
      </w:r>
      <w:r>
        <w:rPr>
          <w:rFonts w:hint="eastAsia"/>
        </w:rPr>
        <w:t>t电锅炉</w:t>
      </w:r>
      <w:r>
        <w:t>供暖，主要为鸡舍供暖，年消耗天然气70万方，燃气由周边管道接入</w:t>
      </w:r>
      <w:r>
        <w:rPr>
          <w:rFonts w:hint="eastAsia"/>
        </w:rPr>
        <w:t>，本次评价部包含天然气管道部分，天然气管道另行评价</w:t>
      </w:r>
      <w:r>
        <w:t>。</w:t>
      </w:r>
    </w:p>
    <w:p w14:paraId="4B49DF79">
      <w:pPr>
        <w:pStyle w:val="12"/>
      </w:pPr>
      <w:r>
        <w:t>3.1.</w:t>
      </w:r>
      <w:r>
        <w:rPr>
          <w:rFonts w:hint="eastAsia"/>
        </w:rPr>
        <w:t>6</w:t>
      </w:r>
      <w:r>
        <w:t>.5消毒</w:t>
      </w:r>
    </w:p>
    <w:p w14:paraId="5146F475">
      <w:pPr>
        <w:pStyle w:val="105"/>
        <w:ind w:firstLine="480"/>
      </w:pPr>
      <w:r>
        <w:t>1、车辆消毒</w:t>
      </w:r>
    </w:p>
    <w:p w14:paraId="4A71DD20">
      <w:pPr>
        <w:pStyle w:val="105"/>
        <w:ind w:firstLine="480"/>
        <w:jc w:val="both"/>
      </w:pPr>
      <w:r>
        <w:t>在大门入口处需设消毒关卡，对进来车辆进行消毒。关卡上设置喷雾口，采用喷雾+人工的方式消毒，避免产生地面径流，消毒液使用复方酚。</w:t>
      </w:r>
    </w:p>
    <w:p w14:paraId="1D3A2826">
      <w:pPr>
        <w:pStyle w:val="105"/>
        <w:ind w:firstLine="480"/>
      </w:pPr>
      <w:r>
        <w:t>2、人员消毒</w:t>
      </w:r>
    </w:p>
    <w:p w14:paraId="22ED013E">
      <w:pPr>
        <w:pStyle w:val="105"/>
        <w:ind w:firstLine="480"/>
      </w:pPr>
      <w:r>
        <w:t>本项目对进场人员进行消毒，以防鸡感染外来疾病，主要使用碘伏雾化消毒。</w:t>
      </w:r>
    </w:p>
    <w:p w14:paraId="328CD75D">
      <w:pPr>
        <w:pStyle w:val="105"/>
        <w:ind w:firstLine="480"/>
      </w:pPr>
      <w:r>
        <w:t>3、鸡舍消毒</w:t>
      </w:r>
    </w:p>
    <w:p w14:paraId="63293488">
      <w:pPr>
        <w:pStyle w:val="105"/>
        <w:ind w:firstLine="480"/>
      </w:pPr>
      <w:r>
        <w:t>蛋鸡在转群和出栏时，鸡舍需采取喷雾消毒，消毒剂主要为复方酚。</w:t>
      </w:r>
    </w:p>
    <w:p w14:paraId="1F586538">
      <w:pPr>
        <w:pStyle w:val="11"/>
      </w:pPr>
      <w:bookmarkStart w:id="175" w:name="_Toc166572268"/>
      <w:r>
        <w:t>3.1.</w:t>
      </w:r>
      <w:r>
        <w:rPr>
          <w:rFonts w:hint="eastAsia"/>
        </w:rPr>
        <w:t>7</w:t>
      </w:r>
      <w:r>
        <w:t>劳动定员及工作制度</w:t>
      </w:r>
      <w:bookmarkEnd w:id="175"/>
    </w:p>
    <w:p w14:paraId="79CED325">
      <w:pPr>
        <w:pStyle w:val="105"/>
        <w:ind w:firstLine="480"/>
      </w:pPr>
      <w:r>
        <w:t>本项目劳动定员50人。全年工作365天，每天8小时，夜间留有值班人员值班</w:t>
      </w:r>
      <w:r>
        <w:rPr>
          <w:rFonts w:hint="eastAsia"/>
        </w:rPr>
        <w:t>。</w:t>
      </w:r>
    </w:p>
    <w:p w14:paraId="674E392F">
      <w:pPr>
        <w:pStyle w:val="10"/>
      </w:pPr>
      <w:bookmarkStart w:id="176" w:name="_Toc166572269"/>
      <w:bookmarkStart w:id="177" w:name="_Toc36234650"/>
      <w:bookmarkStart w:id="178" w:name="_Toc468099286"/>
      <w:r>
        <w:t>3.2工程分析</w:t>
      </w:r>
      <w:bookmarkEnd w:id="176"/>
      <w:bookmarkEnd w:id="177"/>
    </w:p>
    <w:p w14:paraId="2E3A2DA5">
      <w:pPr>
        <w:pStyle w:val="11"/>
      </w:pPr>
      <w:bookmarkStart w:id="179" w:name="_Toc166572270"/>
      <w:bookmarkStart w:id="180" w:name="_Toc20686"/>
      <w:bookmarkStart w:id="181" w:name="_Toc8283"/>
      <w:bookmarkStart w:id="182" w:name="_Toc29066_WPSOffice_Level2"/>
      <w:bookmarkStart w:id="183" w:name="_Toc26674"/>
      <w:bookmarkStart w:id="184" w:name="_Toc17883"/>
      <w:bookmarkStart w:id="185" w:name="_Toc29428"/>
      <w:bookmarkStart w:id="186" w:name="_Toc31051"/>
      <w:r>
        <w:t>3.2.1施工期工艺</w:t>
      </w:r>
      <w:r>
        <w:rPr>
          <w:rFonts w:hint="eastAsia"/>
        </w:rPr>
        <w:t>及污染防治措施</w:t>
      </w:r>
      <w:bookmarkEnd w:id="179"/>
    </w:p>
    <w:p w14:paraId="6ECDB830">
      <w:pPr>
        <w:ind w:right="110" w:rightChars="46" w:firstLine="480"/>
      </w:pPr>
      <w:r>
        <w:rPr>
          <w:rFonts w:hint="eastAsia"/>
        </w:rPr>
        <w:t>1、施工期工艺流程</w:t>
      </w:r>
    </w:p>
    <w:p w14:paraId="03E56CB2">
      <w:pPr>
        <w:ind w:right="110" w:rightChars="46" w:firstLine="480"/>
      </w:pPr>
      <w:r>
        <w:t>本项目主体工程均采用砖混墙体、彩钢屋顶的结构，施工工艺流程及污染节点：见图3-2。</w:t>
      </w:r>
    </w:p>
    <w:p w14:paraId="3D2380B8">
      <w:pPr>
        <w:pStyle w:val="766"/>
        <w:rPr>
          <w:color w:val="auto"/>
          <w:sz w:val="24"/>
        </w:rPr>
      </w:pPr>
      <w:r>
        <w:rPr>
          <w:color w:val="auto"/>
        </w:rPr>
        <w:object>
          <v:shape id="_x0000_i1025" o:spt="75" type="#_x0000_t75" style="height:99pt;width:418pt;" o:ole="t" filled="f" o:preferrelative="t" stroked="f" coordsize="21600,21600">
            <v:path/>
            <v:fill on="f" focussize="0,0"/>
            <v:stroke on="f" joinstyle="miter"/>
            <v:imagedata r:id="rId32" o:title=""/>
            <o:lock v:ext="edit" aspectratio="t"/>
            <w10:wrap type="none"/>
            <w10:anchorlock/>
          </v:shape>
          <o:OLEObject Type="Embed" ProgID="Visio.Drawing.11" ShapeID="_x0000_i1025" DrawAspect="Content" ObjectID="_1468075725" r:id="rId31">
            <o:LockedField>false</o:LockedField>
          </o:OLEObject>
        </w:object>
      </w:r>
    </w:p>
    <w:p w14:paraId="063E7E1A">
      <w:pPr>
        <w:ind w:right="110" w:rightChars="46" w:firstLine="482"/>
        <w:jc w:val="center"/>
      </w:pPr>
      <w:r>
        <w:rPr>
          <w:b/>
        </w:rPr>
        <w:t>图3.2-1  建筑施工工艺流程及污染节点</w:t>
      </w:r>
    </w:p>
    <w:p w14:paraId="3BA1D74D">
      <w:pPr>
        <w:ind w:right="110" w:rightChars="46" w:firstLine="480"/>
      </w:pPr>
      <w:r>
        <w:t>施工期工艺流程简述：</w:t>
      </w:r>
    </w:p>
    <w:p w14:paraId="4BD48183">
      <w:pPr>
        <w:ind w:right="110" w:rightChars="46" w:firstLine="480"/>
      </w:pPr>
      <w:r>
        <w:rPr>
          <w:rFonts w:hint="eastAsia"/>
        </w:rPr>
        <w:t>（1）</w:t>
      </w:r>
      <w:r>
        <w:t>平整土地</w:t>
      </w:r>
    </w:p>
    <w:p w14:paraId="22899E7A">
      <w:pPr>
        <w:ind w:right="110" w:rightChars="46" w:firstLine="480"/>
        <w:rPr>
          <w:bCs/>
        </w:rPr>
      </w:pPr>
      <w:r>
        <w:rPr>
          <w:bCs/>
        </w:rPr>
        <w:t>通过对土地表层状况进行改造，场地存在较明显的土地不同位置的高差，以达到后续施工的要求，此过程产生扬尘。</w:t>
      </w:r>
    </w:p>
    <w:p w14:paraId="4CA2CB12">
      <w:pPr>
        <w:ind w:right="110" w:rightChars="46" w:firstLine="480"/>
      </w:pPr>
      <w:r>
        <w:rPr>
          <w:rFonts w:hint="eastAsia"/>
        </w:rPr>
        <w:t>（</w:t>
      </w:r>
      <w:r>
        <w:t>2</w:t>
      </w:r>
      <w:r>
        <w:rPr>
          <w:rFonts w:hint="eastAsia"/>
        </w:rPr>
        <w:t>）</w:t>
      </w:r>
      <w:r>
        <w:t>土方工程</w:t>
      </w:r>
    </w:p>
    <w:p w14:paraId="05010279">
      <w:pPr>
        <w:ind w:right="110" w:rightChars="46" w:firstLine="480"/>
      </w:pPr>
      <w:r>
        <w:t>土方工程主要为挖填土方、基础垫层等。</w:t>
      </w:r>
    </w:p>
    <w:p w14:paraId="06BC563C">
      <w:pPr>
        <w:ind w:right="110" w:rightChars="46" w:firstLine="480"/>
      </w:pPr>
      <w:r>
        <w:rPr>
          <w:rFonts w:hint="eastAsia"/>
        </w:rPr>
        <w:t>（</w:t>
      </w:r>
      <w:r>
        <w:t>3）基础工程</w:t>
      </w:r>
    </w:p>
    <w:p w14:paraId="790E4624">
      <w:pPr>
        <w:ind w:right="110" w:rightChars="46" w:firstLine="480"/>
      </w:pPr>
      <w:r>
        <w:t>基础是建造建筑物的关键，在基础工程过程中产生扬尘、噪声。</w:t>
      </w:r>
    </w:p>
    <w:p w14:paraId="05526B13">
      <w:pPr>
        <w:ind w:right="110" w:rightChars="46" w:firstLine="480"/>
      </w:pPr>
      <w:r>
        <w:rPr>
          <w:rFonts w:hint="eastAsia"/>
        </w:rPr>
        <w:t>（</w:t>
      </w:r>
      <w:r>
        <w:t>4）墙体工程</w:t>
      </w:r>
    </w:p>
    <w:p w14:paraId="653F0DDA">
      <w:pPr>
        <w:ind w:right="110" w:rightChars="46" w:firstLine="480"/>
      </w:pPr>
      <w:r>
        <w:t>主体建筑墙体采用砖混结构，施工过程中主要产生扬尘、废水、建筑垃圾和噪声。</w:t>
      </w:r>
    </w:p>
    <w:p w14:paraId="4A034883">
      <w:pPr>
        <w:ind w:right="110" w:rightChars="46" w:firstLine="480"/>
      </w:pPr>
      <w:r>
        <w:rPr>
          <w:rFonts w:hint="eastAsia"/>
        </w:rPr>
        <w:t>（</w:t>
      </w:r>
      <w:r>
        <w:t>5）彩钢顶</w:t>
      </w:r>
    </w:p>
    <w:p w14:paraId="797C4A81">
      <w:pPr>
        <w:ind w:right="110" w:rightChars="46" w:firstLine="480"/>
      </w:pPr>
      <w:r>
        <w:t>主体建筑房顶采用彩钢板，施工过程中主要产生建筑垃圾和噪声。</w:t>
      </w:r>
    </w:p>
    <w:p w14:paraId="5A8C7F21">
      <w:pPr>
        <w:ind w:right="110" w:rightChars="46" w:firstLine="480"/>
      </w:pPr>
      <w:r>
        <w:rPr>
          <w:rFonts w:hint="eastAsia"/>
        </w:rPr>
        <w:t>（</w:t>
      </w:r>
      <w:r>
        <w:t>6）设备安装</w:t>
      </w:r>
    </w:p>
    <w:p w14:paraId="21F4ACA3">
      <w:pPr>
        <w:ind w:right="110" w:rightChars="46" w:firstLine="480"/>
      </w:pPr>
      <w:r>
        <w:t>主体工程完工后，鸡舍内安装自动喂料等设备，此过程产生噪声。</w:t>
      </w:r>
    </w:p>
    <w:p w14:paraId="374E0E66">
      <w:pPr>
        <w:ind w:right="110" w:rightChars="46" w:firstLine="480"/>
      </w:pPr>
      <w:r>
        <w:rPr>
          <w:rFonts w:hint="eastAsia"/>
        </w:rPr>
        <w:t>（</w:t>
      </w:r>
      <w:r>
        <w:t>7）地面覆盖</w:t>
      </w:r>
    </w:p>
    <w:p w14:paraId="414E8164">
      <w:pPr>
        <w:ind w:right="110" w:rightChars="46" w:firstLine="480"/>
      </w:pPr>
      <w:r>
        <w:t>主体工程结束后，地面覆盖，最后验收交工。</w:t>
      </w:r>
    </w:p>
    <w:p w14:paraId="1DEDDBC5">
      <w:pPr>
        <w:ind w:right="110" w:rightChars="46" w:firstLine="480"/>
        <w:rPr>
          <w:bCs/>
        </w:rPr>
      </w:pPr>
      <w:r>
        <w:rPr>
          <w:rFonts w:hint="eastAsia"/>
          <w:bCs/>
        </w:rPr>
        <w:t>2、施工期污染防治措施</w:t>
      </w:r>
    </w:p>
    <w:p w14:paraId="284E5FDB">
      <w:pPr>
        <w:ind w:firstLine="480"/>
        <w:rPr>
          <w:szCs w:val="24"/>
        </w:rPr>
      </w:pPr>
      <w:r>
        <w:rPr>
          <w:szCs w:val="24"/>
        </w:rPr>
        <w:t>（1）废气</w:t>
      </w:r>
    </w:p>
    <w:p w14:paraId="01A926F1">
      <w:pPr>
        <w:ind w:firstLine="480"/>
        <w:rPr>
          <w:szCs w:val="24"/>
        </w:rPr>
      </w:pPr>
      <w:r>
        <w:rPr>
          <w:szCs w:val="24"/>
        </w:rPr>
        <w:t>施工期废气主要来自于场地平整、开挖等施工过程产生的施工场地扬尘，建筑材料运输过程中产生的汽车运输扬尘以及施工机械尾气。本项目要求施工场地每天定时洒水抑尘，避免大风天气施工，合理安排挖、填工程，尽量做到挖填平衡，车辆采取密闭运输，减少物料抛洒。</w:t>
      </w:r>
    </w:p>
    <w:p w14:paraId="5027A828">
      <w:pPr>
        <w:ind w:firstLine="480"/>
        <w:rPr>
          <w:szCs w:val="24"/>
        </w:rPr>
      </w:pPr>
      <w:r>
        <w:rPr>
          <w:szCs w:val="24"/>
        </w:rPr>
        <w:t>（2）废水</w:t>
      </w:r>
    </w:p>
    <w:p w14:paraId="7C930C3E">
      <w:pPr>
        <w:ind w:firstLine="480"/>
        <w:rPr>
          <w:szCs w:val="24"/>
        </w:rPr>
      </w:pPr>
      <w:r>
        <w:rPr>
          <w:szCs w:val="24"/>
        </w:rPr>
        <w:t>施工期废水主要为施工人员生活污水</w:t>
      </w:r>
      <w:r>
        <w:rPr>
          <w:rFonts w:hint="eastAsia"/>
          <w:szCs w:val="24"/>
        </w:rPr>
        <w:t>和施工废水</w:t>
      </w:r>
      <w:r>
        <w:rPr>
          <w:szCs w:val="24"/>
        </w:rPr>
        <w:t>。</w:t>
      </w:r>
      <w:r>
        <w:rPr>
          <w:rFonts w:hint="eastAsia"/>
          <w:szCs w:val="24"/>
        </w:rPr>
        <w:t>施工废水修建临时沉淀池经沉淀后全部回用于施工洒水抑尘；施工人员生活污水修建临时化粪池，经化粪池收集后待项目运行后送至污水处理站处理。</w:t>
      </w:r>
    </w:p>
    <w:p w14:paraId="2D786DA4">
      <w:pPr>
        <w:ind w:firstLine="480"/>
      </w:pPr>
      <w:r>
        <w:t>（3）噪声</w:t>
      </w:r>
    </w:p>
    <w:p w14:paraId="4E647B0F">
      <w:pPr>
        <w:ind w:firstLine="480"/>
        <w:rPr>
          <w:szCs w:val="24"/>
        </w:rPr>
      </w:pPr>
      <w:r>
        <w:rPr>
          <w:szCs w:val="24"/>
        </w:rPr>
        <w:t>施工噪声主要来源于施工机械，主要噪声源有装载机、压路机、推土机、挖掘机以及各类运输车辆等，产噪声级为85-95dB（A）。</w:t>
      </w:r>
    </w:p>
    <w:p w14:paraId="5F688690">
      <w:pPr>
        <w:ind w:firstLine="480"/>
        <w:rPr>
          <w:szCs w:val="24"/>
        </w:rPr>
      </w:pPr>
      <w:r>
        <w:rPr>
          <w:szCs w:val="24"/>
        </w:rPr>
        <w:t>拟建工程周边</w:t>
      </w:r>
      <w:r>
        <w:rPr>
          <w:rFonts w:hint="eastAsia"/>
          <w:szCs w:val="24"/>
        </w:rPr>
        <w:t>500</w:t>
      </w:r>
      <w:r>
        <w:rPr>
          <w:szCs w:val="24"/>
        </w:rPr>
        <w:t>m范围内无居民，施工期噪声对周围居民基本无影响。为进一步减少对周围声环境的干扰，建议施工过程中仍应尽量采用低噪声设备，合理安排施工时间，同时避免施工机械夜间作业。采取以上措施后施工期噪声对周边村庄基本无影响。</w:t>
      </w:r>
    </w:p>
    <w:p w14:paraId="05131404">
      <w:pPr>
        <w:ind w:firstLine="480"/>
        <w:rPr>
          <w:szCs w:val="24"/>
        </w:rPr>
      </w:pPr>
      <w:r>
        <w:rPr>
          <w:szCs w:val="24"/>
        </w:rPr>
        <w:t>（4）固废</w:t>
      </w:r>
    </w:p>
    <w:p w14:paraId="47EE8160">
      <w:pPr>
        <w:ind w:firstLine="480"/>
        <w:rPr>
          <w:szCs w:val="24"/>
        </w:rPr>
      </w:pPr>
      <w:r>
        <w:rPr>
          <w:szCs w:val="24"/>
        </w:rPr>
        <w:t>施工过程产生的固体废物包括场地平整土方和施工人员生活垃圾等。施工土方应优先用于场地建设填方和覆盖用土。</w:t>
      </w:r>
      <w:r>
        <w:rPr>
          <w:rFonts w:hint="eastAsia"/>
          <w:szCs w:val="24"/>
        </w:rPr>
        <w:t>施工人员生活垃圾设置垃圾桶集中收集，定期拉运至相关部门要求的指定地点处置</w:t>
      </w:r>
      <w:r>
        <w:rPr>
          <w:bCs/>
          <w:szCs w:val="24"/>
        </w:rPr>
        <w:t>。</w:t>
      </w:r>
    </w:p>
    <w:p w14:paraId="557B63E5">
      <w:pPr>
        <w:ind w:firstLine="480"/>
        <w:rPr>
          <w:szCs w:val="24"/>
        </w:rPr>
      </w:pPr>
      <w:r>
        <w:rPr>
          <w:szCs w:val="24"/>
        </w:rPr>
        <w:t>（5）生态影响</w:t>
      </w:r>
    </w:p>
    <w:p w14:paraId="51A28D4F">
      <w:pPr>
        <w:ind w:right="110" w:rightChars="46" w:firstLine="480"/>
        <w:rPr>
          <w:bCs/>
        </w:rPr>
      </w:pPr>
      <w:r>
        <w:rPr>
          <w:rFonts w:hint="eastAsia"/>
          <w:szCs w:val="24"/>
        </w:rPr>
        <w:t>本项目施工期会对项目占用区域植被造成破坏，改变土地利用现状。根据内林草护许准〔2023〕43号文要求，本项目涉及国家二级重点保护野生植物沙冬青和绵刺，由鄂托克旗林草局监督进行沙冬青和绵刺的移植以及地块补偿工作。施工期要求划定施工范围，严格按照施工边界进行施工，不得随意改变施工范围；加强施工人员环保教育，严禁随意破坏当地植被；施工结束后及时对裸露地表进行植被恢复。</w:t>
      </w:r>
    </w:p>
    <w:p w14:paraId="52033E12">
      <w:pPr>
        <w:ind w:firstLine="480"/>
        <w:rPr>
          <w:bCs/>
        </w:rPr>
      </w:pPr>
      <w:r>
        <w:rPr>
          <w:bCs/>
        </w:rPr>
        <w:t>施工期的粉尘、噪声等污染都是暂时性的，待施工结束后，可以得到消除。施工期建设项目污染因子见表3.2-1。</w:t>
      </w:r>
    </w:p>
    <w:p w14:paraId="3F20EAAC">
      <w:pPr>
        <w:pStyle w:val="369"/>
      </w:pPr>
      <w:r>
        <w:t>表3.2-1  建设项目污染因子一览表</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0"/>
        <w:gridCol w:w="910"/>
        <w:gridCol w:w="2858"/>
        <w:gridCol w:w="1930"/>
        <w:gridCol w:w="2348"/>
      </w:tblGrid>
      <w:tr w14:paraId="4289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jc w:val="center"/>
        </w:trPr>
        <w:tc>
          <w:tcPr>
            <w:tcW w:w="910" w:type="dxa"/>
            <w:tcBorders>
              <w:bottom w:val="single" w:color="auto" w:sz="4" w:space="0"/>
            </w:tcBorders>
            <w:vAlign w:val="center"/>
          </w:tcPr>
          <w:p w14:paraId="31A5B3A9">
            <w:pPr>
              <w:pStyle w:val="766"/>
              <w:rPr>
                <w:color w:val="auto"/>
              </w:rPr>
            </w:pPr>
            <w:r>
              <w:rPr>
                <w:color w:val="auto"/>
              </w:rPr>
              <w:t>工期</w:t>
            </w:r>
          </w:p>
        </w:tc>
        <w:tc>
          <w:tcPr>
            <w:tcW w:w="910" w:type="dxa"/>
            <w:vAlign w:val="center"/>
          </w:tcPr>
          <w:p w14:paraId="30058E77">
            <w:pPr>
              <w:pStyle w:val="766"/>
              <w:rPr>
                <w:color w:val="auto"/>
              </w:rPr>
            </w:pPr>
            <w:r>
              <w:rPr>
                <w:color w:val="auto"/>
              </w:rPr>
              <w:t>类别</w:t>
            </w:r>
          </w:p>
        </w:tc>
        <w:tc>
          <w:tcPr>
            <w:tcW w:w="2858" w:type="dxa"/>
            <w:vAlign w:val="center"/>
          </w:tcPr>
          <w:p w14:paraId="01DAB1BD">
            <w:pPr>
              <w:pStyle w:val="766"/>
              <w:rPr>
                <w:color w:val="auto"/>
              </w:rPr>
            </w:pPr>
            <w:r>
              <w:rPr>
                <w:color w:val="auto"/>
              </w:rPr>
              <w:t>污染产生节点</w:t>
            </w:r>
          </w:p>
        </w:tc>
        <w:tc>
          <w:tcPr>
            <w:tcW w:w="1930" w:type="dxa"/>
            <w:vAlign w:val="center"/>
          </w:tcPr>
          <w:p w14:paraId="14A4A7D8">
            <w:pPr>
              <w:pStyle w:val="766"/>
              <w:rPr>
                <w:color w:val="auto"/>
              </w:rPr>
            </w:pPr>
            <w:r>
              <w:rPr>
                <w:color w:val="auto"/>
              </w:rPr>
              <w:t>污染因子</w:t>
            </w:r>
          </w:p>
        </w:tc>
        <w:tc>
          <w:tcPr>
            <w:tcW w:w="2348" w:type="dxa"/>
            <w:vAlign w:val="center"/>
          </w:tcPr>
          <w:p w14:paraId="12364016">
            <w:pPr>
              <w:pStyle w:val="766"/>
              <w:rPr>
                <w:color w:val="auto"/>
              </w:rPr>
            </w:pPr>
            <w:r>
              <w:rPr>
                <w:color w:val="auto"/>
              </w:rPr>
              <w:t>排放去向</w:t>
            </w:r>
          </w:p>
        </w:tc>
      </w:tr>
      <w:tr w14:paraId="292F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jc w:val="center"/>
        </w:trPr>
        <w:tc>
          <w:tcPr>
            <w:tcW w:w="910" w:type="dxa"/>
            <w:vMerge w:val="restart"/>
            <w:tcBorders>
              <w:top w:val="single" w:color="auto" w:sz="4" w:space="0"/>
            </w:tcBorders>
            <w:vAlign w:val="center"/>
          </w:tcPr>
          <w:p w14:paraId="42604D9E">
            <w:pPr>
              <w:pStyle w:val="766"/>
              <w:rPr>
                <w:color w:val="auto"/>
              </w:rPr>
            </w:pPr>
            <w:r>
              <w:rPr>
                <w:color w:val="auto"/>
              </w:rPr>
              <w:t>施工期</w:t>
            </w:r>
          </w:p>
        </w:tc>
        <w:tc>
          <w:tcPr>
            <w:tcW w:w="910" w:type="dxa"/>
            <w:tcBorders>
              <w:bottom w:val="single" w:color="auto" w:sz="4" w:space="0"/>
            </w:tcBorders>
            <w:vAlign w:val="center"/>
          </w:tcPr>
          <w:p w14:paraId="671F53D0">
            <w:pPr>
              <w:pStyle w:val="766"/>
              <w:rPr>
                <w:color w:val="auto"/>
              </w:rPr>
            </w:pPr>
            <w:r>
              <w:rPr>
                <w:color w:val="auto"/>
              </w:rPr>
              <w:t>废气</w:t>
            </w:r>
          </w:p>
        </w:tc>
        <w:tc>
          <w:tcPr>
            <w:tcW w:w="2858" w:type="dxa"/>
            <w:vAlign w:val="center"/>
          </w:tcPr>
          <w:p w14:paraId="0ED95280">
            <w:pPr>
              <w:pStyle w:val="766"/>
              <w:rPr>
                <w:color w:val="auto"/>
              </w:rPr>
            </w:pPr>
            <w:r>
              <w:rPr>
                <w:color w:val="auto"/>
              </w:rPr>
              <w:t>地面开挖、回填扬尘</w:t>
            </w:r>
          </w:p>
        </w:tc>
        <w:tc>
          <w:tcPr>
            <w:tcW w:w="1930" w:type="dxa"/>
            <w:vAlign w:val="center"/>
          </w:tcPr>
          <w:p w14:paraId="4188D8F7">
            <w:pPr>
              <w:pStyle w:val="766"/>
              <w:rPr>
                <w:color w:val="auto"/>
              </w:rPr>
            </w:pPr>
            <w:r>
              <w:rPr>
                <w:color w:val="auto"/>
              </w:rPr>
              <w:t>TSP</w:t>
            </w:r>
          </w:p>
        </w:tc>
        <w:tc>
          <w:tcPr>
            <w:tcW w:w="2348" w:type="dxa"/>
            <w:vAlign w:val="center"/>
          </w:tcPr>
          <w:p w14:paraId="1DCBA489">
            <w:pPr>
              <w:pStyle w:val="766"/>
              <w:rPr>
                <w:color w:val="auto"/>
              </w:rPr>
            </w:pPr>
            <w:r>
              <w:rPr>
                <w:color w:val="auto"/>
              </w:rPr>
              <w:t>无组织排放</w:t>
            </w:r>
          </w:p>
        </w:tc>
      </w:tr>
      <w:tr w14:paraId="0EB4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910" w:type="dxa"/>
            <w:vMerge w:val="continue"/>
            <w:vAlign w:val="center"/>
          </w:tcPr>
          <w:p w14:paraId="6A519948">
            <w:pPr>
              <w:pStyle w:val="766"/>
              <w:rPr>
                <w:color w:val="auto"/>
              </w:rPr>
            </w:pPr>
          </w:p>
        </w:tc>
        <w:tc>
          <w:tcPr>
            <w:tcW w:w="910" w:type="dxa"/>
            <w:vMerge w:val="restart"/>
            <w:tcBorders>
              <w:top w:val="single" w:color="auto" w:sz="4" w:space="0"/>
            </w:tcBorders>
            <w:vAlign w:val="center"/>
          </w:tcPr>
          <w:p w14:paraId="58B642B3">
            <w:pPr>
              <w:pStyle w:val="766"/>
              <w:rPr>
                <w:color w:val="auto"/>
              </w:rPr>
            </w:pPr>
            <w:r>
              <w:rPr>
                <w:color w:val="auto"/>
              </w:rPr>
              <w:t>废水</w:t>
            </w:r>
          </w:p>
        </w:tc>
        <w:tc>
          <w:tcPr>
            <w:tcW w:w="2858" w:type="dxa"/>
            <w:vAlign w:val="center"/>
          </w:tcPr>
          <w:p w14:paraId="5589185D">
            <w:pPr>
              <w:pStyle w:val="766"/>
              <w:rPr>
                <w:color w:val="auto"/>
              </w:rPr>
            </w:pPr>
            <w:r>
              <w:rPr>
                <w:color w:val="auto"/>
              </w:rPr>
              <w:t>施工人员生活污水</w:t>
            </w:r>
          </w:p>
        </w:tc>
        <w:tc>
          <w:tcPr>
            <w:tcW w:w="1930" w:type="dxa"/>
            <w:vAlign w:val="center"/>
          </w:tcPr>
          <w:p w14:paraId="1DBBA631">
            <w:pPr>
              <w:pStyle w:val="766"/>
              <w:rPr>
                <w:color w:val="auto"/>
              </w:rPr>
            </w:pPr>
            <w:r>
              <w:rPr>
                <w:color w:val="auto"/>
              </w:rPr>
              <w:t>COD</w:t>
            </w:r>
            <w:r>
              <w:rPr>
                <w:color w:val="auto"/>
                <w:vertAlign w:val="subscript"/>
              </w:rPr>
              <w:t>Cr</w:t>
            </w:r>
            <w:r>
              <w:rPr>
                <w:color w:val="auto"/>
              </w:rPr>
              <w:t>、SS、BOD</w:t>
            </w:r>
            <w:r>
              <w:rPr>
                <w:color w:val="auto"/>
                <w:vertAlign w:val="subscript"/>
              </w:rPr>
              <w:t>5</w:t>
            </w:r>
            <w:r>
              <w:rPr>
                <w:color w:val="auto"/>
              </w:rPr>
              <w:t>、</w:t>
            </w:r>
          </w:p>
          <w:p w14:paraId="5843A960">
            <w:pPr>
              <w:pStyle w:val="766"/>
              <w:rPr>
                <w:color w:val="auto"/>
              </w:rPr>
            </w:pPr>
            <w:r>
              <w:rPr>
                <w:color w:val="auto"/>
              </w:rPr>
              <w:t>NH</w:t>
            </w:r>
            <w:r>
              <w:rPr>
                <w:color w:val="auto"/>
                <w:vertAlign w:val="subscript"/>
              </w:rPr>
              <w:t>3</w:t>
            </w:r>
            <w:r>
              <w:rPr>
                <w:color w:val="auto"/>
              </w:rPr>
              <w:t>-N等</w:t>
            </w:r>
          </w:p>
        </w:tc>
        <w:tc>
          <w:tcPr>
            <w:tcW w:w="2348" w:type="dxa"/>
            <w:vAlign w:val="center"/>
          </w:tcPr>
          <w:p w14:paraId="79E410E3">
            <w:pPr>
              <w:pStyle w:val="766"/>
              <w:rPr>
                <w:color w:val="auto"/>
              </w:rPr>
            </w:pPr>
            <w:r>
              <w:rPr>
                <w:color w:val="auto"/>
              </w:rPr>
              <w:t>旱厕，环卫定期清掏</w:t>
            </w:r>
          </w:p>
        </w:tc>
      </w:tr>
      <w:tr w14:paraId="43FB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910" w:type="dxa"/>
            <w:vMerge w:val="continue"/>
            <w:vAlign w:val="center"/>
          </w:tcPr>
          <w:p w14:paraId="194E5349">
            <w:pPr>
              <w:pStyle w:val="766"/>
              <w:rPr>
                <w:color w:val="auto"/>
              </w:rPr>
            </w:pPr>
          </w:p>
        </w:tc>
        <w:tc>
          <w:tcPr>
            <w:tcW w:w="910" w:type="dxa"/>
            <w:vMerge w:val="continue"/>
            <w:vAlign w:val="center"/>
          </w:tcPr>
          <w:p w14:paraId="210D926B">
            <w:pPr>
              <w:pStyle w:val="766"/>
              <w:rPr>
                <w:color w:val="auto"/>
              </w:rPr>
            </w:pPr>
          </w:p>
        </w:tc>
        <w:tc>
          <w:tcPr>
            <w:tcW w:w="2858" w:type="dxa"/>
            <w:vAlign w:val="center"/>
          </w:tcPr>
          <w:p w14:paraId="6195D8D1">
            <w:pPr>
              <w:pStyle w:val="766"/>
              <w:rPr>
                <w:color w:val="auto"/>
              </w:rPr>
            </w:pPr>
            <w:r>
              <w:rPr>
                <w:rFonts w:hint="eastAsia"/>
                <w:color w:val="auto"/>
              </w:rPr>
              <w:t>施工废水</w:t>
            </w:r>
          </w:p>
        </w:tc>
        <w:tc>
          <w:tcPr>
            <w:tcW w:w="1930" w:type="dxa"/>
            <w:vAlign w:val="center"/>
          </w:tcPr>
          <w:p w14:paraId="380060E2">
            <w:pPr>
              <w:pStyle w:val="766"/>
              <w:rPr>
                <w:color w:val="auto"/>
              </w:rPr>
            </w:pPr>
            <w:r>
              <w:rPr>
                <w:color w:val="auto"/>
              </w:rPr>
              <w:t>COD</w:t>
            </w:r>
            <w:r>
              <w:rPr>
                <w:color w:val="auto"/>
                <w:vertAlign w:val="subscript"/>
              </w:rPr>
              <w:t>Cr</w:t>
            </w:r>
            <w:r>
              <w:rPr>
                <w:color w:val="auto"/>
              </w:rPr>
              <w:t>、SS等</w:t>
            </w:r>
          </w:p>
        </w:tc>
        <w:tc>
          <w:tcPr>
            <w:tcW w:w="2348" w:type="dxa"/>
            <w:vAlign w:val="center"/>
          </w:tcPr>
          <w:p w14:paraId="4BEDBEEA">
            <w:pPr>
              <w:pStyle w:val="766"/>
              <w:rPr>
                <w:color w:val="auto"/>
              </w:rPr>
            </w:pPr>
            <w:r>
              <w:rPr>
                <w:rFonts w:hint="eastAsia"/>
                <w:color w:val="auto"/>
              </w:rPr>
              <w:t>场地内自建沉淀池用于车辆冲洗等</w:t>
            </w:r>
          </w:p>
        </w:tc>
      </w:tr>
      <w:tr w14:paraId="0E6E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jc w:val="center"/>
        </w:trPr>
        <w:tc>
          <w:tcPr>
            <w:tcW w:w="910" w:type="dxa"/>
            <w:vMerge w:val="continue"/>
            <w:vAlign w:val="center"/>
          </w:tcPr>
          <w:p w14:paraId="02E4BBD9">
            <w:pPr>
              <w:pStyle w:val="766"/>
              <w:rPr>
                <w:color w:val="auto"/>
              </w:rPr>
            </w:pPr>
          </w:p>
        </w:tc>
        <w:tc>
          <w:tcPr>
            <w:tcW w:w="910" w:type="dxa"/>
            <w:vAlign w:val="center"/>
          </w:tcPr>
          <w:p w14:paraId="705808FE">
            <w:pPr>
              <w:pStyle w:val="766"/>
              <w:rPr>
                <w:color w:val="auto"/>
              </w:rPr>
            </w:pPr>
            <w:r>
              <w:rPr>
                <w:color w:val="auto"/>
              </w:rPr>
              <w:t>噪声</w:t>
            </w:r>
          </w:p>
        </w:tc>
        <w:tc>
          <w:tcPr>
            <w:tcW w:w="2858" w:type="dxa"/>
            <w:vAlign w:val="center"/>
          </w:tcPr>
          <w:p w14:paraId="5174C03F">
            <w:pPr>
              <w:pStyle w:val="766"/>
              <w:rPr>
                <w:color w:val="auto"/>
              </w:rPr>
            </w:pPr>
            <w:r>
              <w:rPr>
                <w:color w:val="auto"/>
              </w:rPr>
              <w:t>施工机械设备、运输车辆噪声</w:t>
            </w:r>
          </w:p>
        </w:tc>
        <w:tc>
          <w:tcPr>
            <w:tcW w:w="1930" w:type="dxa"/>
            <w:vAlign w:val="center"/>
          </w:tcPr>
          <w:p w14:paraId="23218F40">
            <w:pPr>
              <w:pStyle w:val="766"/>
              <w:rPr>
                <w:color w:val="auto"/>
              </w:rPr>
            </w:pPr>
            <w:r>
              <w:rPr>
                <w:color w:val="auto"/>
              </w:rPr>
              <w:t>噪声</w:t>
            </w:r>
          </w:p>
        </w:tc>
        <w:tc>
          <w:tcPr>
            <w:tcW w:w="2348" w:type="dxa"/>
            <w:vAlign w:val="center"/>
          </w:tcPr>
          <w:p w14:paraId="24DBE309">
            <w:pPr>
              <w:pStyle w:val="766"/>
              <w:rPr>
                <w:color w:val="auto"/>
              </w:rPr>
            </w:pPr>
            <w:r>
              <w:rPr>
                <w:color w:val="auto"/>
              </w:rPr>
              <w:t>减振降噪</w:t>
            </w:r>
          </w:p>
        </w:tc>
      </w:tr>
      <w:tr w14:paraId="3AF3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85" w:hRule="atLeast"/>
          <w:jc w:val="center"/>
        </w:trPr>
        <w:tc>
          <w:tcPr>
            <w:tcW w:w="910" w:type="dxa"/>
            <w:vMerge w:val="continue"/>
            <w:vAlign w:val="center"/>
          </w:tcPr>
          <w:p w14:paraId="2E566886">
            <w:pPr>
              <w:pStyle w:val="766"/>
              <w:rPr>
                <w:color w:val="auto"/>
              </w:rPr>
            </w:pPr>
          </w:p>
        </w:tc>
        <w:tc>
          <w:tcPr>
            <w:tcW w:w="910" w:type="dxa"/>
            <w:vAlign w:val="center"/>
          </w:tcPr>
          <w:p w14:paraId="739DC158">
            <w:pPr>
              <w:pStyle w:val="766"/>
              <w:rPr>
                <w:color w:val="auto"/>
              </w:rPr>
            </w:pPr>
            <w:r>
              <w:rPr>
                <w:color w:val="auto"/>
              </w:rPr>
              <w:t>固废</w:t>
            </w:r>
          </w:p>
        </w:tc>
        <w:tc>
          <w:tcPr>
            <w:tcW w:w="2858" w:type="dxa"/>
            <w:vAlign w:val="center"/>
          </w:tcPr>
          <w:p w14:paraId="0CEF1CB1">
            <w:pPr>
              <w:pStyle w:val="766"/>
              <w:rPr>
                <w:color w:val="auto"/>
              </w:rPr>
            </w:pPr>
            <w:r>
              <w:rPr>
                <w:color w:val="auto"/>
              </w:rPr>
              <w:t>基础施工</w:t>
            </w:r>
          </w:p>
        </w:tc>
        <w:tc>
          <w:tcPr>
            <w:tcW w:w="1930" w:type="dxa"/>
            <w:vAlign w:val="center"/>
          </w:tcPr>
          <w:p w14:paraId="0610A9E5">
            <w:pPr>
              <w:pStyle w:val="766"/>
              <w:rPr>
                <w:color w:val="auto"/>
              </w:rPr>
            </w:pPr>
            <w:r>
              <w:rPr>
                <w:color w:val="auto"/>
              </w:rPr>
              <w:t>弃土、建筑垃圾、生活垃圾等</w:t>
            </w:r>
          </w:p>
        </w:tc>
        <w:tc>
          <w:tcPr>
            <w:tcW w:w="2348" w:type="dxa"/>
            <w:vAlign w:val="center"/>
          </w:tcPr>
          <w:p w14:paraId="783CFEB4">
            <w:pPr>
              <w:pStyle w:val="766"/>
              <w:rPr>
                <w:color w:val="auto"/>
              </w:rPr>
            </w:pPr>
            <w:r>
              <w:rPr>
                <w:color w:val="auto"/>
              </w:rPr>
              <w:t>弃土用于平整土地、生活垃圾由环卫部门清运</w:t>
            </w:r>
            <w:r>
              <w:rPr>
                <w:rFonts w:hint="eastAsia"/>
                <w:color w:val="auto"/>
              </w:rPr>
              <w:t>，建筑垃圾收集后送至指定地点回收处理</w:t>
            </w:r>
          </w:p>
        </w:tc>
      </w:tr>
      <w:tr w14:paraId="4886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7" w:hRule="atLeast"/>
          <w:jc w:val="center"/>
        </w:trPr>
        <w:tc>
          <w:tcPr>
            <w:tcW w:w="910" w:type="dxa"/>
            <w:vMerge w:val="continue"/>
            <w:tcBorders>
              <w:bottom w:val="single" w:color="auto" w:sz="4" w:space="0"/>
            </w:tcBorders>
            <w:vAlign w:val="center"/>
          </w:tcPr>
          <w:p w14:paraId="6AA25A5F">
            <w:pPr>
              <w:pStyle w:val="766"/>
              <w:rPr>
                <w:color w:val="auto"/>
              </w:rPr>
            </w:pPr>
            <w:bookmarkStart w:id="187" w:name="_Toc14001"/>
            <w:bookmarkStart w:id="188" w:name="_Toc16986"/>
            <w:bookmarkStart w:id="189" w:name="_Toc10386"/>
            <w:bookmarkStart w:id="190" w:name="_Toc12871"/>
            <w:bookmarkStart w:id="191" w:name="_Toc19480_WPSOffice_Level2"/>
            <w:bookmarkStart w:id="192" w:name="_Toc8255"/>
            <w:bookmarkStart w:id="193" w:name="_Toc23224"/>
            <w:bookmarkStart w:id="194" w:name="_Toc407085701"/>
            <w:bookmarkStart w:id="195" w:name="_Toc36234651"/>
            <w:bookmarkStart w:id="196" w:name="_Toc17185"/>
            <w:bookmarkStart w:id="197" w:name="_Toc10937"/>
            <w:bookmarkStart w:id="198" w:name="_Toc19260"/>
            <w:bookmarkStart w:id="199" w:name="_Toc3196_WPSOffice_Level2"/>
            <w:bookmarkStart w:id="200" w:name="_Toc457206619"/>
            <w:bookmarkStart w:id="201" w:name="_Toc28914"/>
            <w:bookmarkStart w:id="202" w:name="_Toc403371808"/>
            <w:bookmarkStart w:id="203" w:name="_Toc10314"/>
          </w:p>
        </w:tc>
        <w:tc>
          <w:tcPr>
            <w:tcW w:w="910" w:type="dxa"/>
            <w:vAlign w:val="center"/>
          </w:tcPr>
          <w:p w14:paraId="3AC35152">
            <w:pPr>
              <w:pStyle w:val="766"/>
              <w:rPr>
                <w:color w:val="auto"/>
              </w:rPr>
            </w:pPr>
            <w:r>
              <w:rPr>
                <w:rFonts w:hint="eastAsia"/>
                <w:color w:val="auto"/>
              </w:rPr>
              <w:t>生态</w:t>
            </w:r>
          </w:p>
        </w:tc>
        <w:tc>
          <w:tcPr>
            <w:tcW w:w="2858" w:type="dxa"/>
            <w:vAlign w:val="center"/>
          </w:tcPr>
          <w:p w14:paraId="3E08ACCA">
            <w:pPr>
              <w:pStyle w:val="766"/>
              <w:rPr>
                <w:color w:val="auto"/>
              </w:rPr>
            </w:pPr>
            <w:r>
              <w:rPr>
                <w:rFonts w:hint="eastAsia"/>
                <w:color w:val="auto"/>
              </w:rPr>
              <w:t>/</w:t>
            </w:r>
          </w:p>
        </w:tc>
        <w:tc>
          <w:tcPr>
            <w:tcW w:w="1930" w:type="dxa"/>
            <w:vAlign w:val="center"/>
          </w:tcPr>
          <w:p w14:paraId="06F4DF7F">
            <w:pPr>
              <w:pStyle w:val="766"/>
              <w:rPr>
                <w:color w:val="auto"/>
              </w:rPr>
            </w:pPr>
            <w:r>
              <w:rPr>
                <w:rFonts w:hint="eastAsia"/>
                <w:color w:val="auto"/>
              </w:rPr>
              <w:t>土地占用、植被破坏</w:t>
            </w:r>
          </w:p>
        </w:tc>
        <w:tc>
          <w:tcPr>
            <w:tcW w:w="2348" w:type="dxa"/>
            <w:vAlign w:val="center"/>
          </w:tcPr>
          <w:p w14:paraId="3D603CF3">
            <w:pPr>
              <w:pStyle w:val="766"/>
              <w:rPr>
                <w:color w:val="auto"/>
              </w:rPr>
            </w:pPr>
            <w:r>
              <w:rPr>
                <w:rFonts w:hint="eastAsia"/>
                <w:color w:val="auto"/>
              </w:rPr>
              <w:t>异地移植、地块补偿</w:t>
            </w:r>
          </w:p>
        </w:tc>
      </w:tr>
      <w:bookmarkEnd w:id="178"/>
      <w:bookmarkEnd w:id="180"/>
      <w:bookmarkEnd w:id="181"/>
      <w:bookmarkEnd w:id="182"/>
      <w:bookmarkEnd w:id="183"/>
      <w:bookmarkEnd w:id="184"/>
      <w:bookmarkEnd w:id="185"/>
      <w:bookmarkEnd w:id="186"/>
    </w:tbl>
    <w:p w14:paraId="0442AEB0">
      <w:pPr>
        <w:pStyle w:val="11"/>
      </w:pPr>
      <w:bookmarkStart w:id="204" w:name="_Toc166572271"/>
      <w:r>
        <w:t>3.2.2运营期工艺</w:t>
      </w:r>
      <w:bookmarkEnd w:id="204"/>
    </w:p>
    <w:p w14:paraId="42B26691">
      <w:pPr>
        <w:pStyle w:val="12"/>
      </w:pPr>
      <w:r>
        <w:t>3.2.2.1养殖区工艺流程</w:t>
      </w:r>
      <w:r>
        <w:rPr>
          <w:rFonts w:hint="eastAsia"/>
        </w:rPr>
        <w:t>及污染防治措施</w:t>
      </w:r>
    </w:p>
    <w:p w14:paraId="3F3A8D30">
      <w:pPr>
        <w:ind w:firstLine="0" w:firstLineChars="0"/>
        <w:jc w:val="center"/>
      </w:pPr>
      <w:r>
        <w:rPr>
          <w:rFonts w:hint="eastAsia"/>
        </w:rPr>
        <w:drawing>
          <wp:inline distT="0" distB="0" distL="114300" distR="114300">
            <wp:extent cx="4419600" cy="1104900"/>
            <wp:effectExtent l="0" t="0" r="0" b="0"/>
            <wp:docPr id="36" name="图片 36" descr="养殖工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养殖工艺"/>
                    <pic:cNvPicPr>
                      <a:picLocks noChangeAspect="1"/>
                    </pic:cNvPicPr>
                  </pic:nvPicPr>
                  <pic:blipFill>
                    <a:blip r:embed="rId33"/>
                    <a:stretch>
                      <a:fillRect/>
                    </a:stretch>
                  </pic:blipFill>
                  <pic:spPr>
                    <a:xfrm>
                      <a:off x="0" y="0"/>
                      <a:ext cx="4419600" cy="1104900"/>
                    </a:xfrm>
                    <a:prstGeom prst="rect">
                      <a:avLst/>
                    </a:prstGeom>
                  </pic:spPr>
                </pic:pic>
              </a:graphicData>
            </a:graphic>
          </wp:inline>
        </w:drawing>
      </w:r>
    </w:p>
    <w:p w14:paraId="497A0F9C">
      <w:pPr>
        <w:ind w:firstLine="0" w:firstLineChars="0"/>
        <w:jc w:val="center"/>
      </w:pPr>
      <w:r>
        <w:rPr>
          <w:rFonts w:hint="eastAsia"/>
          <w:b/>
          <w:bCs/>
        </w:rPr>
        <w:t>3.2-2 养殖工艺流程及产污节点图</w:t>
      </w:r>
    </w:p>
    <w:p w14:paraId="6F3D3020">
      <w:pPr>
        <w:ind w:firstLine="480"/>
      </w:pPr>
      <w:r>
        <w:rPr>
          <w:rFonts w:hint="eastAsia"/>
        </w:rPr>
        <w:t>1、</w:t>
      </w:r>
      <w:r>
        <w:t>工艺流程简述：</w:t>
      </w:r>
    </w:p>
    <w:p w14:paraId="7DB6B5DC">
      <w:pPr>
        <w:ind w:firstLine="480"/>
      </w:pPr>
      <w:r>
        <w:t>（1）养殖工艺说明</w:t>
      </w:r>
    </w:p>
    <w:p w14:paraId="03AF7E6A">
      <w:pPr>
        <w:ind w:firstLine="480"/>
      </w:pPr>
      <w:r>
        <w:t>项目采用</w:t>
      </w:r>
      <w:r>
        <w:rPr>
          <w:rFonts w:hint="eastAsia"/>
        </w:rPr>
        <w:t>雏鸡直接</w:t>
      </w:r>
      <w:r>
        <w:t>养殖，从雏鸡到蛋鸡淘汰总计约</w:t>
      </w:r>
      <w:r>
        <w:rPr>
          <w:rFonts w:hint="eastAsia"/>
        </w:rPr>
        <w:t>483</w:t>
      </w:r>
      <w:r>
        <w:t>天为一个饲养周期，分为</w:t>
      </w:r>
      <w:r>
        <w:rPr>
          <w:rFonts w:hint="eastAsia"/>
        </w:rPr>
        <w:t>二</w:t>
      </w:r>
      <w:r>
        <w:t>个段饲养，包括育成鸡（119天）和产蛋鸡（364天）。</w:t>
      </w:r>
      <w:r>
        <w:rPr>
          <w:rFonts w:hint="eastAsia"/>
        </w:rPr>
        <w:t>青年鸡舍6栋单次育成30万只仔鸡，送入蛋鸡舍；青年鸡舍冲洗后再次购入仔鸡进行育成送入蛋鸡舍，经3次育成后蛋鸡舍存栏量为90万只；第4批次仔鸡育成时蛋鸡舍第1批次鸡只产蛋期结束进行淘汰，蛋鸡舍空出鸡舍供第4批次仔鸡育成后进入，依次类推。</w:t>
      </w:r>
    </w:p>
    <w:p w14:paraId="2529E3ED">
      <w:pPr>
        <w:ind w:firstLine="480"/>
      </w:pPr>
      <w:r>
        <w:t>首先外购</w:t>
      </w:r>
      <w:r>
        <w:rPr>
          <w:rFonts w:hint="eastAsia"/>
        </w:rPr>
        <w:t>仔鸡</w:t>
      </w:r>
      <w:r>
        <w:t>，进入</w:t>
      </w:r>
      <w:r>
        <w:rPr>
          <w:rFonts w:hint="eastAsia"/>
        </w:rPr>
        <w:t>青年鸡舍进行</w:t>
      </w:r>
      <w:r>
        <w:t>雏鸡饲养119天，育成后转入蛋鸡舍饲养，接着淘汰蛋鸡作为肉鸡外售。</w:t>
      </w:r>
    </w:p>
    <w:p w14:paraId="470FC551">
      <w:pPr>
        <w:ind w:firstLine="480"/>
      </w:pPr>
      <w:r>
        <w:rPr>
          <w:rFonts w:hint="eastAsia" w:ascii="宋体" w:hAnsi="宋体" w:cs="宋体"/>
        </w:rPr>
        <w:t>①</w:t>
      </w:r>
      <w:r>
        <w:t>蛋鸡喂养与淘汰</w:t>
      </w:r>
    </w:p>
    <w:p w14:paraId="60961AD7">
      <w:pPr>
        <w:ind w:firstLine="480"/>
      </w:pPr>
      <w:r>
        <w:t>产蛋鸡舍共有9栋，每栋鸡舍采取全进全出的饲养管理模式。蛋鸡转产蛋舍饲养一段时间后开始产蛋，每天收集所产的鸡蛋送往蛋库、保鲜库。蛋鸡在场内产蛋约1年后产蛋率相对将逐渐降低，饲养效率降低，蛋鸡则被淘汰出售。空舍后立即进行消毒工作，先用水冲洗，冲洗后进行消毒，消毒采用喷洒消毒和喷雾消毒。</w:t>
      </w:r>
    </w:p>
    <w:p w14:paraId="7E912BDB">
      <w:pPr>
        <w:ind w:firstLine="480"/>
      </w:pPr>
      <w:r>
        <w:rPr>
          <w:rFonts w:hint="eastAsia" w:ascii="宋体" w:hAnsi="宋体" w:cs="宋体"/>
        </w:rPr>
        <w:t>②</w:t>
      </w:r>
      <w:r>
        <w:t>喂料设备</w:t>
      </w:r>
    </w:p>
    <w:p w14:paraId="799D5AB7">
      <w:pPr>
        <w:ind w:firstLine="480"/>
      </w:pPr>
      <w:r>
        <w:t>每栋鸡舍内部建有料塔，饲料进场后通过封闭管道机械运输至各鸡舍前的饲料塔内，饲料塔底部设有1条斜向传送带，输送至链条式自动喂料机将饲料推送到鸡舍内。鸡喂料采用自动喂料行车，保证料槽内一直有饲料。鸡饮水采用乳头式饮水器，既保持一直供水，又不使水受到污染。</w:t>
      </w:r>
    </w:p>
    <w:p w14:paraId="0EA4397F">
      <w:pPr>
        <w:ind w:firstLine="480"/>
      </w:pPr>
      <w:r>
        <w:t>每栋蛋鸡舍内有2个18t的料塔，</w:t>
      </w:r>
      <w:r>
        <w:rPr>
          <w:rFonts w:hint="eastAsia"/>
        </w:rPr>
        <w:t>青年鸡</w:t>
      </w:r>
      <w:r>
        <w:t>舍内有2个1t料塔。鸡舍内配备自动饲喂系统及饮水系统。</w:t>
      </w:r>
    </w:p>
    <w:p w14:paraId="2666522B">
      <w:pPr>
        <w:ind w:firstLine="480"/>
      </w:pPr>
      <w:r>
        <w:rPr>
          <w:rFonts w:hint="eastAsia" w:ascii="宋体" w:hAnsi="宋体" w:cs="宋体"/>
        </w:rPr>
        <w:t>③</w:t>
      </w:r>
      <w:r>
        <w:t>自动集蛋和输送系统</w:t>
      </w:r>
    </w:p>
    <w:p w14:paraId="64DD9BD9">
      <w:pPr>
        <w:ind w:firstLine="480"/>
      </w:pPr>
      <w:r>
        <w:t>项目采用自动集蛋，自动化鸡蛋分级设备代替传统人工捡蛋，降低员工劳动强度，提高工作效率；集蛋系统设置软破蛋去除装置，有效提高整场养殖效益；集蛋机鸡蛋出口与中央输蛋线联接处设置拨蛋器，拔蛋器将鸡蛋运送到各蛋鸡舍出口的分级设备装入蛋箱，最后由蛋箱运输车输送至蛋库、保鲜库。</w:t>
      </w:r>
    </w:p>
    <w:p w14:paraId="0BC56346">
      <w:pPr>
        <w:ind w:firstLine="480"/>
      </w:pPr>
      <w:r>
        <w:t>本项目鸡蛋包装根据商户需求采用蛋框或纸盒的方式包装，其中蛋框采取自动包装方式，纸盒为人工包装方式。厂内蛋库、保鲜库不设冷藏工艺，新鲜的合格鸡蛋外运至商户售卖。</w:t>
      </w:r>
    </w:p>
    <w:p w14:paraId="07F7996E">
      <w:pPr>
        <w:ind w:firstLine="480"/>
      </w:pPr>
      <w:r>
        <w:rPr>
          <w:rFonts w:hint="eastAsia" w:ascii="宋体" w:hAnsi="宋体" w:cs="宋体"/>
        </w:rPr>
        <w:t>④</w:t>
      </w:r>
      <w:r>
        <w:t>鸡的防疫</w:t>
      </w:r>
    </w:p>
    <w:p w14:paraId="406ADF2E">
      <w:pPr>
        <w:ind w:firstLine="480"/>
      </w:pPr>
      <w:r>
        <w:t>鸡需要定期进行免疫，注射疫苗，出现病症，还需要使用药物进行治疗，过期疫苗、药物等属于医疗废物，交由有资质单位处理。</w:t>
      </w:r>
    </w:p>
    <w:p w14:paraId="7450588E">
      <w:pPr>
        <w:ind w:firstLine="480"/>
      </w:pPr>
      <w:r>
        <w:t>其中进厂鸡苗入舍后，防疫流程主要包括：</w:t>
      </w:r>
    </w:p>
    <w:p w14:paraId="41849E1B">
      <w:pPr>
        <w:ind w:firstLine="480"/>
      </w:pPr>
      <w:r>
        <w:t>7日龄：新支宝滴鼻、滴眼；新支流法劲皮注射</w:t>
      </w:r>
    </w:p>
    <w:p w14:paraId="764BC57C">
      <w:pPr>
        <w:ind w:firstLine="480"/>
      </w:pPr>
      <w:r>
        <w:t>20日龄：H5+H7劲皮注射；猴痘刺种</w:t>
      </w:r>
    </w:p>
    <w:p w14:paraId="0B50B05C">
      <w:pPr>
        <w:ind w:firstLine="480"/>
      </w:pPr>
      <w:r>
        <w:t>30日龄：新支宝饮水</w:t>
      </w:r>
    </w:p>
    <w:p w14:paraId="1BC9F15E">
      <w:pPr>
        <w:ind w:firstLine="480"/>
      </w:pPr>
      <w:r>
        <w:t>35日龄：新流腺左胸注射</w:t>
      </w:r>
    </w:p>
    <w:p w14:paraId="1BF52CAC">
      <w:pPr>
        <w:ind w:firstLine="480"/>
      </w:pPr>
      <w:r>
        <w:t>55日龄：H5+H7右胸注射</w:t>
      </w:r>
    </w:p>
    <w:p w14:paraId="0A0181DB">
      <w:pPr>
        <w:ind w:firstLine="480"/>
      </w:pPr>
      <w:r>
        <w:t>60日龄：IV或C30饮水</w:t>
      </w:r>
    </w:p>
    <w:p w14:paraId="0EBDC039">
      <w:pPr>
        <w:ind w:firstLine="480"/>
      </w:pPr>
      <w:r>
        <w:t>75日龄：传喉点眼</w:t>
      </w:r>
    </w:p>
    <w:p w14:paraId="3C771854">
      <w:pPr>
        <w:ind w:firstLine="480"/>
      </w:pPr>
      <w:r>
        <w:t>100日龄：新支减流左胸注射或翅下；新支二联饮水</w:t>
      </w:r>
    </w:p>
    <w:p w14:paraId="255A5B1F">
      <w:pPr>
        <w:ind w:firstLine="480"/>
      </w:pPr>
      <w:r>
        <w:t>115日龄：H5+H7右胸注射或翅下</w:t>
      </w:r>
    </w:p>
    <w:p w14:paraId="3E38C00B">
      <w:pPr>
        <w:ind w:firstLine="480"/>
      </w:pPr>
      <w:r>
        <w:t>130日龄：新流腺左胸注射或翅下；VH或新支二联饮水</w:t>
      </w:r>
    </w:p>
    <w:p w14:paraId="5729F2D3">
      <w:pPr>
        <w:ind w:firstLine="480"/>
      </w:pPr>
      <w:r>
        <w:t>240日龄：H5+H7右胸注射</w:t>
      </w:r>
    </w:p>
    <w:p w14:paraId="20943028">
      <w:pPr>
        <w:ind w:firstLine="480"/>
      </w:pPr>
      <w:r>
        <w:t>250日龄：新支流左胸注射</w:t>
      </w:r>
    </w:p>
    <w:p w14:paraId="3DA46036">
      <w:pPr>
        <w:ind w:firstLine="480"/>
      </w:pPr>
      <w:r>
        <w:t>（2）鸡舍通风降温设备</w:t>
      </w:r>
    </w:p>
    <w:p w14:paraId="0C657C7A">
      <w:pPr>
        <w:ind w:firstLine="480"/>
      </w:pPr>
      <w:r>
        <w:t>本项目鸡舍内强制通风，同时环评要求在鸡舍出入口设计拦挡网，防治通风设施将鸡舍内散落的羽毛进入外环境。同时鸡舍通风处设计封闭式水帘鸡舍的模式，通风设施将鸡舍内的热气抽出，在通风散热除尘的同时，室内外造成气压差，促使外界的空气经由降温水帘片所形成的水膜蒸发吸热瞬间降温，控制鸡舍室内温度，同时也可以吸收部分鸡舍内的恶臭气体。水帘处理工艺如下：</w:t>
      </w:r>
    </w:p>
    <w:p w14:paraId="435C3133">
      <w:pPr>
        <w:ind w:firstLine="480"/>
        <w:jc w:val="center"/>
      </w:pPr>
      <w:r>
        <w:drawing>
          <wp:inline distT="0" distB="0" distL="114300" distR="114300">
            <wp:extent cx="2659380" cy="1131570"/>
            <wp:effectExtent l="0" t="0" r="7620" b="11430"/>
            <wp:docPr id="1"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14"/>
                    <pic:cNvPicPr>
                      <a:picLocks noChangeAspect="1"/>
                    </pic:cNvPicPr>
                  </pic:nvPicPr>
                  <pic:blipFill>
                    <a:blip r:embed="rId34"/>
                    <a:stretch>
                      <a:fillRect/>
                    </a:stretch>
                  </pic:blipFill>
                  <pic:spPr>
                    <a:xfrm>
                      <a:off x="0" y="0"/>
                      <a:ext cx="2659380" cy="1131570"/>
                    </a:xfrm>
                    <a:prstGeom prst="rect">
                      <a:avLst/>
                    </a:prstGeom>
                    <a:noFill/>
                    <a:ln>
                      <a:noFill/>
                    </a:ln>
                  </pic:spPr>
                </pic:pic>
              </a:graphicData>
            </a:graphic>
          </wp:inline>
        </w:drawing>
      </w:r>
    </w:p>
    <w:p w14:paraId="446D60D1">
      <w:pPr>
        <w:ind w:firstLine="482"/>
        <w:jc w:val="center"/>
        <w:rPr>
          <w:b/>
          <w:bCs/>
        </w:rPr>
      </w:pPr>
      <w:r>
        <w:rPr>
          <w:b/>
          <w:bCs/>
        </w:rPr>
        <w:t>图3.2-3  水帘处理工艺示意图</w:t>
      </w:r>
    </w:p>
    <w:p w14:paraId="03BFCB14">
      <w:pPr>
        <w:ind w:firstLine="480"/>
      </w:pPr>
      <w:r>
        <w:t>水帘墙通风系统的过程是在其核心——水帘纸内完成的。在波纹状的纤维纸表面有层薄的水膜，当室外的干热空气被风机抽吸穿过水帘纸时，水膜中的水会吸收空气中的热量后蒸发，带走大量潜热，使经过水帘的空气温度的降低，经过处理后的凉爽湿润空气进入室内，与室内的热浊空气混合后，通过风机排出室外。</w:t>
      </w:r>
    </w:p>
    <w:p w14:paraId="3F720E88">
      <w:pPr>
        <w:ind w:firstLine="480"/>
      </w:pPr>
      <w:r>
        <w:t>本项目雏鸡舍采用天然气锅炉进行保温。</w:t>
      </w:r>
    </w:p>
    <w:p w14:paraId="0B555539">
      <w:pPr>
        <w:ind w:firstLine="480"/>
      </w:pPr>
      <w:r>
        <w:t>（3）清粪设施</w:t>
      </w:r>
    </w:p>
    <w:p w14:paraId="691AB572">
      <w:pPr>
        <w:ind w:firstLine="0" w:firstLineChars="0"/>
        <w:jc w:val="center"/>
      </w:pPr>
      <w:r>
        <w:rPr>
          <w:rFonts w:hint="eastAsia"/>
        </w:rPr>
        <w:drawing>
          <wp:inline distT="0" distB="0" distL="114300" distR="114300">
            <wp:extent cx="5098415" cy="1669415"/>
            <wp:effectExtent l="0" t="0" r="6985" b="6985"/>
            <wp:docPr id="37" name="图片 37" descr="粪污输送平面布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粪污输送平面布置"/>
                    <pic:cNvPicPr>
                      <a:picLocks noChangeAspect="1"/>
                    </pic:cNvPicPr>
                  </pic:nvPicPr>
                  <pic:blipFill>
                    <a:blip r:embed="rId35"/>
                    <a:srcRect t="5364"/>
                    <a:stretch>
                      <a:fillRect/>
                    </a:stretch>
                  </pic:blipFill>
                  <pic:spPr>
                    <a:xfrm>
                      <a:off x="0" y="0"/>
                      <a:ext cx="5098415" cy="1669415"/>
                    </a:xfrm>
                    <a:prstGeom prst="rect">
                      <a:avLst/>
                    </a:prstGeom>
                  </pic:spPr>
                </pic:pic>
              </a:graphicData>
            </a:graphic>
          </wp:inline>
        </w:drawing>
      </w:r>
    </w:p>
    <w:p w14:paraId="73746193">
      <w:pPr>
        <w:ind w:firstLine="0" w:firstLineChars="0"/>
        <w:jc w:val="center"/>
      </w:pPr>
      <w:r>
        <w:rPr>
          <w:rFonts w:hint="eastAsia"/>
          <w:b/>
          <w:bCs/>
        </w:rPr>
        <w:t>图3.2-4 粪污输送系统平面布置图</w:t>
      </w:r>
    </w:p>
    <w:p w14:paraId="32AA6867">
      <w:pPr>
        <w:ind w:firstLine="480"/>
      </w:pPr>
      <w:r>
        <w:t>清粪系统结构独特，在每层鸡笼的下面都有设置一条纵向封闭清粪带，每层鸡群的鸡粪零散地落在清粪带上。在粪便清理时，由横向刮板将鸡粪刮至位于鸡舍尾端的主输送带，主输送带采用全封闭式设计，防止鸡粪散落至地面，输送设施防晒、防雨、防渗设计，各鸡舍内的鸡粪均由主输送带直接运至</w:t>
      </w:r>
      <w:r>
        <w:rPr>
          <w:rFonts w:hint="eastAsia"/>
        </w:rPr>
        <w:t>有机肥车间</w:t>
      </w:r>
      <w:r>
        <w:t>，</w:t>
      </w:r>
      <w:r>
        <w:rPr>
          <w:rFonts w:hint="eastAsia"/>
        </w:rPr>
        <w:t>进行发酵制肥</w:t>
      </w:r>
      <w:r>
        <w:t>。</w:t>
      </w:r>
    </w:p>
    <w:p w14:paraId="0D61758D">
      <w:pPr>
        <w:ind w:firstLine="480"/>
      </w:pPr>
      <w:r>
        <w:t>全厂鸡粪输送系统</w:t>
      </w:r>
      <w:r>
        <w:rPr>
          <w:rFonts w:hint="eastAsia"/>
          <w:lang w:val="en-US" w:eastAsia="zh-CN"/>
        </w:rPr>
        <w:t>采</w:t>
      </w:r>
      <w:r>
        <w:t>用全自动化设计，鸡粪（含饲料残渣）均日产日清至</w:t>
      </w:r>
      <w:r>
        <w:rPr>
          <w:rFonts w:hint="eastAsia"/>
        </w:rPr>
        <w:t>有机肥加工车间</w:t>
      </w:r>
      <w:r>
        <w:t>。清粪系统设计特点：传送带式自动清粪系统的清粪带安装在笼架笼网下面，承接鸡粪，根据鸡的排粪量重量，清粪带的重量来进行驱动电机功率选取；根据笼网笼架的宽度来选定清粪带的宽度尺寸；根据鸡舍需求出粪速度，电机功率，刮粪的干净程度等综合因素的决定选取带速度。</w:t>
      </w:r>
    </w:p>
    <w:p w14:paraId="5019F0A2">
      <w:pPr>
        <w:ind w:firstLine="480"/>
      </w:pPr>
      <w:r>
        <w:rPr>
          <w:rFonts w:hint="eastAsia"/>
        </w:rPr>
        <w:t>本项目育成期平均产粪0.2t/万只·d，产蛋期产粪1.2t/万只·d，年产鲜鸡粪约40262吨。</w:t>
      </w:r>
    </w:p>
    <w:p w14:paraId="0F698A51">
      <w:pPr>
        <w:ind w:firstLine="480"/>
      </w:pPr>
      <w:r>
        <w:t>鸡舍冲洗废水进行收集后进入污水处理池，经</w:t>
      </w:r>
      <w:r>
        <w:rPr>
          <w:rFonts w:hint="eastAsia"/>
          <w:szCs w:val="21"/>
        </w:rPr>
        <w:t>污水处理站</w:t>
      </w:r>
      <w:r>
        <w:t>处理</w:t>
      </w:r>
      <w:r>
        <w:rPr>
          <w:rFonts w:hint="eastAsia"/>
        </w:rPr>
        <w:t>达标</w:t>
      </w:r>
      <w:r>
        <w:t>后用于</w:t>
      </w:r>
      <w:r>
        <w:rPr>
          <w:rFonts w:hint="eastAsia"/>
        </w:rPr>
        <w:t>厂区绿化、鸡舍冲洗、湿帘降温和洒水抑尘</w:t>
      </w:r>
      <w:r>
        <w:t>。</w:t>
      </w:r>
    </w:p>
    <w:p w14:paraId="28CE717F">
      <w:pPr>
        <w:ind w:firstLine="480"/>
      </w:pPr>
      <w:r>
        <w:t>（4）消毒工艺</w:t>
      </w:r>
    </w:p>
    <w:p w14:paraId="09791797">
      <w:pPr>
        <w:ind w:firstLine="480"/>
      </w:pPr>
      <w:r>
        <w:t>本项目实施严格的兽医卫生消毒、免疫程序，保证鸡群健康。所有与外界接触进出口均设有消毒池，人员进入前要更衣室洗手、更换外套、戴上防护帽及口罩并套上一次性鞋套。各鸡舍养殖设备均</w:t>
      </w:r>
      <w:r>
        <w:rPr>
          <w:rFonts w:hint="eastAsia"/>
          <w:lang w:val="en-US" w:eastAsia="zh-CN"/>
        </w:rPr>
        <w:t>采</w:t>
      </w:r>
      <w:r>
        <w:t>用消毒液进行喷雾消毒或消毒剂洒。消毒剂主要为碘伏、复方酚溶液，其中碘伏年用量为1200L，浓度为0.5%；复方酚溶液年用量为1200L，配置比例为1:300。</w:t>
      </w:r>
    </w:p>
    <w:p w14:paraId="69E9890C">
      <w:pPr>
        <w:ind w:firstLine="480"/>
      </w:pPr>
      <w:r>
        <w:t>（5）病死畜禽处置</w:t>
      </w:r>
    </w:p>
    <w:p w14:paraId="3CB466C3">
      <w:pPr>
        <w:ind w:firstLine="480"/>
        <w:rPr>
          <w:bCs/>
        </w:rPr>
      </w:pPr>
      <w:r>
        <w:rPr>
          <w:bCs/>
        </w:rPr>
        <w:t>在无传染病的情况下，本项目每年病死鸡约1800只，病死鸡产生量为3.6t/a，</w:t>
      </w:r>
      <w:r>
        <w:rPr>
          <w:szCs w:val="21"/>
        </w:rPr>
        <w:t>病死鸡按照医疗废物管理，放置在</w:t>
      </w:r>
      <w:r>
        <w:rPr>
          <w:rFonts w:hint="eastAsia"/>
          <w:szCs w:val="21"/>
        </w:rPr>
        <w:t>冷柜</w:t>
      </w:r>
      <w:r>
        <w:rPr>
          <w:szCs w:val="21"/>
        </w:rPr>
        <w:t>，委托有资质单位处置</w:t>
      </w:r>
      <w:r>
        <w:rPr>
          <w:rFonts w:hint="eastAsia"/>
          <w:szCs w:val="21"/>
        </w:rPr>
        <w:t>。</w:t>
      </w:r>
    </w:p>
    <w:p w14:paraId="49742974">
      <w:pPr>
        <w:ind w:firstLine="480"/>
      </w:pPr>
      <w:r>
        <w:t>（6）蛋品加工</w:t>
      </w:r>
    </w:p>
    <w:p w14:paraId="658AC790">
      <w:pPr>
        <w:ind w:firstLine="480"/>
        <w:rPr>
          <w:spacing w:val="-9"/>
        </w:rPr>
      </w:pPr>
      <w:r>
        <w:t>鸡蛋通过自动分拣后，优质鸡蛋进行包装后外售。</w:t>
      </w:r>
      <w:r>
        <w:rPr>
          <w:spacing w:val="-9"/>
        </w:rPr>
        <w:t>由于工人操作搬运不慎会产生少量破碎的鸡蛋，也进行外售。</w:t>
      </w:r>
    </w:p>
    <w:p w14:paraId="0A342899">
      <w:pPr>
        <w:ind w:firstLine="480"/>
      </w:pPr>
      <w:r>
        <w:rPr>
          <w:rFonts w:hint="eastAsia"/>
        </w:rPr>
        <w:t>2、污染防治措施</w:t>
      </w:r>
    </w:p>
    <w:p w14:paraId="0445EB44">
      <w:pPr>
        <w:ind w:firstLine="480"/>
      </w:pPr>
      <w:r>
        <w:rPr>
          <w:rFonts w:hint="eastAsia"/>
        </w:rPr>
        <w:t>（1）废气</w:t>
      </w:r>
    </w:p>
    <w:p w14:paraId="70A6587A">
      <w:pPr>
        <w:ind w:firstLine="480"/>
      </w:pPr>
      <w:r>
        <w:rPr>
          <w:rFonts w:hint="eastAsia"/>
        </w:rPr>
        <w:t>养殖区域废气主要为粪便产生的臭气。本项目采用密闭式鸡舍，鸡舍内配套建设水雾吸附除臭设施。水洗除臭装置由2m</w:t>
      </w:r>
      <w:r>
        <w:rPr>
          <w:rFonts w:hint="eastAsia"/>
          <w:vertAlign w:val="superscript"/>
        </w:rPr>
        <w:t>3</w:t>
      </w:r>
      <w:r>
        <w:rPr>
          <w:rFonts w:hint="eastAsia"/>
        </w:rPr>
        <w:t>蓄水池、潜水泵和水雾喷淋管组成，蓄水池水经水泵增压，通过喷淋管进行喷雾，与鸡舍内臭气充分接触，达到除臭效果，同时封闭式鸡舍也可降低臭气向外界的逸散。</w:t>
      </w:r>
    </w:p>
    <w:p w14:paraId="1F5494DA">
      <w:pPr>
        <w:ind w:firstLine="480"/>
      </w:pPr>
      <w:r>
        <w:rPr>
          <w:rFonts w:hint="eastAsia"/>
        </w:rPr>
        <w:t>（2）废水</w:t>
      </w:r>
    </w:p>
    <w:p w14:paraId="36A02574">
      <w:pPr>
        <w:ind w:firstLine="480"/>
      </w:pPr>
      <w:r>
        <w:rPr>
          <w:rFonts w:hint="eastAsia"/>
        </w:rPr>
        <w:t>养殖区废水主要为鸡舍冲洗废水，鸡舍冲洗废水全部收集经污水处理站处理达标后用于厂区绿化、鸡舍冲洗、湿帘降温和洒水抑尘。</w:t>
      </w:r>
    </w:p>
    <w:p w14:paraId="46C9B201">
      <w:pPr>
        <w:ind w:firstLine="480"/>
      </w:pPr>
      <w:r>
        <w:rPr>
          <w:rFonts w:hint="eastAsia"/>
        </w:rPr>
        <w:t>（3）噪声</w:t>
      </w:r>
    </w:p>
    <w:p w14:paraId="64B8F154">
      <w:pPr>
        <w:ind w:firstLine="480"/>
      </w:pPr>
      <w:r>
        <w:rPr>
          <w:rFonts w:hint="eastAsia"/>
        </w:rPr>
        <w:t>养殖区域噪声主要为养殖区域的清粪机械设备噪声和鸡鸣噪声，采用低噪声设备、厂房隔声等方式减小噪声对项目周边声环境的影响。</w:t>
      </w:r>
    </w:p>
    <w:p w14:paraId="7034D498">
      <w:pPr>
        <w:ind w:firstLine="480"/>
      </w:pPr>
      <w:r>
        <w:rPr>
          <w:rFonts w:hint="eastAsia"/>
        </w:rPr>
        <w:t>（4）固废</w:t>
      </w:r>
    </w:p>
    <w:p w14:paraId="1284D58D">
      <w:pPr>
        <w:ind w:firstLine="480"/>
      </w:pPr>
      <w:r>
        <w:rPr>
          <w:rFonts w:hint="eastAsia"/>
        </w:rPr>
        <w:t>养殖区域固废主要为鸡只产生的粪便、鸡毛以及养殖过程产生的饲料残渣和病死鸡。粪便、鸡毛和饲料残渣送至有机肥加工车间发酵生产有机肥料，病死鸡送至鸡舍配套建设的冷柜暂存，最终交由有资质的单位进行拉运处置。</w:t>
      </w:r>
    </w:p>
    <w:p w14:paraId="465BEEA5">
      <w:pPr>
        <w:pStyle w:val="12"/>
      </w:pPr>
      <w:r>
        <w:t>3.2.2.2生活区</w:t>
      </w:r>
      <w:r>
        <w:rPr>
          <w:rFonts w:hint="eastAsia"/>
        </w:rPr>
        <w:t>污染防治措施</w:t>
      </w:r>
    </w:p>
    <w:p w14:paraId="7E2C11C1">
      <w:pPr>
        <w:ind w:firstLine="480"/>
      </w:pPr>
      <w:r>
        <w:t>本项目设置食堂，食堂油烟经油烟净化器处理后由烟道排放；员工生活产生生活垃圾，厂区内设置垃圾点，定期清运至附近垃圾点；本项目生活污水经污水处理设施处理后冬储夏灌。</w:t>
      </w:r>
    </w:p>
    <w:p w14:paraId="6EB1AEA7">
      <w:pPr>
        <w:pStyle w:val="12"/>
      </w:pPr>
      <w:r>
        <w:t>3.2.2.3软化水制备工艺</w:t>
      </w:r>
      <w:r>
        <w:rPr>
          <w:rFonts w:hint="eastAsia"/>
        </w:rPr>
        <w:t>及污染防治措施</w:t>
      </w:r>
    </w:p>
    <w:p w14:paraId="0A1672CE">
      <w:pPr>
        <w:pStyle w:val="766"/>
        <w:rPr>
          <w:b/>
          <w:bCs/>
          <w:color w:val="auto"/>
        </w:rPr>
      </w:pPr>
      <w:r>
        <w:rPr>
          <w:rFonts w:hint="eastAsia"/>
          <w:b/>
          <w:bCs/>
          <w:color w:val="auto"/>
        </w:rPr>
        <w:drawing>
          <wp:inline distT="0" distB="0" distL="114300" distR="114300">
            <wp:extent cx="2867025" cy="858520"/>
            <wp:effectExtent l="0" t="0" r="9525" b="17780"/>
            <wp:docPr id="84" name="图片 84" descr="软化水制备工艺流程及产污节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软化水制备工艺流程及产污节点图"/>
                    <pic:cNvPicPr>
                      <a:picLocks noChangeAspect="1"/>
                    </pic:cNvPicPr>
                  </pic:nvPicPr>
                  <pic:blipFill>
                    <a:blip r:embed="rId36"/>
                    <a:stretch>
                      <a:fillRect/>
                    </a:stretch>
                  </pic:blipFill>
                  <pic:spPr>
                    <a:xfrm>
                      <a:off x="0" y="0"/>
                      <a:ext cx="2867025" cy="858520"/>
                    </a:xfrm>
                    <a:prstGeom prst="rect">
                      <a:avLst/>
                    </a:prstGeom>
                  </pic:spPr>
                </pic:pic>
              </a:graphicData>
            </a:graphic>
          </wp:inline>
        </w:drawing>
      </w:r>
    </w:p>
    <w:p w14:paraId="42172AE3">
      <w:pPr>
        <w:pStyle w:val="369"/>
      </w:pPr>
      <w:r>
        <w:t>图3.2-</w:t>
      </w:r>
      <w:r>
        <w:rPr>
          <w:rFonts w:hint="eastAsia"/>
        </w:rPr>
        <w:t>5</w:t>
      </w:r>
      <w:r>
        <w:t xml:space="preserve">  软化水制备工艺流程及排污节点图</w:t>
      </w:r>
    </w:p>
    <w:p w14:paraId="479B2D0D">
      <w:pPr>
        <w:ind w:firstLine="480"/>
        <w:textAlignment w:val="baseline"/>
        <w:rPr>
          <w:shd w:val="clear" w:color="auto" w:fill="FFFFFF"/>
        </w:rPr>
      </w:pPr>
      <w:r>
        <w:rPr>
          <w:rFonts w:hint="eastAsia"/>
          <w:shd w:val="clear" w:color="auto" w:fill="FFFFFF"/>
        </w:rPr>
        <w:t>1、</w:t>
      </w:r>
      <w:r>
        <w:rPr>
          <w:shd w:val="clear" w:color="auto" w:fill="FFFFFF"/>
        </w:rPr>
        <w:t>工艺流程简述：</w:t>
      </w:r>
    </w:p>
    <w:p w14:paraId="0FB7C8F2">
      <w:pPr>
        <w:tabs>
          <w:tab w:val="left" w:pos="4590"/>
          <w:tab w:val="left" w:pos="6525"/>
        </w:tabs>
        <w:ind w:firstLine="480"/>
        <w:jc w:val="both"/>
      </w:pPr>
      <w:r>
        <w:t>本项目软化水制备工艺简单，地下水经离子交换柱处理后得到软化水，软化水直接进入锅炉。离子交换树脂对自来水中的Ca</w:t>
      </w:r>
      <w:r>
        <w:rPr>
          <w:vertAlign w:val="superscript"/>
        </w:rPr>
        <w:t>2+</w:t>
      </w:r>
      <w:r>
        <w:t>、Mg</w:t>
      </w:r>
      <w:r>
        <w:rPr>
          <w:vertAlign w:val="superscript"/>
        </w:rPr>
        <w:t>2+</w:t>
      </w:r>
      <w:r>
        <w:t>离子进行交换，以达到软化水的目的。当设备运行时，来水自上而下通过树脂层，水中的钙、镁硬度不断被离子交换树脂吸附而除去，从而使硬水得到软化</w:t>
      </w:r>
      <w:r>
        <w:rPr>
          <w:rFonts w:hint="eastAsia"/>
        </w:rPr>
        <w:t>。</w:t>
      </w:r>
    </w:p>
    <w:p w14:paraId="0A706F49">
      <w:pPr>
        <w:ind w:firstLine="480"/>
      </w:pPr>
      <w:r>
        <w:rPr>
          <w:rFonts w:hint="eastAsia"/>
        </w:rPr>
        <w:t>2、污染防治措施</w:t>
      </w:r>
    </w:p>
    <w:p w14:paraId="0BE16C44">
      <w:pPr>
        <w:ind w:firstLine="480"/>
      </w:pPr>
      <w:r>
        <w:rPr>
          <w:rFonts w:hint="eastAsia"/>
        </w:rPr>
        <w:t>软化水制备工序主要有噪声、废水和固废产生。</w:t>
      </w:r>
    </w:p>
    <w:p w14:paraId="6F9CE6AC">
      <w:pPr>
        <w:ind w:firstLine="480"/>
      </w:pPr>
      <w:r>
        <w:rPr>
          <w:rFonts w:hint="eastAsia"/>
        </w:rPr>
        <w:t>（1）噪声</w:t>
      </w:r>
    </w:p>
    <w:p w14:paraId="5FF535C9">
      <w:pPr>
        <w:ind w:firstLine="480"/>
      </w:pPr>
      <w:r>
        <w:rPr>
          <w:rFonts w:hint="eastAsia"/>
        </w:rPr>
        <w:t>软化水制备工序噪声主要有设备噪声，本项目采用低噪声设备、基础减振、厂房隔声等方式减缓噪声影响。</w:t>
      </w:r>
    </w:p>
    <w:p w14:paraId="5A70BD9A">
      <w:pPr>
        <w:ind w:firstLine="480"/>
      </w:pPr>
      <w:r>
        <w:rPr>
          <w:rFonts w:hint="eastAsia"/>
        </w:rPr>
        <w:t>（2）废水</w:t>
      </w:r>
    </w:p>
    <w:p w14:paraId="4ECD3AE6">
      <w:pPr>
        <w:ind w:firstLine="480"/>
      </w:pPr>
      <w:r>
        <w:rPr>
          <w:rFonts w:hint="eastAsia"/>
        </w:rPr>
        <w:t>本工序废水主要为离子交换柱产生的废水，本工序废水用于厂区绿化、鸡舍冲洗、湿帘降温和洒水抑尘。</w:t>
      </w:r>
    </w:p>
    <w:p w14:paraId="0F961B6A">
      <w:pPr>
        <w:ind w:firstLine="480"/>
      </w:pPr>
      <w:r>
        <w:rPr>
          <w:rFonts w:hint="eastAsia"/>
        </w:rPr>
        <w:t>（3）固废</w:t>
      </w:r>
    </w:p>
    <w:p w14:paraId="2DE10074">
      <w:pPr>
        <w:ind w:firstLine="480"/>
      </w:pPr>
      <w:r>
        <w:rPr>
          <w:rFonts w:hint="eastAsia"/>
        </w:rPr>
        <w:t>本工序固废主要为定期更换的离子交换树脂，离子交换树脂由厂家进行更换，更换产生的废离子交换树脂由厂界进行回收利用。</w:t>
      </w:r>
    </w:p>
    <w:p w14:paraId="1D0363D5">
      <w:pPr>
        <w:pStyle w:val="12"/>
      </w:pPr>
      <w:r>
        <w:t>3.2.2.4饲料加工工艺</w:t>
      </w:r>
      <w:r>
        <w:rPr>
          <w:rFonts w:hint="eastAsia"/>
        </w:rPr>
        <w:t>及污染防治措施</w:t>
      </w:r>
    </w:p>
    <w:p w14:paraId="2BBC7C3D">
      <w:pPr>
        <w:pStyle w:val="105"/>
        <w:ind w:firstLine="480"/>
      </w:pPr>
      <w:r>
        <w:rPr>
          <w:rFonts w:hint="eastAsia"/>
        </w:rPr>
        <w:t>1、饲料加工工艺</w:t>
      </w:r>
    </w:p>
    <w:p w14:paraId="6A44D24F">
      <w:pPr>
        <w:pStyle w:val="105"/>
        <w:ind w:firstLine="480"/>
      </w:pPr>
      <w:r>
        <w:t>鸡饲料主要成份是精饲料、玉米、</w:t>
      </w:r>
      <w:r>
        <w:rPr>
          <w:szCs w:val="21"/>
        </w:rPr>
        <w:t>豆粕、</w:t>
      </w:r>
      <w:r>
        <w:t>麦麸、</w:t>
      </w:r>
      <w:r>
        <w:rPr>
          <w:szCs w:val="21"/>
        </w:rPr>
        <w:t>石粉</w:t>
      </w:r>
      <w:r>
        <w:t>等，根据不同周龄的鸡各成份配制比例不一，由本公司提供。从项目生产工艺技术、流程及设备购置的情况考虑，项目饲料生产加工过程主要有：原料破碎、配料、混合等。</w:t>
      </w:r>
    </w:p>
    <w:p w14:paraId="351B97CD">
      <w:pPr>
        <w:pStyle w:val="105"/>
        <w:ind w:firstLine="480"/>
      </w:pPr>
      <w:r>
        <w:t>（1）原料破碎</w:t>
      </w:r>
    </w:p>
    <w:p w14:paraId="01D6A661">
      <w:pPr>
        <w:spacing w:line="440" w:lineRule="exact"/>
        <w:ind w:firstLine="480"/>
        <w:rPr>
          <w:szCs w:val="24"/>
        </w:rPr>
      </w:pPr>
      <w:r>
        <w:rPr>
          <w:szCs w:val="24"/>
        </w:rPr>
        <w:t>项目所用玉米需经粉碎机粉碎成粉料</w:t>
      </w:r>
      <w:r>
        <w:t>，</w:t>
      </w:r>
      <w:r>
        <w:rPr>
          <w:szCs w:val="24"/>
        </w:rPr>
        <w:t>该工序的主要污染源为粉碎废气及设备噪声。</w:t>
      </w:r>
    </w:p>
    <w:p w14:paraId="5DCD2ACB">
      <w:pPr>
        <w:pStyle w:val="105"/>
        <w:ind w:firstLine="480"/>
      </w:pPr>
      <w:r>
        <w:t>（2）配料</w:t>
      </w:r>
    </w:p>
    <w:p w14:paraId="2F69A98A">
      <w:pPr>
        <w:pStyle w:val="105"/>
        <w:ind w:firstLine="480"/>
      </w:pPr>
      <w:r>
        <w:t>根据配方的要求，各种参与配料的原料通过计算机控制的配料称依次进入混合机中。配料过程选用一大一小两台配料称，以保证配料的准确性和缩短配料时间。投料顺序一般量大的组分先加或大部分加入机内后，再将少量或微量组分置于物料上面；粒度大的物料先加，粒度小的后加；比重小的物料先加，比重大的后加。物料的提升、输送均为封闭系统。</w:t>
      </w:r>
    </w:p>
    <w:p w14:paraId="62879BCF">
      <w:pPr>
        <w:pStyle w:val="105"/>
        <w:ind w:firstLine="480"/>
      </w:pPr>
      <w:r>
        <w:t>（3）混合</w:t>
      </w:r>
    </w:p>
    <w:p w14:paraId="41AF63B4">
      <w:pPr>
        <w:pStyle w:val="105"/>
        <w:ind w:firstLine="480"/>
      </w:pPr>
      <w:r>
        <w:t>各种原料在混合机中参与混合，混合周期为6min。混合时系统密闭，混合工序产生少量粉尘。</w:t>
      </w:r>
    </w:p>
    <w:p w14:paraId="4C6AC15B">
      <w:pPr>
        <w:pStyle w:val="105"/>
        <w:ind w:firstLine="480"/>
      </w:pPr>
      <w:r>
        <w:t>（5）包装</w:t>
      </w:r>
    </w:p>
    <w:p w14:paraId="450CC422">
      <w:pPr>
        <w:pStyle w:val="105"/>
        <w:ind w:firstLine="480"/>
      </w:pPr>
      <w:r>
        <w:t>混合后的成品粉料通过自动分装机包装，储存于成品仓待用，包装工序产生少量粉尘。</w:t>
      </w:r>
    </w:p>
    <w:p w14:paraId="4DDA94BF">
      <w:pPr>
        <w:pStyle w:val="105"/>
        <w:ind w:firstLine="480"/>
      </w:pPr>
      <w:r>
        <w:t>根据鸡龄结构配料，利用料塔存料，通过特制链条和专用管道输送至每栋鸡舍的料仓。</w:t>
      </w:r>
    </w:p>
    <w:p w14:paraId="26B2ECBE">
      <w:pPr>
        <w:pStyle w:val="105"/>
        <w:ind w:firstLine="480"/>
      </w:pPr>
      <w:r>
        <w:rPr>
          <w:rFonts w:hint="eastAsia"/>
        </w:rPr>
        <w:t>2、污染防治措施</w:t>
      </w:r>
    </w:p>
    <w:p w14:paraId="3C6B7814">
      <w:pPr>
        <w:pStyle w:val="105"/>
        <w:ind w:firstLine="480"/>
      </w:pPr>
      <w:r>
        <w:rPr>
          <w:rFonts w:hint="eastAsia"/>
        </w:rPr>
        <w:t>饲料加工工序污染物包括废气、噪声和固废。</w:t>
      </w:r>
    </w:p>
    <w:p w14:paraId="3DDF3DFF">
      <w:pPr>
        <w:pStyle w:val="105"/>
        <w:ind w:firstLine="480"/>
      </w:pPr>
      <w:r>
        <w:rPr>
          <w:rFonts w:hint="eastAsia"/>
        </w:rPr>
        <w:t>（1）废气</w:t>
      </w:r>
    </w:p>
    <w:p w14:paraId="4EB5FD06">
      <w:pPr>
        <w:pStyle w:val="105"/>
        <w:ind w:firstLine="480"/>
        <w:jc w:val="both"/>
      </w:pPr>
      <w:r>
        <w:rPr>
          <w:rFonts w:hint="eastAsia"/>
        </w:rPr>
        <w:t>饲料加工工序主要有破碎工序粉尘，采用布袋除尘器处理后经15m高排气筒（DA001）进行排放。</w:t>
      </w:r>
    </w:p>
    <w:p w14:paraId="6411A233">
      <w:pPr>
        <w:pStyle w:val="105"/>
        <w:ind w:firstLine="480"/>
      </w:pPr>
      <w:r>
        <w:rPr>
          <w:rFonts w:hint="eastAsia"/>
        </w:rPr>
        <w:t>（2）噪声</w:t>
      </w:r>
    </w:p>
    <w:p w14:paraId="019E793F">
      <w:pPr>
        <w:pStyle w:val="105"/>
        <w:ind w:firstLine="480"/>
      </w:pPr>
      <w:r>
        <w:rPr>
          <w:rFonts w:hint="eastAsia"/>
        </w:rPr>
        <w:t>饲料加工工序噪声主要为饲料加工设备产生的机械噪声，采用低噪声设备、基础减振、厂房隔声等方式减弱噪声对周边声环境的影响。</w:t>
      </w:r>
    </w:p>
    <w:p w14:paraId="78BCDA40">
      <w:pPr>
        <w:pStyle w:val="105"/>
        <w:ind w:firstLine="480"/>
      </w:pPr>
      <w:r>
        <w:rPr>
          <w:rFonts w:hint="eastAsia"/>
        </w:rPr>
        <w:t>（3）固废</w:t>
      </w:r>
    </w:p>
    <w:p w14:paraId="720EEB1C">
      <w:pPr>
        <w:pStyle w:val="105"/>
        <w:ind w:firstLine="480"/>
      </w:pPr>
      <w:r>
        <w:rPr>
          <w:rFonts w:hint="eastAsia"/>
        </w:rPr>
        <w:t>饲料加工工序固废主要为布袋除尘器产生的除尘灰，除尘灰主要是饲料粉尘，因此布袋除尘器除尘灰定期进行清理掺入饲料使用。</w:t>
      </w:r>
    </w:p>
    <w:p w14:paraId="09AC480C">
      <w:pPr>
        <w:pStyle w:val="12"/>
      </w:pPr>
      <w:r>
        <w:t>3.2.2.5</w:t>
      </w:r>
      <w:r>
        <w:rPr>
          <w:rFonts w:hint="eastAsia"/>
        </w:rPr>
        <w:t>有机肥加工工艺及污染防治措施</w:t>
      </w:r>
    </w:p>
    <w:p w14:paraId="27CEBD6A">
      <w:pPr>
        <w:pStyle w:val="105"/>
        <w:ind w:firstLine="480"/>
      </w:pPr>
      <w:r>
        <w:rPr>
          <w:rFonts w:hint="eastAsia"/>
        </w:rPr>
        <w:t>1、有机肥加工工艺</w:t>
      </w:r>
    </w:p>
    <w:p w14:paraId="35558D15">
      <w:pPr>
        <w:pStyle w:val="105"/>
        <w:ind w:firstLine="480"/>
      </w:pPr>
      <w:r>
        <w:rPr>
          <w:rFonts w:hint="eastAsia"/>
        </w:rPr>
        <w:t>本项目育成期平均产粪0.2t/万只·d，产蛋期产粪1.2t/万只·d，年产鲜鸡粪约40262吨。有机肥加工工艺包括发酵工艺和制肥工艺两个部分。</w:t>
      </w:r>
    </w:p>
    <w:p w14:paraId="58B9382F">
      <w:pPr>
        <w:pStyle w:val="105"/>
        <w:ind w:firstLine="480"/>
      </w:pPr>
      <w:r>
        <w:rPr>
          <w:rFonts w:hint="eastAsia"/>
        </w:rPr>
        <w:t>①发酵工艺</w:t>
      </w:r>
    </w:p>
    <w:p w14:paraId="6634BD18">
      <w:pPr>
        <w:ind w:firstLine="480"/>
      </w:pPr>
      <w:r>
        <w:rPr>
          <w:rFonts w:hint="eastAsia"/>
        </w:rPr>
        <w:t>发酵原料组成包括：鸡粪、秸秆粉、</w:t>
      </w:r>
      <w:r>
        <w:rPr>
          <w:rFonts w:hint="eastAsia"/>
          <w:szCs w:val="21"/>
        </w:rPr>
        <w:t>饲料残渣、鸡毛、废水处理污泥和</w:t>
      </w:r>
      <w:r>
        <w:rPr>
          <w:rFonts w:hint="eastAsia"/>
        </w:rPr>
        <w:t>必要的氮磷钾等辅料以及</w:t>
      </w:r>
      <w:r>
        <w:t>0.1%</w:t>
      </w:r>
      <w:r>
        <w:rPr>
          <w:rFonts w:hint="eastAsia" w:ascii="宋体" w:hAnsi="宋体"/>
        </w:rPr>
        <w:t>-</w:t>
      </w:r>
      <w:r>
        <w:t>0.2%</w:t>
      </w:r>
      <w:r>
        <w:rPr>
          <w:rFonts w:hint="eastAsia"/>
        </w:rPr>
        <w:t>发酵菌和适量水分。原料应事先经过粉碎或破碎成规定的颗粒状。根据事先确定的发酵原料配方要求，调制物料含水率至</w:t>
      </w:r>
      <w:r>
        <w:t>55%</w:t>
      </w:r>
      <w:r>
        <w:rPr>
          <w:rFonts w:hint="eastAsia"/>
        </w:rPr>
        <w:t>便于发酵。</w:t>
      </w:r>
    </w:p>
    <w:p w14:paraId="252533E8">
      <w:pPr>
        <w:ind w:firstLine="480"/>
      </w:pPr>
      <w:r>
        <w:rPr>
          <w:rFonts w:hint="eastAsia"/>
        </w:rPr>
        <w:t>混合好的物料放入发酵槽内进行发酵，发酵周期初步设计为</w:t>
      </w:r>
      <w:r>
        <w:t>21</w:t>
      </w:r>
      <w:r>
        <w:rPr>
          <w:rFonts w:hint="eastAsia"/>
        </w:rPr>
        <w:t>天。发酵车间共</w:t>
      </w:r>
      <w:r>
        <w:t>1</w:t>
      </w:r>
      <w:r>
        <w:rPr>
          <w:rFonts w:hint="eastAsia"/>
        </w:rPr>
        <w:t>跨，跨度</w:t>
      </w:r>
      <w:r>
        <w:t>15</w:t>
      </w:r>
      <w:r>
        <w:rPr>
          <w:rFonts w:hint="eastAsia"/>
        </w:rPr>
        <w:t>米，内设一个发酵槽（长</w:t>
      </w:r>
      <w:r>
        <w:t>84m</w:t>
      </w:r>
      <w:r>
        <w:rPr>
          <w:rFonts w:hint="eastAsia"/>
        </w:rPr>
        <w:t>，宽</w:t>
      </w:r>
      <w:r>
        <w:t>10.4m</w:t>
      </w:r>
      <w:r>
        <w:rPr>
          <w:rFonts w:hint="eastAsia"/>
        </w:rPr>
        <w:t>，高</w:t>
      </w:r>
      <w:r>
        <w:t>2m</w:t>
      </w:r>
      <w:r>
        <w:rPr>
          <w:rFonts w:hint="eastAsia"/>
        </w:rPr>
        <w:t>）。</w:t>
      </w:r>
    </w:p>
    <w:p w14:paraId="21801ABA">
      <w:pPr>
        <w:ind w:firstLine="480"/>
      </w:pPr>
      <w:r>
        <w:rPr>
          <w:rFonts w:hint="eastAsia"/>
        </w:rPr>
        <w:t>每天用翻抛机将物料翻抛一次，每次物料移动</w:t>
      </w:r>
      <w:r>
        <w:t>4</w:t>
      </w:r>
      <w:r>
        <w:rPr>
          <w:rFonts w:hint="eastAsia"/>
        </w:rPr>
        <w:t>米。每天发酵槽的进料端可以放入原料</w:t>
      </w:r>
      <w:r>
        <w:t>73</w:t>
      </w:r>
      <w:r>
        <w:rPr>
          <w:rFonts w:hint="eastAsia"/>
        </w:rPr>
        <w:t>立方，待</w:t>
      </w:r>
      <w:r>
        <w:t>21</w:t>
      </w:r>
      <w:r>
        <w:rPr>
          <w:rFonts w:hint="eastAsia"/>
        </w:rPr>
        <w:t>天发酵周期完成后，发酵后的物料移出发酵槽。发酵合格后的物料可以作为有机原料进入制肥环节。</w:t>
      </w:r>
    </w:p>
    <w:p w14:paraId="644D5B0F">
      <w:pPr>
        <w:ind w:firstLine="480"/>
      </w:pPr>
      <w:r>
        <w:rPr>
          <w:rFonts w:hint="eastAsia"/>
        </w:rPr>
        <w:t>②制肥工艺</w:t>
      </w:r>
    </w:p>
    <w:p w14:paraId="1D0129C7">
      <w:pPr>
        <w:ind w:firstLine="480"/>
      </w:pPr>
      <w:r>
        <w:rPr>
          <w:rFonts w:hint="eastAsia"/>
        </w:rPr>
        <w:t>制肥工艺主要包括粉碎、筛分、配料、混合、制粒、烘干、冷却、筛分和包装等环节。首先将发酵后的物料送入粉碎机进一步粉碎，然后进行筛分。粉碎合格的有机物料、氮磷钾无机物料以及需要添加的添加剂等分别同时进入电子配料秤进行计量配料，配好的物料进入搅拌机进行连续混合。混合后的物料输送至平模挤压制粒机制粒，制成圆柱颗粒（如需制成圆球状，可以送入磨圆机加工成圆球状颗粒）。成型的颗粒接着进入烘干机降低水分，本项目烘干机以电能作为能量来源，烘干后的有机肥颗粒再进入冷却器降低物料温度。冷却后颗粒需要筛分分级，筛分合格的颗粒有机肥成品进入打包机打包装袋。袋装肥料移入成品库房待售。</w:t>
      </w:r>
    </w:p>
    <w:p w14:paraId="066567A5">
      <w:pPr>
        <w:ind w:firstLine="0" w:firstLineChars="0"/>
        <w:jc w:val="both"/>
        <w:rPr>
          <w:b/>
        </w:rPr>
      </w:pPr>
      <w:r>
        <w:rPr>
          <w:rFonts w:hint="eastAsia"/>
          <w:b/>
        </w:rPr>
        <w:drawing>
          <wp:inline distT="0" distB="0" distL="114300" distR="114300">
            <wp:extent cx="5757545" cy="4018280"/>
            <wp:effectExtent l="0" t="0" r="14605" b="1270"/>
            <wp:docPr id="38" name="图片 38" descr="C:/Users/Lenovo/Desktop/复核/图/有机肥加工工艺.png有机肥加工工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Lenovo/Desktop/复核/图/有机肥加工工艺.png有机肥加工工艺"/>
                    <pic:cNvPicPr>
                      <a:picLocks noChangeAspect="1"/>
                    </pic:cNvPicPr>
                  </pic:nvPicPr>
                  <pic:blipFill>
                    <a:blip r:embed="rId37"/>
                    <a:srcRect t="6" b="6"/>
                    <a:stretch>
                      <a:fillRect/>
                    </a:stretch>
                  </pic:blipFill>
                  <pic:spPr>
                    <a:xfrm>
                      <a:off x="0" y="0"/>
                      <a:ext cx="5757545" cy="4018280"/>
                    </a:xfrm>
                    <a:prstGeom prst="rect">
                      <a:avLst/>
                    </a:prstGeom>
                  </pic:spPr>
                </pic:pic>
              </a:graphicData>
            </a:graphic>
          </wp:inline>
        </w:drawing>
      </w:r>
    </w:p>
    <w:p w14:paraId="37826CCE">
      <w:pPr>
        <w:ind w:firstLine="0" w:firstLineChars="0"/>
        <w:jc w:val="center"/>
        <w:rPr>
          <w:b/>
        </w:rPr>
      </w:pPr>
      <w:r>
        <w:rPr>
          <w:b/>
        </w:rPr>
        <w:t>图3.2-6 有机肥生产工艺</w:t>
      </w:r>
    </w:p>
    <w:p w14:paraId="651F930D">
      <w:pPr>
        <w:ind w:firstLine="480"/>
      </w:pPr>
      <w:r>
        <w:rPr>
          <w:rFonts w:hint="eastAsia"/>
        </w:rPr>
        <w:t>2、污染防治措施</w:t>
      </w:r>
    </w:p>
    <w:p w14:paraId="58DE6ECE">
      <w:pPr>
        <w:ind w:firstLine="480"/>
      </w:pPr>
      <w:r>
        <w:rPr>
          <w:rFonts w:hint="eastAsia"/>
        </w:rPr>
        <w:t>有机肥加工工序污染物主要有废气、废水和噪声。</w:t>
      </w:r>
    </w:p>
    <w:p w14:paraId="55164CB8">
      <w:pPr>
        <w:ind w:firstLine="480"/>
      </w:pPr>
      <w:r>
        <w:rPr>
          <w:rFonts w:hint="eastAsia"/>
        </w:rPr>
        <w:t>（1）废气</w:t>
      </w:r>
    </w:p>
    <w:p w14:paraId="3CEB35BA">
      <w:pPr>
        <w:ind w:firstLine="480"/>
      </w:pPr>
      <w:r>
        <w:rPr>
          <w:rFonts w:hint="eastAsia"/>
        </w:rPr>
        <w:t>有机肥加工车间废气主要包括混合、粉碎、制粒、筛分、包装等工序产生的粉尘、发酵过程产生的臭气、烘干废气。</w:t>
      </w:r>
    </w:p>
    <w:p w14:paraId="25521CCC">
      <w:pPr>
        <w:ind w:firstLine="480"/>
        <w:jc w:val="both"/>
      </w:pPr>
      <w:r>
        <w:rPr>
          <w:rFonts w:hint="eastAsia"/>
        </w:rPr>
        <w:t>有机肥加工车间内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p w14:paraId="6997779B">
      <w:pPr>
        <w:ind w:firstLine="480"/>
      </w:pPr>
      <w:r>
        <w:rPr>
          <w:rFonts w:hint="eastAsia"/>
        </w:rPr>
        <w:t>生物除臭箱内有大量生物填料，生物填料中含有大量的微生物，当臭气经过不断地扩散运动到介质外层水膜，从而使污染物被介质吸收，介质表面附着的各种微生物将污染物分解成为自身生长繁殖所需要的营养物质以及分解成一些无污染的物质。</w:t>
      </w:r>
    </w:p>
    <w:p w14:paraId="4735DBF9">
      <w:pPr>
        <w:ind w:firstLine="480"/>
      </w:pPr>
      <w:r>
        <w:rPr>
          <w:rFonts w:hint="eastAsia"/>
        </w:rPr>
        <w:t>（2）废水</w:t>
      </w:r>
    </w:p>
    <w:p w14:paraId="4553AA10">
      <w:pPr>
        <w:ind w:firstLine="480"/>
      </w:pPr>
      <w:r>
        <w:rPr>
          <w:rFonts w:hint="eastAsia"/>
        </w:rPr>
        <w:t>有机肥加工工序废水主要为发酵过程产生的渗滤液，有机肥发酵在发酵槽内进行，发酵产生的渗滤液由发酵槽下部收集管收集后输送至污水处理站处理达标后用于厂区绿化、鸡舍冲洗、湿帘降温和洒水抑尘。</w:t>
      </w:r>
    </w:p>
    <w:p w14:paraId="1CA3C08A">
      <w:pPr>
        <w:ind w:firstLine="480"/>
      </w:pPr>
      <w:r>
        <w:rPr>
          <w:rFonts w:hint="eastAsia"/>
        </w:rPr>
        <w:t>（3）噪声</w:t>
      </w:r>
    </w:p>
    <w:p w14:paraId="7ABF6948">
      <w:pPr>
        <w:ind w:firstLine="480"/>
      </w:pPr>
      <w:r>
        <w:rPr>
          <w:rFonts w:hint="eastAsia"/>
        </w:rPr>
        <w:t>有机肥加工工序噪声主要为设备机械噪声，本项目优先使用低噪声设备、采用基础减振和厂房隔声等措施减轻噪声对周边声环境的影响。</w:t>
      </w:r>
    </w:p>
    <w:p w14:paraId="3C5FBE43">
      <w:pPr>
        <w:pStyle w:val="12"/>
      </w:pPr>
      <w:r>
        <w:t>3.2.2.6</w:t>
      </w:r>
      <w:r>
        <w:rPr>
          <w:rFonts w:hint="eastAsia"/>
        </w:rPr>
        <w:t>壳蛋加工工艺</w:t>
      </w:r>
    </w:p>
    <w:p w14:paraId="73D27E9D">
      <w:pPr>
        <w:ind w:firstLine="480"/>
      </w:pPr>
      <w:r>
        <w:rPr>
          <w:rFonts w:hint="eastAsia"/>
        </w:rPr>
        <w:t>1、加工工艺</w:t>
      </w:r>
    </w:p>
    <w:p w14:paraId="176BAAD9">
      <w:pPr>
        <w:ind w:firstLine="480"/>
      </w:pPr>
      <w:r>
        <w:rPr>
          <w:rFonts w:hint="eastAsia"/>
        </w:rPr>
        <w:t>首先将清洗好的塑料蛋托放在传送带上进行运输，然后在输送的过程中放好鸡蛋，再经过鸡蛋喷码机对鸡蛋进行喷码，喷码结束后通过裹膜机进行裹膜，最后将裹膜好的鸡蛋进行分箱放置，封箱后码垛成堆。</w:t>
      </w:r>
    </w:p>
    <w:p w14:paraId="4BC09FB1">
      <w:pPr>
        <w:ind w:firstLine="0" w:firstLineChars="0"/>
        <w:jc w:val="center"/>
      </w:pPr>
      <w:r>
        <w:drawing>
          <wp:inline distT="0" distB="0" distL="114300" distR="114300">
            <wp:extent cx="5028565" cy="781050"/>
            <wp:effectExtent l="0" t="0" r="635" b="0"/>
            <wp:docPr id="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
                    <pic:cNvPicPr>
                      <a:picLocks noChangeAspect="1"/>
                    </pic:cNvPicPr>
                  </pic:nvPicPr>
                  <pic:blipFill>
                    <a:blip r:embed="rId38"/>
                    <a:stretch>
                      <a:fillRect/>
                    </a:stretch>
                  </pic:blipFill>
                  <pic:spPr>
                    <a:xfrm>
                      <a:off x="0" y="0"/>
                      <a:ext cx="5028565" cy="781050"/>
                    </a:xfrm>
                    <a:prstGeom prst="rect">
                      <a:avLst/>
                    </a:prstGeom>
                    <a:noFill/>
                    <a:ln>
                      <a:noFill/>
                    </a:ln>
                  </pic:spPr>
                </pic:pic>
              </a:graphicData>
            </a:graphic>
          </wp:inline>
        </w:drawing>
      </w:r>
    </w:p>
    <w:p w14:paraId="500F2ECC">
      <w:pPr>
        <w:ind w:firstLine="0" w:firstLineChars="0"/>
        <w:jc w:val="center"/>
        <w:rPr>
          <w:b/>
        </w:rPr>
      </w:pPr>
      <w:r>
        <w:rPr>
          <w:rFonts w:hint="eastAsia"/>
          <w:b/>
          <w:bCs/>
        </w:rPr>
        <w:t>图</w:t>
      </w:r>
      <w:r>
        <w:rPr>
          <w:b/>
          <w:bCs/>
        </w:rPr>
        <w:t>3.2-7</w:t>
      </w:r>
      <w:r>
        <w:rPr>
          <w:rFonts w:hint="eastAsia"/>
          <w:b/>
          <w:bCs/>
        </w:rPr>
        <w:t>壳蛋加工工艺流</w:t>
      </w:r>
      <w:r>
        <w:rPr>
          <w:rFonts w:hint="eastAsia"/>
          <w:b/>
        </w:rPr>
        <w:t>程图</w:t>
      </w:r>
    </w:p>
    <w:p w14:paraId="3D96CDF1">
      <w:pPr>
        <w:ind w:firstLine="480"/>
      </w:pPr>
      <w:r>
        <w:rPr>
          <w:rFonts w:hint="eastAsia"/>
        </w:rPr>
        <w:t>2、污染防治措施</w:t>
      </w:r>
    </w:p>
    <w:p w14:paraId="1D59C92C">
      <w:pPr>
        <w:ind w:firstLine="480"/>
      </w:pPr>
      <w:r>
        <w:rPr>
          <w:rFonts w:hint="eastAsia"/>
        </w:rPr>
        <w:t>壳蛋加工工序污染物主要有设备机械噪声，采用低噪声设备、基础减振和厂房隔声措施减轻噪声对周边声环境的影响。</w:t>
      </w:r>
    </w:p>
    <w:p w14:paraId="24B5F6D3">
      <w:pPr>
        <w:pStyle w:val="12"/>
      </w:pPr>
      <w:r>
        <w:t>3.2.2.7项目运营期主要污染工序</w:t>
      </w:r>
    </w:p>
    <w:p w14:paraId="27C30319">
      <w:pPr>
        <w:pStyle w:val="369"/>
      </w:pPr>
      <w:r>
        <w:t>表3.2-2  项目主要污染工序</w:t>
      </w:r>
    </w:p>
    <w:tbl>
      <w:tblPr>
        <w:tblStyle w:val="8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19"/>
        <w:gridCol w:w="1094"/>
        <w:gridCol w:w="1039"/>
        <w:gridCol w:w="1201"/>
        <w:gridCol w:w="5126"/>
      </w:tblGrid>
      <w:tr w14:paraId="22FA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92" w:type="pct"/>
            <w:vAlign w:val="center"/>
          </w:tcPr>
          <w:p w14:paraId="474816DE">
            <w:pPr>
              <w:pStyle w:val="766"/>
              <w:rPr>
                <w:color w:val="auto"/>
              </w:rPr>
            </w:pPr>
            <w:r>
              <w:rPr>
                <w:color w:val="auto"/>
              </w:rPr>
              <w:t>类别</w:t>
            </w:r>
          </w:p>
        </w:tc>
        <w:tc>
          <w:tcPr>
            <w:tcW w:w="595" w:type="pct"/>
            <w:vAlign w:val="center"/>
          </w:tcPr>
          <w:p w14:paraId="0363FF84">
            <w:pPr>
              <w:pStyle w:val="766"/>
              <w:rPr>
                <w:color w:val="auto"/>
              </w:rPr>
            </w:pPr>
            <w:r>
              <w:rPr>
                <w:color w:val="auto"/>
              </w:rPr>
              <w:t>性质</w:t>
            </w:r>
          </w:p>
        </w:tc>
        <w:tc>
          <w:tcPr>
            <w:tcW w:w="566" w:type="pct"/>
            <w:vAlign w:val="center"/>
          </w:tcPr>
          <w:p w14:paraId="588F198B">
            <w:pPr>
              <w:pStyle w:val="766"/>
              <w:rPr>
                <w:color w:val="auto"/>
              </w:rPr>
            </w:pPr>
            <w:r>
              <w:rPr>
                <w:color w:val="auto"/>
              </w:rPr>
              <w:t>污染源</w:t>
            </w:r>
          </w:p>
        </w:tc>
        <w:tc>
          <w:tcPr>
            <w:tcW w:w="654" w:type="pct"/>
            <w:vAlign w:val="center"/>
          </w:tcPr>
          <w:p w14:paraId="020158ED">
            <w:pPr>
              <w:pStyle w:val="766"/>
              <w:rPr>
                <w:color w:val="auto"/>
              </w:rPr>
            </w:pPr>
            <w:r>
              <w:rPr>
                <w:color w:val="auto"/>
              </w:rPr>
              <w:t>污染因子</w:t>
            </w:r>
          </w:p>
        </w:tc>
        <w:tc>
          <w:tcPr>
            <w:tcW w:w="2791" w:type="pct"/>
            <w:vAlign w:val="center"/>
          </w:tcPr>
          <w:p w14:paraId="540E74B6">
            <w:pPr>
              <w:pStyle w:val="766"/>
              <w:rPr>
                <w:color w:val="auto"/>
              </w:rPr>
            </w:pPr>
            <w:r>
              <w:rPr>
                <w:color w:val="auto"/>
              </w:rPr>
              <w:t>拟</w:t>
            </w:r>
            <w:r>
              <w:rPr>
                <w:rFonts w:hint="eastAsia"/>
                <w:color w:val="auto"/>
              </w:rPr>
              <w:t>采取</w:t>
            </w:r>
            <w:r>
              <w:rPr>
                <w:color w:val="auto"/>
              </w:rPr>
              <w:t>处理措施</w:t>
            </w:r>
          </w:p>
        </w:tc>
      </w:tr>
      <w:tr w14:paraId="600A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restart"/>
            <w:vAlign w:val="center"/>
          </w:tcPr>
          <w:p w14:paraId="30EB9B68">
            <w:pPr>
              <w:pStyle w:val="766"/>
              <w:rPr>
                <w:color w:val="auto"/>
              </w:rPr>
            </w:pPr>
            <w:r>
              <w:rPr>
                <w:color w:val="auto"/>
              </w:rPr>
              <w:t>大气污染物</w:t>
            </w:r>
          </w:p>
        </w:tc>
        <w:tc>
          <w:tcPr>
            <w:tcW w:w="595" w:type="pct"/>
            <w:vMerge w:val="restart"/>
            <w:vAlign w:val="center"/>
          </w:tcPr>
          <w:p w14:paraId="77B716C1">
            <w:pPr>
              <w:pStyle w:val="766"/>
              <w:rPr>
                <w:color w:val="auto"/>
              </w:rPr>
            </w:pPr>
            <w:r>
              <w:rPr>
                <w:color w:val="auto"/>
              </w:rPr>
              <w:t>有组织</w:t>
            </w:r>
          </w:p>
        </w:tc>
        <w:tc>
          <w:tcPr>
            <w:tcW w:w="566" w:type="pct"/>
            <w:vAlign w:val="center"/>
          </w:tcPr>
          <w:p w14:paraId="2C45FD41">
            <w:pPr>
              <w:pStyle w:val="766"/>
              <w:rPr>
                <w:color w:val="auto"/>
              </w:rPr>
            </w:pPr>
            <w:r>
              <w:rPr>
                <w:color w:val="auto"/>
              </w:rPr>
              <w:t>饲料加工</w:t>
            </w:r>
          </w:p>
        </w:tc>
        <w:tc>
          <w:tcPr>
            <w:tcW w:w="654" w:type="pct"/>
            <w:vAlign w:val="center"/>
          </w:tcPr>
          <w:p w14:paraId="6EEC91FF">
            <w:pPr>
              <w:pStyle w:val="766"/>
              <w:rPr>
                <w:color w:val="auto"/>
              </w:rPr>
            </w:pPr>
            <w:r>
              <w:rPr>
                <w:color w:val="auto"/>
              </w:rPr>
              <w:t>PM</w:t>
            </w:r>
            <w:r>
              <w:rPr>
                <w:color w:val="auto"/>
                <w:vertAlign w:val="subscript"/>
              </w:rPr>
              <w:t>10</w:t>
            </w:r>
          </w:p>
        </w:tc>
        <w:tc>
          <w:tcPr>
            <w:tcW w:w="2791" w:type="pct"/>
            <w:vAlign w:val="center"/>
          </w:tcPr>
          <w:p w14:paraId="7308DE43">
            <w:pPr>
              <w:pStyle w:val="766"/>
              <w:rPr>
                <w:color w:val="auto"/>
              </w:rPr>
            </w:pPr>
            <w:r>
              <w:rPr>
                <w:color w:val="auto"/>
              </w:rPr>
              <w:t>集气罩+布袋除尘+15m高排气筒（DA001）</w:t>
            </w:r>
          </w:p>
        </w:tc>
      </w:tr>
      <w:tr w14:paraId="5538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0ADFC6BE">
            <w:pPr>
              <w:pStyle w:val="766"/>
              <w:rPr>
                <w:color w:val="auto"/>
              </w:rPr>
            </w:pPr>
          </w:p>
        </w:tc>
        <w:tc>
          <w:tcPr>
            <w:tcW w:w="595" w:type="pct"/>
            <w:vMerge w:val="continue"/>
            <w:vAlign w:val="center"/>
          </w:tcPr>
          <w:p w14:paraId="49E7B6A3">
            <w:pPr>
              <w:pStyle w:val="766"/>
              <w:rPr>
                <w:color w:val="auto"/>
              </w:rPr>
            </w:pPr>
          </w:p>
        </w:tc>
        <w:tc>
          <w:tcPr>
            <w:tcW w:w="566" w:type="pct"/>
            <w:vAlign w:val="center"/>
          </w:tcPr>
          <w:p w14:paraId="46764CC5">
            <w:pPr>
              <w:pStyle w:val="766"/>
              <w:rPr>
                <w:color w:val="auto"/>
              </w:rPr>
            </w:pPr>
            <w:r>
              <w:rPr>
                <w:rFonts w:hint="eastAsia"/>
                <w:color w:val="auto"/>
              </w:rPr>
              <w:t>1#</w:t>
            </w:r>
            <w:r>
              <w:rPr>
                <w:color w:val="auto"/>
              </w:rPr>
              <w:t>天然气锅炉</w:t>
            </w:r>
          </w:p>
        </w:tc>
        <w:tc>
          <w:tcPr>
            <w:tcW w:w="654" w:type="pct"/>
            <w:vMerge w:val="restart"/>
            <w:vAlign w:val="center"/>
          </w:tcPr>
          <w:p w14:paraId="2E790643">
            <w:pPr>
              <w:pStyle w:val="766"/>
              <w:rPr>
                <w:color w:val="auto"/>
              </w:rPr>
            </w:pPr>
            <w:r>
              <w:rPr>
                <w:color w:val="auto"/>
              </w:rPr>
              <w:t>PM</w:t>
            </w:r>
            <w:r>
              <w:rPr>
                <w:color w:val="auto"/>
                <w:vertAlign w:val="subscript"/>
              </w:rPr>
              <w:t>10</w:t>
            </w:r>
            <w:r>
              <w:rPr>
                <w:color w:val="auto"/>
              </w:rPr>
              <w:t>、SO</w:t>
            </w:r>
            <w:r>
              <w:rPr>
                <w:color w:val="auto"/>
                <w:vertAlign w:val="subscript"/>
              </w:rPr>
              <w:t>2</w:t>
            </w:r>
            <w:r>
              <w:rPr>
                <w:color w:val="auto"/>
              </w:rPr>
              <w:t>、NOx</w:t>
            </w:r>
          </w:p>
        </w:tc>
        <w:tc>
          <w:tcPr>
            <w:tcW w:w="2791" w:type="pct"/>
            <w:vAlign w:val="center"/>
          </w:tcPr>
          <w:p w14:paraId="70DF615A">
            <w:pPr>
              <w:pStyle w:val="766"/>
              <w:rPr>
                <w:color w:val="auto"/>
              </w:rPr>
            </w:pPr>
            <w:r>
              <w:rPr>
                <w:color w:val="auto"/>
              </w:rPr>
              <w:t>低氮燃烧+</w:t>
            </w:r>
            <w:r>
              <w:rPr>
                <w:rFonts w:hint="eastAsia"/>
                <w:color w:val="auto"/>
              </w:rPr>
              <w:t>8</w:t>
            </w:r>
            <w:r>
              <w:rPr>
                <w:color w:val="auto"/>
              </w:rPr>
              <w:t>m高排气筒（DA00</w:t>
            </w:r>
            <w:r>
              <w:rPr>
                <w:rFonts w:hint="eastAsia"/>
                <w:color w:val="auto"/>
              </w:rPr>
              <w:t>4</w:t>
            </w:r>
            <w:r>
              <w:rPr>
                <w:color w:val="auto"/>
              </w:rPr>
              <w:t>）</w:t>
            </w:r>
          </w:p>
        </w:tc>
      </w:tr>
      <w:tr w14:paraId="7003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408577AE">
            <w:pPr>
              <w:pStyle w:val="766"/>
              <w:rPr>
                <w:color w:val="auto"/>
              </w:rPr>
            </w:pPr>
          </w:p>
        </w:tc>
        <w:tc>
          <w:tcPr>
            <w:tcW w:w="595" w:type="pct"/>
            <w:vMerge w:val="continue"/>
            <w:vAlign w:val="center"/>
          </w:tcPr>
          <w:p w14:paraId="5DF789AB">
            <w:pPr>
              <w:pStyle w:val="766"/>
              <w:rPr>
                <w:color w:val="auto"/>
              </w:rPr>
            </w:pPr>
          </w:p>
        </w:tc>
        <w:tc>
          <w:tcPr>
            <w:tcW w:w="566" w:type="pct"/>
            <w:vAlign w:val="center"/>
          </w:tcPr>
          <w:p w14:paraId="4013BA45">
            <w:pPr>
              <w:pStyle w:val="766"/>
              <w:rPr>
                <w:color w:val="auto"/>
              </w:rPr>
            </w:pPr>
            <w:r>
              <w:rPr>
                <w:rFonts w:hint="eastAsia"/>
                <w:color w:val="auto"/>
              </w:rPr>
              <w:t>2#</w:t>
            </w:r>
            <w:r>
              <w:rPr>
                <w:color w:val="auto"/>
              </w:rPr>
              <w:t>天然气锅炉</w:t>
            </w:r>
          </w:p>
        </w:tc>
        <w:tc>
          <w:tcPr>
            <w:tcW w:w="654" w:type="pct"/>
            <w:vMerge w:val="continue"/>
            <w:vAlign w:val="center"/>
          </w:tcPr>
          <w:p w14:paraId="3912AF8A">
            <w:pPr>
              <w:pStyle w:val="766"/>
              <w:rPr>
                <w:color w:val="auto"/>
              </w:rPr>
            </w:pPr>
          </w:p>
        </w:tc>
        <w:tc>
          <w:tcPr>
            <w:tcW w:w="2791" w:type="pct"/>
            <w:vAlign w:val="center"/>
          </w:tcPr>
          <w:p w14:paraId="7D9C8F6F">
            <w:pPr>
              <w:pStyle w:val="766"/>
              <w:rPr>
                <w:color w:val="auto"/>
              </w:rPr>
            </w:pPr>
            <w:r>
              <w:rPr>
                <w:color w:val="auto"/>
              </w:rPr>
              <w:t>低氮燃烧+</w:t>
            </w:r>
            <w:r>
              <w:rPr>
                <w:rFonts w:hint="eastAsia"/>
                <w:color w:val="auto"/>
              </w:rPr>
              <w:t>8</w:t>
            </w:r>
            <w:r>
              <w:rPr>
                <w:color w:val="auto"/>
              </w:rPr>
              <w:t>m高排气筒（DA00</w:t>
            </w:r>
            <w:r>
              <w:rPr>
                <w:rFonts w:hint="eastAsia"/>
                <w:color w:val="auto"/>
              </w:rPr>
              <w:t>5</w:t>
            </w:r>
            <w:r>
              <w:rPr>
                <w:color w:val="auto"/>
              </w:rPr>
              <w:t>）</w:t>
            </w:r>
          </w:p>
        </w:tc>
      </w:tr>
      <w:tr w14:paraId="3F04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52F9A3BB">
            <w:pPr>
              <w:pStyle w:val="766"/>
              <w:rPr>
                <w:color w:val="auto"/>
              </w:rPr>
            </w:pPr>
          </w:p>
        </w:tc>
        <w:tc>
          <w:tcPr>
            <w:tcW w:w="595" w:type="pct"/>
            <w:vMerge w:val="continue"/>
            <w:vAlign w:val="center"/>
          </w:tcPr>
          <w:p w14:paraId="0FA63D4F">
            <w:pPr>
              <w:pStyle w:val="766"/>
              <w:rPr>
                <w:color w:val="auto"/>
              </w:rPr>
            </w:pPr>
          </w:p>
        </w:tc>
        <w:tc>
          <w:tcPr>
            <w:tcW w:w="566" w:type="pct"/>
            <w:vAlign w:val="center"/>
          </w:tcPr>
          <w:p w14:paraId="5B7F2F80">
            <w:pPr>
              <w:pStyle w:val="766"/>
              <w:rPr>
                <w:color w:val="auto"/>
              </w:rPr>
            </w:pPr>
            <w:r>
              <w:rPr>
                <w:rFonts w:hint="eastAsia"/>
                <w:color w:val="auto"/>
              </w:rPr>
              <w:t>3#</w:t>
            </w:r>
            <w:r>
              <w:rPr>
                <w:color w:val="auto"/>
              </w:rPr>
              <w:t>天然气锅炉</w:t>
            </w:r>
          </w:p>
        </w:tc>
        <w:tc>
          <w:tcPr>
            <w:tcW w:w="654" w:type="pct"/>
            <w:vMerge w:val="continue"/>
            <w:vAlign w:val="center"/>
          </w:tcPr>
          <w:p w14:paraId="5830A614">
            <w:pPr>
              <w:pStyle w:val="766"/>
              <w:rPr>
                <w:color w:val="auto"/>
              </w:rPr>
            </w:pPr>
          </w:p>
        </w:tc>
        <w:tc>
          <w:tcPr>
            <w:tcW w:w="2791" w:type="pct"/>
            <w:vAlign w:val="center"/>
          </w:tcPr>
          <w:p w14:paraId="483EFBA8">
            <w:pPr>
              <w:pStyle w:val="766"/>
              <w:rPr>
                <w:color w:val="auto"/>
              </w:rPr>
            </w:pPr>
            <w:r>
              <w:rPr>
                <w:color w:val="auto"/>
              </w:rPr>
              <w:t>低氮燃烧+</w:t>
            </w:r>
            <w:r>
              <w:rPr>
                <w:rFonts w:hint="eastAsia"/>
                <w:color w:val="auto"/>
              </w:rPr>
              <w:t>8</w:t>
            </w:r>
            <w:r>
              <w:rPr>
                <w:color w:val="auto"/>
              </w:rPr>
              <w:t>m高排气筒（DA00</w:t>
            </w:r>
            <w:r>
              <w:rPr>
                <w:rFonts w:hint="eastAsia"/>
                <w:color w:val="auto"/>
              </w:rPr>
              <w:t>6</w:t>
            </w:r>
            <w:r>
              <w:rPr>
                <w:color w:val="auto"/>
              </w:rPr>
              <w:t>）</w:t>
            </w:r>
          </w:p>
        </w:tc>
      </w:tr>
      <w:tr w14:paraId="3165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4C573E62">
            <w:pPr>
              <w:pStyle w:val="766"/>
              <w:rPr>
                <w:color w:val="auto"/>
              </w:rPr>
            </w:pPr>
          </w:p>
        </w:tc>
        <w:tc>
          <w:tcPr>
            <w:tcW w:w="595" w:type="pct"/>
            <w:vMerge w:val="continue"/>
            <w:vAlign w:val="center"/>
          </w:tcPr>
          <w:p w14:paraId="78DCE024">
            <w:pPr>
              <w:pStyle w:val="766"/>
              <w:rPr>
                <w:color w:val="auto"/>
              </w:rPr>
            </w:pPr>
          </w:p>
        </w:tc>
        <w:tc>
          <w:tcPr>
            <w:tcW w:w="566" w:type="pct"/>
            <w:vAlign w:val="center"/>
          </w:tcPr>
          <w:p w14:paraId="1AED83C6">
            <w:pPr>
              <w:pStyle w:val="766"/>
              <w:rPr>
                <w:color w:val="auto"/>
              </w:rPr>
            </w:pPr>
            <w:r>
              <w:rPr>
                <w:color w:val="auto"/>
              </w:rPr>
              <w:t>食堂</w:t>
            </w:r>
          </w:p>
        </w:tc>
        <w:tc>
          <w:tcPr>
            <w:tcW w:w="654" w:type="pct"/>
            <w:vAlign w:val="center"/>
          </w:tcPr>
          <w:p w14:paraId="1BD3D1A6">
            <w:pPr>
              <w:pStyle w:val="766"/>
              <w:rPr>
                <w:color w:val="auto"/>
              </w:rPr>
            </w:pPr>
            <w:r>
              <w:rPr>
                <w:color w:val="auto"/>
              </w:rPr>
              <w:t>食堂油烟</w:t>
            </w:r>
          </w:p>
        </w:tc>
        <w:tc>
          <w:tcPr>
            <w:tcW w:w="2791" w:type="pct"/>
            <w:vAlign w:val="center"/>
          </w:tcPr>
          <w:p w14:paraId="3955207C">
            <w:pPr>
              <w:pStyle w:val="766"/>
              <w:rPr>
                <w:color w:val="auto"/>
              </w:rPr>
            </w:pPr>
            <w:r>
              <w:rPr>
                <w:color w:val="auto"/>
              </w:rPr>
              <w:t>油烟净化装置，专用烟道排放（DA003）</w:t>
            </w:r>
          </w:p>
        </w:tc>
      </w:tr>
      <w:tr w14:paraId="6299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7E13836A">
            <w:pPr>
              <w:pStyle w:val="766"/>
              <w:rPr>
                <w:color w:val="auto"/>
              </w:rPr>
            </w:pPr>
          </w:p>
        </w:tc>
        <w:tc>
          <w:tcPr>
            <w:tcW w:w="595" w:type="pct"/>
            <w:vMerge w:val="continue"/>
            <w:vAlign w:val="center"/>
          </w:tcPr>
          <w:p w14:paraId="60EA569F">
            <w:pPr>
              <w:pStyle w:val="766"/>
              <w:rPr>
                <w:color w:val="auto"/>
              </w:rPr>
            </w:pPr>
          </w:p>
        </w:tc>
        <w:tc>
          <w:tcPr>
            <w:tcW w:w="566" w:type="pct"/>
            <w:vAlign w:val="center"/>
          </w:tcPr>
          <w:p w14:paraId="024CE547">
            <w:pPr>
              <w:pStyle w:val="766"/>
              <w:rPr>
                <w:color w:val="auto"/>
              </w:rPr>
            </w:pPr>
            <w:r>
              <w:rPr>
                <w:rFonts w:hint="eastAsia"/>
                <w:color w:val="auto"/>
              </w:rPr>
              <w:t>有机肥车间</w:t>
            </w:r>
          </w:p>
        </w:tc>
        <w:tc>
          <w:tcPr>
            <w:tcW w:w="654" w:type="pct"/>
            <w:vAlign w:val="center"/>
          </w:tcPr>
          <w:p w14:paraId="73FF65D1">
            <w:pPr>
              <w:pStyle w:val="766"/>
              <w:rPr>
                <w:color w:val="auto"/>
              </w:rPr>
            </w:pPr>
            <w:r>
              <w:rPr>
                <w:rFonts w:hint="eastAsia"/>
                <w:color w:val="auto"/>
              </w:rPr>
              <w:t>颗粒物、</w:t>
            </w:r>
            <w:r>
              <w:rPr>
                <w:color w:val="auto"/>
              </w:rPr>
              <w:t>NH</w:t>
            </w:r>
            <w:r>
              <w:rPr>
                <w:color w:val="auto"/>
                <w:vertAlign w:val="subscript"/>
              </w:rPr>
              <w:t>3</w:t>
            </w:r>
            <w:r>
              <w:rPr>
                <w:color w:val="auto"/>
              </w:rPr>
              <w:t>、H</w:t>
            </w:r>
            <w:r>
              <w:rPr>
                <w:color w:val="auto"/>
                <w:vertAlign w:val="subscript"/>
              </w:rPr>
              <w:t>2</w:t>
            </w:r>
            <w:r>
              <w:rPr>
                <w:color w:val="auto"/>
              </w:rPr>
              <w:t>S</w:t>
            </w:r>
            <w:r>
              <w:rPr>
                <w:rFonts w:hint="eastAsia"/>
                <w:color w:val="auto"/>
              </w:rPr>
              <w:t>、臭气</w:t>
            </w:r>
          </w:p>
        </w:tc>
        <w:tc>
          <w:tcPr>
            <w:tcW w:w="2791" w:type="pct"/>
            <w:vAlign w:val="center"/>
          </w:tcPr>
          <w:p w14:paraId="068185CA">
            <w:pPr>
              <w:pStyle w:val="766"/>
              <w:jc w:val="both"/>
              <w:rPr>
                <w:color w:val="auto"/>
              </w:rPr>
            </w:pPr>
            <w:r>
              <w:rPr>
                <w:rFonts w:hint="eastAsia"/>
                <w:color w:val="auto"/>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tc>
      </w:tr>
      <w:tr w14:paraId="1FF2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4C53436C">
            <w:pPr>
              <w:pStyle w:val="766"/>
              <w:rPr>
                <w:color w:val="auto"/>
              </w:rPr>
            </w:pPr>
          </w:p>
        </w:tc>
        <w:tc>
          <w:tcPr>
            <w:tcW w:w="595" w:type="pct"/>
            <w:vMerge w:val="continue"/>
            <w:vAlign w:val="center"/>
          </w:tcPr>
          <w:p w14:paraId="078724D8">
            <w:pPr>
              <w:pStyle w:val="766"/>
              <w:rPr>
                <w:color w:val="auto"/>
              </w:rPr>
            </w:pPr>
          </w:p>
        </w:tc>
        <w:tc>
          <w:tcPr>
            <w:tcW w:w="566" w:type="pct"/>
            <w:vAlign w:val="center"/>
          </w:tcPr>
          <w:p w14:paraId="4F2D922A">
            <w:pPr>
              <w:pStyle w:val="766"/>
              <w:rPr>
                <w:color w:val="auto"/>
              </w:rPr>
            </w:pPr>
            <w:r>
              <w:rPr>
                <w:color w:val="auto"/>
              </w:rPr>
              <w:t>污水处理设施</w:t>
            </w:r>
          </w:p>
        </w:tc>
        <w:tc>
          <w:tcPr>
            <w:tcW w:w="654" w:type="pct"/>
            <w:vAlign w:val="center"/>
          </w:tcPr>
          <w:p w14:paraId="5477DF42">
            <w:pPr>
              <w:pStyle w:val="766"/>
              <w:rPr>
                <w:color w:val="auto"/>
              </w:rPr>
            </w:pPr>
            <w:r>
              <w:rPr>
                <w:color w:val="auto"/>
              </w:rPr>
              <w:t>NH</w:t>
            </w:r>
            <w:r>
              <w:rPr>
                <w:color w:val="auto"/>
                <w:vertAlign w:val="subscript"/>
              </w:rPr>
              <w:t>3</w:t>
            </w:r>
            <w:r>
              <w:rPr>
                <w:color w:val="auto"/>
              </w:rPr>
              <w:t>、H</w:t>
            </w:r>
            <w:r>
              <w:rPr>
                <w:color w:val="auto"/>
                <w:vertAlign w:val="subscript"/>
              </w:rPr>
              <w:t>2</w:t>
            </w:r>
            <w:r>
              <w:rPr>
                <w:color w:val="auto"/>
              </w:rPr>
              <w:t>S</w:t>
            </w:r>
            <w:r>
              <w:rPr>
                <w:rFonts w:hint="eastAsia"/>
                <w:color w:val="auto"/>
              </w:rPr>
              <w:t>、臭气</w:t>
            </w:r>
          </w:p>
        </w:tc>
        <w:tc>
          <w:tcPr>
            <w:tcW w:w="2791" w:type="pct"/>
            <w:vAlign w:val="center"/>
          </w:tcPr>
          <w:p w14:paraId="0F554AEB">
            <w:pPr>
              <w:pStyle w:val="766"/>
              <w:rPr>
                <w:color w:val="auto"/>
              </w:rPr>
            </w:pPr>
            <w:r>
              <w:rPr>
                <w:rFonts w:hint="eastAsia"/>
                <w:color w:val="auto"/>
              </w:rPr>
              <w:t>调节池、预处理、AOO系统、污泥储池及脱水机等构筑物和设备密闭负压收集后管道送入活性离子氧(AOE)除臭设备处理后通过</w:t>
            </w:r>
            <w:r>
              <w:rPr>
                <w:color w:val="auto"/>
              </w:rPr>
              <w:t>15</w:t>
            </w:r>
            <w:r>
              <w:rPr>
                <w:rFonts w:hint="eastAsia"/>
                <w:color w:val="auto"/>
              </w:rPr>
              <w:t>m高排气筒（D</w:t>
            </w:r>
            <w:r>
              <w:rPr>
                <w:color w:val="auto"/>
              </w:rPr>
              <w:t>A00</w:t>
            </w:r>
            <w:r>
              <w:rPr>
                <w:rFonts w:hint="eastAsia"/>
                <w:color w:val="auto"/>
              </w:rPr>
              <w:t>7）</w:t>
            </w:r>
          </w:p>
        </w:tc>
      </w:tr>
      <w:tr w14:paraId="5DBD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52" w:hRule="atLeast"/>
          <w:jc w:val="center"/>
        </w:trPr>
        <w:tc>
          <w:tcPr>
            <w:tcW w:w="392" w:type="pct"/>
            <w:vMerge w:val="continue"/>
            <w:vAlign w:val="center"/>
          </w:tcPr>
          <w:p w14:paraId="158F5AAA">
            <w:pPr>
              <w:pStyle w:val="766"/>
              <w:rPr>
                <w:color w:val="auto"/>
              </w:rPr>
            </w:pPr>
          </w:p>
        </w:tc>
        <w:tc>
          <w:tcPr>
            <w:tcW w:w="595" w:type="pct"/>
            <w:vAlign w:val="center"/>
          </w:tcPr>
          <w:p w14:paraId="504331FD">
            <w:pPr>
              <w:pStyle w:val="766"/>
              <w:rPr>
                <w:color w:val="auto"/>
              </w:rPr>
            </w:pPr>
            <w:r>
              <w:rPr>
                <w:color w:val="auto"/>
              </w:rPr>
              <w:t>无组织</w:t>
            </w:r>
          </w:p>
        </w:tc>
        <w:tc>
          <w:tcPr>
            <w:tcW w:w="566" w:type="pct"/>
            <w:vAlign w:val="center"/>
          </w:tcPr>
          <w:p w14:paraId="2C4BDAA2">
            <w:pPr>
              <w:pStyle w:val="766"/>
              <w:rPr>
                <w:color w:val="auto"/>
              </w:rPr>
            </w:pPr>
            <w:r>
              <w:rPr>
                <w:color w:val="auto"/>
              </w:rPr>
              <w:t>鸡舍</w:t>
            </w:r>
          </w:p>
        </w:tc>
        <w:tc>
          <w:tcPr>
            <w:tcW w:w="654" w:type="pct"/>
            <w:vAlign w:val="center"/>
          </w:tcPr>
          <w:p w14:paraId="144EC66C">
            <w:pPr>
              <w:pStyle w:val="766"/>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2791" w:type="pct"/>
            <w:vAlign w:val="center"/>
          </w:tcPr>
          <w:p w14:paraId="687A8235">
            <w:pPr>
              <w:pStyle w:val="766"/>
              <w:rPr>
                <w:color w:val="auto"/>
              </w:rPr>
            </w:pPr>
            <w:r>
              <w:rPr>
                <w:rFonts w:hint="eastAsia" w:ascii="宋体" w:hAnsi="宋体" w:cs="宋体"/>
                <w:color w:val="auto"/>
              </w:rPr>
              <w:t>①</w:t>
            </w:r>
            <w:r>
              <w:rPr>
                <w:color w:val="auto"/>
              </w:rPr>
              <w:t>选用益生菌配方饲料；</w:t>
            </w:r>
            <w:r>
              <w:rPr>
                <w:rFonts w:hint="eastAsia" w:ascii="宋体" w:hAnsi="宋体" w:cs="宋体"/>
                <w:color w:val="auto"/>
              </w:rPr>
              <w:t>②</w:t>
            </w:r>
            <w:r>
              <w:rPr>
                <w:color w:val="auto"/>
              </w:rPr>
              <w:t>及时清运粪污；</w:t>
            </w:r>
            <w:r>
              <w:rPr>
                <w:rFonts w:hint="eastAsia" w:ascii="宋体" w:hAnsi="宋体" w:cs="宋体"/>
                <w:color w:val="auto"/>
              </w:rPr>
              <w:t>③</w:t>
            </w:r>
            <w:r>
              <w:rPr>
                <w:color w:val="auto"/>
              </w:rPr>
              <w:t>向舍内定期投入除臭剂；</w:t>
            </w:r>
            <w:r>
              <w:rPr>
                <w:rFonts w:hint="eastAsia" w:ascii="宋体" w:hAnsi="宋体" w:cs="宋体"/>
                <w:color w:val="auto"/>
              </w:rPr>
              <w:t>④</w:t>
            </w:r>
            <w:r>
              <w:rPr>
                <w:color w:val="auto"/>
              </w:rPr>
              <w:t>周边加强绿化</w:t>
            </w:r>
            <w:r>
              <w:rPr>
                <w:rFonts w:hint="eastAsia"/>
                <w:color w:val="auto"/>
              </w:rPr>
              <w:t>⑤水雾除臭</w:t>
            </w:r>
          </w:p>
        </w:tc>
      </w:tr>
      <w:tr w14:paraId="3C19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restart"/>
            <w:vAlign w:val="center"/>
          </w:tcPr>
          <w:p w14:paraId="658161A2">
            <w:pPr>
              <w:pStyle w:val="766"/>
              <w:rPr>
                <w:color w:val="auto"/>
              </w:rPr>
            </w:pPr>
            <w:r>
              <w:rPr>
                <w:color w:val="auto"/>
              </w:rPr>
              <w:t>水污染物</w:t>
            </w:r>
          </w:p>
        </w:tc>
        <w:tc>
          <w:tcPr>
            <w:tcW w:w="595" w:type="pct"/>
            <w:vAlign w:val="center"/>
          </w:tcPr>
          <w:p w14:paraId="5C9C9444">
            <w:pPr>
              <w:pStyle w:val="766"/>
              <w:rPr>
                <w:color w:val="auto"/>
              </w:rPr>
            </w:pPr>
            <w:r>
              <w:rPr>
                <w:color w:val="auto"/>
              </w:rPr>
              <w:t>养殖</w:t>
            </w:r>
          </w:p>
        </w:tc>
        <w:tc>
          <w:tcPr>
            <w:tcW w:w="566" w:type="pct"/>
            <w:vAlign w:val="center"/>
          </w:tcPr>
          <w:p w14:paraId="24D68A18">
            <w:pPr>
              <w:pStyle w:val="766"/>
              <w:rPr>
                <w:color w:val="auto"/>
              </w:rPr>
            </w:pPr>
            <w:r>
              <w:rPr>
                <w:color w:val="auto"/>
              </w:rPr>
              <w:t>鸡舍冲洗废水</w:t>
            </w:r>
          </w:p>
        </w:tc>
        <w:tc>
          <w:tcPr>
            <w:tcW w:w="654" w:type="pct"/>
            <w:vMerge w:val="restart"/>
            <w:vAlign w:val="center"/>
          </w:tcPr>
          <w:p w14:paraId="7AF99FD1">
            <w:pPr>
              <w:pStyle w:val="766"/>
              <w:rPr>
                <w:color w:val="auto"/>
              </w:rPr>
            </w:pPr>
            <w:r>
              <w:rPr>
                <w:color w:val="auto"/>
              </w:rPr>
              <w:t>COD、</w:t>
            </w:r>
            <w:r>
              <w:rPr>
                <w:rFonts w:hint="eastAsia"/>
                <w:color w:val="auto"/>
              </w:rPr>
              <w:t>S</w:t>
            </w:r>
            <w:r>
              <w:rPr>
                <w:color w:val="auto"/>
              </w:rPr>
              <w:t>S</w:t>
            </w:r>
            <w:r>
              <w:rPr>
                <w:rFonts w:hint="eastAsia"/>
                <w:color w:val="auto"/>
              </w:rPr>
              <w:t>、B</w:t>
            </w:r>
            <w:r>
              <w:rPr>
                <w:color w:val="auto"/>
              </w:rPr>
              <w:t>OD</w:t>
            </w:r>
            <w:r>
              <w:rPr>
                <w:color w:val="auto"/>
                <w:vertAlign w:val="subscript"/>
              </w:rPr>
              <w:t>5</w:t>
            </w:r>
            <w:r>
              <w:rPr>
                <w:rFonts w:hint="eastAsia"/>
                <w:color w:val="auto"/>
              </w:rPr>
              <w:t>、</w:t>
            </w:r>
            <w:r>
              <w:rPr>
                <w:color w:val="auto"/>
              </w:rPr>
              <w:t>NH</w:t>
            </w:r>
            <w:r>
              <w:rPr>
                <w:color w:val="auto"/>
                <w:vertAlign w:val="subscript"/>
              </w:rPr>
              <w:t>3</w:t>
            </w:r>
            <w:r>
              <w:rPr>
                <w:color w:val="auto"/>
              </w:rPr>
              <w:t>-N、TP、TN</w:t>
            </w:r>
          </w:p>
        </w:tc>
        <w:tc>
          <w:tcPr>
            <w:tcW w:w="2791" w:type="pct"/>
            <w:vMerge w:val="restart"/>
            <w:vAlign w:val="center"/>
          </w:tcPr>
          <w:p w14:paraId="30F71839">
            <w:pPr>
              <w:pStyle w:val="766"/>
              <w:rPr>
                <w:color w:val="auto"/>
              </w:rPr>
            </w:pPr>
            <w:r>
              <w:rPr>
                <w:color w:val="auto"/>
              </w:rPr>
              <w:t>进行厂区污水处理</w:t>
            </w:r>
            <w:r>
              <w:rPr>
                <w:rFonts w:hint="eastAsia"/>
                <w:color w:val="auto"/>
              </w:rPr>
              <w:t>站处理</w:t>
            </w:r>
            <w:r>
              <w:rPr>
                <w:color w:val="auto"/>
              </w:rPr>
              <w:t>，处理后冬储夏灌。</w:t>
            </w:r>
            <w:r>
              <w:rPr>
                <w:rFonts w:hint="eastAsia"/>
                <w:color w:val="auto"/>
              </w:rPr>
              <w:t>污水处理站工艺采用“调节池+预处理（格栅+澄清+沉淀）+CSTR（连续搅拌反应器系统）+AOO（一级厌氧、一级好氧、二级好氧）+加药除磷”处理工艺。</w:t>
            </w:r>
          </w:p>
        </w:tc>
      </w:tr>
      <w:tr w14:paraId="7494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0581FBFB">
            <w:pPr>
              <w:pStyle w:val="766"/>
              <w:rPr>
                <w:color w:val="auto"/>
              </w:rPr>
            </w:pPr>
          </w:p>
        </w:tc>
        <w:tc>
          <w:tcPr>
            <w:tcW w:w="595" w:type="pct"/>
            <w:vAlign w:val="center"/>
          </w:tcPr>
          <w:p w14:paraId="256F33BF">
            <w:pPr>
              <w:pStyle w:val="766"/>
              <w:rPr>
                <w:color w:val="auto"/>
              </w:rPr>
            </w:pPr>
            <w:r>
              <w:rPr>
                <w:rFonts w:hint="eastAsia"/>
                <w:color w:val="auto"/>
              </w:rPr>
              <w:t>有机肥发酵</w:t>
            </w:r>
          </w:p>
        </w:tc>
        <w:tc>
          <w:tcPr>
            <w:tcW w:w="566" w:type="pct"/>
            <w:vAlign w:val="center"/>
          </w:tcPr>
          <w:p w14:paraId="3D49E7FB">
            <w:pPr>
              <w:pStyle w:val="766"/>
              <w:rPr>
                <w:color w:val="auto"/>
              </w:rPr>
            </w:pPr>
            <w:r>
              <w:rPr>
                <w:rFonts w:hint="eastAsia"/>
                <w:color w:val="auto"/>
              </w:rPr>
              <w:t>堆肥渗滤液</w:t>
            </w:r>
          </w:p>
        </w:tc>
        <w:tc>
          <w:tcPr>
            <w:tcW w:w="654" w:type="pct"/>
            <w:vMerge w:val="continue"/>
            <w:vAlign w:val="center"/>
          </w:tcPr>
          <w:p w14:paraId="433C2949">
            <w:pPr>
              <w:pStyle w:val="766"/>
              <w:rPr>
                <w:color w:val="auto"/>
              </w:rPr>
            </w:pPr>
          </w:p>
        </w:tc>
        <w:tc>
          <w:tcPr>
            <w:tcW w:w="2791" w:type="pct"/>
            <w:vMerge w:val="continue"/>
            <w:vAlign w:val="center"/>
          </w:tcPr>
          <w:p w14:paraId="036C95C1">
            <w:pPr>
              <w:pStyle w:val="766"/>
              <w:rPr>
                <w:color w:val="auto"/>
              </w:rPr>
            </w:pPr>
          </w:p>
        </w:tc>
      </w:tr>
      <w:tr w14:paraId="56E9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37564469">
            <w:pPr>
              <w:pStyle w:val="766"/>
              <w:rPr>
                <w:color w:val="auto"/>
              </w:rPr>
            </w:pPr>
          </w:p>
        </w:tc>
        <w:tc>
          <w:tcPr>
            <w:tcW w:w="595" w:type="pct"/>
            <w:vAlign w:val="center"/>
          </w:tcPr>
          <w:p w14:paraId="7B8E7DE6">
            <w:pPr>
              <w:pStyle w:val="766"/>
              <w:rPr>
                <w:color w:val="auto"/>
              </w:rPr>
            </w:pPr>
            <w:r>
              <w:rPr>
                <w:rFonts w:hint="eastAsia"/>
                <w:color w:val="auto"/>
              </w:rPr>
              <w:t>软化水制配</w:t>
            </w:r>
          </w:p>
        </w:tc>
        <w:tc>
          <w:tcPr>
            <w:tcW w:w="566" w:type="pct"/>
            <w:vAlign w:val="center"/>
          </w:tcPr>
          <w:p w14:paraId="77BBA5F7">
            <w:pPr>
              <w:pStyle w:val="766"/>
              <w:rPr>
                <w:color w:val="auto"/>
              </w:rPr>
            </w:pPr>
            <w:r>
              <w:rPr>
                <w:rFonts w:hint="eastAsia"/>
                <w:color w:val="auto"/>
              </w:rPr>
              <w:t>软化水制备废水</w:t>
            </w:r>
          </w:p>
        </w:tc>
        <w:tc>
          <w:tcPr>
            <w:tcW w:w="654" w:type="pct"/>
            <w:vMerge w:val="continue"/>
            <w:vAlign w:val="center"/>
          </w:tcPr>
          <w:p w14:paraId="5D6E002C">
            <w:pPr>
              <w:pStyle w:val="766"/>
              <w:rPr>
                <w:color w:val="auto"/>
              </w:rPr>
            </w:pPr>
          </w:p>
        </w:tc>
        <w:tc>
          <w:tcPr>
            <w:tcW w:w="2791" w:type="pct"/>
            <w:vMerge w:val="continue"/>
            <w:vAlign w:val="center"/>
          </w:tcPr>
          <w:p w14:paraId="2C915DA0">
            <w:pPr>
              <w:pStyle w:val="766"/>
              <w:rPr>
                <w:color w:val="auto"/>
              </w:rPr>
            </w:pPr>
          </w:p>
        </w:tc>
      </w:tr>
      <w:tr w14:paraId="043D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90" w:hRule="atLeast"/>
          <w:jc w:val="center"/>
        </w:trPr>
        <w:tc>
          <w:tcPr>
            <w:tcW w:w="392" w:type="pct"/>
            <w:vMerge w:val="continue"/>
            <w:vAlign w:val="center"/>
          </w:tcPr>
          <w:p w14:paraId="0515E851">
            <w:pPr>
              <w:pStyle w:val="766"/>
              <w:rPr>
                <w:color w:val="auto"/>
              </w:rPr>
            </w:pPr>
          </w:p>
        </w:tc>
        <w:tc>
          <w:tcPr>
            <w:tcW w:w="595" w:type="pct"/>
            <w:vAlign w:val="center"/>
          </w:tcPr>
          <w:p w14:paraId="727714BC">
            <w:pPr>
              <w:pStyle w:val="766"/>
              <w:rPr>
                <w:color w:val="auto"/>
              </w:rPr>
            </w:pPr>
            <w:r>
              <w:rPr>
                <w:color w:val="auto"/>
              </w:rPr>
              <w:t>生活</w:t>
            </w:r>
          </w:p>
        </w:tc>
        <w:tc>
          <w:tcPr>
            <w:tcW w:w="566" w:type="pct"/>
            <w:vAlign w:val="center"/>
          </w:tcPr>
          <w:p w14:paraId="56ABACC0">
            <w:pPr>
              <w:pStyle w:val="766"/>
              <w:rPr>
                <w:color w:val="auto"/>
              </w:rPr>
            </w:pPr>
            <w:r>
              <w:rPr>
                <w:color w:val="auto"/>
              </w:rPr>
              <w:t>生活污水</w:t>
            </w:r>
          </w:p>
        </w:tc>
        <w:tc>
          <w:tcPr>
            <w:tcW w:w="654" w:type="pct"/>
            <w:vMerge w:val="continue"/>
            <w:vAlign w:val="center"/>
          </w:tcPr>
          <w:p w14:paraId="04A953FB">
            <w:pPr>
              <w:pStyle w:val="766"/>
              <w:rPr>
                <w:color w:val="auto"/>
              </w:rPr>
            </w:pPr>
          </w:p>
        </w:tc>
        <w:tc>
          <w:tcPr>
            <w:tcW w:w="2791" w:type="pct"/>
            <w:vMerge w:val="continue"/>
            <w:vAlign w:val="center"/>
          </w:tcPr>
          <w:p w14:paraId="1EF61306">
            <w:pPr>
              <w:pStyle w:val="766"/>
              <w:rPr>
                <w:color w:val="auto"/>
              </w:rPr>
            </w:pPr>
          </w:p>
        </w:tc>
      </w:tr>
      <w:tr w14:paraId="603E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restart"/>
            <w:vAlign w:val="center"/>
          </w:tcPr>
          <w:p w14:paraId="30860012">
            <w:pPr>
              <w:pStyle w:val="766"/>
              <w:rPr>
                <w:color w:val="auto"/>
              </w:rPr>
            </w:pPr>
            <w:r>
              <w:rPr>
                <w:color w:val="auto"/>
              </w:rPr>
              <w:t>固体废物</w:t>
            </w:r>
          </w:p>
        </w:tc>
        <w:tc>
          <w:tcPr>
            <w:tcW w:w="595" w:type="pct"/>
            <w:vAlign w:val="center"/>
          </w:tcPr>
          <w:p w14:paraId="2FF96704">
            <w:pPr>
              <w:pStyle w:val="766"/>
              <w:rPr>
                <w:color w:val="auto"/>
              </w:rPr>
            </w:pPr>
            <w:r>
              <w:rPr>
                <w:color w:val="auto"/>
              </w:rPr>
              <w:t>医疗废物（HW01）</w:t>
            </w:r>
          </w:p>
        </w:tc>
        <w:tc>
          <w:tcPr>
            <w:tcW w:w="1220" w:type="pct"/>
            <w:gridSpan w:val="2"/>
            <w:vAlign w:val="center"/>
          </w:tcPr>
          <w:p w14:paraId="4AB3BC50">
            <w:pPr>
              <w:pStyle w:val="766"/>
              <w:rPr>
                <w:color w:val="auto"/>
              </w:rPr>
            </w:pPr>
            <w:r>
              <w:rPr>
                <w:rFonts w:hint="eastAsia"/>
                <w:color w:val="auto"/>
              </w:rPr>
              <w:t>诊疗废弃物</w:t>
            </w:r>
          </w:p>
        </w:tc>
        <w:tc>
          <w:tcPr>
            <w:tcW w:w="2791" w:type="pct"/>
            <w:vAlign w:val="center"/>
          </w:tcPr>
          <w:p w14:paraId="2499E7E1">
            <w:pPr>
              <w:pStyle w:val="766"/>
              <w:rPr>
                <w:color w:val="auto"/>
              </w:rPr>
            </w:pPr>
            <w:r>
              <w:rPr>
                <w:rFonts w:hint="eastAsia"/>
                <w:color w:val="auto"/>
              </w:rPr>
              <w:t>诊疗废弃物暂存于诊疗废弃物暂存间内，最终交由有资质单位拉运处置</w:t>
            </w:r>
          </w:p>
        </w:tc>
      </w:tr>
      <w:tr w14:paraId="5BEF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08D82E92">
            <w:pPr>
              <w:pStyle w:val="766"/>
              <w:rPr>
                <w:color w:val="auto"/>
              </w:rPr>
            </w:pPr>
          </w:p>
        </w:tc>
        <w:tc>
          <w:tcPr>
            <w:tcW w:w="595" w:type="pct"/>
            <w:vMerge w:val="restart"/>
            <w:vAlign w:val="center"/>
          </w:tcPr>
          <w:p w14:paraId="1BE4EF38">
            <w:pPr>
              <w:pStyle w:val="766"/>
              <w:rPr>
                <w:color w:val="auto"/>
              </w:rPr>
            </w:pPr>
            <w:r>
              <w:rPr>
                <w:color w:val="auto"/>
              </w:rPr>
              <w:t>一般废物</w:t>
            </w:r>
          </w:p>
        </w:tc>
        <w:tc>
          <w:tcPr>
            <w:tcW w:w="1220" w:type="pct"/>
            <w:gridSpan w:val="2"/>
            <w:vAlign w:val="center"/>
          </w:tcPr>
          <w:p w14:paraId="4F7F7B07">
            <w:pPr>
              <w:pStyle w:val="766"/>
              <w:rPr>
                <w:color w:val="auto"/>
              </w:rPr>
            </w:pPr>
            <w:r>
              <w:rPr>
                <w:color w:val="auto"/>
              </w:rPr>
              <w:t>鸡粪</w:t>
            </w:r>
          </w:p>
        </w:tc>
        <w:tc>
          <w:tcPr>
            <w:tcW w:w="2791" w:type="pct"/>
            <w:vMerge w:val="restart"/>
            <w:vAlign w:val="center"/>
          </w:tcPr>
          <w:p w14:paraId="0736218F">
            <w:pPr>
              <w:pStyle w:val="766"/>
              <w:rPr>
                <w:color w:val="auto"/>
              </w:rPr>
            </w:pPr>
            <w:r>
              <w:rPr>
                <w:rFonts w:hint="eastAsia"/>
                <w:color w:val="auto"/>
              </w:rPr>
              <w:t>有机肥制造</w:t>
            </w:r>
          </w:p>
        </w:tc>
      </w:tr>
      <w:tr w14:paraId="1F13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06748E67">
            <w:pPr>
              <w:pStyle w:val="766"/>
              <w:rPr>
                <w:color w:val="auto"/>
              </w:rPr>
            </w:pPr>
          </w:p>
        </w:tc>
        <w:tc>
          <w:tcPr>
            <w:tcW w:w="595" w:type="pct"/>
            <w:vMerge w:val="continue"/>
            <w:vAlign w:val="center"/>
          </w:tcPr>
          <w:p w14:paraId="009CDCA9">
            <w:pPr>
              <w:pStyle w:val="766"/>
              <w:rPr>
                <w:color w:val="auto"/>
              </w:rPr>
            </w:pPr>
          </w:p>
        </w:tc>
        <w:tc>
          <w:tcPr>
            <w:tcW w:w="1220" w:type="pct"/>
            <w:gridSpan w:val="2"/>
            <w:vAlign w:val="center"/>
          </w:tcPr>
          <w:p w14:paraId="090712D1">
            <w:pPr>
              <w:pStyle w:val="766"/>
              <w:rPr>
                <w:color w:val="auto"/>
              </w:rPr>
            </w:pPr>
            <w:r>
              <w:rPr>
                <w:color w:val="auto"/>
              </w:rPr>
              <w:t>饲料残渣</w:t>
            </w:r>
          </w:p>
        </w:tc>
        <w:tc>
          <w:tcPr>
            <w:tcW w:w="2791" w:type="pct"/>
            <w:vMerge w:val="continue"/>
            <w:vAlign w:val="center"/>
          </w:tcPr>
          <w:p w14:paraId="1994E553">
            <w:pPr>
              <w:pStyle w:val="766"/>
              <w:rPr>
                <w:color w:val="auto"/>
              </w:rPr>
            </w:pPr>
          </w:p>
        </w:tc>
      </w:tr>
      <w:tr w14:paraId="4EB0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94" w:hRule="atLeast"/>
          <w:jc w:val="center"/>
        </w:trPr>
        <w:tc>
          <w:tcPr>
            <w:tcW w:w="392" w:type="pct"/>
            <w:vMerge w:val="continue"/>
            <w:vAlign w:val="center"/>
          </w:tcPr>
          <w:p w14:paraId="1F75A49C">
            <w:pPr>
              <w:pStyle w:val="766"/>
              <w:rPr>
                <w:color w:val="auto"/>
              </w:rPr>
            </w:pPr>
          </w:p>
        </w:tc>
        <w:tc>
          <w:tcPr>
            <w:tcW w:w="595" w:type="pct"/>
            <w:vMerge w:val="continue"/>
            <w:vAlign w:val="center"/>
          </w:tcPr>
          <w:p w14:paraId="3599E51C">
            <w:pPr>
              <w:pStyle w:val="766"/>
              <w:rPr>
                <w:color w:val="auto"/>
              </w:rPr>
            </w:pPr>
          </w:p>
        </w:tc>
        <w:tc>
          <w:tcPr>
            <w:tcW w:w="1220" w:type="pct"/>
            <w:gridSpan w:val="2"/>
            <w:vAlign w:val="center"/>
          </w:tcPr>
          <w:p w14:paraId="19B0D47B">
            <w:pPr>
              <w:pStyle w:val="766"/>
              <w:rPr>
                <w:color w:val="auto"/>
              </w:rPr>
            </w:pPr>
            <w:r>
              <w:rPr>
                <w:color w:val="auto"/>
              </w:rPr>
              <w:t>鸡毛</w:t>
            </w:r>
          </w:p>
        </w:tc>
        <w:tc>
          <w:tcPr>
            <w:tcW w:w="2791" w:type="pct"/>
            <w:vMerge w:val="continue"/>
            <w:vAlign w:val="center"/>
          </w:tcPr>
          <w:p w14:paraId="5ABFE097">
            <w:pPr>
              <w:pStyle w:val="766"/>
              <w:rPr>
                <w:color w:val="auto"/>
              </w:rPr>
            </w:pPr>
          </w:p>
        </w:tc>
      </w:tr>
      <w:tr w14:paraId="115B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048C1494">
            <w:pPr>
              <w:pStyle w:val="766"/>
              <w:rPr>
                <w:color w:val="auto"/>
              </w:rPr>
            </w:pPr>
          </w:p>
        </w:tc>
        <w:tc>
          <w:tcPr>
            <w:tcW w:w="595" w:type="pct"/>
            <w:vMerge w:val="continue"/>
            <w:vAlign w:val="center"/>
          </w:tcPr>
          <w:p w14:paraId="384B7384">
            <w:pPr>
              <w:pStyle w:val="766"/>
              <w:rPr>
                <w:color w:val="auto"/>
              </w:rPr>
            </w:pPr>
          </w:p>
        </w:tc>
        <w:tc>
          <w:tcPr>
            <w:tcW w:w="1220" w:type="pct"/>
            <w:gridSpan w:val="2"/>
            <w:vAlign w:val="center"/>
          </w:tcPr>
          <w:p w14:paraId="7C8D798D">
            <w:pPr>
              <w:pStyle w:val="766"/>
              <w:rPr>
                <w:color w:val="auto"/>
              </w:rPr>
            </w:pPr>
            <w:r>
              <w:rPr>
                <w:color w:val="auto"/>
              </w:rPr>
              <w:t>病死鸡</w:t>
            </w:r>
          </w:p>
        </w:tc>
        <w:tc>
          <w:tcPr>
            <w:tcW w:w="2791" w:type="pct"/>
            <w:vAlign w:val="center"/>
          </w:tcPr>
          <w:p w14:paraId="783A0FCC">
            <w:pPr>
              <w:pStyle w:val="766"/>
              <w:rPr>
                <w:color w:val="auto"/>
              </w:rPr>
            </w:pPr>
            <w:r>
              <w:rPr>
                <w:color w:val="auto"/>
              </w:rPr>
              <w:t>按照医疗废物管理，放置在</w:t>
            </w:r>
            <w:r>
              <w:rPr>
                <w:rFonts w:hint="eastAsia"/>
                <w:color w:val="auto"/>
              </w:rPr>
              <w:t>冷柜</w:t>
            </w:r>
            <w:r>
              <w:rPr>
                <w:color w:val="auto"/>
              </w:rPr>
              <w:t>，委托有资质单位处置</w:t>
            </w:r>
          </w:p>
        </w:tc>
      </w:tr>
      <w:tr w14:paraId="72B0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29ACB308">
            <w:pPr>
              <w:pStyle w:val="766"/>
              <w:rPr>
                <w:color w:val="auto"/>
              </w:rPr>
            </w:pPr>
          </w:p>
        </w:tc>
        <w:tc>
          <w:tcPr>
            <w:tcW w:w="595" w:type="pct"/>
            <w:vMerge w:val="continue"/>
            <w:vAlign w:val="center"/>
          </w:tcPr>
          <w:p w14:paraId="0FFFF922">
            <w:pPr>
              <w:pStyle w:val="766"/>
              <w:rPr>
                <w:color w:val="auto"/>
              </w:rPr>
            </w:pPr>
          </w:p>
        </w:tc>
        <w:tc>
          <w:tcPr>
            <w:tcW w:w="1220" w:type="pct"/>
            <w:gridSpan w:val="2"/>
            <w:vAlign w:val="center"/>
          </w:tcPr>
          <w:p w14:paraId="09FBC7C8">
            <w:pPr>
              <w:pStyle w:val="766"/>
              <w:rPr>
                <w:color w:val="auto"/>
              </w:rPr>
            </w:pPr>
            <w:r>
              <w:rPr>
                <w:color w:val="auto"/>
              </w:rPr>
              <w:t>不合格蛋</w:t>
            </w:r>
          </w:p>
        </w:tc>
        <w:tc>
          <w:tcPr>
            <w:tcW w:w="2791" w:type="pct"/>
            <w:vAlign w:val="center"/>
          </w:tcPr>
          <w:p w14:paraId="41C5B08E">
            <w:pPr>
              <w:pStyle w:val="766"/>
              <w:rPr>
                <w:color w:val="auto"/>
              </w:rPr>
            </w:pPr>
            <w:r>
              <w:rPr>
                <w:color w:val="auto"/>
              </w:rPr>
              <w:t>收集后暂存于蛋壳暂存区，外售处置</w:t>
            </w:r>
          </w:p>
        </w:tc>
      </w:tr>
      <w:tr w14:paraId="2451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342994FE">
            <w:pPr>
              <w:pStyle w:val="766"/>
              <w:rPr>
                <w:color w:val="auto"/>
              </w:rPr>
            </w:pPr>
          </w:p>
        </w:tc>
        <w:tc>
          <w:tcPr>
            <w:tcW w:w="595" w:type="pct"/>
            <w:vMerge w:val="continue"/>
            <w:vAlign w:val="center"/>
          </w:tcPr>
          <w:p w14:paraId="0F12254C">
            <w:pPr>
              <w:pStyle w:val="766"/>
              <w:rPr>
                <w:color w:val="auto"/>
              </w:rPr>
            </w:pPr>
          </w:p>
        </w:tc>
        <w:tc>
          <w:tcPr>
            <w:tcW w:w="1220" w:type="pct"/>
            <w:gridSpan w:val="2"/>
            <w:vAlign w:val="center"/>
          </w:tcPr>
          <w:p w14:paraId="33C94029">
            <w:pPr>
              <w:pStyle w:val="766"/>
              <w:rPr>
                <w:color w:val="auto"/>
              </w:rPr>
            </w:pPr>
            <w:r>
              <w:rPr>
                <w:color w:val="auto"/>
              </w:rPr>
              <w:t>废离子交换树脂</w:t>
            </w:r>
          </w:p>
        </w:tc>
        <w:tc>
          <w:tcPr>
            <w:tcW w:w="2791" w:type="pct"/>
            <w:vAlign w:val="center"/>
          </w:tcPr>
          <w:p w14:paraId="2A533D79">
            <w:pPr>
              <w:pStyle w:val="766"/>
              <w:rPr>
                <w:color w:val="auto"/>
              </w:rPr>
            </w:pPr>
            <w:r>
              <w:rPr>
                <w:color w:val="auto"/>
              </w:rPr>
              <w:t>由厂家进行更换处理</w:t>
            </w:r>
          </w:p>
        </w:tc>
      </w:tr>
      <w:tr w14:paraId="4D19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6AB000E3">
            <w:pPr>
              <w:pStyle w:val="766"/>
              <w:rPr>
                <w:color w:val="auto"/>
              </w:rPr>
            </w:pPr>
          </w:p>
        </w:tc>
        <w:tc>
          <w:tcPr>
            <w:tcW w:w="595" w:type="pct"/>
            <w:vMerge w:val="continue"/>
            <w:vAlign w:val="center"/>
          </w:tcPr>
          <w:p w14:paraId="55C9303E">
            <w:pPr>
              <w:pStyle w:val="766"/>
              <w:rPr>
                <w:color w:val="auto"/>
              </w:rPr>
            </w:pPr>
          </w:p>
        </w:tc>
        <w:tc>
          <w:tcPr>
            <w:tcW w:w="1220" w:type="pct"/>
            <w:gridSpan w:val="2"/>
            <w:vAlign w:val="center"/>
          </w:tcPr>
          <w:p w14:paraId="4C43B9C2">
            <w:pPr>
              <w:pStyle w:val="766"/>
              <w:rPr>
                <w:color w:val="auto"/>
              </w:rPr>
            </w:pPr>
            <w:r>
              <w:rPr>
                <w:color w:val="auto"/>
              </w:rPr>
              <w:t>饲料加工除尘灰</w:t>
            </w:r>
          </w:p>
        </w:tc>
        <w:tc>
          <w:tcPr>
            <w:tcW w:w="2791" w:type="pct"/>
            <w:vAlign w:val="center"/>
          </w:tcPr>
          <w:p w14:paraId="2A099C61">
            <w:pPr>
              <w:pStyle w:val="766"/>
              <w:rPr>
                <w:color w:val="auto"/>
              </w:rPr>
            </w:pPr>
            <w:r>
              <w:rPr>
                <w:color w:val="auto"/>
              </w:rPr>
              <w:t>回收利</w:t>
            </w:r>
            <w:r>
              <w:rPr>
                <w:rFonts w:hint="eastAsia"/>
                <w:color w:val="auto"/>
              </w:rPr>
              <w:t>用于饲料加工</w:t>
            </w:r>
          </w:p>
        </w:tc>
      </w:tr>
      <w:tr w14:paraId="04F4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15552ED9">
            <w:pPr>
              <w:pStyle w:val="766"/>
              <w:rPr>
                <w:color w:val="auto"/>
              </w:rPr>
            </w:pPr>
          </w:p>
        </w:tc>
        <w:tc>
          <w:tcPr>
            <w:tcW w:w="595" w:type="pct"/>
            <w:vMerge w:val="continue"/>
            <w:vAlign w:val="center"/>
          </w:tcPr>
          <w:p w14:paraId="635474A7">
            <w:pPr>
              <w:pStyle w:val="766"/>
              <w:rPr>
                <w:color w:val="auto"/>
              </w:rPr>
            </w:pPr>
          </w:p>
        </w:tc>
        <w:tc>
          <w:tcPr>
            <w:tcW w:w="1220" w:type="pct"/>
            <w:gridSpan w:val="2"/>
            <w:vAlign w:val="center"/>
          </w:tcPr>
          <w:p w14:paraId="6451EBE7">
            <w:pPr>
              <w:pStyle w:val="766"/>
              <w:rPr>
                <w:color w:val="auto"/>
              </w:rPr>
            </w:pPr>
            <w:r>
              <w:rPr>
                <w:rFonts w:hint="eastAsia"/>
                <w:color w:val="auto"/>
              </w:rPr>
              <w:t>污水处理站污泥</w:t>
            </w:r>
          </w:p>
        </w:tc>
        <w:tc>
          <w:tcPr>
            <w:tcW w:w="2791" w:type="pct"/>
            <w:vAlign w:val="center"/>
          </w:tcPr>
          <w:p w14:paraId="378BDD68">
            <w:pPr>
              <w:pStyle w:val="766"/>
              <w:rPr>
                <w:color w:val="auto"/>
              </w:rPr>
            </w:pPr>
            <w:r>
              <w:rPr>
                <w:rFonts w:hint="eastAsia"/>
                <w:color w:val="auto"/>
              </w:rPr>
              <w:t>有机肥制造</w:t>
            </w:r>
          </w:p>
        </w:tc>
      </w:tr>
      <w:tr w14:paraId="47E6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74A0E8A8">
            <w:pPr>
              <w:pStyle w:val="766"/>
              <w:rPr>
                <w:color w:val="auto"/>
              </w:rPr>
            </w:pPr>
          </w:p>
        </w:tc>
        <w:tc>
          <w:tcPr>
            <w:tcW w:w="595" w:type="pct"/>
            <w:vMerge w:val="continue"/>
            <w:vAlign w:val="center"/>
          </w:tcPr>
          <w:p w14:paraId="701B5AFA">
            <w:pPr>
              <w:pStyle w:val="766"/>
              <w:rPr>
                <w:color w:val="auto"/>
              </w:rPr>
            </w:pPr>
          </w:p>
        </w:tc>
        <w:tc>
          <w:tcPr>
            <w:tcW w:w="1220" w:type="pct"/>
            <w:gridSpan w:val="2"/>
            <w:vAlign w:val="center"/>
          </w:tcPr>
          <w:p w14:paraId="5263BC15">
            <w:pPr>
              <w:pStyle w:val="766"/>
              <w:rPr>
                <w:color w:val="auto"/>
              </w:rPr>
            </w:pPr>
            <w:r>
              <w:rPr>
                <w:color w:val="auto"/>
              </w:rPr>
              <w:t>生活垃圾</w:t>
            </w:r>
          </w:p>
        </w:tc>
        <w:tc>
          <w:tcPr>
            <w:tcW w:w="2791" w:type="pct"/>
            <w:vAlign w:val="center"/>
          </w:tcPr>
          <w:p w14:paraId="52124BEC">
            <w:pPr>
              <w:pStyle w:val="766"/>
              <w:rPr>
                <w:color w:val="auto"/>
              </w:rPr>
            </w:pPr>
            <w:r>
              <w:rPr>
                <w:color w:val="auto"/>
              </w:rPr>
              <w:t>收集暂存于垃圾箱内，定期送至附近垃圾点</w:t>
            </w:r>
          </w:p>
        </w:tc>
      </w:tr>
      <w:tr w14:paraId="0F6F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restart"/>
            <w:vAlign w:val="center"/>
          </w:tcPr>
          <w:p w14:paraId="783C47DA">
            <w:pPr>
              <w:pStyle w:val="766"/>
              <w:rPr>
                <w:color w:val="auto"/>
              </w:rPr>
            </w:pPr>
            <w:r>
              <w:rPr>
                <w:color w:val="auto"/>
              </w:rPr>
              <w:t>噪声</w:t>
            </w:r>
          </w:p>
        </w:tc>
        <w:tc>
          <w:tcPr>
            <w:tcW w:w="595" w:type="pct"/>
            <w:vMerge w:val="restart"/>
            <w:vAlign w:val="center"/>
          </w:tcPr>
          <w:p w14:paraId="0A8A0091">
            <w:pPr>
              <w:pStyle w:val="766"/>
              <w:rPr>
                <w:color w:val="auto"/>
              </w:rPr>
            </w:pPr>
            <w:r>
              <w:rPr>
                <w:color w:val="auto"/>
              </w:rPr>
              <w:t>连续排放</w:t>
            </w:r>
          </w:p>
        </w:tc>
        <w:tc>
          <w:tcPr>
            <w:tcW w:w="1220" w:type="pct"/>
            <w:gridSpan w:val="2"/>
            <w:vAlign w:val="center"/>
          </w:tcPr>
          <w:p w14:paraId="296D28BB">
            <w:pPr>
              <w:pStyle w:val="766"/>
              <w:rPr>
                <w:color w:val="auto"/>
              </w:rPr>
            </w:pPr>
            <w:r>
              <w:rPr>
                <w:color w:val="auto"/>
              </w:rPr>
              <w:t>鸡舍鸡叫</w:t>
            </w:r>
          </w:p>
        </w:tc>
        <w:tc>
          <w:tcPr>
            <w:tcW w:w="2791" w:type="pct"/>
            <w:vAlign w:val="center"/>
          </w:tcPr>
          <w:p w14:paraId="4A35A7D8">
            <w:pPr>
              <w:pStyle w:val="766"/>
              <w:rPr>
                <w:color w:val="auto"/>
              </w:rPr>
            </w:pPr>
            <w:r>
              <w:rPr>
                <w:color w:val="auto"/>
                <w:shd w:val="clear" w:color="auto" w:fill="FFFFFF"/>
              </w:rPr>
              <w:t>鸡舍隔声</w:t>
            </w:r>
          </w:p>
        </w:tc>
      </w:tr>
      <w:tr w14:paraId="212E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4274605A">
            <w:pPr>
              <w:pStyle w:val="766"/>
              <w:rPr>
                <w:color w:val="auto"/>
              </w:rPr>
            </w:pPr>
          </w:p>
        </w:tc>
        <w:tc>
          <w:tcPr>
            <w:tcW w:w="595" w:type="pct"/>
            <w:vMerge w:val="continue"/>
            <w:vAlign w:val="center"/>
          </w:tcPr>
          <w:p w14:paraId="0070BF69">
            <w:pPr>
              <w:pStyle w:val="766"/>
              <w:rPr>
                <w:color w:val="auto"/>
              </w:rPr>
            </w:pPr>
          </w:p>
        </w:tc>
        <w:tc>
          <w:tcPr>
            <w:tcW w:w="1220" w:type="pct"/>
            <w:gridSpan w:val="2"/>
            <w:vAlign w:val="center"/>
          </w:tcPr>
          <w:p w14:paraId="6DF2EA2E">
            <w:pPr>
              <w:pStyle w:val="766"/>
              <w:rPr>
                <w:color w:val="auto"/>
              </w:rPr>
            </w:pPr>
            <w:r>
              <w:rPr>
                <w:color w:val="auto"/>
                <w:shd w:val="clear" w:color="auto" w:fill="FFFFFF"/>
              </w:rPr>
              <w:t>饲料加工</w:t>
            </w:r>
            <w:r>
              <w:rPr>
                <w:rFonts w:hint="eastAsia"/>
                <w:color w:val="auto"/>
                <w:shd w:val="clear" w:color="auto" w:fill="FFFFFF"/>
              </w:rPr>
              <w:t>、有机肥加工</w:t>
            </w:r>
            <w:r>
              <w:rPr>
                <w:color w:val="auto"/>
                <w:shd w:val="clear" w:color="auto" w:fill="FFFFFF"/>
              </w:rPr>
              <w:t>设备</w:t>
            </w:r>
          </w:p>
        </w:tc>
        <w:tc>
          <w:tcPr>
            <w:tcW w:w="2791" w:type="pct"/>
            <w:vAlign w:val="center"/>
          </w:tcPr>
          <w:p w14:paraId="366CD902">
            <w:pPr>
              <w:pStyle w:val="766"/>
              <w:rPr>
                <w:color w:val="auto"/>
              </w:rPr>
            </w:pPr>
            <w:r>
              <w:rPr>
                <w:color w:val="auto"/>
                <w:shd w:val="clear" w:color="auto" w:fill="FFFFFF"/>
              </w:rPr>
              <w:t>选低噪声设备、</w:t>
            </w:r>
            <w:r>
              <w:rPr>
                <w:rFonts w:hint="eastAsia"/>
                <w:color w:val="auto"/>
                <w:shd w:val="clear" w:color="auto" w:fill="FFFFFF"/>
              </w:rPr>
              <w:t>基础减振、厂房</w:t>
            </w:r>
            <w:r>
              <w:rPr>
                <w:color w:val="auto"/>
                <w:shd w:val="clear" w:color="auto" w:fill="FFFFFF"/>
              </w:rPr>
              <w:t>隔声</w:t>
            </w:r>
          </w:p>
        </w:tc>
      </w:tr>
      <w:tr w14:paraId="314E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35E69AEC">
            <w:pPr>
              <w:pStyle w:val="766"/>
              <w:rPr>
                <w:color w:val="auto"/>
              </w:rPr>
            </w:pPr>
          </w:p>
        </w:tc>
        <w:tc>
          <w:tcPr>
            <w:tcW w:w="595" w:type="pct"/>
            <w:vMerge w:val="continue"/>
            <w:vAlign w:val="center"/>
          </w:tcPr>
          <w:p w14:paraId="0358D0DC">
            <w:pPr>
              <w:pStyle w:val="766"/>
              <w:rPr>
                <w:color w:val="auto"/>
              </w:rPr>
            </w:pPr>
          </w:p>
        </w:tc>
        <w:tc>
          <w:tcPr>
            <w:tcW w:w="1220" w:type="pct"/>
            <w:gridSpan w:val="2"/>
            <w:vAlign w:val="center"/>
          </w:tcPr>
          <w:p w14:paraId="33D0D1EF">
            <w:pPr>
              <w:pStyle w:val="766"/>
              <w:rPr>
                <w:color w:val="auto"/>
              </w:rPr>
            </w:pPr>
            <w:r>
              <w:rPr>
                <w:color w:val="auto"/>
                <w:shd w:val="clear" w:color="auto" w:fill="FFFFFF"/>
              </w:rPr>
              <w:t>风机</w:t>
            </w:r>
          </w:p>
        </w:tc>
        <w:tc>
          <w:tcPr>
            <w:tcW w:w="2791" w:type="pct"/>
            <w:vAlign w:val="center"/>
          </w:tcPr>
          <w:p w14:paraId="261A6C57">
            <w:pPr>
              <w:pStyle w:val="766"/>
              <w:rPr>
                <w:color w:val="auto"/>
              </w:rPr>
            </w:pPr>
            <w:r>
              <w:rPr>
                <w:color w:val="auto"/>
                <w:shd w:val="clear" w:color="auto" w:fill="FFFFFF"/>
              </w:rPr>
              <w:t>选低噪声设备、</w:t>
            </w:r>
            <w:r>
              <w:rPr>
                <w:rFonts w:hint="eastAsia"/>
                <w:color w:val="auto"/>
                <w:shd w:val="clear" w:color="auto" w:fill="FFFFFF"/>
              </w:rPr>
              <w:t>基础减振、厂房</w:t>
            </w:r>
            <w:r>
              <w:rPr>
                <w:color w:val="auto"/>
                <w:shd w:val="clear" w:color="auto" w:fill="FFFFFF"/>
              </w:rPr>
              <w:t>隔声</w:t>
            </w:r>
            <w:r>
              <w:rPr>
                <w:rFonts w:hint="eastAsia"/>
                <w:color w:val="auto"/>
                <w:shd w:val="clear" w:color="auto" w:fill="FFFFFF"/>
              </w:rPr>
              <w:t>、安装消声器</w:t>
            </w:r>
          </w:p>
        </w:tc>
      </w:tr>
      <w:tr w14:paraId="2C02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392" w:type="pct"/>
            <w:vMerge w:val="continue"/>
            <w:vAlign w:val="center"/>
          </w:tcPr>
          <w:p w14:paraId="68CD42F9">
            <w:pPr>
              <w:pStyle w:val="766"/>
              <w:rPr>
                <w:color w:val="auto"/>
              </w:rPr>
            </w:pPr>
          </w:p>
        </w:tc>
        <w:tc>
          <w:tcPr>
            <w:tcW w:w="595" w:type="pct"/>
            <w:vMerge w:val="continue"/>
            <w:vAlign w:val="center"/>
          </w:tcPr>
          <w:p w14:paraId="69DA1576">
            <w:pPr>
              <w:pStyle w:val="766"/>
              <w:rPr>
                <w:color w:val="auto"/>
              </w:rPr>
            </w:pPr>
          </w:p>
        </w:tc>
        <w:tc>
          <w:tcPr>
            <w:tcW w:w="1220" w:type="pct"/>
            <w:gridSpan w:val="2"/>
            <w:vAlign w:val="center"/>
          </w:tcPr>
          <w:p w14:paraId="2EA93F46">
            <w:pPr>
              <w:pStyle w:val="766"/>
              <w:rPr>
                <w:color w:val="auto"/>
              </w:rPr>
            </w:pPr>
            <w:r>
              <w:rPr>
                <w:color w:val="auto"/>
                <w:shd w:val="clear" w:color="auto" w:fill="FFFFFF"/>
              </w:rPr>
              <w:t>水泵</w:t>
            </w:r>
          </w:p>
        </w:tc>
        <w:tc>
          <w:tcPr>
            <w:tcW w:w="2791" w:type="pct"/>
            <w:vAlign w:val="center"/>
          </w:tcPr>
          <w:p w14:paraId="73A0EE55">
            <w:pPr>
              <w:pStyle w:val="766"/>
              <w:rPr>
                <w:color w:val="auto"/>
              </w:rPr>
            </w:pPr>
            <w:r>
              <w:rPr>
                <w:color w:val="auto"/>
                <w:shd w:val="clear" w:color="auto" w:fill="FFFFFF"/>
              </w:rPr>
              <w:t>选低噪声设备</w:t>
            </w:r>
            <w:r>
              <w:rPr>
                <w:rFonts w:hint="eastAsia"/>
                <w:color w:val="auto"/>
                <w:shd w:val="clear" w:color="auto" w:fill="FFFFFF"/>
              </w:rPr>
              <w:t>、厂房</w:t>
            </w:r>
            <w:r>
              <w:rPr>
                <w:color w:val="auto"/>
                <w:shd w:val="clear" w:color="auto" w:fill="FFFFFF"/>
              </w:rPr>
              <w:t>隔声、</w:t>
            </w:r>
            <w:r>
              <w:rPr>
                <w:rFonts w:hint="eastAsia"/>
                <w:color w:val="auto"/>
                <w:shd w:val="clear" w:color="auto" w:fill="FFFFFF"/>
              </w:rPr>
              <w:t>基础减振</w:t>
            </w:r>
          </w:p>
        </w:tc>
      </w:tr>
    </w:tbl>
    <w:p w14:paraId="19B07C45">
      <w:pPr>
        <w:pStyle w:val="10"/>
      </w:pPr>
      <w:bookmarkStart w:id="205" w:name="_Toc166572272"/>
      <w:bookmarkStart w:id="206" w:name="_Toc14168"/>
      <w:r>
        <w:t>3.3污染源分析</w:t>
      </w:r>
      <w:bookmarkEnd w:id="187"/>
      <w:bookmarkEnd w:id="188"/>
      <w:bookmarkEnd w:id="189"/>
      <w:bookmarkEnd w:id="190"/>
      <w:bookmarkEnd w:id="191"/>
      <w:bookmarkEnd w:id="192"/>
      <w:bookmarkEnd w:id="205"/>
      <w:bookmarkEnd w:id="206"/>
    </w:p>
    <w:p w14:paraId="711872B5">
      <w:pPr>
        <w:pStyle w:val="11"/>
      </w:pPr>
      <w:bookmarkStart w:id="207" w:name="_Toc166572273"/>
      <w:r>
        <w:t>3.3.1施工期污染源分析</w:t>
      </w:r>
      <w:bookmarkEnd w:id="207"/>
    </w:p>
    <w:p w14:paraId="0E87A5FD">
      <w:pPr>
        <w:pStyle w:val="12"/>
      </w:pPr>
      <w:bookmarkStart w:id="208" w:name="_Toc9865"/>
      <w:r>
        <w:t>3.3.3.1废气污染源分析</w:t>
      </w:r>
    </w:p>
    <w:bookmarkEnd w:id="208"/>
    <w:p w14:paraId="2542DE79">
      <w:pPr>
        <w:pStyle w:val="105"/>
        <w:ind w:firstLine="480"/>
      </w:pPr>
      <w:r>
        <w:t>施工废气主要来自于施工扬尘和施工机械。本项目施工扬尘主要来自基础开挖时产生的施工扬尘、施工使用的水泥、白灰及其他建筑材料装卸、堆放过程中产生的扬尘及扫尾工程中平整现场过程中产生的扬尘。</w:t>
      </w:r>
    </w:p>
    <w:p w14:paraId="147E1093">
      <w:pPr>
        <w:pStyle w:val="105"/>
        <w:ind w:firstLine="480"/>
      </w:pPr>
      <w:r>
        <w:t>施工扬尘主要产生于土建施工阶段，按起尘原因分为风力起尘和动力起尘，风力起尘主要在建材的装卸、搅拌和道路建设等过程中，以及裸露地面车辆行驶而卷起的扬尘；动力起尘由于外力作用而产生的尘粒再悬浮而造成，其中道路建设及建筑材料装卸造成的扬尘最为严重。</w:t>
      </w:r>
    </w:p>
    <w:p w14:paraId="6359F3F3">
      <w:pPr>
        <w:pStyle w:val="105"/>
        <w:ind w:firstLine="480"/>
      </w:pPr>
      <w:r>
        <w:t>1、裸露施工场地的风力起尘</w:t>
      </w:r>
    </w:p>
    <w:p w14:paraId="479903DE">
      <w:pPr>
        <w:pStyle w:val="105"/>
        <w:ind w:firstLine="480"/>
      </w:pPr>
      <w:r>
        <w:t>表土剥离、土石方开挖扬尘污染严重，空气中扬尘浓度可达20mg/m</w:t>
      </w:r>
      <w:r>
        <w:rPr>
          <w:vertAlign w:val="superscript"/>
        </w:rPr>
        <w:t>3</w:t>
      </w:r>
      <w:r>
        <w:t>，随着距离的增加，TSP浓度迅速下降，影响范围主要集中扬尘点下风向近距离内，随着距离的增加，浓度迅速减小，具有明显的局地污染特征。扬尘影响范围主要在施工场地外150m内，在扬尘点下风向0～50m为重污染带，50～100m为较重污染带，100～150m为轻污染带，项目区域外150m环境空气质量可符合《环境空气质量标准》（GB3095-2012）二级</w:t>
      </w:r>
      <w:r>
        <w:rPr>
          <w:rFonts w:hint="eastAsia"/>
        </w:rPr>
        <w:t xml:space="preserve"> </w:t>
      </w:r>
      <w:r>
        <w:t>标准。</w:t>
      </w:r>
    </w:p>
    <w:p w14:paraId="57027D5B">
      <w:pPr>
        <w:pStyle w:val="105"/>
        <w:ind w:firstLine="480"/>
      </w:pPr>
      <w:r>
        <w:t>根据现场调查，项目施工场地150m范围内无环境敏感目标。项目施工对周边大气环境影响较小。</w:t>
      </w:r>
    </w:p>
    <w:p w14:paraId="27365B7F">
      <w:pPr>
        <w:pStyle w:val="105"/>
        <w:ind w:firstLine="480"/>
      </w:pPr>
      <w:r>
        <w:t>2、车辆行驶的动力起尘</w:t>
      </w:r>
    </w:p>
    <w:p w14:paraId="57D738DE">
      <w:pPr>
        <w:pStyle w:val="105"/>
        <w:ind w:firstLine="480"/>
      </w:pPr>
      <w:r>
        <w:t>施工过程中，车辆行驶产生的扬尘土占总扬尘的60%以上。表3.2-1为一辆10T汽车，通过一段长为1km的路面时，不同路面清洁程度，不同行驶速度下的扬尘量。</w:t>
      </w:r>
    </w:p>
    <w:p w14:paraId="78B2143B">
      <w:pPr>
        <w:pStyle w:val="756"/>
      </w:pPr>
      <w:r>
        <w:t>表3.3-1  在不同车速和地面清洁程度的汽车扬尘(单位：kg/辆•km)</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2"/>
        <w:gridCol w:w="1586"/>
        <w:gridCol w:w="979"/>
        <w:gridCol w:w="981"/>
        <w:gridCol w:w="1146"/>
        <w:gridCol w:w="981"/>
        <w:gridCol w:w="1144"/>
        <w:gridCol w:w="1308"/>
      </w:tblGrid>
      <w:tr w14:paraId="4518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79" w:type="pct"/>
            <w:gridSpan w:val="2"/>
            <w:vAlign w:val="center"/>
          </w:tcPr>
          <w:p w14:paraId="31B43724">
            <w:pPr>
              <w:pStyle w:val="357"/>
              <w:tabs>
                <w:tab w:val="left" w:pos="0"/>
              </w:tabs>
            </w:pPr>
            <w:r>
              <w:t>地面清洁情况(kg/m</w:t>
            </w:r>
            <w:r>
              <w:rPr>
                <w:vertAlign w:val="superscript"/>
              </w:rPr>
              <w:t>2</w:t>
            </w:r>
            <w:r>
              <w:t>)</w:t>
            </w:r>
          </w:p>
        </w:tc>
        <w:tc>
          <w:tcPr>
            <w:tcW w:w="527" w:type="pct"/>
            <w:vAlign w:val="center"/>
          </w:tcPr>
          <w:p w14:paraId="337D4A05">
            <w:pPr>
              <w:pStyle w:val="357"/>
              <w:tabs>
                <w:tab w:val="left" w:pos="0"/>
              </w:tabs>
            </w:pPr>
            <w:r>
              <w:t>0.1</w:t>
            </w:r>
          </w:p>
        </w:tc>
        <w:tc>
          <w:tcPr>
            <w:tcW w:w="528" w:type="pct"/>
            <w:vAlign w:val="center"/>
          </w:tcPr>
          <w:p w14:paraId="58975ED8">
            <w:pPr>
              <w:pStyle w:val="357"/>
              <w:tabs>
                <w:tab w:val="left" w:pos="0"/>
              </w:tabs>
            </w:pPr>
            <w:r>
              <w:t>0.2</w:t>
            </w:r>
          </w:p>
        </w:tc>
        <w:tc>
          <w:tcPr>
            <w:tcW w:w="617" w:type="pct"/>
            <w:vAlign w:val="center"/>
          </w:tcPr>
          <w:p w14:paraId="48EE2CDC">
            <w:pPr>
              <w:pStyle w:val="357"/>
              <w:tabs>
                <w:tab w:val="left" w:pos="0"/>
              </w:tabs>
            </w:pPr>
            <w:r>
              <w:t>0.3</w:t>
            </w:r>
          </w:p>
        </w:tc>
        <w:tc>
          <w:tcPr>
            <w:tcW w:w="528" w:type="pct"/>
            <w:vAlign w:val="center"/>
          </w:tcPr>
          <w:p w14:paraId="5B85C337">
            <w:pPr>
              <w:pStyle w:val="357"/>
              <w:tabs>
                <w:tab w:val="left" w:pos="0"/>
              </w:tabs>
            </w:pPr>
            <w:r>
              <w:t>0.4</w:t>
            </w:r>
          </w:p>
        </w:tc>
        <w:tc>
          <w:tcPr>
            <w:tcW w:w="616" w:type="pct"/>
            <w:vAlign w:val="center"/>
          </w:tcPr>
          <w:p w14:paraId="436211B1">
            <w:pPr>
              <w:pStyle w:val="357"/>
              <w:tabs>
                <w:tab w:val="left" w:pos="0"/>
              </w:tabs>
            </w:pPr>
            <w:r>
              <w:t>0.5</w:t>
            </w:r>
          </w:p>
        </w:tc>
        <w:tc>
          <w:tcPr>
            <w:tcW w:w="704" w:type="pct"/>
            <w:vAlign w:val="center"/>
          </w:tcPr>
          <w:p w14:paraId="5CBEAAF6">
            <w:pPr>
              <w:pStyle w:val="357"/>
              <w:tabs>
                <w:tab w:val="left" w:pos="0"/>
              </w:tabs>
            </w:pPr>
            <w:r>
              <w:t>1</w:t>
            </w:r>
          </w:p>
        </w:tc>
      </w:tr>
      <w:tr w14:paraId="45A1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26" w:type="pct"/>
            <w:vMerge w:val="restart"/>
            <w:vAlign w:val="center"/>
          </w:tcPr>
          <w:p w14:paraId="6796E43E">
            <w:pPr>
              <w:pStyle w:val="357"/>
              <w:tabs>
                <w:tab w:val="left" w:pos="0"/>
              </w:tabs>
              <w:rPr>
                <w:lang w:eastAsia="zh-CN"/>
              </w:rPr>
            </w:pPr>
            <w:r>
              <w:t>不同</w:t>
            </w:r>
          </w:p>
          <w:p w14:paraId="109D4ECD">
            <w:pPr>
              <w:pStyle w:val="357"/>
              <w:tabs>
                <w:tab w:val="left" w:pos="0"/>
              </w:tabs>
              <w:rPr>
                <w:lang w:eastAsia="zh-CN"/>
              </w:rPr>
            </w:pPr>
            <w:r>
              <w:t>车速</w:t>
            </w:r>
          </w:p>
          <w:p w14:paraId="14E3CA76">
            <w:pPr>
              <w:pStyle w:val="357"/>
              <w:tabs>
                <w:tab w:val="left" w:pos="0"/>
              </w:tabs>
            </w:pPr>
            <w:r>
              <w:t>(km/h)</w:t>
            </w:r>
          </w:p>
        </w:tc>
        <w:tc>
          <w:tcPr>
            <w:tcW w:w="854" w:type="pct"/>
            <w:vAlign w:val="center"/>
          </w:tcPr>
          <w:p w14:paraId="79304ED4">
            <w:pPr>
              <w:pStyle w:val="357"/>
              <w:tabs>
                <w:tab w:val="left" w:pos="0"/>
              </w:tabs>
            </w:pPr>
            <w:r>
              <w:t>5</w:t>
            </w:r>
          </w:p>
        </w:tc>
        <w:tc>
          <w:tcPr>
            <w:tcW w:w="527" w:type="pct"/>
            <w:vAlign w:val="center"/>
          </w:tcPr>
          <w:p w14:paraId="44ADB8DA">
            <w:pPr>
              <w:pStyle w:val="357"/>
              <w:tabs>
                <w:tab w:val="left" w:pos="0"/>
              </w:tabs>
            </w:pPr>
            <w:r>
              <w:t>0.0511</w:t>
            </w:r>
          </w:p>
        </w:tc>
        <w:tc>
          <w:tcPr>
            <w:tcW w:w="528" w:type="pct"/>
            <w:vAlign w:val="center"/>
          </w:tcPr>
          <w:p w14:paraId="76D17D98">
            <w:pPr>
              <w:pStyle w:val="357"/>
              <w:tabs>
                <w:tab w:val="left" w:pos="0"/>
              </w:tabs>
            </w:pPr>
            <w:r>
              <w:t>0.0859</w:t>
            </w:r>
          </w:p>
        </w:tc>
        <w:tc>
          <w:tcPr>
            <w:tcW w:w="617" w:type="pct"/>
            <w:vAlign w:val="center"/>
          </w:tcPr>
          <w:p w14:paraId="0EB415A5">
            <w:pPr>
              <w:pStyle w:val="357"/>
              <w:tabs>
                <w:tab w:val="left" w:pos="0"/>
              </w:tabs>
            </w:pPr>
            <w:r>
              <w:t>0.1164</w:t>
            </w:r>
          </w:p>
        </w:tc>
        <w:tc>
          <w:tcPr>
            <w:tcW w:w="528" w:type="pct"/>
            <w:vAlign w:val="center"/>
          </w:tcPr>
          <w:p w14:paraId="2A359B8F">
            <w:pPr>
              <w:pStyle w:val="357"/>
              <w:tabs>
                <w:tab w:val="left" w:pos="0"/>
              </w:tabs>
            </w:pPr>
            <w:r>
              <w:t>0.1444</w:t>
            </w:r>
          </w:p>
        </w:tc>
        <w:tc>
          <w:tcPr>
            <w:tcW w:w="616" w:type="pct"/>
            <w:vAlign w:val="center"/>
          </w:tcPr>
          <w:p w14:paraId="2184045D">
            <w:pPr>
              <w:pStyle w:val="357"/>
              <w:tabs>
                <w:tab w:val="left" w:pos="0"/>
              </w:tabs>
            </w:pPr>
            <w:r>
              <w:t>0.1707</w:t>
            </w:r>
          </w:p>
        </w:tc>
        <w:tc>
          <w:tcPr>
            <w:tcW w:w="704" w:type="pct"/>
            <w:vAlign w:val="center"/>
          </w:tcPr>
          <w:p w14:paraId="2824471E">
            <w:pPr>
              <w:pStyle w:val="357"/>
              <w:tabs>
                <w:tab w:val="left" w:pos="0"/>
              </w:tabs>
            </w:pPr>
            <w:r>
              <w:t>0.2871</w:t>
            </w:r>
          </w:p>
        </w:tc>
      </w:tr>
      <w:tr w14:paraId="3053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26" w:type="pct"/>
            <w:vMerge w:val="continue"/>
            <w:vAlign w:val="center"/>
          </w:tcPr>
          <w:p w14:paraId="7D215D8D">
            <w:pPr>
              <w:pStyle w:val="357"/>
              <w:tabs>
                <w:tab w:val="left" w:pos="0"/>
              </w:tabs>
            </w:pPr>
          </w:p>
        </w:tc>
        <w:tc>
          <w:tcPr>
            <w:tcW w:w="854" w:type="pct"/>
            <w:vAlign w:val="center"/>
          </w:tcPr>
          <w:p w14:paraId="78CA9D91">
            <w:pPr>
              <w:pStyle w:val="357"/>
              <w:tabs>
                <w:tab w:val="left" w:pos="0"/>
              </w:tabs>
            </w:pPr>
            <w:r>
              <w:t>10</w:t>
            </w:r>
          </w:p>
        </w:tc>
        <w:tc>
          <w:tcPr>
            <w:tcW w:w="527" w:type="pct"/>
            <w:vAlign w:val="center"/>
          </w:tcPr>
          <w:p w14:paraId="582A90EB">
            <w:pPr>
              <w:pStyle w:val="357"/>
              <w:tabs>
                <w:tab w:val="left" w:pos="0"/>
              </w:tabs>
            </w:pPr>
            <w:r>
              <w:t>0.1021</w:t>
            </w:r>
          </w:p>
        </w:tc>
        <w:tc>
          <w:tcPr>
            <w:tcW w:w="528" w:type="pct"/>
            <w:vAlign w:val="center"/>
          </w:tcPr>
          <w:p w14:paraId="4A8DC13D">
            <w:pPr>
              <w:pStyle w:val="357"/>
              <w:tabs>
                <w:tab w:val="left" w:pos="0"/>
              </w:tabs>
            </w:pPr>
            <w:r>
              <w:t>0.1717</w:t>
            </w:r>
          </w:p>
        </w:tc>
        <w:tc>
          <w:tcPr>
            <w:tcW w:w="617" w:type="pct"/>
            <w:vAlign w:val="center"/>
          </w:tcPr>
          <w:p w14:paraId="4E6DE916">
            <w:pPr>
              <w:pStyle w:val="357"/>
              <w:tabs>
                <w:tab w:val="left" w:pos="0"/>
              </w:tabs>
            </w:pPr>
            <w:r>
              <w:t>0.2328</w:t>
            </w:r>
          </w:p>
        </w:tc>
        <w:tc>
          <w:tcPr>
            <w:tcW w:w="528" w:type="pct"/>
            <w:vAlign w:val="center"/>
          </w:tcPr>
          <w:p w14:paraId="5B3CED62">
            <w:pPr>
              <w:pStyle w:val="357"/>
              <w:tabs>
                <w:tab w:val="left" w:pos="0"/>
              </w:tabs>
            </w:pPr>
            <w:r>
              <w:t>0.2888</w:t>
            </w:r>
          </w:p>
        </w:tc>
        <w:tc>
          <w:tcPr>
            <w:tcW w:w="616" w:type="pct"/>
            <w:vAlign w:val="center"/>
          </w:tcPr>
          <w:p w14:paraId="3ED3AFA8">
            <w:pPr>
              <w:pStyle w:val="357"/>
              <w:tabs>
                <w:tab w:val="left" w:pos="0"/>
              </w:tabs>
            </w:pPr>
            <w:r>
              <w:t>0.3414</w:t>
            </w:r>
          </w:p>
        </w:tc>
        <w:tc>
          <w:tcPr>
            <w:tcW w:w="704" w:type="pct"/>
            <w:vAlign w:val="center"/>
          </w:tcPr>
          <w:p w14:paraId="24F55265">
            <w:pPr>
              <w:pStyle w:val="357"/>
              <w:tabs>
                <w:tab w:val="left" w:pos="0"/>
              </w:tabs>
            </w:pPr>
            <w:r>
              <w:t>0.5742</w:t>
            </w:r>
          </w:p>
        </w:tc>
      </w:tr>
      <w:tr w14:paraId="3621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26" w:type="pct"/>
            <w:vMerge w:val="continue"/>
            <w:vAlign w:val="center"/>
          </w:tcPr>
          <w:p w14:paraId="048CED57">
            <w:pPr>
              <w:pStyle w:val="357"/>
              <w:tabs>
                <w:tab w:val="left" w:pos="0"/>
              </w:tabs>
            </w:pPr>
          </w:p>
        </w:tc>
        <w:tc>
          <w:tcPr>
            <w:tcW w:w="854" w:type="pct"/>
            <w:vAlign w:val="center"/>
          </w:tcPr>
          <w:p w14:paraId="2B64FCBC">
            <w:pPr>
              <w:pStyle w:val="357"/>
              <w:tabs>
                <w:tab w:val="left" w:pos="0"/>
              </w:tabs>
            </w:pPr>
            <w:r>
              <w:t>15</w:t>
            </w:r>
          </w:p>
        </w:tc>
        <w:tc>
          <w:tcPr>
            <w:tcW w:w="527" w:type="pct"/>
            <w:vAlign w:val="center"/>
          </w:tcPr>
          <w:p w14:paraId="2F96E4DF">
            <w:pPr>
              <w:pStyle w:val="357"/>
              <w:tabs>
                <w:tab w:val="left" w:pos="0"/>
              </w:tabs>
            </w:pPr>
            <w:r>
              <w:t>0.1532</w:t>
            </w:r>
          </w:p>
        </w:tc>
        <w:tc>
          <w:tcPr>
            <w:tcW w:w="528" w:type="pct"/>
            <w:vAlign w:val="center"/>
          </w:tcPr>
          <w:p w14:paraId="0950FE62">
            <w:pPr>
              <w:pStyle w:val="357"/>
              <w:tabs>
                <w:tab w:val="left" w:pos="0"/>
              </w:tabs>
            </w:pPr>
            <w:r>
              <w:t>0.2576</w:t>
            </w:r>
          </w:p>
        </w:tc>
        <w:tc>
          <w:tcPr>
            <w:tcW w:w="617" w:type="pct"/>
            <w:vAlign w:val="center"/>
          </w:tcPr>
          <w:p w14:paraId="33776319">
            <w:pPr>
              <w:pStyle w:val="357"/>
              <w:tabs>
                <w:tab w:val="left" w:pos="0"/>
              </w:tabs>
            </w:pPr>
            <w:r>
              <w:t>0.3491</w:t>
            </w:r>
          </w:p>
        </w:tc>
        <w:tc>
          <w:tcPr>
            <w:tcW w:w="528" w:type="pct"/>
            <w:vAlign w:val="center"/>
          </w:tcPr>
          <w:p w14:paraId="09B993E2">
            <w:pPr>
              <w:pStyle w:val="357"/>
              <w:tabs>
                <w:tab w:val="left" w:pos="0"/>
              </w:tabs>
            </w:pPr>
            <w:r>
              <w:t>0.4332</w:t>
            </w:r>
          </w:p>
        </w:tc>
        <w:tc>
          <w:tcPr>
            <w:tcW w:w="616" w:type="pct"/>
            <w:vAlign w:val="center"/>
          </w:tcPr>
          <w:p w14:paraId="08D738A9">
            <w:pPr>
              <w:pStyle w:val="357"/>
              <w:tabs>
                <w:tab w:val="left" w:pos="0"/>
              </w:tabs>
            </w:pPr>
            <w:r>
              <w:t>0.5121</w:t>
            </w:r>
          </w:p>
        </w:tc>
        <w:tc>
          <w:tcPr>
            <w:tcW w:w="704" w:type="pct"/>
            <w:vAlign w:val="center"/>
          </w:tcPr>
          <w:p w14:paraId="6E8B6BC5">
            <w:pPr>
              <w:pStyle w:val="357"/>
              <w:tabs>
                <w:tab w:val="left" w:pos="0"/>
              </w:tabs>
            </w:pPr>
            <w:r>
              <w:t>0.8613</w:t>
            </w:r>
          </w:p>
        </w:tc>
      </w:tr>
      <w:tr w14:paraId="2C43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26" w:type="pct"/>
            <w:vMerge w:val="continue"/>
            <w:vAlign w:val="center"/>
          </w:tcPr>
          <w:p w14:paraId="22595BF6">
            <w:pPr>
              <w:pStyle w:val="357"/>
              <w:tabs>
                <w:tab w:val="left" w:pos="0"/>
              </w:tabs>
            </w:pPr>
          </w:p>
        </w:tc>
        <w:tc>
          <w:tcPr>
            <w:tcW w:w="854" w:type="pct"/>
            <w:vAlign w:val="center"/>
          </w:tcPr>
          <w:p w14:paraId="30977CD8">
            <w:pPr>
              <w:pStyle w:val="357"/>
              <w:tabs>
                <w:tab w:val="left" w:pos="0"/>
              </w:tabs>
            </w:pPr>
            <w:r>
              <w:t>25</w:t>
            </w:r>
          </w:p>
        </w:tc>
        <w:tc>
          <w:tcPr>
            <w:tcW w:w="527" w:type="pct"/>
            <w:vAlign w:val="center"/>
          </w:tcPr>
          <w:p w14:paraId="6AACCD27">
            <w:pPr>
              <w:pStyle w:val="357"/>
              <w:tabs>
                <w:tab w:val="left" w:pos="0"/>
              </w:tabs>
            </w:pPr>
            <w:r>
              <w:t>0.2553</w:t>
            </w:r>
          </w:p>
        </w:tc>
        <w:tc>
          <w:tcPr>
            <w:tcW w:w="528" w:type="pct"/>
            <w:vAlign w:val="center"/>
          </w:tcPr>
          <w:p w14:paraId="3A15DEA3">
            <w:pPr>
              <w:pStyle w:val="357"/>
              <w:tabs>
                <w:tab w:val="left" w:pos="0"/>
              </w:tabs>
            </w:pPr>
            <w:r>
              <w:t>0.4293</w:t>
            </w:r>
          </w:p>
        </w:tc>
        <w:tc>
          <w:tcPr>
            <w:tcW w:w="617" w:type="pct"/>
            <w:vAlign w:val="center"/>
          </w:tcPr>
          <w:p w14:paraId="44AAC4D8">
            <w:pPr>
              <w:pStyle w:val="357"/>
              <w:tabs>
                <w:tab w:val="left" w:pos="0"/>
              </w:tabs>
            </w:pPr>
            <w:r>
              <w:t>0.5819</w:t>
            </w:r>
          </w:p>
        </w:tc>
        <w:tc>
          <w:tcPr>
            <w:tcW w:w="528" w:type="pct"/>
            <w:vAlign w:val="center"/>
          </w:tcPr>
          <w:p w14:paraId="75310B17">
            <w:pPr>
              <w:pStyle w:val="357"/>
              <w:tabs>
                <w:tab w:val="left" w:pos="0"/>
              </w:tabs>
            </w:pPr>
            <w:r>
              <w:t>0.722</w:t>
            </w:r>
          </w:p>
        </w:tc>
        <w:tc>
          <w:tcPr>
            <w:tcW w:w="616" w:type="pct"/>
            <w:vAlign w:val="center"/>
          </w:tcPr>
          <w:p w14:paraId="4BFDAAFF">
            <w:pPr>
              <w:pStyle w:val="357"/>
              <w:tabs>
                <w:tab w:val="left" w:pos="0"/>
              </w:tabs>
            </w:pPr>
            <w:r>
              <w:t>0.8536</w:t>
            </w:r>
          </w:p>
        </w:tc>
        <w:tc>
          <w:tcPr>
            <w:tcW w:w="704" w:type="pct"/>
            <w:vAlign w:val="center"/>
          </w:tcPr>
          <w:p w14:paraId="12455694">
            <w:pPr>
              <w:pStyle w:val="357"/>
              <w:tabs>
                <w:tab w:val="left" w:pos="0"/>
              </w:tabs>
            </w:pPr>
            <w:r>
              <w:t>1.4355</w:t>
            </w:r>
          </w:p>
        </w:tc>
      </w:tr>
    </w:tbl>
    <w:p w14:paraId="75399A6A">
      <w:pPr>
        <w:pStyle w:val="105"/>
        <w:ind w:firstLine="480"/>
      </w:pPr>
      <w:r>
        <w:t>从上表可见，在同样的路面条件下，车速越快，扬尘量越大，在同样的车速情况下，路面粉尘量越大，扬尘量越大，其产生量一般难以估计。</w:t>
      </w:r>
    </w:p>
    <w:p w14:paraId="41C8A9B5">
      <w:pPr>
        <w:pStyle w:val="105"/>
        <w:ind w:firstLine="480"/>
      </w:pPr>
      <w:r>
        <w:t>施工期间对车辆行驶的路面实施洒水抑尘，每天洒水4次～5次，可使扬尘减少70%左右，表3.3-11为施工场地洒水抑尘的试验结果。可见，每天洒水4次～5次进行抑尘，可有效地控制施工扬尘，可将TSP污染距离缩小到20m～50m范围。</w:t>
      </w:r>
    </w:p>
    <w:p w14:paraId="0FEA4891">
      <w:pPr>
        <w:pStyle w:val="756"/>
      </w:pPr>
      <w:r>
        <w:t>表3.3-2  施工场地洒水抑尘试验结果</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7"/>
        <w:gridCol w:w="1062"/>
        <w:gridCol w:w="1499"/>
        <w:gridCol w:w="1501"/>
        <w:gridCol w:w="1499"/>
        <w:gridCol w:w="1499"/>
      </w:tblGrid>
      <w:tr w14:paraId="00BD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71" w:type="pct"/>
            <w:gridSpan w:val="2"/>
            <w:vAlign w:val="center"/>
          </w:tcPr>
          <w:p w14:paraId="6DABBDE1">
            <w:pPr>
              <w:pStyle w:val="357"/>
              <w:tabs>
                <w:tab w:val="left" w:pos="0"/>
              </w:tabs>
            </w:pPr>
            <w:r>
              <w:t>距离（m）</w:t>
            </w:r>
          </w:p>
        </w:tc>
        <w:tc>
          <w:tcPr>
            <w:tcW w:w="807" w:type="pct"/>
            <w:vAlign w:val="center"/>
          </w:tcPr>
          <w:p w14:paraId="0433D66A">
            <w:pPr>
              <w:pStyle w:val="357"/>
              <w:tabs>
                <w:tab w:val="left" w:pos="0"/>
              </w:tabs>
            </w:pPr>
            <w:r>
              <w:t>5</w:t>
            </w:r>
          </w:p>
        </w:tc>
        <w:tc>
          <w:tcPr>
            <w:tcW w:w="808" w:type="pct"/>
            <w:vAlign w:val="center"/>
          </w:tcPr>
          <w:p w14:paraId="1BC39B41">
            <w:pPr>
              <w:pStyle w:val="357"/>
              <w:tabs>
                <w:tab w:val="left" w:pos="0"/>
              </w:tabs>
            </w:pPr>
            <w:r>
              <w:t>20</w:t>
            </w:r>
          </w:p>
        </w:tc>
        <w:tc>
          <w:tcPr>
            <w:tcW w:w="807" w:type="pct"/>
            <w:vAlign w:val="center"/>
          </w:tcPr>
          <w:p w14:paraId="0BE28749">
            <w:pPr>
              <w:pStyle w:val="357"/>
              <w:tabs>
                <w:tab w:val="left" w:pos="0"/>
              </w:tabs>
            </w:pPr>
            <w:r>
              <w:t>50</w:t>
            </w:r>
          </w:p>
        </w:tc>
        <w:tc>
          <w:tcPr>
            <w:tcW w:w="807" w:type="pct"/>
            <w:vAlign w:val="center"/>
          </w:tcPr>
          <w:p w14:paraId="41A71C3F">
            <w:pPr>
              <w:pStyle w:val="357"/>
              <w:tabs>
                <w:tab w:val="left" w:pos="0"/>
              </w:tabs>
            </w:pPr>
            <w:r>
              <w:t>100</w:t>
            </w:r>
          </w:p>
        </w:tc>
      </w:tr>
      <w:tr w14:paraId="1B5E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99" w:type="pct"/>
            <w:vMerge w:val="restart"/>
            <w:vAlign w:val="center"/>
          </w:tcPr>
          <w:p w14:paraId="21F97770">
            <w:pPr>
              <w:pStyle w:val="357"/>
              <w:tabs>
                <w:tab w:val="left" w:pos="0"/>
              </w:tabs>
              <w:rPr>
                <w:lang w:eastAsia="zh-CN"/>
              </w:rPr>
            </w:pPr>
            <w:r>
              <w:rPr>
                <w:lang w:eastAsia="zh-CN"/>
              </w:rPr>
              <w:t>TSP小时平均浓度（mg/m3）</w:t>
            </w:r>
          </w:p>
        </w:tc>
        <w:tc>
          <w:tcPr>
            <w:tcW w:w="572" w:type="pct"/>
            <w:vAlign w:val="center"/>
          </w:tcPr>
          <w:p w14:paraId="6E952699">
            <w:pPr>
              <w:pStyle w:val="357"/>
              <w:tabs>
                <w:tab w:val="left" w:pos="0"/>
              </w:tabs>
            </w:pPr>
            <w:r>
              <w:t>不洒水</w:t>
            </w:r>
          </w:p>
        </w:tc>
        <w:tc>
          <w:tcPr>
            <w:tcW w:w="807" w:type="pct"/>
            <w:vAlign w:val="center"/>
          </w:tcPr>
          <w:p w14:paraId="5CB22ACF">
            <w:pPr>
              <w:pStyle w:val="357"/>
              <w:tabs>
                <w:tab w:val="left" w:pos="0"/>
              </w:tabs>
            </w:pPr>
            <w:r>
              <w:t>10.14</w:t>
            </w:r>
          </w:p>
        </w:tc>
        <w:tc>
          <w:tcPr>
            <w:tcW w:w="808" w:type="pct"/>
            <w:vAlign w:val="center"/>
          </w:tcPr>
          <w:p w14:paraId="556BD7AD">
            <w:pPr>
              <w:pStyle w:val="357"/>
              <w:tabs>
                <w:tab w:val="left" w:pos="0"/>
              </w:tabs>
            </w:pPr>
            <w:r>
              <w:t>2.89</w:t>
            </w:r>
          </w:p>
        </w:tc>
        <w:tc>
          <w:tcPr>
            <w:tcW w:w="807" w:type="pct"/>
            <w:vAlign w:val="center"/>
          </w:tcPr>
          <w:p w14:paraId="679F8128">
            <w:pPr>
              <w:pStyle w:val="357"/>
              <w:tabs>
                <w:tab w:val="left" w:pos="0"/>
              </w:tabs>
            </w:pPr>
            <w:r>
              <w:t>1.15</w:t>
            </w:r>
          </w:p>
        </w:tc>
        <w:tc>
          <w:tcPr>
            <w:tcW w:w="807" w:type="pct"/>
            <w:vAlign w:val="center"/>
          </w:tcPr>
          <w:p w14:paraId="2DE66BAE">
            <w:pPr>
              <w:pStyle w:val="357"/>
              <w:tabs>
                <w:tab w:val="left" w:pos="0"/>
              </w:tabs>
            </w:pPr>
            <w:r>
              <w:t>0.86</w:t>
            </w:r>
          </w:p>
        </w:tc>
      </w:tr>
      <w:tr w14:paraId="3BC1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99" w:type="pct"/>
            <w:vMerge w:val="continue"/>
            <w:vAlign w:val="center"/>
          </w:tcPr>
          <w:p w14:paraId="7AE506A7">
            <w:pPr>
              <w:pStyle w:val="357"/>
              <w:tabs>
                <w:tab w:val="left" w:pos="0"/>
              </w:tabs>
            </w:pPr>
          </w:p>
        </w:tc>
        <w:tc>
          <w:tcPr>
            <w:tcW w:w="572" w:type="pct"/>
            <w:vAlign w:val="center"/>
          </w:tcPr>
          <w:p w14:paraId="2E319DBA">
            <w:pPr>
              <w:pStyle w:val="357"/>
              <w:tabs>
                <w:tab w:val="left" w:pos="0"/>
              </w:tabs>
            </w:pPr>
            <w:r>
              <w:t>洒水</w:t>
            </w:r>
          </w:p>
        </w:tc>
        <w:tc>
          <w:tcPr>
            <w:tcW w:w="807" w:type="pct"/>
            <w:vAlign w:val="center"/>
          </w:tcPr>
          <w:p w14:paraId="6819F3E4">
            <w:pPr>
              <w:pStyle w:val="357"/>
              <w:tabs>
                <w:tab w:val="left" w:pos="0"/>
              </w:tabs>
            </w:pPr>
            <w:r>
              <w:t>2.01</w:t>
            </w:r>
          </w:p>
        </w:tc>
        <w:tc>
          <w:tcPr>
            <w:tcW w:w="808" w:type="pct"/>
            <w:vAlign w:val="center"/>
          </w:tcPr>
          <w:p w14:paraId="04973739">
            <w:pPr>
              <w:pStyle w:val="357"/>
              <w:tabs>
                <w:tab w:val="left" w:pos="0"/>
              </w:tabs>
            </w:pPr>
            <w:r>
              <w:t>1.40</w:t>
            </w:r>
          </w:p>
        </w:tc>
        <w:tc>
          <w:tcPr>
            <w:tcW w:w="807" w:type="pct"/>
            <w:vAlign w:val="center"/>
          </w:tcPr>
          <w:p w14:paraId="7265B11D">
            <w:pPr>
              <w:pStyle w:val="357"/>
              <w:tabs>
                <w:tab w:val="left" w:pos="0"/>
              </w:tabs>
            </w:pPr>
            <w:r>
              <w:t>0.67</w:t>
            </w:r>
          </w:p>
        </w:tc>
        <w:tc>
          <w:tcPr>
            <w:tcW w:w="807" w:type="pct"/>
            <w:vAlign w:val="center"/>
          </w:tcPr>
          <w:p w14:paraId="62CFCE05">
            <w:pPr>
              <w:pStyle w:val="357"/>
              <w:tabs>
                <w:tab w:val="left" w:pos="0"/>
              </w:tabs>
            </w:pPr>
            <w:r>
              <w:t>0.60</w:t>
            </w:r>
          </w:p>
        </w:tc>
      </w:tr>
      <w:tr w14:paraId="4F2C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vAlign w:val="center"/>
          </w:tcPr>
          <w:p w14:paraId="661753E6">
            <w:pPr>
              <w:pStyle w:val="357"/>
              <w:tabs>
                <w:tab w:val="left" w:pos="0"/>
              </w:tabs>
              <w:rPr>
                <w:lang w:eastAsia="zh-CN"/>
              </w:rPr>
            </w:pPr>
            <w:r>
              <w:rPr>
                <w:lang w:eastAsia="zh-CN"/>
              </w:rPr>
              <w:t>注：数据源于《S340杨楼孜至阜阳段改建工程项目环境影响报告书》中的监测数据</w:t>
            </w:r>
          </w:p>
        </w:tc>
      </w:tr>
    </w:tbl>
    <w:p w14:paraId="459CD307">
      <w:pPr>
        <w:pStyle w:val="757"/>
      </w:pPr>
      <w:bookmarkStart w:id="209" w:name="_Toc17440"/>
      <w:r>
        <w:t>3.3.3.2废水污染源分析</w:t>
      </w:r>
    </w:p>
    <w:bookmarkEnd w:id="209"/>
    <w:p w14:paraId="02A49F0D">
      <w:pPr>
        <w:pStyle w:val="104"/>
      </w:pPr>
      <w:r>
        <w:t>施工废水主要来自施工人员少量生活污水和施工排水，排放的污染物主要为CODcr和SS等。</w:t>
      </w:r>
    </w:p>
    <w:p w14:paraId="753E23C3">
      <w:pPr>
        <w:pStyle w:val="104"/>
      </w:pPr>
      <w:r>
        <w:t>据类比调查，结合本项目的实际，本项目施工过程中产生的废水主要来自于施工人员的生活污水、建筑施工废水和雨后地表径流形成的泥浆水以及其中所携带的污染物。</w:t>
      </w:r>
    </w:p>
    <w:p w14:paraId="6AF9A975">
      <w:pPr>
        <w:pStyle w:val="104"/>
      </w:pPr>
      <w:r>
        <w:t>根据施工单位提供的资料，本项目施工期间工人数最高峰为100人，施工人员平均用水量按30L/（人•日）计，其中80%为废水排放量，则本项目在施工期间的污水量为2.4m</w:t>
      </w:r>
      <w:r>
        <w:rPr>
          <w:vertAlign w:val="superscript"/>
        </w:rPr>
        <w:t>3</w:t>
      </w:r>
      <w:r>
        <w:t>/d。经类比调查，建筑工地施工期排水中主要污染物的排放浓度为：CODcr约为160mg/L，NH3-N约为14.0mg/L，SS约为140mg/L。排入场内建设的防渗化粪池，施工完成后清掏至堆粪平台堆肥。</w:t>
      </w:r>
    </w:p>
    <w:p w14:paraId="5893EDC1">
      <w:pPr>
        <w:pStyle w:val="105"/>
        <w:ind w:firstLine="480"/>
      </w:pPr>
      <w:r>
        <w:t>施工废水来自清洗设备、材料、素灰拌和及搅拌混凝土等所产生的污水，此部分污水中的污染物质主要是SS，不含有其他有毒有害物质。施工废水产生量为36t/d，SS浓度约为400-500mg/L左右，全部经沉淀池沉淀后用作车辆冲洗，及场地冲洗等。</w:t>
      </w:r>
    </w:p>
    <w:p w14:paraId="5285FD59">
      <w:pPr>
        <w:pStyle w:val="757"/>
      </w:pPr>
      <w:bookmarkStart w:id="210" w:name="_Toc11590"/>
      <w:r>
        <w:t>3.3.3.3噪声污染源分析</w:t>
      </w:r>
    </w:p>
    <w:bookmarkEnd w:id="210"/>
    <w:p w14:paraId="731CC1FB">
      <w:pPr>
        <w:pStyle w:val="105"/>
        <w:ind w:firstLine="480"/>
      </w:pPr>
      <w:r>
        <w:t>施工噪声主要来自于各种施工机械和车辆行驶噪声。</w:t>
      </w:r>
    </w:p>
    <w:p w14:paraId="65B18A68">
      <w:pPr>
        <w:pStyle w:val="105"/>
        <w:ind w:firstLine="480"/>
      </w:pPr>
      <w:r>
        <w:t>施工期主要噪声源为建筑工地机械设备噪声和运输卡车的交通噪声。建筑工地噪声主要来自土地平整、地基加固和建筑施工等活动。土地平整的噪声主要来源于推土机、铲车、大卡车；地基加固的噪声来源于打桩机、运输车辆、空压机等。各种施工机械中对环境影响较大的噪声设备主要是打桩机、挖掘机、混凝土搅拌机等。</w:t>
      </w:r>
    </w:p>
    <w:p w14:paraId="76117C79">
      <w:pPr>
        <w:pStyle w:val="756"/>
      </w:pPr>
      <w:r>
        <w:t>表3.3-3施工期主要噪声源及其声级值</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1850"/>
        <w:gridCol w:w="1638"/>
        <w:gridCol w:w="1636"/>
        <w:gridCol w:w="1785"/>
        <w:gridCol w:w="1223"/>
      </w:tblGrid>
      <w:tr w14:paraId="1AB8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22" w:type="pct"/>
            <w:vAlign w:val="center"/>
          </w:tcPr>
          <w:p w14:paraId="469E57F7">
            <w:pPr>
              <w:pStyle w:val="751"/>
              <w:rPr>
                <w:color w:val="auto"/>
              </w:rPr>
            </w:pPr>
            <w:r>
              <w:rPr>
                <w:color w:val="auto"/>
              </w:rPr>
              <w:t>施工阶段</w:t>
            </w:r>
          </w:p>
        </w:tc>
        <w:tc>
          <w:tcPr>
            <w:tcW w:w="996" w:type="pct"/>
            <w:vAlign w:val="center"/>
          </w:tcPr>
          <w:p w14:paraId="04471C9C">
            <w:pPr>
              <w:pStyle w:val="751"/>
              <w:rPr>
                <w:color w:val="auto"/>
              </w:rPr>
            </w:pPr>
            <w:r>
              <w:rPr>
                <w:color w:val="auto"/>
              </w:rPr>
              <w:t>声源</w:t>
            </w:r>
          </w:p>
        </w:tc>
        <w:tc>
          <w:tcPr>
            <w:tcW w:w="882" w:type="pct"/>
            <w:vAlign w:val="center"/>
          </w:tcPr>
          <w:p w14:paraId="073607BB">
            <w:pPr>
              <w:pStyle w:val="751"/>
              <w:rPr>
                <w:color w:val="auto"/>
              </w:rPr>
            </w:pPr>
            <w:r>
              <w:rPr>
                <w:color w:val="auto"/>
              </w:rPr>
              <w:t>声源强度</w:t>
            </w:r>
          </w:p>
          <w:p w14:paraId="1550B09E">
            <w:pPr>
              <w:pStyle w:val="751"/>
              <w:rPr>
                <w:color w:val="auto"/>
              </w:rPr>
            </w:pPr>
            <w:r>
              <w:rPr>
                <w:color w:val="auto"/>
              </w:rPr>
              <w:t>dB(A)</w:t>
            </w:r>
          </w:p>
        </w:tc>
        <w:tc>
          <w:tcPr>
            <w:tcW w:w="881" w:type="pct"/>
            <w:vAlign w:val="center"/>
          </w:tcPr>
          <w:p w14:paraId="37DB55DF">
            <w:pPr>
              <w:pStyle w:val="751"/>
              <w:rPr>
                <w:color w:val="auto"/>
              </w:rPr>
            </w:pPr>
            <w:r>
              <w:rPr>
                <w:color w:val="auto"/>
              </w:rPr>
              <w:t>施工阶段</w:t>
            </w:r>
          </w:p>
        </w:tc>
        <w:tc>
          <w:tcPr>
            <w:tcW w:w="961" w:type="pct"/>
            <w:vAlign w:val="center"/>
          </w:tcPr>
          <w:p w14:paraId="3F24FC98">
            <w:pPr>
              <w:pStyle w:val="751"/>
              <w:rPr>
                <w:color w:val="auto"/>
              </w:rPr>
            </w:pPr>
            <w:r>
              <w:rPr>
                <w:color w:val="auto"/>
              </w:rPr>
              <w:t>声源</w:t>
            </w:r>
          </w:p>
        </w:tc>
        <w:tc>
          <w:tcPr>
            <w:tcW w:w="658" w:type="pct"/>
            <w:vAlign w:val="center"/>
          </w:tcPr>
          <w:p w14:paraId="33C43594">
            <w:pPr>
              <w:pStyle w:val="751"/>
              <w:rPr>
                <w:color w:val="auto"/>
              </w:rPr>
            </w:pPr>
            <w:r>
              <w:rPr>
                <w:color w:val="auto"/>
              </w:rPr>
              <w:t>声源强度</w:t>
            </w:r>
          </w:p>
          <w:p w14:paraId="6DCDF517">
            <w:pPr>
              <w:pStyle w:val="751"/>
              <w:rPr>
                <w:color w:val="auto"/>
              </w:rPr>
            </w:pPr>
            <w:r>
              <w:rPr>
                <w:color w:val="auto"/>
              </w:rPr>
              <w:t>dB(A)</w:t>
            </w:r>
          </w:p>
        </w:tc>
      </w:tr>
      <w:tr w14:paraId="4C5E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2" w:type="pct"/>
            <w:vMerge w:val="restart"/>
            <w:vAlign w:val="center"/>
          </w:tcPr>
          <w:p w14:paraId="41BCA3F6">
            <w:pPr>
              <w:pStyle w:val="751"/>
              <w:rPr>
                <w:color w:val="auto"/>
              </w:rPr>
            </w:pPr>
            <w:r>
              <w:rPr>
                <w:color w:val="auto"/>
              </w:rPr>
              <w:t>土石方</w:t>
            </w:r>
          </w:p>
          <w:p w14:paraId="2FA6DD2B">
            <w:pPr>
              <w:pStyle w:val="751"/>
              <w:rPr>
                <w:color w:val="auto"/>
              </w:rPr>
            </w:pPr>
            <w:r>
              <w:rPr>
                <w:color w:val="auto"/>
              </w:rPr>
              <w:t>阶段</w:t>
            </w:r>
          </w:p>
        </w:tc>
        <w:tc>
          <w:tcPr>
            <w:tcW w:w="996" w:type="pct"/>
            <w:vAlign w:val="center"/>
          </w:tcPr>
          <w:p w14:paraId="3508DA45">
            <w:pPr>
              <w:pStyle w:val="751"/>
              <w:rPr>
                <w:color w:val="auto"/>
              </w:rPr>
            </w:pPr>
            <w:r>
              <w:rPr>
                <w:color w:val="auto"/>
              </w:rPr>
              <w:t>挖土机</w:t>
            </w:r>
          </w:p>
        </w:tc>
        <w:tc>
          <w:tcPr>
            <w:tcW w:w="882" w:type="pct"/>
            <w:vAlign w:val="center"/>
          </w:tcPr>
          <w:p w14:paraId="016A5F51">
            <w:pPr>
              <w:pStyle w:val="751"/>
              <w:rPr>
                <w:color w:val="auto"/>
              </w:rPr>
            </w:pPr>
            <w:r>
              <w:rPr>
                <w:color w:val="auto"/>
              </w:rPr>
              <w:t>78～96</w:t>
            </w:r>
          </w:p>
        </w:tc>
        <w:tc>
          <w:tcPr>
            <w:tcW w:w="881" w:type="pct"/>
            <w:vMerge w:val="restart"/>
            <w:vAlign w:val="center"/>
          </w:tcPr>
          <w:p w14:paraId="6BC2E53C">
            <w:pPr>
              <w:pStyle w:val="751"/>
              <w:rPr>
                <w:color w:val="auto"/>
              </w:rPr>
            </w:pPr>
            <w:r>
              <w:rPr>
                <w:color w:val="auto"/>
              </w:rPr>
              <w:t>装修</w:t>
            </w:r>
          </w:p>
          <w:p w14:paraId="0D93D58F">
            <w:pPr>
              <w:pStyle w:val="751"/>
              <w:rPr>
                <w:color w:val="auto"/>
              </w:rPr>
            </w:pPr>
            <w:r>
              <w:rPr>
                <w:color w:val="auto"/>
              </w:rPr>
              <w:t>安装阶段</w:t>
            </w:r>
          </w:p>
        </w:tc>
        <w:tc>
          <w:tcPr>
            <w:tcW w:w="961" w:type="pct"/>
            <w:vAlign w:val="center"/>
          </w:tcPr>
          <w:p w14:paraId="5CCA2CA3">
            <w:pPr>
              <w:pStyle w:val="751"/>
              <w:rPr>
                <w:color w:val="auto"/>
              </w:rPr>
            </w:pPr>
            <w:r>
              <w:rPr>
                <w:color w:val="auto"/>
              </w:rPr>
              <w:t>电钻</w:t>
            </w:r>
          </w:p>
        </w:tc>
        <w:tc>
          <w:tcPr>
            <w:tcW w:w="658" w:type="pct"/>
            <w:vAlign w:val="center"/>
          </w:tcPr>
          <w:p w14:paraId="12EBF29B">
            <w:pPr>
              <w:pStyle w:val="751"/>
              <w:rPr>
                <w:color w:val="auto"/>
              </w:rPr>
            </w:pPr>
            <w:r>
              <w:rPr>
                <w:color w:val="auto"/>
              </w:rPr>
              <w:t>100～105</w:t>
            </w:r>
          </w:p>
        </w:tc>
      </w:tr>
      <w:tr w14:paraId="1FD4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2" w:type="pct"/>
            <w:vMerge w:val="continue"/>
            <w:vAlign w:val="center"/>
          </w:tcPr>
          <w:p w14:paraId="18A9A851">
            <w:pPr>
              <w:pStyle w:val="751"/>
              <w:rPr>
                <w:color w:val="auto"/>
              </w:rPr>
            </w:pPr>
          </w:p>
        </w:tc>
        <w:tc>
          <w:tcPr>
            <w:tcW w:w="996" w:type="pct"/>
            <w:vAlign w:val="center"/>
          </w:tcPr>
          <w:p w14:paraId="123BB6F4">
            <w:pPr>
              <w:pStyle w:val="751"/>
              <w:rPr>
                <w:color w:val="auto"/>
              </w:rPr>
            </w:pPr>
            <w:r>
              <w:rPr>
                <w:color w:val="auto"/>
              </w:rPr>
              <w:t>空压机</w:t>
            </w:r>
          </w:p>
        </w:tc>
        <w:tc>
          <w:tcPr>
            <w:tcW w:w="882" w:type="pct"/>
            <w:vAlign w:val="center"/>
          </w:tcPr>
          <w:p w14:paraId="7D3D24F7">
            <w:pPr>
              <w:pStyle w:val="751"/>
              <w:rPr>
                <w:color w:val="auto"/>
              </w:rPr>
            </w:pPr>
            <w:r>
              <w:rPr>
                <w:color w:val="auto"/>
              </w:rPr>
              <w:t>75～85</w:t>
            </w:r>
          </w:p>
        </w:tc>
        <w:tc>
          <w:tcPr>
            <w:tcW w:w="881" w:type="pct"/>
            <w:vMerge w:val="continue"/>
            <w:vAlign w:val="center"/>
          </w:tcPr>
          <w:p w14:paraId="2B98C787">
            <w:pPr>
              <w:pStyle w:val="751"/>
              <w:rPr>
                <w:color w:val="auto"/>
              </w:rPr>
            </w:pPr>
          </w:p>
        </w:tc>
        <w:tc>
          <w:tcPr>
            <w:tcW w:w="961" w:type="pct"/>
            <w:vAlign w:val="center"/>
          </w:tcPr>
          <w:p w14:paraId="67920195">
            <w:pPr>
              <w:pStyle w:val="751"/>
              <w:rPr>
                <w:color w:val="auto"/>
              </w:rPr>
            </w:pPr>
            <w:r>
              <w:rPr>
                <w:color w:val="auto"/>
              </w:rPr>
              <w:t>电锤</w:t>
            </w:r>
          </w:p>
        </w:tc>
        <w:tc>
          <w:tcPr>
            <w:tcW w:w="658" w:type="pct"/>
            <w:vAlign w:val="center"/>
          </w:tcPr>
          <w:p w14:paraId="4223677D">
            <w:pPr>
              <w:pStyle w:val="751"/>
              <w:rPr>
                <w:color w:val="auto"/>
              </w:rPr>
            </w:pPr>
            <w:r>
              <w:rPr>
                <w:color w:val="auto"/>
              </w:rPr>
              <w:t>100～105</w:t>
            </w:r>
          </w:p>
        </w:tc>
      </w:tr>
      <w:tr w14:paraId="7D4B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2" w:type="pct"/>
            <w:vMerge w:val="restart"/>
            <w:vAlign w:val="center"/>
          </w:tcPr>
          <w:p w14:paraId="5C004A60">
            <w:pPr>
              <w:pStyle w:val="751"/>
              <w:rPr>
                <w:color w:val="auto"/>
              </w:rPr>
            </w:pPr>
            <w:r>
              <w:rPr>
                <w:color w:val="auto"/>
              </w:rPr>
              <w:t>底板与结构阶段</w:t>
            </w:r>
          </w:p>
        </w:tc>
        <w:tc>
          <w:tcPr>
            <w:tcW w:w="996" w:type="pct"/>
            <w:vAlign w:val="center"/>
          </w:tcPr>
          <w:p w14:paraId="393C3D99">
            <w:pPr>
              <w:pStyle w:val="751"/>
              <w:rPr>
                <w:color w:val="auto"/>
              </w:rPr>
            </w:pPr>
            <w:r>
              <w:rPr>
                <w:color w:val="auto"/>
              </w:rPr>
              <w:t>振捣器</w:t>
            </w:r>
          </w:p>
        </w:tc>
        <w:tc>
          <w:tcPr>
            <w:tcW w:w="882" w:type="pct"/>
            <w:vAlign w:val="center"/>
          </w:tcPr>
          <w:p w14:paraId="15BFF460">
            <w:pPr>
              <w:pStyle w:val="751"/>
              <w:rPr>
                <w:color w:val="auto"/>
              </w:rPr>
            </w:pPr>
            <w:r>
              <w:rPr>
                <w:color w:val="auto"/>
              </w:rPr>
              <w:t>100～105</w:t>
            </w:r>
          </w:p>
        </w:tc>
        <w:tc>
          <w:tcPr>
            <w:tcW w:w="881" w:type="pct"/>
            <w:vMerge w:val="continue"/>
            <w:vAlign w:val="center"/>
          </w:tcPr>
          <w:p w14:paraId="228A6914">
            <w:pPr>
              <w:pStyle w:val="751"/>
              <w:rPr>
                <w:color w:val="auto"/>
              </w:rPr>
            </w:pPr>
          </w:p>
        </w:tc>
        <w:tc>
          <w:tcPr>
            <w:tcW w:w="961" w:type="pct"/>
            <w:vAlign w:val="center"/>
          </w:tcPr>
          <w:p w14:paraId="2634A276">
            <w:pPr>
              <w:pStyle w:val="751"/>
              <w:rPr>
                <w:color w:val="auto"/>
              </w:rPr>
            </w:pPr>
            <w:r>
              <w:rPr>
                <w:color w:val="auto"/>
              </w:rPr>
              <w:t>手工钻</w:t>
            </w:r>
          </w:p>
        </w:tc>
        <w:tc>
          <w:tcPr>
            <w:tcW w:w="658" w:type="pct"/>
            <w:vAlign w:val="center"/>
          </w:tcPr>
          <w:p w14:paraId="5C4F335A">
            <w:pPr>
              <w:pStyle w:val="751"/>
              <w:rPr>
                <w:color w:val="auto"/>
              </w:rPr>
            </w:pPr>
            <w:r>
              <w:rPr>
                <w:color w:val="auto"/>
              </w:rPr>
              <w:t>100～105</w:t>
            </w:r>
          </w:p>
        </w:tc>
      </w:tr>
      <w:tr w14:paraId="4A36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2" w:type="pct"/>
            <w:vMerge w:val="continue"/>
            <w:vAlign w:val="center"/>
          </w:tcPr>
          <w:p w14:paraId="2215BC69">
            <w:pPr>
              <w:pStyle w:val="751"/>
              <w:rPr>
                <w:color w:val="auto"/>
              </w:rPr>
            </w:pPr>
          </w:p>
        </w:tc>
        <w:tc>
          <w:tcPr>
            <w:tcW w:w="996" w:type="pct"/>
            <w:vAlign w:val="center"/>
          </w:tcPr>
          <w:p w14:paraId="13525909">
            <w:pPr>
              <w:pStyle w:val="751"/>
              <w:rPr>
                <w:color w:val="auto"/>
              </w:rPr>
            </w:pPr>
            <w:r>
              <w:rPr>
                <w:color w:val="auto"/>
              </w:rPr>
              <w:t>电锯</w:t>
            </w:r>
          </w:p>
        </w:tc>
        <w:tc>
          <w:tcPr>
            <w:tcW w:w="882" w:type="pct"/>
            <w:vAlign w:val="center"/>
          </w:tcPr>
          <w:p w14:paraId="60AD7DFA">
            <w:pPr>
              <w:pStyle w:val="751"/>
              <w:rPr>
                <w:color w:val="auto"/>
              </w:rPr>
            </w:pPr>
            <w:r>
              <w:rPr>
                <w:color w:val="auto"/>
              </w:rPr>
              <w:t>100～105</w:t>
            </w:r>
          </w:p>
        </w:tc>
        <w:tc>
          <w:tcPr>
            <w:tcW w:w="881" w:type="pct"/>
            <w:vMerge w:val="continue"/>
            <w:vAlign w:val="center"/>
          </w:tcPr>
          <w:p w14:paraId="15C486CF">
            <w:pPr>
              <w:pStyle w:val="751"/>
              <w:rPr>
                <w:color w:val="auto"/>
              </w:rPr>
            </w:pPr>
          </w:p>
        </w:tc>
        <w:tc>
          <w:tcPr>
            <w:tcW w:w="961" w:type="pct"/>
            <w:vAlign w:val="center"/>
          </w:tcPr>
          <w:p w14:paraId="3EA20A99">
            <w:pPr>
              <w:pStyle w:val="751"/>
              <w:rPr>
                <w:color w:val="auto"/>
              </w:rPr>
            </w:pPr>
            <w:r>
              <w:rPr>
                <w:color w:val="auto"/>
              </w:rPr>
              <w:t>无齿锯</w:t>
            </w:r>
          </w:p>
        </w:tc>
        <w:tc>
          <w:tcPr>
            <w:tcW w:w="658" w:type="pct"/>
            <w:vAlign w:val="center"/>
          </w:tcPr>
          <w:p w14:paraId="160F448E">
            <w:pPr>
              <w:pStyle w:val="751"/>
              <w:rPr>
                <w:color w:val="auto"/>
              </w:rPr>
            </w:pPr>
            <w:r>
              <w:rPr>
                <w:color w:val="auto"/>
              </w:rPr>
              <w:t>105</w:t>
            </w:r>
          </w:p>
        </w:tc>
      </w:tr>
      <w:tr w14:paraId="0928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2" w:type="pct"/>
            <w:vMerge w:val="continue"/>
            <w:vAlign w:val="center"/>
          </w:tcPr>
          <w:p w14:paraId="74CEEA05">
            <w:pPr>
              <w:pStyle w:val="751"/>
              <w:rPr>
                <w:color w:val="auto"/>
              </w:rPr>
            </w:pPr>
          </w:p>
        </w:tc>
        <w:tc>
          <w:tcPr>
            <w:tcW w:w="996" w:type="pct"/>
            <w:vAlign w:val="center"/>
          </w:tcPr>
          <w:p w14:paraId="1258DD3C">
            <w:pPr>
              <w:pStyle w:val="751"/>
              <w:rPr>
                <w:color w:val="auto"/>
              </w:rPr>
            </w:pPr>
            <w:r>
              <w:rPr>
                <w:color w:val="auto"/>
              </w:rPr>
              <w:t>电焊机</w:t>
            </w:r>
          </w:p>
        </w:tc>
        <w:tc>
          <w:tcPr>
            <w:tcW w:w="882" w:type="pct"/>
            <w:vAlign w:val="center"/>
          </w:tcPr>
          <w:p w14:paraId="2868C0BF">
            <w:pPr>
              <w:pStyle w:val="751"/>
              <w:rPr>
                <w:color w:val="auto"/>
              </w:rPr>
            </w:pPr>
            <w:r>
              <w:rPr>
                <w:color w:val="auto"/>
              </w:rPr>
              <w:t>90～95</w:t>
            </w:r>
          </w:p>
        </w:tc>
        <w:tc>
          <w:tcPr>
            <w:tcW w:w="881" w:type="pct"/>
            <w:vMerge w:val="continue"/>
            <w:vAlign w:val="center"/>
          </w:tcPr>
          <w:p w14:paraId="3A4AB3C0">
            <w:pPr>
              <w:pStyle w:val="751"/>
              <w:rPr>
                <w:color w:val="auto"/>
              </w:rPr>
            </w:pPr>
          </w:p>
        </w:tc>
        <w:tc>
          <w:tcPr>
            <w:tcW w:w="961" w:type="pct"/>
            <w:vAlign w:val="center"/>
          </w:tcPr>
          <w:p w14:paraId="5B6FDA13">
            <w:pPr>
              <w:pStyle w:val="751"/>
              <w:rPr>
                <w:color w:val="auto"/>
              </w:rPr>
            </w:pPr>
            <w:r>
              <w:rPr>
                <w:color w:val="auto"/>
              </w:rPr>
              <w:t>多功能木工刨</w:t>
            </w:r>
          </w:p>
        </w:tc>
        <w:tc>
          <w:tcPr>
            <w:tcW w:w="658" w:type="pct"/>
            <w:vAlign w:val="center"/>
          </w:tcPr>
          <w:p w14:paraId="44B608E3">
            <w:pPr>
              <w:pStyle w:val="751"/>
              <w:rPr>
                <w:color w:val="auto"/>
              </w:rPr>
            </w:pPr>
            <w:r>
              <w:rPr>
                <w:color w:val="auto"/>
              </w:rPr>
              <w:t>90～100</w:t>
            </w:r>
          </w:p>
        </w:tc>
      </w:tr>
      <w:tr w14:paraId="130D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2" w:type="pct"/>
            <w:vMerge w:val="continue"/>
            <w:vAlign w:val="center"/>
          </w:tcPr>
          <w:p w14:paraId="75EBF917">
            <w:pPr>
              <w:pStyle w:val="751"/>
              <w:rPr>
                <w:color w:val="auto"/>
              </w:rPr>
            </w:pPr>
          </w:p>
        </w:tc>
        <w:tc>
          <w:tcPr>
            <w:tcW w:w="996" w:type="pct"/>
            <w:vAlign w:val="center"/>
          </w:tcPr>
          <w:p w14:paraId="4DA8DE1A">
            <w:pPr>
              <w:pStyle w:val="751"/>
              <w:rPr>
                <w:color w:val="auto"/>
              </w:rPr>
            </w:pPr>
            <w:r>
              <w:rPr>
                <w:color w:val="auto"/>
              </w:rPr>
              <w:t>空压机</w:t>
            </w:r>
          </w:p>
        </w:tc>
        <w:tc>
          <w:tcPr>
            <w:tcW w:w="882" w:type="pct"/>
            <w:vAlign w:val="center"/>
          </w:tcPr>
          <w:p w14:paraId="3955497A">
            <w:pPr>
              <w:pStyle w:val="751"/>
              <w:rPr>
                <w:color w:val="auto"/>
              </w:rPr>
            </w:pPr>
            <w:r>
              <w:rPr>
                <w:color w:val="auto"/>
              </w:rPr>
              <w:t>75～85</w:t>
            </w:r>
          </w:p>
        </w:tc>
        <w:tc>
          <w:tcPr>
            <w:tcW w:w="881" w:type="pct"/>
            <w:vMerge w:val="continue"/>
            <w:vAlign w:val="center"/>
          </w:tcPr>
          <w:p w14:paraId="2819528C">
            <w:pPr>
              <w:pStyle w:val="751"/>
              <w:rPr>
                <w:color w:val="auto"/>
              </w:rPr>
            </w:pPr>
          </w:p>
        </w:tc>
        <w:tc>
          <w:tcPr>
            <w:tcW w:w="961" w:type="pct"/>
            <w:vAlign w:val="center"/>
          </w:tcPr>
          <w:p w14:paraId="5B6B91AF">
            <w:pPr>
              <w:pStyle w:val="751"/>
              <w:rPr>
                <w:color w:val="auto"/>
              </w:rPr>
            </w:pPr>
            <w:r>
              <w:rPr>
                <w:color w:val="auto"/>
              </w:rPr>
              <w:t>角向磨光机</w:t>
            </w:r>
          </w:p>
        </w:tc>
        <w:tc>
          <w:tcPr>
            <w:tcW w:w="658" w:type="pct"/>
            <w:vAlign w:val="center"/>
          </w:tcPr>
          <w:p w14:paraId="54FEA325">
            <w:pPr>
              <w:pStyle w:val="751"/>
              <w:rPr>
                <w:color w:val="auto"/>
              </w:rPr>
            </w:pPr>
            <w:r>
              <w:rPr>
                <w:color w:val="auto"/>
              </w:rPr>
              <w:t>100～115</w:t>
            </w:r>
          </w:p>
        </w:tc>
      </w:tr>
      <w:tr w14:paraId="6E8A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816AA64">
            <w:pPr>
              <w:pStyle w:val="751"/>
              <w:rPr>
                <w:color w:val="auto"/>
              </w:rPr>
            </w:pPr>
            <w:r>
              <w:rPr>
                <w:color w:val="auto"/>
              </w:rPr>
              <w:t>注：当多台机械设备同时作业时，产生噪声叠加，叠加后的噪声增加3～8dB，一般不会超过10dB。</w:t>
            </w:r>
          </w:p>
        </w:tc>
      </w:tr>
    </w:tbl>
    <w:p w14:paraId="57CB4514">
      <w:pPr>
        <w:pStyle w:val="756"/>
      </w:pPr>
      <w:r>
        <w:t>表3.3-4施工期运输车辆及其声级值</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2"/>
        <w:gridCol w:w="3115"/>
        <w:gridCol w:w="2855"/>
        <w:gridCol w:w="2015"/>
      </w:tblGrid>
      <w:tr w14:paraId="4CA2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1" w:type="pct"/>
            <w:vAlign w:val="center"/>
          </w:tcPr>
          <w:p w14:paraId="3BA92CEE">
            <w:pPr>
              <w:pStyle w:val="751"/>
              <w:rPr>
                <w:color w:val="auto"/>
              </w:rPr>
            </w:pPr>
            <w:r>
              <w:rPr>
                <w:color w:val="auto"/>
              </w:rPr>
              <w:t>施工阶段</w:t>
            </w:r>
          </w:p>
        </w:tc>
        <w:tc>
          <w:tcPr>
            <w:tcW w:w="1677" w:type="pct"/>
            <w:vAlign w:val="center"/>
          </w:tcPr>
          <w:p w14:paraId="2786B9EC">
            <w:pPr>
              <w:pStyle w:val="751"/>
              <w:rPr>
                <w:color w:val="auto"/>
              </w:rPr>
            </w:pPr>
            <w:r>
              <w:rPr>
                <w:color w:val="auto"/>
              </w:rPr>
              <w:t>运输内容</w:t>
            </w:r>
          </w:p>
        </w:tc>
        <w:tc>
          <w:tcPr>
            <w:tcW w:w="1537" w:type="pct"/>
            <w:vAlign w:val="center"/>
          </w:tcPr>
          <w:p w14:paraId="1942015D">
            <w:pPr>
              <w:pStyle w:val="751"/>
              <w:rPr>
                <w:color w:val="auto"/>
              </w:rPr>
            </w:pPr>
            <w:r>
              <w:rPr>
                <w:color w:val="auto"/>
              </w:rPr>
              <w:t>车辆类型</w:t>
            </w:r>
          </w:p>
        </w:tc>
        <w:tc>
          <w:tcPr>
            <w:tcW w:w="1085" w:type="pct"/>
            <w:vAlign w:val="center"/>
          </w:tcPr>
          <w:p w14:paraId="3C333620">
            <w:pPr>
              <w:pStyle w:val="751"/>
              <w:rPr>
                <w:color w:val="auto"/>
              </w:rPr>
            </w:pPr>
            <w:r>
              <w:rPr>
                <w:color w:val="auto"/>
              </w:rPr>
              <w:t>声源强度dB(A)</w:t>
            </w:r>
          </w:p>
        </w:tc>
      </w:tr>
      <w:tr w14:paraId="7CB9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1" w:type="pct"/>
            <w:vAlign w:val="center"/>
          </w:tcPr>
          <w:p w14:paraId="1C693EA0">
            <w:pPr>
              <w:pStyle w:val="751"/>
              <w:rPr>
                <w:color w:val="auto"/>
              </w:rPr>
            </w:pPr>
            <w:r>
              <w:rPr>
                <w:color w:val="auto"/>
              </w:rPr>
              <w:t>土方阶段</w:t>
            </w:r>
          </w:p>
        </w:tc>
        <w:tc>
          <w:tcPr>
            <w:tcW w:w="1677" w:type="pct"/>
            <w:vAlign w:val="center"/>
          </w:tcPr>
          <w:p w14:paraId="061617BB">
            <w:pPr>
              <w:pStyle w:val="751"/>
              <w:rPr>
                <w:color w:val="auto"/>
              </w:rPr>
            </w:pPr>
            <w:r>
              <w:rPr>
                <w:color w:val="auto"/>
              </w:rPr>
              <w:t>弃土外运</w:t>
            </w:r>
          </w:p>
        </w:tc>
        <w:tc>
          <w:tcPr>
            <w:tcW w:w="1537" w:type="pct"/>
            <w:vAlign w:val="center"/>
          </w:tcPr>
          <w:p w14:paraId="3F0EB043">
            <w:pPr>
              <w:pStyle w:val="751"/>
              <w:rPr>
                <w:color w:val="auto"/>
              </w:rPr>
            </w:pPr>
            <w:r>
              <w:rPr>
                <w:color w:val="auto"/>
              </w:rPr>
              <w:t>大型载重车</w:t>
            </w:r>
          </w:p>
        </w:tc>
        <w:tc>
          <w:tcPr>
            <w:tcW w:w="1085" w:type="pct"/>
            <w:vAlign w:val="center"/>
          </w:tcPr>
          <w:p w14:paraId="718D3F5F">
            <w:pPr>
              <w:pStyle w:val="751"/>
              <w:rPr>
                <w:color w:val="auto"/>
              </w:rPr>
            </w:pPr>
            <w:r>
              <w:rPr>
                <w:color w:val="auto"/>
              </w:rPr>
              <w:t>92～99</w:t>
            </w:r>
          </w:p>
        </w:tc>
      </w:tr>
      <w:tr w14:paraId="40B8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1" w:type="pct"/>
            <w:vAlign w:val="center"/>
          </w:tcPr>
          <w:p w14:paraId="0984931C">
            <w:pPr>
              <w:pStyle w:val="751"/>
              <w:rPr>
                <w:color w:val="auto"/>
              </w:rPr>
            </w:pPr>
            <w:r>
              <w:rPr>
                <w:color w:val="auto"/>
              </w:rPr>
              <w:t>结构阶段</w:t>
            </w:r>
          </w:p>
        </w:tc>
        <w:tc>
          <w:tcPr>
            <w:tcW w:w="1677" w:type="pct"/>
            <w:vAlign w:val="center"/>
          </w:tcPr>
          <w:p w14:paraId="6C68F077">
            <w:pPr>
              <w:pStyle w:val="751"/>
              <w:rPr>
                <w:color w:val="auto"/>
              </w:rPr>
            </w:pPr>
            <w:r>
              <w:rPr>
                <w:color w:val="auto"/>
              </w:rPr>
              <w:t>钢筋</w:t>
            </w:r>
          </w:p>
        </w:tc>
        <w:tc>
          <w:tcPr>
            <w:tcW w:w="1537" w:type="pct"/>
            <w:vAlign w:val="center"/>
          </w:tcPr>
          <w:p w14:paraId="4F0A6E4D">
            <w:pPr>
              <w:pStyle w:val="751"/>
              <w:rPr>
                <w:color w:val="auto"/>
              </w:rPr>
            </w:pPr>
            <w:r>
              <w:rPr>
                <w:color w:val="auto"/>
              </w:rPr>
              <w:t>振捣棒、电锯、吊车等</w:t>
            </w:r>
          </w:p>
        </w:tc>
        <w:tc>
          <w:tcPr>
            <w:tcW w:w="1085" w:type="pct"/>
            <w:vAlign w:val="center"/>
          </w:tcPr>
          <w:p w14:paraId="3DCA84B1">
            <w:pPr>
              <w:pStyle w:val="751"/>
              <w:rPr>
                <w:color w:val="auto"/>
              </w:rPr>
            </w:pPr>
            <w:r>
              <w:rPr>
                <w:color w:val="auto"/>
              </w:rPr>
              <w:t>95～115</w:t>
            </w:r>
          </w:p>
        </w:tc>
      </w:tr>
      <w:tr w14:paraId="6AAB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1" w:type="pct"/>
            <w:vAlign w:val="center"/>
          </w:tcPr>
          <w:p w14:paraId="1F064DBE">
            <w:pPr>
              <w:pStyle w:val="751"/>
              <w:rPr>
                <w:color w:val="auto"/>
              </w:rPr>
            </w:pPr>
            <w:r>
              <w:rPr>
                <w:color w:val="auto"/>
              </w:rPr>
              <w:t>装修阶段</w:t>
            </w:r>
          </w:p>
        </w:tc>
        <w:tc>
          <w:tcPr>
            <w:tcW w:w="1677" w:type="pct"/>
            <w:vAlign w:val="center"/>
          </w:tcPr>
          <w:p w14:paraId="013602F6">
            <w:pPr>
              <w:pStyle w:val="751"/>
              <w:rPr>
                <w:color w:val="auto"/>
              </w:rPr>
            </w:pPr>
            <w:r>
              <w:rPr>
                <w:color w:val="auto"/>
              </w:rPr>
              <w:t>各种装修材料及必备设备</w:t>
            </w:r>
          </w:p>
        </w:tc>
        <w:tc>
          <w:tcPr>
            <w:tcW w:w="1537" w:type="pct"/>
            <w:vAlign w:val="center"/>
          </w:tcPr>
          <w:p w14:paraId="1C5D74DE">
            <w:pPr>
              <w:pStyle w:val="751"/>
              <w:rPr>
                <w:color w:val="auto"/>
              </w:rPr>
            </w:pPr>
            <w:r>
              <w:rPr>
                <w:color w:val="auto"/>
              </w:rPr>
              <w:t>汽车</w:t>
            </w:r>
          </w:p>
        </w:tc>
        <w:tc>
          <w:tcPr>
            <w:tcW w:w="1085" w:type="pct"/>
            <w:vAlign w:val="center"/>
          </w:tcPr>
          <w:p w14:paraId="14D5C4E7">
            <w:pPr>
              <w:pStyle w:val="751"/>
              <w:rPr>
                <w:color w:val="auto"/>
              </w:rPr>
            </w:pPr>
            <w:r>
              <w:rPr>
                <w:color w:val="auto"/>
              </w:rPr>
              <w:t>85-90</w:t>
            </w:r>
          </w:p>
        </w:tc>
      </w:tr>
    </w:tbl>
    <w:p w14:paraId="304980DF">
      <w:pPr>
        <w:pStyle w:val="12"/>
      </w:pPr>
      <w:bookmarkStart w:id="211" w:name="_Toc20223"/>
      <w:r>
        <w:t>3.3.3.4固体废物污染源分析</w:t>
      </w:r>
    </w:p>
    <w:bookmarkEnd w:id="211"/>
    <w:p w14:paraId="0F03C8A5">
      <w:pPr>
        <w:pStyle w:val="104"/>
      </w:pPr>
      <w:r>
        <w:t>新建项目施工期固体废物主要为建筑垃圾。</w:t>
      </w:r>
    </w:p>
    <w:p w14:paraId="235856C6">
      <w:pPr>
        <w:pStyle w:val="104"/>
      </w:pPr>
      <w:r>
        <w:t>施工过程将产生部分建筑垃圾，产生约50t，生活垃圾集中收集后，送当地政府部门指定地点进行处理。</w:t>
      </w:r>
    </w:p>
    <w:p w14:paraId="6778BF83">
      <w:pPr>
        <w:pStyle w:val="11"/>
      </w:pPr>
      <w:bookmarkStart w:id="212" w:name="_Toc166572274"/>
      <w:r>
        <w:t>3.3.2运营期污染源分析</w:t>
      </w:r>
      <w:bookmarkEnd w:id="212"/>
    </w:p>
    <w:p w14:paraId="699C3A78">
      <w:pPr>
        <w:pStyle w:val="12"/>
      </w:pPr>
      <w:r>
        <w:t>3.3.2.1大气污染源分析</w:t>
      </w:r>
    </w:p>
    <w:p w14:paraId="267034A3">
      <w:pPr>
        <w:pStyle w:val="104"/>
      </w:pPr>
      <w:r>
        <w:t>本项目营运期产生的废气主要包括鸡舍</w:t>
      </w:r>
      <w:r>
        <w:rPr>
          <w:rFonts w:hint="eastAsia"/>
        </w:rPr>
        <w:t>、有机肥发酵、污水处理站</w:t>
      </w:r>
      <w:r>
        <w:t>产生的恶臭气体、饲料加工产生的粉尘、天然气锅炉燃烧废气及食堂油烟。</w:t>
      </w:r>
    </w:p>
    <w:p w14:paraId="30A69DD1">
      <w:pPr>
        <w:pStyle w:val="105"/>
        <w:ind w:firstLine="482"/>
        <w:rPr>
          <w:b/>
        </w:rPr>
      </w:pPr>
      <w:r>
        <w:rPr>
          <w:b/>
          <w:bCs/>
        </w:rPr>
        <w:t>1</w:t>
      </w:r>
      <w:r>
        <w:rPr>
          <w:rFonts w:hint="eastAsia"/>
          <w:b/>
          <w:bCs/>
        </w:rPr>
        <w:t>、</w:t>
      </w:r>
      <w:r>
        <w:rPr>
          <w:b/>
        </w:rPr>
        <w:t>鸡舍恶臭气体</w:t>
      </w:r>
    </w:p>
    <w:p w14:paraId="69F3A7FF">
      <w:pPr>
        <w:autoSpaceDE w:val="0"/>
        <w:autoSpaceDN w:val="0"/>
        <w:adjustRightInd w:val="0"/>
        <w:ind w:firstLine="480"/>
      </w:pPr>
      <w:r>
        <w:t>养殖场大气污染物主要是鸡粪便产生的臭气，鸡粪便臭气是厌氧细菌发酵的产物，臭气中主要含有氨气、二氧化碳、一氧化碳、硫化氢和甲烷。任何物体表面若覆盖着粪便，都能形成恶臭污染源。目前，已鉴定出在鸡粪尿中有恶臭成分220种，这些物质都是产生生化反应的中间产物或终端产物，其中包括了多种挥发性有机酸、醇类物质、醛类物质、不流动气体、酯类物质、胺类物质、硫化物、硫醇以及含氮杂环类物质。在粪尿中还发现80多种含氮化合物，其中有10种与恶臭味有关。鸡粪恶臭成分中对环境危害较大的是氨气、硫化氢等。本项目臭气体主要来自于养殖区的鸡舍，属于无组织面源排放。</w:t>
      </w:r>
    </w:p>
    <w:p w14:paraId="5232FDE8">
      <w:pPr>
        <w:autoSpaceDE w:val="0"/>
        <w:autoSpaceDN w:val="0"/>
        <w:adjustRightInd w:val="0"/>
        <w:ind w:firstLine="480"/>
      </w:pPr>
      <w:r>
        <w:t>鉴于目前的环境标准和监测手段，此次评价仅以其中的H</w:t>
      </w:r>
      <w:r>
        <w:rPr>
          <w:vertAlign w:val="subscript"/>
        </w:rPr>
        <w:t>2</w:t>
      </w:r>
      <w:r>
        <w:t>S和NH</w:t>
      </w:r>
      <w:r>
        <w:rPr>
          <w:vertAlign w:val="subscript"/>
        </w:rPr>
        <w:t>3</w:t>
      </w:r>
      <w:r>
        <w:t>进行计算和分析，对臭气浓度进行定性分析。主要恶臭物质特征及排放浓度见表3.3-5。</w:t>
      </w:r>
    </w:p>
    <w:p w14:paraId="30561343">
      <w:pPr>
        <w:pStyle w:val="369"/>
      </w:pPr>
      <w:r>
        <w:t>表3.3-5  恶臭物质理化特征</w:t>
      </w:r>
    </w:p>
    <w:tbl>
      <w:tblPr>
        <w:tblStyle w:val="8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1884"/>
        <w:gridCol w:w="1883"/>
        <w:gridCol w:w="1840"/>
        <w:gridCol w:w="1840"/>
      </w:tblGrid>
      <w:tr w14:paraId="406D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9" w:type="pct"/>
            <w:vAlign w:val="center"/>
          </w:tcPr>
          <w:p w14:paraId="42839FA5">
            <w:pPr>
              <w:pStyle w:val="766"/>
              <w:rPr>
                <w:color w:val="auto"/>
              </w:rPr>
            </w:pPr>
            <w:r>
              <w:rPr>
                <w:color w:val="auto"/>
              </w:rPr>
              <w:t>恶臭物质</w:t>
            </w:r>
          </w:p>
        </w:tc>
        <w:tc>
          <w:tcPr>
            <w:tcW w:w="1015" w:type="pct"/>
            <w:vAlign w:val="center"/>
          </w:tcPr>
          <w:p w14:paraId="57D06AEC">
            <w:pPr>
              <w:pStyle w:val="766"/>
              <w:rPr>
                <w:color w:val="auto"/>
              </w:rPr>
            </w:pPr>
            <w:r>
              <w:rPr>
                <w:color w:val="auto"/>
              </w:rPr>
              <w:t>分子式</w:t>
            </w:r>
          </w:p>
        </w:tc>
        <w:tc>
          <w:tcPr>
            <w:tcW w:w="1014" w:type="pct"/>
            <w:vAlign w:val="center"/>
          </w:tcPr>
          <w:p w14:paraId="2A4B322B">
            <w:pPr>
              <w:pStyle w:val="766"/>
              <w:rPr>
                <w:color w:val="auto"/>
              </w:rPr>
            </w:pPr>
            <w:r>
              <w:rPr>
                <w:color w:val="auto"/>
              </w:rPr>
              <w:t>嗅</w:t>
            </w:r>
            <w:r>
              <w:rPr>
                <w:rFonts w:hint="eastAsia"/>
                <w:color w:val="auto"/>
              </w:rPr>
              <w:t>阈值</w:t>
            </w:r>
            <w:r>
              <w:rPr>
                <w:color w:val="auto"/>
              </w:rPr>
              <w:t xml:space="preserve">(ppm) </w:t>
            </w:r>
          </w:p>
        </w:tc>
        <w:tc>
          <w:tcPr>
            <w:tcW w:w="991" w:type="pct"/>
            <w:vAlign w:val="center"/>
          </w:tcPr>
          <w:p w14:paraId="318B2132">
            <w:pPr>
              <w:pStyle w:val="766"/>
              <w:rPr>
                <w:color w:val="auto"/>
              </w:rPr>
            </w:pPr>
            <w:r>
              <w:rPr>
                <w:color w:val="auto"/>
              </w:rPr>
              <w:t>嗅</w:t>
            </w:r>
            <w:r>
              <w:rPr>
                <w:rFonts w:hint="eastAsia"/>
                <w:color w:val="auto"/>
              </w:rPr>
              <w:t>阈</w:t>
            </w:r>
            <w:r>
              <w:rPr>
                <w:color w:val="auto"/>
              </w:rPr>
              <w:t>值（mg/m</w:t>
            </w:r>
            <w:r>
              <w:rPr>
                <w:color w:val="auto"/>
                <w:vertAlign w:val="superscript"/>
              </w:rPr>
              <w:t>3</w:t>
            </w:r>
            <w:r>
              <w:rPr>
                <w:color w:val="auto"/>
              </w:rPr>
              <w:t>）</w:t>
            </w:r>
          </w:p>
        </w:tc>
        <w:tc>
          <w:tcPr>
            <w:tcW w:w="991" w:type="pct"/>
            <w:vAlign w:val="center"/>
          </w:tcPr>
          <w:p w14:paraId="76DB2969">
            <w:pPr>
              <w:pStyle w:val="766"/>
              <w:rPr>
                <w:color w:val="auto"/>
              </w:rPr>
            </w:pPr>
            <w:r>
              <w:rPr>
                <w:color w:val="auto"/>
              </w:rPr>
              <w:t>臭气特征</w:t>
            </w:r>
          </w:p>
        </w:tc>
      </w:tr>
      <w:tr w14:paraId="1148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9" w:type="pct"/>
            <w:vAlign w:val="center"/>
          </w:tcPr>
          <w:p w14:paraId="700A67D9">
            <w:pPr>
              <w:pStyle w:val="766"/>
              <w:rPr>
                <w:color w:val="auto"/>
              </w:rPr>
            </w:pPr>
            <w:r>
              <w:rPr>
                <w:color w:val="auto"/>
              </w:rPr>
              <w:t>氨</w:t>
            </w:r>
          </w:p>
        </w:tc>
        <w:tc>
          <w:tcPr>
            <w:tcW w:w="1015" w:type="pct"/>
            <w:vAlign w:val="center"/>
          </w:tcPr>
          <w:p w14:paraId="691D522F">
            <w:pPr>
              <w:pStyle w:val="766"/>
              <w:rPr>
                <w:color w:val="auto"/>
              </w:rPr>
            </w:pPr>
            <w:r>
              <w:rPr>
                <w:color w:val="auto"/>
              </w:rPr>
              <w:t>NH</w:t>
            </w:r>
            <w:r>
              <w:rPr>
                <w:color w:val="auto"/>
                <w:vertAlign w:val="subscript"/>
              </w:rPr>
              <w:t>3</w:t>
            </w:r>
          </w:p>
        </w:tc>
        <w:tc>
          <w:tcPr>
            <w:tcW w:w="1014" w:type="pct"/>
            <w:vAlign w:val="center"/>
          </w:tcPr>
          <w:p w14:paraId="66727505">
            <w:pPr>
              <w:pStyle w:val="766"/>
              <w:rPr>
                <w:color w:val="auto"/>
              </w:rPr>
            </w:pPr>
            <w:r>
              <w:rPr>
                <w:color w:val="auto"/>
              </w:rPr>
              <w:t>0.1</w:t>
            </w:r>
          </w:p>
        </w:tc>
        <w:tc>
          <w:tcPr>
            <w:tcW w:w="991" w:type="pct"/>
            <w:vAlign w:val="center"/>
          </w:tcPr>
          <w:p w14:paraId="377DB246">
            <w:pPr>
              <w:pStyle w:val="766"/>
              <w:rPr>
                <w:color w:val="auto"/>
              </w:rPr>
            </w:pPr>
            <w:r>
              <w:rPr>
                <w:color w:val="auto"/>
              </w:rPr>
              <w:t>0.15</w:t>
            </w:r>
          </w:p>
        </w:tc>
        <w:tc>
          <w:tcPr>
            <w:tcW w:w="991" w:type="pct"/>
            <w:vAlign w:val="center"/>
          </w:tcPr>
          <w:p w14:paraId="4C943713">
            <w:pPr>
              <w:pStyle w:val="766"/>
              <w:rPr>
                <w:color w:val="auto"/>
              </w:rPr>
            </w:pPr>
            <w:r>
              <w:rPr>
                <w:color w:val="auto"/>
              </w:rPr>
              <w:t>刺激味</w:t>
            </w:r>
          </w:p>
        </w:tc>
      </w:tr>
      <w:tr w14:paraId="6CB4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9" w:type="pct"/>
            <w:vAlign w:val="center"/>
          </w:tcPr>
          <w:p w14:paraId="7B2D7905">
            <w:pPr>
              <w:pStyle w:val="766"/>
              <w:rPr>
                <w:color w:val="auto"/>
              </w:rPr>
            </w:pPr>
            <w:r>
              <w:rPr>
                <w:color w:val="auto"/>
              </w:rPr>
              <w:t>硫化氢</w:t>
            </w:r>
          </w:p>
        </w:tc>
        <w:tc>
          <w:tcPr>
            <w:tcW w:w="1015" w:type="pct"/>
            <w:vAlign w:val="center"/>
          </w:tcPr>
          <w:p w14:paraId="4371CEFE">
            <w:pPr>
              <w:pStyle w:val="766"/>
              <w:rPr>
                <w:color w:val="auto"/>
              </w:rPr>
            </w:pPr>
            <w:r>
              <w:rPr>
                <w:color w:val="auto"/>
              </w:rPr>
              <w:t>H</w:t>
            </w:r>
            <w:r>
              <w:rPr>
                <w:color w:val="auto"/>
                <w:vertAlign w:val="subscript"/>
              </w:rPr>
              <w:t>2</w:t>
            </w:r>
            <w:r>
              <w:rPr>
                <w:color w:val="auto"/>
              </w:rPr>
              <w:t>S</w:t>
            </w:r>
          </w:p>
        </w:tc>
        <w:tc>
          <w:tcPr>
            <w:tcW w:w="1014" w:type="pct"/>
            <w:vAlign w:val="center"/>
          </w:tcPr>
          <w:p w14:paraId="394F8164">
            <w:pPr>
              <w:pStyle w:val="766"/>
              <w:rPr>
                <w:color w:val="auto"/>
              </w:rPr>
            </w:pPr>
            <w:r>
              <w:rPr>
                <w:color w:val="auto"/>
              </w:rPr>
              <w:t>0.0005</w:t>
            </w:r>
          </w:p>
        </w:tc>
        <w:tc>
          <w:tcPr>
            <w:tcW w:w="991" w:type="pct"/>
            <w:vAlign w:val="center"/>
          </w:tcPr>
          <w:p w14:paraId="70F32D45">
            <w:pPr>
              <w:pStyle w:val="766"/>
              <w:rPr>
                <w:color w:val="auto"/>
              </w:rPr>
            </w:pPr>
            <w:r>
              <w:rPr>
                <w:color w:val="auto"/>
              </w:rPr>
              <w:t>0.00076</w:t>
            </w:r>
          </w:p>
        </w:tc>
        <w:tc>
          <w:tcPr>
            <w:tcW w:w="991" w:type="pct"/>
            <w:vAlign w:val="center"/>
          </w:tcPr>
          <w:p w14:paraId="1C0024E0">
            <w:pPr>
              <w:pStyle w:val="766"/>
              <w:rPr>
                <w:color w:val="auto"/>
              </w:rPr>
            </w:pPr>
            <w:r>
              <w:rPr>
                <w:color w:val="auto"/>
              </w:rPr>
              <w:t>臭蛋味</w:t>
            </w:r>
          </w:p>
        </w:tc>
      </w:tr>
    </w:tbl>
    <w:p w14:paraId="00DE4ECE">
      <w:pPr>
        <w:ind w:firstLine="480"/>
      </w:pPr>
      <w:r>
        <w:t>本环评废气</w:t>
      </w:r>
      <w:r>
        <w:rPr>
          <w:rFonts w:hint="eastAsia"/>
        </w:rPr>
        <w:t>选取</w:t>
      </w:r>
      <w:r>
        <w:t>NH</w:t>
      </w:r>
      <w:r>
        <w:rPr>
          <w:vertAlign w:val="subscript"/>
        </w:rPr>
        <w:t>3</w:t>
      </w:r>
      <w:r>
        <w:t>和H</w:t>
      </w:r>
      <w:r>
        <w:rPr>
          <w:vertAlign w:val="subscript"/>
        </w:rPr>
        <w:t>2</w:t>
      </w:r>
      <w:r>
        <w:t>S</w:t>
      </w:r>
      <w:r>
        <w:rPr>
          <w:rFonts w:hint="eastAsia"/>
        </w:rPr>
        <w:t>作为评价因子</w:t>
      </w:r>
      <w:r>
        <w:t>。由于养殖场臭气产生量与气温、鸡舍清洁条件、饲料等有关，且属于面源污染，无组织扩散。</w:t>
      </w:r>
    </w:p>
    <w:p w14:paraId="26E8405B">
      <w:pPr>
        <w:autoSpaceDE w:val="0"/>
        <w:autoSpaceDN w:val="0"/>
        <w:adjustRightInd w:val="0"/>
        <w:ind w:firstLine="480"/>
      </w:pPr>
      <w:r>
        <w:rPr>
          <w:rFonts w:hint="eastAsia"/>
        </w:rPr>
        <w:t>根据《大气氨源排放清单编制技术指南（试行）》，大气氨源排放的计算采用排放系数的计算方法，氨排放的总量即为活动和排放系数的乘积。计算公式如下：</w:t>
      </w:r>
    </w:p>
    <w:p w14:paraId="1326D9C0">
      <w:pPr>
        <w:autoSpaceDE w:val="0"/>
        <w:autoSpaceDN w:val="0"/>
        <w:adjustRightInd w:val="0"/>
        <w:ind w:firstLine="480"/>
      </w:pPr>
      <m:oMathPara>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ascii="Cambria Math" w:hAnsi="Cambria Math"/>
                </w:rPr>
                <m:t>i,j,y</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i,j,y</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EF</m:t>
              </m:r>
              <m:ctrlPr>
                <w:rPr>
                  <w:rFonts w:ascii="Cambria Math" w:hAnsi="Cambria Math"/>
                  <w:i/>
                </w:rPr>
              </m:ctrlPr>
            </m:e>
            <m:sub>
              <m:r>
                <m:rPr/>
                <w:rPr>
                  <w:rFonts w:ascii="Cambria Math" w:hAnsi="Cambria Math"/>
                </w:rPr>
                <m:t>i,j,y</m:t>
              </m:r>
              <m:ctrlPr>
                <w:rPr>
                  <w:rFonts w:ascii="Cambria Math" w:hAnsi="Cambria Math"/>
                  <w:i/>
                </w:rPr>
              </m:ctrlPr>
            </m:sub>
          </m:sSub>
          <m:r>
            <m:rPr/>
            <w:rPr>
              <w:rFonts w:ascii="Cambria Math" w:hAnsi="Cambria Math" w:cs="Cambria Math"/>
            </w:rPr>
            <m:t>×γ</m:t>
          </m:r>
        </m:oMath>
      </m:oMathPara>
    </w:p>
    <w:p w14:paraId="58C17059">
      <w:pPr>
        <w:ind w:firstLine="480"/>
        <w:jc w:val="both"/>
      </w:pPr>
      <w:r>
        <w:rPr>
          <w:rFonts w:hint="eastAsia"/>
        </w:rPr>
        <w:t>式中：</w:t>
      </w:r>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ascii="Cambria Math" w:hAnsi="Cambria Math"/>
              </w:rPr>
              <m:t>i,j,y</m:t>
            </m:r>
            <m:ctrlPr>
              <w:rPr>
                <w:rFonts w:ascii="Cambria Math" w:hAnsi="Cambria Math"/>
                <w:i/>
              </w:rPr>
            </m:ctrlPr>
          </m:sub>
        </m:sSub>
      </m:oMath>
      <w:r>
        <w:rPr>
          <w:rFonts w:hint="eastAsia" w:hAnsi="Cambria Math"/>
        </w:rPr>
        <w:t>指排放量，y年i地区j排放源的排放量；</w:t>
      </w:r>
    </w:p>
    <w:p w14:paraId="77EED6E0">
      <w:pPr>
        <w:ind w:firstLine="480"/>
        <w:jc w:val="both"/>
      </w:pPr>
      <w:r>
        <w:rPr>
          <w:rFonts w:hint="eastAsia"/>
        </w:rPr>
        <w:t xml:space="preserve">      </w:t>
      </w:r>
      <m:oMath>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i,j,y</m:t>
            </m:r>
            <m:ctrlPr>
              <w:rPr>
                <w:rFonts w:ascii="Cambria Math" w:hAnsi="Cambria Math"/>
                <w:i/>
              </w:rPr>
            </m:ctrlPr>
          </m:sub>
        </m:sSub>
      </m:oMath>
      <w:r>
        <w:rPr>
          <w:rFonts w:hint="eastAsia" w:hAnsi="Cambria Math"/>
        </w:rPr>
        <w:t>指活动水平，畜禽饲养量，本项目取120万只存栏鸡；</w:t>
      </w:r>
    </w:p>
    <w:p w14:paraId="14854970">
      <w:pPr>
        <w:ind w:firstLine="480"/>
        <w:jc w:val="both"/>
      </w:pPr>
      <w:r>
        <w:rPr>
          <w:rFonts w:hint="eastAsia"/>
        </w:rPr>
        <w:t xml:space="preserve">      </w:t>
      </w:r>
      <m:oMath>
        <m:sSub>
          <m:sSubPr>
            <m:ctrlPr>
              <w:rPr>
                <w:rFonts w:ascii="Cambria Math" w:hAnsi="Cambria Math"/>
                <w:i/>
              </w:rPr>
            </m:ctrlPr>
          </m:sSubPr>
          <m:e>
            <m:r>
              <m:rPr/>
              <w:rPr>
                <w:rFonts w:ascii="Cambria Math" w:hAnsi="Cambria Math"/>
              </w:rPr>
              <m:t>EF</m:t>
            </m:r>
            <m:ctrlPr>
              <w:rPr>
                <w:rFonts w:ascii="Cambria Math" w:hAnsi="Cambria Math"/>
                <w:i/>
              </w:rPr>
            </m:ctrlPr>
          </m:e>
          <m:sub>
            <m:r>
              <m:rPr/>
              <w:rPr>
                <w:rFonts w:ascii="Cambria Math" w:hAnsi="Cambria Math"/>
              </w:rPr>
              <m:t>i,j,y</m:t>
            </m:r>
            <m:ctrlPr>
              <w:rPr>
                <w:rFonts w:ascii="Cambria Math" w:hAnsi="Cambria Math"/>
                <w:i/>
              </w:rPr>
            </m:ctrlPr>
          </m:sub>
        </m:sSub>
      </m:oMath>
      <w:r>
        <w:rPr>
          <w:rFonts w:hint="eastAsia" w:hAnsi="Cambria Math"/>
        </w:rPr>
        <w:t>指排放系数，根据</w:t>
      </w:r>
      <w:r>
        <w:rPr>
          <w:rFonts w:hint="eastAsia"/>
        </w:rPr>
        <w:t>《大气氨源排放清单编制技术指南（试行）》表2确定蛋鸡集约化养殖（T＞20℃）时EF</w:t>
      </w:r>
      <w:r>
        <w:rPr>
          <w:rFonts w:hint="eastAsia"/>
          <w:vertAlign w:val="subscript"/>
        </w:rPr>
        <w:t>圈舍-固态</w:t>
      </w:r>
      <w:r>
        <w:rPr>
          <w:rFonts w:hint="eastAsia"/>
        </w:rPr>
        <w:t>为44.9%TAN；</w:t>
      </w:r>
    </w:p>
    <w:p w14:paraId="61CA621C">
      <w:pPr>
        <w:ind w:firstLine="480"/>
        <w:jc w:val="both"/>
      </w:pPr>
      <w:r>
        <w:rPr>
          <w:rFonts w:hint="eastAsia"/>
        </w:rPr>
        <w:t xml:space="preserve">      </w:t>
      </w:r>
      <m:oMath>
        <m:r>
          <m:rPr/>
          <w:rPr>
            <w:rFonts w:ascii="Cambria Math" w:hAnsi="Cambria Math" w:cs="Cambria Math"/>
          </w:rPr>
          <m:t>γ</m:t>
        </m:r>
      </m:oMath>
      <w:r>
        <w:rPr>
          <w:rFonts w:hint="eastAsia" w:hAnsi="Cambria Math" w:cs="Cambria Math"/>
        </w:rPr>
        <w:t>指氮-大气氨转换系数，畜禽养殖业取1.214；</w:t>
      </w:r>
    </w:p>
    <w:p w14:paraId="4ECF6978">
      <w:pPr>
        <w:ind w:firstLine="480"/>
        <w:jc w:val="both"/>
      </w:pPr>
      <m:oMathPara>
        <m:oMath>
          <m:sSub>
            <m:sSubPr>
              <m:ctrlPr>
                <w:rPr>
                  <w:rFonts w:ascii="Cambria Math" w:hAnsi="Cambria Math"/>
                </w:rPr>
              </m:ctrlPr>
            </m:sSubPr>
            <m:e>
              <m:r>
                <m:rPr>
                  <m:sty m:val="p"/>
                </m:rPr>
                <w:rPr>
                  <w:rFonts w:ascii="Cambria Math" w:hAnsi="Cambria Math"/>
                </w:rPr>
                <m:t>TAN</m:t>
              </m:r>
              <m:ctrlPr>
                <w:rPr>
                  <w:rFonts w:ascii="Cambria Math" w:hAnsi="Cambria Math"/>
                </w:rPr>
              </m:ctrlPr>
            </m:e>
            <m:sub>
              <m:r>
                <m:rPr>
                  <m:sty m:val="p"/>
                </m:rPr>
                <w:rPr>
                  <w:rFonts w:hint="eastAsia" w:ascii="Cambria Math" w:hAnsi="Cambria Math"/>
                </w:rPr>
                <m:t>室内，户外</m:t>
              </m:r>
              <m:ctrlPr>
                <w:rPr>
                  <w:rFonts w:ascii="Cambria Math" w:hAnsi="Cambria Math"/>
                </w:rPr>
              </m:ctrlPr>
            </m:sub>
          </m:sSub>
          <m:r>
            <m:rPr>
              <m:sty m:val="p"/>
            </m:rPr>
            <w:rPr>
              <w:rFonts w:ascii="Cambria Math" w:hAnsi="Cambria Math"/>
            </w:rPr>
            <m:t>=</m:t>
          </m:r>
          <m:r>
            <m:rPr>
              <m:sty m:val="p"/>
            </m:rPr>
            <w:rPr>
              <w:rFonts w:hint="eastAsia" w:ascii="Cambria Math" w:hAnsi="Cambria Math"/>
            </w:rPr>
            <m:t>畜禽年内饲养量</m:t>
          </m:r>
          <m:r>
            <m:rPr>
              <m:sty m:val="p"/>
            </m:rPr>
            <w:rPr>
              <w:rFonts w:ascii="Cambria Math" w:hAnsi="Cambria Math"/>
            </w:rPr>
            <m:t>×</m:t>
          </m:r>
          <m:r>
            <m:rPr>
              <m:sty m:val="p"/>
            </m:rPr>
            <w:rPr>
              <w:rFonts w:hint="eastAsia" w:ascii="Cambria Math" w:hAnsi="Cambria Math"/>
            </w:rPr>
            <m:t>单位畜禽排泄量</m:t>
          </m:r>
          <m:r>
            <m:rPr>
              <m:sty m:val="p"/>
            </m:rPr>
            <w:rPr>
              <w:rFonts w:ascii="Cambria Math" w:hAnsi="Cambria Math"/>
            </w:rPr>
            <m:t>×</m:t>
          </m:r>
          <m:r>
            <m:rPr>
              <m:sty m:val="p"/>
            </m:rPr>
            <w:rPr>
              <w:rFonts w:hint="eastAsia" w:ascii="Cambria Math" w:hAnsi="Cambria Math"/>
            </w:rPr>
            <m:t>含氮量</m:t>
          </m:r>
          <m:r>
            <m:rPr>
              <m:sty m:val="p"/>
            </m:rPr>
            <w:rPr>
              <w:rFonts w:ascii="Cambria Math" w:hAnsi="Cambria Math"/>
            </w:rPr>
            <m:t>×</m:t>
          </m:r>
          <m:r>
            <m:rPr>
              <m:sty m:val="p"/>
            </m:rPr>
            <w:rPr>
              <w:rFonts w:hint="eastAsia" w:ascii="Cambria Math" w:hAnsi="Cambria Math"/>
            </w:rPr>
            <m:t>铵态氮比例</m:t>
          </m:r>
          <m:r>
            <m:rPr>
              <m:sty m:val="p"/>
            </m:rPr>
            <w:rPr>
              <w:rFonts w:ascii="Cambria Math" w:hAnsi="Cambria Math" w:cs="Cambria Math"/>
            </w:rPr>
            <m:t>×</m:t>
          </m:r>
          <m:r>
            <m:rPr>
              <m:sty m:val="p"/>
            </m:rPr>
            <w:rPr>
              <w:rFonts w:hint="eastAsia" w:ascii="Cambria Math" w:hAnsi="Cambria Math" w:cs="Cambria Math"/>
            </w:rPr>
            <m:t>室内户外比例</m:t>
          </m:r>
        </m:oMath>
      </m:oMathPara>
    </w:p>
    <w:p w14:paraId="44BBF8D0">
      <w:pPr>
        <w:ind w:firstLine="480"/>
        <w:jc w:val="both"/>
      </w:pPr>
      <w:r>
        <w:rPr>
          <w:rFonts w:hint="eastAsia"/>
        </w:rPr>
        <w:t>根据《大气氨源排放清单编制技术指南（试行）》表4畜禽粪便排泄物铵态氮量的估算相关参数，本项目为蛋鸡养殖项目，蛋鸡饲养周期为365d，排泄量（粪便）为0.12kg/d/只，含氮量（粪便）为1.63%，铵态氮比例为70%，室内户外比例为100%。</w:t>
      </w:r>
    </w:p>
    <w:p w14:paraId="18BDE576">
      <w:pPr>
        <w:ind w:firstLine="480"/>
        <w:jc w:val="both"/>
      </w:pPr>
      <w:r>
        <w:rPr>
          <w:rFonts w:hint="eastAsia"/>
        </w:rPr>
        <w:t>经计算，鸡舍养殖过程释放的氨的量为269t/a。</w:t>
      </w:r>
    </w:p>
    <w:p w14:paraId="3B1257A8">
      <w:pPr>
        <w:autoSpaceDE w:val="0"/>
        <w:autoSpaceDN w:val="0"/>
        <w:adjustRightInd w:val="0"/>
        <w:ind w:firstLine="480"/>
      </w:pPr>
      <w:r>
        <w:t>根据《畜禽场环境评价》（刘成国主编，中国标准出版社）和《第一次全国污染源普查 畜禽养殖业源产排污手册》（2009年2月，中国农业科学院农业环境与可持续发展研究所和</w:t>
      </w:r>
      <w:r>
        <w:rPr>
          <w:rFonts w:hint="eastAsia"/>
          <w:lang w:val="en-US" w:eastAsia="zh-CN"/>
        </w:rPr>
        <w:t>生态环境</w:t>
      </w:r>
      <w:r>
        <w:t>部南京环境科学研究所编写）中的数据，H</w:t>
      </w:r>
      <w:r>
        <w:rPr>
          <w:vertAlign w:val="subscript"/>
        </w:rPr>
        <w:t>2</w:t>
      </w:r>
      <w:r>
        <w:t>S含量约为NH</w:t>
      </w:r>
      <w:r>
        <w:rPr>
          <w:vertAlign w:val="subscript"/>
        </w:rPr>
        <w:t>3</w:t>
      </w:r>
      <w:r>
        <w:t>的5%</w:t>
      </w:r>
      <w:r>
        <w:rPr>
          <w:rFonts w:hint="eastAsia"/>
        </w:rPr>
        <w:t>，则本项目H</w:t>
      </w:r>
      <w:r>
        <w:rPr>
          <w:rFonts w:hint="eastAsia"/>
          <w:vertAlign w:val="subscript"/>
        </w:rPr>
        <w:t>2</w:t>
      </w:r>
      <w:r>
        <w:rPr>
          <w:rFonts w:hint="eastAsia"/>
        </w:rPr>
        <w:t>S的释放量为13.45t/a</w:t>
      </w:r>
      <w:r>
        <w:t>。</w:t>
      </w:r>
    </w:p>
    <w:p w14:paraId="4B39DE03">
      <w:pPr>
        <w:autoSpaceDE w:val="0"/>
        <w:autoSpaceDN w:val="0"/>
        <w:adjustRightInd w:val="0"/>
        <w:ind w:firstLine="480"/>
      </w:pPr>
      <w:r>
        <w:rPr>
          <w:bCs/>
        </w:rPr>
        <w:t>根据《排污许可证申请与核发技术规范 畜禽养殖行业》（HJ1029-2019）中表7畜禽养殖行业排污单位恶臭无组织排放控制要求，项目养殖栏舍选用益生菌配方饲料、及时清运粪便、向粪便或舍内投放吸附剂减少臭气的散发、投加或喷洒微生物除臭剂</w:t>
      </w:r>
      <w:r>
        <w:rPr>
          <w:rFonts w:hint="eastAsia"/>
          <w:bCs/>
        </w:rPr>
        <w:t>并且采用水雾吸附等措施</w:t>
      </w:r>
      <w:r>
        <w:rPr>
          <w:bCs/>
        </w:rPr>
        <w:t>。</w:t>
      </w:r>
      <w:r>
        <w:t>根据</w:t>
      </w:r>
      <w:r>
        <w:rPr>
          <w:rFonts w:hint="eastAsia"/>
        </w:rPr>
        <w:t>《生物除臭菌剂除臭效能及其对微生物影响研究》、</w:t>
      </w:r>
      <w:r>
        <w:t>《家畜环境卫生学》（高等教育出版社，2004）</w:t>
      </w:r>
      <w:r>
        <w:rPr>
          <w:rFonts w:hint="eastAsia"/>
        </w:rPr>
        <w:t>及其他相关资料</w:t>
      </w:r>
      <w:r>
        <w:t>，企业饲料选用益生菌配方饲料，及时清理粪便，定期喷洒除臭剂</w:t>
      </w:r>
      <w:r>
        <w:rPr>
          <w:rFonts w:hint="eastAsia"/>
        </w:rPr>
        <w:t>，安装水雾除臭装置等措施</w:t>
      </w:r>
      <w:r>
        <w:t>都可降低臭气的浓度，</w:t>
      </w:r>
      <w:r>
        <w:rPr>
          <w:rFonts w:hint="eastAsia"/>
        </w:rPr>
        <w:t>综合</w:t>
      </w:r>
      <w:r>
        <w:t>去除率</w:t>
      </w:r>
      <w:r>
        <w:rPr>
          <w:rFonts w:hint="eastAsia"/>
        </w:rPr>
        <w:t>按8</w:t>
      </w:r>
      <w:r>
        <w:t>0%</w:t>
      </w:r>
      <w:r>
        <w:rPr>
          <w:rFonts w:hint="eastAsia"/>
        </w:rPr>
        <w:t>计算</w:t>
      </w:r>
      <w:r>
        <w:t>。则鸡舍</w:t>
      </w:r>
      <w:r>
        <w:rPr>
          <w:rFonts w:hint="eastAsia"/>
        </w:rPr>
        <w:t>养殖过程</w:t>
      </w:r>
      <w:r>
        <w:t>NH</w:t>
      </w:r>
      <w:r>
        <w:rPr>
          <w:vertAlign w:val="subscript"/>
        </w:rPr>
        <w:t>3</w:t>
      </w:r>
      <w:r>
        <w:t>排放量为</w:t>
      </w:r>
      <w:r>
        <w:rPr>
          <w:rFonts w:hint="eastAsia"/>
        </w:rPr>
        <w:t>53.8</w:t>
      </w:r>
      <w:r>
        <w:t>t/a，H</w:t>
      </w:r>
      <w:r>
        <w:rPr>
          <w:vertAlign w:val="subscript"/>
        </w:rPr>
        <w:t>2</w:t>
      </w:r>
      <w:r>
        <w:t>S排放量为</w:t>
      </w:r>
      <w:r>
        <w:rPr>
          <w:rFonts w:hint="eastAsia"/>
        </w:rPr>
        <w:t>2.69</w:t>
      </w:r>
      <w:r>
        <w:t>t/a。</w:t>
      </w:r>
      <w:r>
        <w:rPr>
          <w:rFonts w:hint="eastAsia"/>
        </w:rPr>
        <w:t>鸡舍设置通风设备，通风量为6×10</w:t>
      </w:r>
      <w:r>
        <w:rPr>
          <w:rFonts w:hint="eastAsia"/>
          <w:vertAlign w:val="superscript"/>
        </w:rPr>
        <w:t>6</w:t>
      </w:r>
      <w:r>
        <w:rPr>
          <w:rFonts w:hint="eastAsia"/>
        </w:rPr>
        <w:t>m</w:t>
      </w:r>
      <w:r>
        <w:rPr>
          <w:rFonts w:hint="eastAsia"/>
          <w:vertAlign w:val="superscript"/>
        </w:rPr>
        <w:t>3</w:t>
      </w:r>
      <w:r>
        <w:rPr>
          <w:rFonts w:hint="eastAsia"/>
        </w:rPr>
        <w:t>/h，则NH</w:t>
      </w:r>
      <w:r>
        <w:rPr>
          <w:rFonts w:hint="eastAsia"/>
          <w:vertAlign w:val="subscript"/>
        </w:rPr>
        <w:t>3</w:t>
      </w:r>
      <w:r>
        <w:rPr>
          <w:rFonts w:hint="eastAsia"/>
        </w:rPr>
        <w:t>排放浓度为1.02mg/m</w:t>
      </w:r>
      <w:r>
        <w:rPr>
          <w:rFonts w:hint="eastAsia"/>
          <w:vertAlign w:val="superscript"/>
        </w:rPr>
        <w:t>3</w:t>
      </w:r>
      <w:r>
        <w:rPr>
          <w:rFonts w:hint="eastAsia"/>
        </w:rPr>
        <w:t>、H</w:t>
      </w:r>
      <w:r>
        <w:rPr>
          <w:rFonts w:hint="eastAsia"/>
          <w:vertAlign w:val="subscript"/>
        </w:rPr>
        <w:t>2</w:t>
      </w:r>
      <w:r>
        <w:rPr>
          <w:rFonts w:hint="eastAsia"/>
        </w:rPr>
        <w:t>S排放浓度为0.051mg/m</w:t>
      </w:r>
      <w:r>
        <w:rPr>
          <w:rFonts w:hint="eastAsia"/>
          <w:vertAlign w:val="superscript"/>
        </w:rPr>
        <w:t>3</w:t>
      </w:r>
      <w:r>
        <w:rPr>
          <w:rFonts w:hint="eastAsia"/>
        </w:rPr>
        <w:t>，NH</w:t>
      </w:r>
      <w:r>
        <w:rPr>
          <w:rFonts w:hint="eastAsia"/>
          <w:vertAlign w:val="subscript"/>
        </w:rPr>
        <w:t>3</w:t>
      </w:r>
      <w:r>
        <w:rPr>
          <w:rFonts w:hint="eastAsia"/>
        </w:rPr>
        <w:t>、H</w:t>
      </w:r>
      <w:r>
        <w:rPr>
          <w:rFonts w:hint="eastAsia"/>
          <w:vertAlign w:val="subscript"/>
        </w:rPr>
        <w:t>2</w:t>
      </w:r>
      <w:r>
        <w:rPr>
          <w:rFonts w:hint="eastAsia"/>
        </w:rPr>
        <w:t>S无组织排放浓度满足《恶臭污染物排放标准》（GB14554-93）表1二级新建项目排放限值要求（NH</w:t>
      </w:r>
      <w:r>
        <w:rPr>
          <w:rFonts w:hint="eastAsia"/>
          <w:vertAlign w:val="subscript"/>
        </w:rPr>
        <w:t>3</w:t>
      </w:r>
      <w:r>
        <w:rPr>
          <w:rFonts w:hint="eastAsia"/>
        </w:rPr>
        <w:t>：1.5mg/m</w:t>
      </w:r>
      <w:r>
        <w:rPr>
          <w:rFonts w:hint="eastAsia"/>
          <w:vertAlign w:val="superscript"/>
        </w:rPr>
        <w:t>3</w:t>
      </w:r>
      <w:r>
        <w:rPr>
          <w:rFonts w:hint="eastAsia"/>
        </w:rPr>
        <w:t>、H</w:t>
      </w:r>
      <w:r>
        <w:rPr>
          <w:rFonts w:hint="eastAsia"/>
          <w:vertAlign w:val="subscript"/>
        </w:rPr>
        <w:t>2</w:t>
      </w:r>
      <w:r>
        <w:rPr>
          <w:rFonts w:hint="eastAsia"/>
        </w:rPr>
        <w:t>S：0.06mg/m</w:t>
      </w:r>
      <w:r>
        <w:rPr>
          <w:rFonts w:hint="eastAsia"/>
          <w:vertAlign w:val="superscript"/>
        </w:rPr>
        <w:t>3</w:t>
      </w:r>
      <w:r>
        <w:rPr>
          <w:rFonts w:hint="eastAsia"/>
        </w:rPr>
        <w:t>）。</w:t>
      </w:r>
    </w:p>
    <w:p w14:paraId="087C50C9">
      <w:pPr>
        <w:pStyle w:val="105"/>
        <w:ind w:firstLine="482"/>
        <w:rPr>
          <w:b/>
        </w:rPr>
      </w:pPr>
      <w:bookmarkStart w:id="213" w:name="_Hlk42989542"/>
      <w:r>
        <w:rPr>
          <w:b/>
        </w:rPr>
        <w:t>2</w:t>
      </w:r>
      <w:r>
        <w:rPr>
          <w:rFonts w:hint="eastAsia"/>
          <w:b/>
        </w:rPr>
        <w:t>、有机肥发酵系统</w:t>
      </w:r>
      <w:r>
        <w:rPr>
          <w:b/>
        </w:rPr>
        <w:t>恶臭</w:t>
      </w:r>
    </w:p>
    <w:p w14:paraId="65358FEC">
      <w:pPr>
        <w:widowControl w:val="0"/>
        <w:ind w:firstLine="480"/>
        <w:rPr>
          <w:szCs w:val="24"/>
        </w:rPr>
      </w:pPr>
      <w:r>
        <w:rPr>
          <w:rFonts w:hint="eastAsia"/>
          <w:szCs w:val="24"/>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p w14:paraId="4963EC3C">
      <w:pPr>
        <w:widowControl w:val="0"/>
        <w:ind w:firstLine="480"/>
        <w:rPr>
          <w:szCs w:val="24"/>
        </w:rPr>
      </w:pPr>
      <w:r>
        <w:rPr>
          <w:rFonts w:hint="eastAsia"/>
          <w:szCs w:val="24"/>
        </w:rPr>
        <w:t>（1）发酵废气产生量计算</w:t>
      </w:r>
    </w:p>
    <w:p w14:paraId="62935346">
      <w:pPr>
        <w:widowControl w:val="0"/>
        <w:ind w:firstLine="480"/>
        <w:rPr>
          <w:szCs w:val="24"/>
        </w:rPr>
      </w:pPr>
      <w:r>
        <w:rPr>
          <w:rFonts w:hint="eastAsia"/>
          <w:szCs w:val="24"/>
        </w:rPr>
        <w:t>堆放</w:t>
      </w:r>
      <w:r>
        <w:rPr>
          <w:szCs w:val="24"/>
        </w:rPr>
        <w:t>发酵产生的恶臭气体浓度从发酵初期到后期逐渐减弱，腐熟完全的肥料是没有恶臭气体散发的，因此二次发酵完成后的产品无恶臭气体产生。</w:t>
      </w:r>
    </w:p>
    <w:p w14:paraId="4F0089D3">
      <w:pPr>
        <w:widowControl w:val="0"/>
        <w:ind w:firstLine="480"/>
        <w:rPr>
          <w:szCs w:val="24"/>
        </w:rPr>
      </w:pPr>
      <w:r>
        <w:rPr>
          <w:szCs w:val="24"/>
        </w:rPr>
        <w:t>参照《</w:t>
      </w:r>
      <w:r>
        <w:rPr>
          <w:rFonts w:hint="eastAsia"/>
          <w:szCs w:val="24"/>
        </w:rPr>
        <w:t>第二次全国污染源普查产排污核算系数手册</w:t>
      </w:r>
      <w:r>
        <w:rPr>
          <w:szCs w:val="24"/>
        </w:rPr>
        <w:t>》“有机肥料及微生物肥料制造行业系数”中5.产污系数及污染治理效率表，有机肥发酵熟化过程产生的NH</w:t>
      </w:r>
      <w:r>
        <w:rPr>
          <w:szCs w:val="24"/>
          <w:vertAlign w:val="subscript"/>
        </w:rPr>
        <w:t>3</w:t>
      </w:r>
      <w:r>
        <w:rPr>
          <w:szCs w:val="24"/>
        </w:rPr>
        <w:t>系数为7.3×10</w:t>
      </w:r>
      <w:r>
        <w:rPr>
          <w:szCs w:val="24"/>
          <w:vertAlign w:val="superscript"/>
        </w:rPr>
        <w:t>-2</w:t>
      </w:r>
      <w:r>
        <w:rPr>
          <w:szCs w:val="24"/>
        </w:rPr>
        <w:t>kg/t产品进行计算</w:t>
      </w:r>
      <w:r>
        <w:rPr>
          <w:rFonts w:hint="eastAsia"/>
          <w:szCs w:val="24"/>
        </w:rPr>
        <w:t>，项目生产有机肥1</w:t>
      </w:r>
      <w:r>
        <w:rPr>
          <w:szCs w:val="24"/>
        </w:rPr>
        <w:t>3140</w:t>
      </w:r>
      <w:r>
        <w:rPr>
          <w:rFonts w:hint="eastAsia"/>
          <w:szCs w:val="24"/>
        </w:rPr>
        <w:t>t/a</w:t>
      </w:r>
      <w:r>
        <w:rPr>
          <w:szCs w:val="24"/>
        </w:rPr>
        <w:t>，则NH</w:t>
      </w:r>
      <w:r>
        <w:rPr>
          <w:szCs w:val="24"/>
          <w:vertAlign w:val="subscript"/>
        </w:rPr>
        <w:t>3</w:t>
      </w:r>
      <w:r>
        <w:rPr>
          <w:szCs w:val="24"/>
        </w:rPr>
        <w:t>的产生量约为0.959t/a，H</w:t>
      </w:r>
      <w:r>
        <w:rPr>
          <w:szCs w:val="24"/>
          <w:vertAlign w:val="subscript"/>
        </w:rPr>
        <w:t>2</w:t>
      </w:r>
      <w:r>
        <w:rPr>
          <w:szCs w:val="24"/>
        </w:rPr>
        <w:t>S产生量按NH</w:t>
      </w:r>
      <w:r>
        <w:rPr>
          <w:szCs w:val="24"/>
          <w:vertAlign w:val="subscript"/>
        </w:rPr>
        <w:t>3</w:t>
      </w:r>
      <w:r>
        <w:rPr>
          <w:szCs w:val="24"/>
        </w:rPr>
        <w:t>产生量的10%计，则H</w:t>
      </w:r>
      <w:r>
        <w:rPr>
          <w:szCs w:val="24"/>
          <w:vertAlign w:val="subscript"/>
        </w:rPr>
        <w:t>2</w:t>
      </w:r>
      <w:r>
        <w:rPr>
          <w:szCs w:val="24"/>
        </w:rPr>
        <w:t>S产生量约为0.096t/a。</w:t>
      </w:r>
    </w:p>
    <w:p w14:paraId="4013E73D">
      <w:pPr>
        <w:widowControl w:val="0"/>
        <w:ind w:firstLine="480"/>
        <w:rPr>
          <w:szCs w:val="24"/>
        </w:rPr>
      </w:pPr>
      <w:r>
        <w:rPr>
          <w:rFonts w:hint="eastAsia"/>
          <w:szCs w:val="24"/>
        </w:rPr>
        <w:t>（2）秸秆粉碎及颗粒制肥工段废气产生量技术</w:t>
      </w:r>
    </w:p>
    <w:p w14:paraId="553001E8">
      <w:pPr>
        <w:ind w:firstLine="480"/>
      </w:pPr>
      <w:r>
        <w:rPr>
          <w:rFonts w:hint="eastAsia"/>
        </w:rPr>
        <w:t>秸秆粉碎工序主要有颗粒物产生，参照《132饲料加工行业系数表》配合饲料产排污系数，颗粒物0.043kg/t产品，本项目年产13140t有机肥，则颗粒物产生量为0.57t/a。</w:t>
      </w:r>
    </w:p>
    <w:p w14:paraId="0350F693">
      <w:pPr>
        <w:ind w:firstLine="480"/>
      </w:pPr>
      <w:r>
        <w:rPr>
          <w:rFonts w:hint="eastAsia"/>
        </w:rPr>
        <w:t>颗粒制肥工段废气包括粉碎、筛分、混合、制粒、烘干、包装粉尘，颗粒物的产生量参照《2625有机肥及微生物肥制造行业系数表》中有机肥混配造粒工序颗粒物产排污系数，颗粒物0.37kg/t产品，本项目生产有机肥13140t/a，则颗粒物的产生量为4.86t/a。</w:t>
      </w:r>
    </w:p>
    <w:p w14:paraId="56D80490">
      <w:pPr>
        <w:ind w:firstLine="480"/>
      </w:pPr>
      <w:r>
        <w:rPr>
          <w:rFonts w:hint="eastAsia"/>
        </w:rPr>
        <w:t>（3）有机肥加工车间废气排放情况计算</w:t>
      </w:r>
    </w:p>
    <w:p w14:paraId="760F748E">
      <w:pPr>
        <w:pStyle w:val="2"/>
      </w:pPr>
      <w:r>
        <w:rPr>
          <w:rFonts w:hint="eastAsia"/>
        </w:rPr>
        <w:t>有机肥发酵车间设置负压收集系统，对发酵、混合、制粒、包装等无组织废气进行收集；工序破碎粉尘采用集尘罩收集；负压收集系统、集尘罩收集废气最终与烘干废气汇集后进入1套布袋除尘器+生物除臭箱处理后经1根15m高排气筒（DA002）进行排放。</w:t>
      </w:r>
    </w:p>
    <w:p w14:paraId="20577047">
      <w:pPr>
        <w:widowControl w:val="0"/>
        <w:ind w:firstLine="480"/>
        <w:rPr>
          <w:szCs w:val="24"/>
        </w:rPr>
      </w:pPr>
      <w:r>
        <w:rPr>
          <w:rFonts w:hint="eastAsia"/>
          <w:szCs w:val="24"/>
        </w:rPr>
        <w:t>颗粒物总产生量为5.43t/a，布袋除尘器除尘效率以99%计算，项目风机风量为</w:t>
      </w:r>
      <w:r>
        <w:rPr>
          <w:rFonts w:hint="eastAsia"/>
        </w:rPr>
        <w:t>10000m</w:t>
      </w:r>
      <w:r>
        <w:rPr>
          <w:rFonts w:hint="eastAsia"/>
          <w:vertAlign w:val="superscript"/>
        </w:rPr>
        <w:t>3</w:t>
      </w:r>
      <w:r>
        <w:rPr>
          <w:rFonts w:hint="eastAsia"/>
        </w:rPr>
        <w:t>/h，</w:t>
      </w:r>
      <w:r>
        <w:rPr>
          <w:rFonts w:hint="eastAsia"/>
          <w:szCs w:val="24"/>
        </w:rPr>
        <w:t>则颗粒物的排放量为0.054t/a，排放速率为0.02kg/h，排放浓度为2mg/m</w:t>
      </w:r>
      <w:r>
        <w:rPr>
          <w:rFonts w:hint="eastAsia"/>
          <w:szCs w:val="24"/>
          <w:vertAlign w:val="superscript"/>
        </w:rPr>
        <w:t>3</w:t>
      </w:r>
      <w:r>
        <w:rPr>
          <w:rFonts w:hint="eastAsia"/>
          <w:szCs w:val="24"/>
        </w:rPr>
        <w:t>，</w:t>
      </w:r>
      <w:r>
        <w:rPr>
          <w:rFonts w:hint="eastAsia"/>
        </w:rPr>
        <w:t>满足《大气污染物综合排放标准》（GB16297-1996）相关限值要求。</w:t>
      </w:r>
    </w:p>
    <w:p w14:paraId="626CF18D">
      <w:pPr>
        <w:pStyle w:val="2"/>
      </w:pPr>
      <w:r>
        <w:rPr>
          <w:rFonts w:hint="eastAsia"/>
        </w:rPr>
        <w:t>类比《内蒙古碳合绿农业科技有限责任公司禽畜类粪便及城镇污泥生物法养殖蚯蚓建设项目（二期）》，同样采用好氧发酵使用畜禽粪便和污泥作为发酵原料，生物除臭装置</w:t>
      </w:r>
      <w:r>
        <w:t>处理效率按</w:t>
      </w:r>
      <w:r>
        <w:rPr>
          <w:rFonts w:hint="eastAsia"/>
        </w:rPr>
        <w:t>5</w:t>
      </w:r>
      <w:r>
        <w:t>0%计</w:t>
      </w:r>
      <w:r>
        <w:rPr>
          <w:rFonts w:hint="eastAsia"/>
        </w:rPr>
        <w:t>算，项目风机风量为10000m</w:t>
      </w:r>
      <w:r>
        <w:rPr>
          <w:rFonts w:hint="eastAsia"/>
          <w:vertAlign w:val="superscript"/>
        </w:rPr>
        <w:t>3</w:t>
      </w:r>
      <w:r>
        <w:rPr>
          <w:rFonts w:hint="eastAsia"/>
        </w:rPr>
        <w:t>/h，则</w:t>
      </w:r>
      <w:r>
        <w:t>NH</w:t>
      </w:r>
      <w:r>
        <w:rPr>
          <w:vertAlign w:val="subscript"/>
        </w:rPr>
        <w:t>3</w:t>
      </w:r>
      <w:r>
        <w:t>的</w:t>
      </w:r>
      <w:r>
        <w:rPr>
          <w:rFonts w:hint="eastAsia"/>
        </w:rPr>
        <w:t>排放</w:t>
      </w:r>
      <w:r>
        <w:t>量约为0.</w:t>
      </w:r>
      <w:r>
        <w:rPr>
          <w:rFonts w:hint="eastAsia"/>
        </w:rPr>
        <w:t>48</w:t>
      </w:r>
      <w:r>
        <w:t>t/a</w:t>
      </w:r>
      <w:r>
        <w:rPr>
          <w:rFonts w:hint="eastAsia"/>
        </w:rPr>
        <w:t>，排放速率为0.055kg/h，排放浓度为5.48mg/m</w:t>
      </w:r>
      <w:r>
        <w:rPr>
          <w:rFonts w:hint="eastAsia"/>
          <w:vertAlign w:val="superscript"/>
        </w:rPr>
        <w:t>3</w:t>
      </w:r>
      <w:r>
        <w:rPr>
          <w:rFonts w:hint="eastAsia"/>
        </w:rPr>
        <w:t>；</w:t>
      </w:r>
      <w:r>
        <w:t>H</w:t>
      </w:r>
      <w:r>
        <w:rPr>
          <w:vertAlign w:val="subscript"/>
        </w:rPr>
        <w:t>2</w:t>
      </w:r>
      <w:r>
        <w:t>S</w:t>
      </w:r>
      <w:r>
        <w:rPr>
          <w:rFonts w:hint="eastAsia"/>
        </w:rPr>
        <w:t>排放</w:t>
      </w:r>
      <w:r>
        <w:t>量</w:t>
      </w:r>
      <w:r>
        <w:rPr>
          <w:rFonts w:hint="eastAsia"/>
        </w:rPr>
        <w:t>为0.048t/a，排放速率为0.0055kg/h，0.55mg/m</w:t>
      </w:r>
      <w:r>
        <w:rPr>
          <w:rFonts w:hint="eastAsia"/>
          <w:vertAlign w:val="superscript"/>
        </w:rPr>
        <w:t>3</w:t>
      </w:r>
      <w:r>
        <w:rPr>
          <w:rFonts w:hint="eastAsia"/>
        </w:rPr>
        <w:t>，满足《恶臭污染物排放标准》（GB14554-93）相关限值要求。</w:t>
      </w:r>
    </w:p>
    <w:p w14:paraId="3595538C">
      <w:pPr>
        <w:pStyle w:val="105"/>
        <w:ind w:firstLine="482"/>
        <w:rPr>
          <w:b/>
        </w:rPr>
      </w:pPr>
      <w:r>
        <w:rPr>
          <w:b/>
        </w:rPr>
        <w:t>3</w:t>
      </w:r>
      <w:r>
        <w:rPr>
          <w:rFonts w:hint="eastAsia"/>
          <w:b/>
        </w:rPr>
        <w:t>、</w:t>
      </w:r>
      <w:r>
        <w:rPr>
          <w:b/>
        </w:rPr>
        <w:t>废水处理系统恶臭</w:t>
      </w:r>
    </w:p>
    <w:p w14:paraId="735CE814">
      <w:pPr>
        <w:widowControl w:val="0"/>
        <w:ind w:firstLine="480"/>
        <w:jc w:val="both"/>
        <w:rPr>
          <w:szCs w:val="24"/>
        </w:rPr>
      </w:pPr>
      <w:r>
        <w:rPr>
          <w:bCs/>
        </w:rPr>
        <w:t>废水处理设施投入运营后，废水处理过程会产生一定量的恶臭，其主要污染因子为NH</w:t>
      </w:r>
      <w:r>
        <w:rPr>
          <w:bCs/>
          <w:vertAlign w:val="subscript"/>
        </w:rPr>
        <w:t>3</w:t>
      </w:r>
      <w:r>
        <w:rPr>
          <w:bCs/>
        </w:rPr>
        <w:t>和H</w:t>
      </w:r>
      <w:r>
        <w:rPr>
          <w:bCs/>
          <w:vertAlign w:val="subscript"/>
        </w:rPr>
        <w:t>2</w:t>
      </w:r>
      <w:r>
        <w:rPr>
          <w:bCs/>
        </w:rPr>
        <w:t>S，恶臭以无组织排放形式进行排放。根据美国EPA（美国环境保护署）对污水处理厂恶臭污染物产生情况的研究结果：每去除1g的BOD</w:t>
      </w:r>
      <w:r>
        <w:rPr>
          <w:bCs/>
          <w:vertAlign w:val="subscript"/>
        </w:rPr>
        <w:t>5</w:t>
      </w:r>
      <w:r>
        <w:rPr>
          <w:bCs/>
        </w:rPr>
        <w:t>，可产生0.0031g的NH</w:t>
      </w:r>
      <w:r>
        <w:rPr>
          <w:bCs/>
          <w:vertAlign w:val="subscript"/>
        </w:rPr>
        <w:t>3</w:t>
      </w:r>
      <w:r>
        <w:rPr>
          <w:bCs/>
        </w:rPr>
        <w:t>、0.00012g的H</w:t>
      </w:r>
      <w:r>
        <w:rPr>
          <w:bCs/>
          <w:vertAlign w:val="subscript"/>
        </w:rPr>
        <w:t>2</w:t>
      </w:r>
      <w:r>
        <w:rPr>
          <w:bCs/>
        </w:rPr>
        <w:t>S，本项目废水处理量为17473.8t/a、BOD</w:t>
      </w:r>
      <w:r>
        <w:rPr>
          <w:bCs/>
          <w:vertAlign w:val="subscript"/>
        </w:rPr>
        <w:t>5</w:t>
      </w:r>
      <w:r>
        <w:rPr>
          <w:bCs/>
        </w:rPr>
        <w:t>去除量为17.299t/a，则NH</w:t>
      </w:r>
      <w:r>
        <w:rPr>
          <w:bCs/>
          <w:vertAlign w:val="subscript"/>
        </w:rPr>
        <w:t>3</w:t>
      </w:r>
      <w:r>
        <w:rPr>
          <w:bCs/>
        </w:rPr>
        <w:t>、H</w:t>
      </w:r>
      <w:r>
        <w:rPr>
          <w:bCs/>
          <w:vertAlign w:val="subscript"/>
        </w:rPr>
        <w:t>2</w:t>
      </w:r>
      <w:r>
        <w:rPr>
          <w:bCs/>
        </w:rPr>
        <w:t>S产生量分别约0.054t/a、0.002t/a</w:t>
      </w:r>
      <w:r>
        <w:rPr>
          <w:rFonts w:hint="eastAsia"/>
          <w:bCs/>
        </w:rPr>
        <w:t>。本项目</w:t>
      </w:r>
      <w:r>
        <w:rPr>
          <w:rFonts w:hint="eastAsia"/>
        </w:rPr>
        <w:t>格栅间、预沉池、调节池、UASB、厌氧池、缺氧池、后缺氧池、污泥储池及脱水机等构筑物和设备密闭负压收集后管道送入活性离</w:t>
      </w:r>
      <w:r>
        <w:rPr>
          <w:rFonts w:hint="eastAsia"/>
          <w:bCs/>
        </w:rPr>
        <w:t>子氧(AOE)除臭+15m高排气筒（DA007）排放，污水处理站通风量为1</w:t>
      </w:r>
      <w:r>
        <w:rPr>
          <w:bCs/>
        </w:rPr>
        <w:t>0000</w:t>
      </w:r>
      <w:r>
        <w:rPr>
          <w:rFonts w:hint="eastAsia"/>
          <w:bCs/>
        </w:rPr>
        <w:t>m</w:t>
      </w:r>
      <w:r>
        <w:rPr>
          <w:bCs/>
          <w:vertAlign w:val="superscript"/>
        </w:rPr>
        <w:t>3</w:t>
      </w:r>
      <w:r>
        <w:rPr>
          <w:bCs/>
        </w:rPr>
        <w:t>/</w:t>
      </w:r>
      <w:r>
        <w:rPr>
          <w:rFonts w:hint="eastAsia"/>
          <w:bCs/>
        </w:rPr>
        <w:t>h，</w:t>
      </w:r>
      <w:r>
        <w:rPr>
          <w:szCs w:val="24"/>
        </w:rPr>
        <w:t>收集效率按95%计</w:t>
      </w:r>
      <w:r>
        <w:rPr>
          <w:rFonts w:hint="eastAsia"/>
          <w:szCs w:val="24"/>
        </w:rPr>
        <w:t>，处理效率按</w:t>
      </w:r>
      <w:r>
        <w:rPr>
          <w:bCs/>
        </w:rPr>
        <w:t>90%计，则项目废水处理过程</w:t>
      </w:r>
      <w:r>
        <w:rPr>
          <w:rFonts w:hint="eastAsia"/>
          <w:bCs/>
        </w:rPr>
        <w:t>有组织废气</w:t>
      </w:r>
      <w:r>
        <w:rPr>
          <w:bCs/>
        </w:rPr>
        <w:t>NH</w:t>
      </w:r>
      <w:r>
        <w:rPr>
          <w:bCs/>
          <w:vertAlign w:val="subscript"/>
        </w:rPr>
        <w:t>3</w:t>
      </w:r>
      <w:r>
        <w:rPr>
          <w:rFonts w:hint="eastAsia"/>
          <w:bCs/>
        </w:rPr>
        <w:t>排放量为</w:t>
      </w:r>
      <w:r>
        <w:rPr>
          <w:bCs/>
        </w:rPr>
        <w:t>0.0513t/a</w:t>
      </w:r>
      <w:r>
        <w:rPr>
          <w:rFonts w:hint="eastAsia"/>
          <w:bCs/>
        </w:rPr>
        <w:t>，排放速率为0.0059kg/h；</w:t>
      </w:r>
      <w:r>
        <w:rPr>
          <w:bCs/>
        </w:rPr>
        <w:t>H</w:t>
      </w:r>
      <w:r>
        <w:rPr>
          <w:bCs/>
          <w:vertAlign w:val="subscript"/>
        </w:rPr>
        <w:t>2</w:t>
      </w:r>
      <w:r>
        <w:rPr>
          <w:bCs/>
        </w:rPr>
        <w:t>S</w:t>
      </w:r>
      <w:r>
        <w:rPr>
          <w:rFonts w:hint="eastAsia"/>
          <w:bCs/>
        </w:rPr>
        <w:t>排放量为</w:t>
      </w:r>
      <w:r>
        <w:rPr>
          <w:bCs/>
        </w:rPr>
        <w:t>0.0019t/a，</w:t>
      </w:r>
      <w:r>
        <w:rPr>
          <w:rFonts w:hint="eastAsia"/>
          <w:bCs/>
        </w:rPr>
        <w:t>排放速率为0.0002kg/h。无组织废气</w:t>
      </w:r>
      <w:r>
        <w:rPr>
          <w:bCs/>
        </w:rPr>
        <w:t>NH</w:t>
      </w:r>
      <w:r>
        <w:rPr>
          <w:bCs/>
          <w:vertAlign w:val="subscript"/>
        </w:rPr>
        <w:t>3</w:t>
      </w:r>
      <w:r>
        <w:rPr>
          <w:rFonts w:hint="eastAsia"/>
          <w:bCs/>
        </w:rPr>
        <w:t>排放量为0.0027t/a，排放浓度为0.03mg/m</w:t>
      </w:r>
      <w:r>
        <w:rPr>
          <w:rFonts w:hint="eastAsia"/>
          <w:bCs/>
          <w:vertAlign w:val="superscript"/>
        </w:rPr>
        <w:t>3</w:t>
      </w:r>
      <w:r>
        <w:rPr>
          <w:rFonts w:hint="eastAsia"/>
          <w:bCs/>
        </w:rPr>
        <w:t>，</w:t>
      </w:r>
      <w:r>
        <w:rPr>
          <w:bCs/>
        </w:rPr>
        <w:t>H</w:t>
      </w:r>
      <w:r>
        <w:rPr>
          <w:bCs/>
          <w:vertAlign w:val="subscript"/>
        </w:rPr>
        <w:t>2</w:t>
      </w:r>
      <w:r>
        <w:rPr>
          <w:bCs/>
        </w:rPr>
        <w:t>S</w:t>
      </w:r>
      <w:r>
        <w:rPr>
          <w:rFonts w:hint="eastAsia"/>
          <w:bCs/>
        </w:rPr>
        <w:t>排放量为</w:t>
      </w:r>
      <w:r>
        <w:rPr>
          <w:bCs/>
        </w:rPr>
        <w:t>0.0001t/a</w:t>
      </w:r>
      <w:r>
        <w:rPr>
          <w:rFonts w:hint="eastAsia"/>
          <w:bCs/>
        </w:rPr>
        <w:t>，排放浓度为0.001mg/m</w:t>
      </w:r>
      <w:r>
        <w:rPr>
          <w:rFonts w:hint="eastAsia"/>
          <w:bCs/>
          <w:vertAlign w:val="superscript"/>
        </w:rPr>
        <w:t>3</w:t>
      </w:r>
      <w:r>
        <w:rPr>
          <w:bCs/>
        </w:rPr>
        <w:t>。</w:t>
      </w:r>
      <w:r>
        <w:rPr>
          <w:rFonts w:hint="eastAsia"/>
          <w:bCs/>
        </w:rPr>
        <w:t>污水处理厂站废气排放满足</w:t>
      </w:r>
      <w:r>
        <w:rPr>
          <w:rFonts w:hint="eastAsia"/>
          <w:szCs w:val="24"/>
        </w:rPr>
        <w:t>《恶臭污染物排放标准》（GB14554-93）相关限值要求。</w:t>
      </w:r>
    </w:p>
    <w:p w14:paraId="3932DEA1">
      <w:pPr>
        <w:pStyle w:val="105"/>
        <w:ind w:firstLine="480"/>
        <w:rPr>
          <w:bCs/>
        </w:rPr>
      </w:pPr>
      <w:r>
        <w:rPr>
          <w:bCs/>
        </w:rPr>
        <w:t>综上所述，本项目恶臭污染物产排情况如下：</w:t>
      </w:r>
    </w:p>
    <w:p w14:paraId="0C782441">
      <w:pPr>
        <w:pStyle w:val="369"/>
      </w:pPr>
    </w:p>
    <w:p w14:paraId="6545D871">
      <w:pPr>
        <w:pStyle w:val="369"/>
      </w:pPr>
      <w:r>
        <w:t>表3.3-</w:t>
      </w:r>
      <w:r>
        <w:rPr>
          <w:rFonts w:hint="eastAsia"/>
        </w:rPr>
        <w:t>6</w:t>
      </w:r>
      <w:r>
        <w:t xml:space="preserve">   本项目</w:t>
      </w:r>
      <w:r>
        <w:rPr>
          <w:rFonts w:hint="eastAsia"/>
        </w:rPr>
        <w:t>有组织</w:t>
      </w:r>
      <w:r>
        <w:t>恶臭产生及排放情况一览表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310"/>
        <w:gridCol w:w="1523"/>
        <w:gridCol w:w="1310"/>
        <w:gridCol w:w="1059"/>
        <w:gridCol w:w="1393"/>
        <w:gridCol w:w="1734"/>
      </w:tblGrid>
      <w:tr w14:paraId="39C0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246CE23D">
            <w:pPr>
              <w:pStyle w:val="369"/>
              <w:rPr>
                <w:b w:val="0"/>
                <w:bCs/>
                <w:sz w:val="21"/>
                <w:szCs w:val="21"/>
              </w:rPr>
            </w:pPr>
            <w:r>
              <w:rPr>
                <w:rFonts w:hint="eastAsia"/>
                <w:b w:val="0"/>
                <w:bCs/>
                <w:sz w:val="21"/>
                <w:szCs w:val="21"/>
              </w:rPr>
              <w:t>污染源</w:t>
            </w:r>
          </w:p>
        </w:tc>
        <w:tc>
          <w:tcPr>
            <w:tcW w:w="1310" w:type="dxa"/>
            <w:vAlign w:val="center"/>
          </w:tcPr>
          <w:p w14:paraId="7C6D43F1">
            <w:pPr>
              <w:pStyle w:val="369"/>
              <w:rPr>
                <w:b w:val="0"/>
                <w:bCs/>
                <w:sz w:val="21"/>
                <w:szCs w:val="21"/>
              </w:rPr>
            </w:pPr>
            <w:r>
              <w:rPr>
                <w:rFonts w:hint="eastAsia"/>
                <w:b w:val="0"/>
                <w:bCs/>
                <w:sz w:val="21"/>
                <w:szCs w:val="21"/>
              </w:rPr>
              <w:t>污染物</w:t>
            </w:r>
          </w:p>
        </w:tc>
        <w:tc>
          <w:tcPr>
            <w:tcW w:w="1523" w:type="dxa"/>
            <w:vAlign w:val="center"/>
          </w:tcPr>
          <w:p w14:paraId="5E76577A">
            <w:pPr>
              <w:pStyle w:val="369"/>
              <w:rPr>
                <w:b w:val="0"/>
                <w:bCs/>
                <w:sz w:val="21"/>
                <w:szCs w:val="21"/>
              </w:rPr>
            </w:pPr>
            <w:r>
              <w:rPr>
                <w:rFonts w:hint="eastAsia"/>
                <w:b w:val="0"/>
                <w:bCs/>
                <w:sz w:val="21"/>
                <w:szCs w:val="21"/>
              </w:rPr>
              <w:t>产生量（t/a）</w:t>
            </w:r>
          </w:p>
        </w:tc>
        <w:tc>
          <w:tcPr>
            <w:tcW w:w="1310" w:type="dxa"/>
            <w:vAlign w:val="center"/>
          </w:tcPr>
          <w:p w14:paraId="0276728E">
            <w:pPr>
              <w:pStyle w:val="369"/>
              <w:rPr>
                <w:b w:val="0"/>
                <w:bCs/>
                <w:sz w:val="21"/>
                <w:szCs w:val="21"/>
              </w:rPr>
            </w:pPr>
            <w:r>
              <w:rPr>
                <w:rFonts w:hint="eastAsia"/>
                <w:b w:val="0"/>
                <w:bCs/>
                <w:sz w:val="21"/>
                <w:szCs w:val="21"/>
              </w:rPr>
              <w:t>除臭措施</w:t>
            </w:r>
          </w:p>
        </w:tc>
        <w:tc>
          <w:tcPr>
            <w:tcW w:w="1059" w:type="dxa"/>
            <w:vAlign w:val="center"/>
          </w:tcPr>
          <w:p w14:paraId="7C2D9604">
            <w:pPr>
              <w:pStyle w:val="369"/>
              <w:rPr>
                <w:b w:val="0"/>
                <w:bCs/>
                <w:sz w:val="21"/>
                <w:szCs w:val="21"/>
              </w:rPr>
            </w:pPr>
            <w:r>
              <w:rPr>
                <w:rFonts w:hint="eastAsia"/>
                <w:b w:val="0"/>
                <w:bCs/>
                <w:sz w:val="21"/>
                <w:szCs w:val="21"/>
              </w:rPr>
              <w:t>除臭效率</w:t>
            </w:r>
          </w:p>
        </w:tc>
        <w:tc>
          <w:tcPr>
            <w:tcW w:w="1393" w:type="dxa"/>
            <w:vAlign w:val="center"/>
          </w:tcPr>
          <w:p w14:paraId="4CE14F46">
            <w:pPr>
              <w:pStyle w:val="369"/>
              <w:rPr>
                <w:b w:val="0"/>
                <w:bCs/>
                <w:sz w:val="21"/>
                <w:szCs w:val="21"/>
              </w:rPr>
            </w:pPr>
            <w:r>
              <w:rPr>
                <w:rFonts w:hint="eastAsia"/>
                <w:b w:val="0"/>
                <w:bCs/>
                <w:sz w:val="21"/>
                <w:szCs w:val="21"/>
              </w:rPr>
              <w:t>排放量（t/a）</w:t>
            </w:r>
          </w:p>
        </w:tc>
        <w:tc>
          <w:tcPr>
            <w:tcW w:w="1734" w:type="dxa"/>
            <w:vAlign w:val="center"/>
          </w:tcPr>
          <w:p w14:paraId="562552B5">
            <w:pPr>
              <w:pStyle w:val="369"/>
              <w:rPr>
                <w:b w:val="0"/>
                <w:bCs/>
                <w:sz w:val="21"/>
                <w:szCs w:val="21"/>
              </w:rPr>
            </w:pPr>
            <w:r>
              <w:rPr>
                <w:rFonts w:hint="eastAsia"/>
                <w:b w:val="0"/>
                <w:bCs/>
                <w:sz w:val="21"/>
                <w:szCs w:val="21"/>
              </w:rPr>
              <w:t>排放速率（kg/h）</w:t>
            </w:r>
          </w:p>
        </w:tc>
      </w:tr>
      <w:tr w14:paraId="0CAE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vAlign w:val="center"/>
          </w:tcPr>
          <w:p w14:paraId="1DEB980E">
            <w:pPr>
              <w:pStyle w:val="369"/>
              <w:rPr>
                <w:b w:val="0"/>
                <w:bCs/>
                <w:sz w:val="21"/>
                <w:szCs w:val="21"/>
              </w:rPr>
            </w:pPr>
            <w:r>
              <w:rPr>
                <w:rFonts w:hint="eastAsia"/>
                <w:b w:val="0"/>
                <w:bCs/>
                <w:sz w:val="21"/>
                <w:szCs w:val="21"/>
              </w:rPr>
              <w:t>有机肥加工车间</w:t>
            </w:r>
          </w:p>
        </w:tc>
        <w:tc>
          <w:tcPr>
            <w:tcW w:w="1310" w:type="dxa"/>
            <w:vAlign w:val="center"/>
          </w:tcPr>
          <w:p w14:paraId="0D72BCB8">
            <w:pPr>
              <w:pStyle w:val="369"/>
              <w:rPr>
                <w:b w:val="0"/>
                <w:bCs/>
                <w:sz w:val="21"/>
                <w:szCs w:val="21"/>
              </w:rPr>
            </w:pPr>
            <w:r>
              <w:rPr>
                <w:b w:val="0"/>
                <w:bCs/>
              </w:rPr>
              <w:t>NH</w:t>
            </w:r>
            <w:r>
              <w:rPr>
                <w:b w:val="0"/>
                <w:bCs/>
                <w:vertAlign w:val="subscript"/>
              </w:rPr>
              <w:t>3</w:t>
            </w:r>
          </w:p>
        </w:tc>
        <w:tc>
          <w:tcPr>
            <w:tcW w:w="1523" w:type="dxa"/>
            <w:vAlign w:val="center"/>
          </w:tcPr>
          <w:p w14:paraId="6970689F">
            <w:pPr>
              <w:pStyle w:val="369"/>
              <w:rPr>
                <w:b w:val="0"/>
                <w:bCs/>
                <w:sz w:val="21"/>
                <w:szCs w:val="21"/>
              </w:rPr>
            </w:pPr>
            <w:r>
              <w:rPr>
                <w:rFonts w:hint="eastAsia"/>
                <w:b w:val="0"/>
                <w:bCs/>
                <w:sz w:val="21"/>
                <w:szCs w:val="21"/>
              </w:rPr>
              <w:t>0.959</w:t>
            </w:r>
          </w:p>
        </w:tc>
        <w:tc>
          <w:tcPr>
            <w:tcW w:w="1310" w:type="dxa"/>
            <w:vMerge w:val="restart"/>
            <w:vAlign w:val="center"/>
          </w:tcPr>
          <w:p w14:paraId="1C56F8EF">
            <w:pPr>
              <w:pStyle w:val="369"/>
              <w:rPr>
                <w:b w:val="0"/>
                <w:bCs/>
                <w:sz w:val="21"/>
                <w:szCs w:val="21"/>
              </w:rPr>
            </w:pPr>
            <w:r>
              <w:rPr>
                <w:rFonts w:hint="eastAsia"/>
                <w:b w:val="0"/>
                <w:bCs/>
                <w:sz w:val="21"/>
                <w:szCs w:val="21"/>
              </w:rPr>
              <w:t>生物除臭箱</w:t>
            </w:r>
          </w:p>
        </w:tc>
        <w:tc>
          <w:tcPr>
            <w:tcW w:w="1059" w:type="dxa"/>
            <w:vMerge w:val="restart"/>
            <w:vAlign w:val="center"/>
          </w:tcPr>
          <w:p w14:paraId="0D415EEC">
            <w:pPr>
              <w:pStyle w:val="369"/>
              <w:rPr>
                <w:b w:val="0"/>
                <w:bCs/>
                <w:sz w:val="21"/>
                <w:szCs w:val="21"/>
              </w:rPr>
            </w:pPr>
            <w:r>
              <w:rPr>
                <w:rFonts w:hint="eastAsia"/>
                <w:b w:val="0"/>
                <w:bCs/>
                <w:sz w:val="21"/>
                <w:szCs w:val="21"/>
              </w:rPr>
              <w:t>50%</w:t>
            </w:r>
          </w:p>
        </w:tc>
        <w:tc>
          <w:tcPr>
            <w:tcW w:w="1393" w:type="dxa"/>
            <w:vAlign w:val="center"/>
          </w:tcPr>
          <w:p w14:paraId="343AD285">
            <w:pPr>
              <w:pStyle w:val="369"/>
              <w:rPr>
                <w:b w:val="0"/>
                <w:bCs/>
                <w:sz w:val="21"/>
                <w:szCs w:val="21"/>
              </w:rPr>
            </w:pPr>
            <w:r>
              <w:rPr>
                <w:rFonts w:hint="eastAsia"/>
                <w:b w:val="0"/>
                <w:bCs/>
                <w:sz w:val="21"/>
                <w:szCs w:val="21"/>
              </w:rPr>
              <w:t>0.48</w:t>
            </w:r>
          </w:p>
        </w:tc>
        <w:tc>
          <w:tcPr>
            <w:tcW w:w="1734" w:type="dxa"/>
            <w:vAlign w:val="center"/>
          </w:tcPr>
          <w:p w14:paraId="0EE1CFD7">
            <w:pPr>
              <w:pStyle w:val="369"/>
              <w:rPr>
                <w:b w:val="0"/>
                <w:bCs/>
                <w:sz w:val="21"/>
                <w:szCs w:val="21"/>
              </w:rPr>
            </w:pPr>
            <w:r>
              <w:rPr>
                <w:rFonts w:hint="eastAsia"/>
                <w:b w:val="0"/>
                <w:bCs/>
                <w:sz w:val="21"/>
                <w:szCs w:val="21"/>
              </w:rPr>
              <w:t>0.055</w:t>
            </w:r>
          </w:p>
        </w:tc>
      </w:tr>
      <w:tr w14:paraId="5DF5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01992B00">
            <w:pPr>
              <w:pStyle w:val="369"/>
              <w:rPr>
                <w:b w:val="0"/>
                <w:bCs/>
                <w:sz w:val="21"/>
                <w:szCs w:val="21"/>
              </w:rPr>
            </w:pPr>
          </w:p>
        </w:tc>
        <w:tc>
          <w:tcPr>
            <w:tcW w:w="1310" w:type="dxa"/>
            <w:vAlign w:val="center"/>
          </w:tcPr>
          <w:p w14:paraId="6232CD30">
            <w:pPr>
              <w:pStyle w:val="369"/>
              <w:rPr>
                <w:b w:val="0"/>
                <w:sz w:val="21"/>
                <w:szCs w:val="21"/>
              </w:rPr>
            </w:pPr>
            <w:r>
              <w:rPr>
                <w:b w:val="0"/>
              </w:rPr>
              <w:t>H</w:t>
            </w:r>
            <w:r>
              <w:rPr>
                <w:b w:val="0"/>
                <w:vertAlign w:val="subscript"/>
              </w:rPr>
              <w:t>2</w:t>
            </w:r>
            <w:r>
              <w:rPr>
                <w:b w:val="0"/>
              </w:rPr>
              <w:t>S</w:t>
            </w:r>
          </w:p>
        </w:tc>
        <w:tc>
          <w:tcPr>
            <w:tcW w:w="1523" w:type="dxa"/>
            <w:vAlign w:val="center"/>
          </w:tcPr>
          <w:p w14:paraId="017B8E1F">
            <w:pPr>
              <w:pStyle w:val="369"/>
              <w:rPr>
                <w:b w:val="0"/>
                <w:bCs/>
                <w:sz w:val="21"/>
                <w:szCs w:val="21"/>
              </w:rPr>
            </w:pPr>
            <w:r>
              <w:rPr>
                <w:rFonts w:hint="eastAsia"/>
                <w:b w:val="0"/>
                <w:bCs/>
                <w:sz w:val="21"/>
                <w:szCs w:val="21"/>
              </w:rPr>
              <w:t>0.096</w:t>
            </w:r>
          </w:p>
        </w:tc>
        <w:tc>
          <w:tcPr>
            <w:tcW w:w="1310" w:type="dxa"/>
            <w:vMerge w:val="continue"/>
            <w:vAlign w:val="center"/>
          </w:tcPr>
          <w:p w14:paraId="4573F404">
            <w:pPr>
              <w:pStyle w:val="369"/>
              <w:rPr>
                <w:b w:val="0"/>
                <w:bCs/>
                <w:sz w:val="21"/>
                <w:szCs w:val="21"/>
              </w:rPr>
            </w:pPr>
          </w:p>
        </w:tc>
        <w:tc>
          <w:tcPr>
            <w:tcW w:w="1059" w:type="dxa"/>
            <w:vMerge w:val="continue"/>
            <w:vAlign w:val="center"/>
          </w:tcPr>
          <w:p w14:paraId="1FAE6BB6">
            <w:pPr>
              <w:pStyle w:val="369"/>
              <w:rPr>
                <w:b w:val="0"/>
                <w:bCs/>
                <w:sz w:val="21"/>
                <w:szCs w:val="21"/>
              </w:rPr>
            </w:pPr>
          </w:p>
        </w:tc>
        <w:tc>
          <w:tcPr>
            <w:tcW w:w="1393" w:type="dxa"/>
            <w:vAlign w:val="center"/>
          </w:tcPr>
          <w:p w14:paraId="3A826FE3">
            <w:pPr>
              <w:pStyle w:val="369"/>
              <w:rPr>
                <w:b w:val="0"/>
                <w:bCs/>
                <w:sz w:val="21"/>
                <w:szCs w:val="21"/>
              </w:rPr>
            </w:pPr>
            <w:r>
              <w:rPr>
                <w:rFonts w:hint="eastAsia"/>
                <w:b w:val="0"/>
                <w:bCs/>
                <w:sz w:val="21"/>
                <w:szCs w:val="21"/>
              </w:rPr>
              <w:t>0.048</w:t>
            </w:r>
          </w:p>
        </w:tc>
        <w:tc>
          <w:tcPr>
            <w:tcW w:w="1734" w:type="dxa"/>
            <w:vAlign w:val="center"/>
          </w:tcPr>
          <w:p w14:paraId="313DB0A6">
            <w:pPr>
              <w:pStyle w:val="369"/>
              <w:rPr>
                <w:b w:val="0"/>
                <w:bCs/>
                <w:sz w:val="21"/>
                <w:szCs w:val="21"/>
              </w:rPr>
            </w:pPr>
            <w:r>
              <w:rPr>
                <w:rFonts w:hint="eastAsia"/>
                <w:b w:val="0"/>
                <w:bCs/>
                <w:sz w:val="21"/>
                <w:szCs w:val="21"/>
              </w:rPr>
              <w:t>0.0055</w:t>
            </w:r>
          </w:p>
        </w:tc>
      </w:tr>
      <w:tr w14:paraId="3D8F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0495DD0A">
            <w:pPr>
              <w:pStyle w:val="369"/>
              <w:rPr>
                <w:b w:val="0"/>
                <w:bCs/>
                <w:sz w:val="21"/>
                <w:szCs w:val="21"/>
              </w:rPr>
            </w:pPr>
          </w:p>
        </w:tc>
        <w:tc>
          <w:tcPr>
            <w:tcW w:w="1310" w:type="dxa"/>
            <w:vAlign w:val="center"/>
          </w:tcPr>
          <w:p w14:paraId="63906D98">
            <w:pPr>
              <w:pStyle w:val="369"/>
              <w:rPr>
                <w:b w:val="0"/>
                <w:bCs/>
                <w:sz w:val="21"/>
                <w:szCs w:val="21"/>
              </w:rPr>
            </w:pPr>
            <w:r>
              <w:rPr>
                <w:rFonts w:hint="eastAsia"/>
                <w:b w:val="0"/>
                <w:bCs/>
                <w:sz w:val="21"/>
                <w:szCs w:val="21"/>
              </w:rPr>
              <w:t>臭气浓度</w:t>
            </w:r>
          </w:p>
        </w:tc>
        <w:tc>
          <w:tcPr>
            <w:tcW w:w="1523" w:type="dxa"/>
            <w:vAlign w:val="center"/>
          </w:tcPr>
          <w:p w14:paraId="18871AF8">
            <w:pPr>
              <w:pStyle w:val="369"/>
              <w:rPr>
                <w:b w:val="0"/>
                <w:bCs/>
                <w:sz w:val="21"/>
                <w:szCs w:val="21"/>
              </w:rPr>
            </w:pPr>
            <w:r>
              <w:rPr>
                <w:rFonts w:hint="eastAsia"/>
                <w:b w:val="0"/>
                <w:bCs/>
                <w:sz w:val="21"/>
                <w:szCs w:val="21"/>
              </w:rPr>
              <w:t>/</w:t>
            </w:r>
          </w:p>
        </w:tc>
        <w:tc>
          <w:tcPr>
            <w:tcW w:w="1310" w:type="dxa"/>
            <w:vMerge w:val="continue"/>
            <w:vAlign w:val="center"/>
          </w:tcPr>
          <w:p w14:paraId="0AA1426C">
            <w:pPr>
              <w:pStyle w:val="369"/>
              <w:rPr>
                <w:b w:val="0"/>
                <w:bCs/>
                <w:sz w:val="21"/>
                <w:szCs w:val="21"/>
              </w:rPr>
            </w:pPr>
          </w:p>
        </w:tc>
        <w:tc>
          <w:tcPr>
            <w:tcW w:w="1059" w:type="dxa"/>
            <w:vMerge w:val="continue"/>
            <w:vAlign w:val="center"/>
          </w:tcPr>
          <w:p w14:paraId="1C33FF18">
            <w:pPr>
              <w:pStyle w:val="369"/>
              <w:rPr>
                <w:b w:val="0"/>
                <w:bCs/>
                <w:sz w:val="21"/>
                <w:szCs w:val="21"/>
              </w:rPr>
            </w:pPr>
          </w:p>
        </w:tc>
        <w:tc>
          <w:tcPr>
            <w:tcW w:w="1393" w:type="dxa"/>
            <w:vAlign w:val="center"/>
          </w:tcPr>
          <w:p w14:paraId="021C5502">
            <w:pPr>
              <w:pStyle w:val="369"/>
              <w:rPr>
                <w:b w:val="0"/>
                <w:bCs/>
                <w:sz w:val="21"/>
                <w:szCs w:val="21"/>
              </w:rPr>
            </w:pPr>
            <w:r>
              <w:rPr>
                <w:rFonts w:hint="eastAsia"/>
                <w:b w:val="0"/>
                <w:bCs/>
                <w:sz w:val="21"/>
                <w:szCs w:val="21"/>
              </w:rPr>
              <w:t>/</w:t>
            </w:r>
          </w:p>
        </w:tc>
        <w:tc>
          <w:tcPr>
            <w:tcW w:w="1734" w:type="dxa"/>
            <w:vAlign w:val="center"/>
          </w:tcPr>
          <w:p w14:paraId="04528BDC">
            <w:pPr>
              <w:pStyle w:val="369"/>
              <w:rPr>
                <w:b w:val="0"/>
                <w:bCs/>
                <w:sz w:val="21"/>
                <w:szCs w:val="21"/>
              </w:rPr>
            </w:pPr>
            <w:r>
              <w:rPr>
                <w:rFonts w:hint="eastAsia"/>
                <w:b w:val="0"/>
                <w:bCs/>
                <w:sz w:val="21"/>
                <w:szCs w:val="21"/>
              </w:rPr>
              <w:t>/</w:t>
            </w:r>
          </w:p>
        </w:tc>
      </w:tr>
      <w:tr w14:paraId="67DA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61B3F155">
            <w:pPr>
              <w:pStyle w:val="369"/>
              <w:rPr>
                <w:b w:val="0"/>
                <w:bCs/>
                <w:sz w:val="21"/>
                <w:szCs w:val="21"/>
              </w:rPr>
            </w:pPr>
          </w:p>
        </w:tc>
        <w:tc>
          <w:tcPr>
            <w:tcW w:w="1310" w:type="dxa"/>
            <w:vAlign w:val="center"/>
          </w:tcPr>
          <w:p w14:paraId="4F4BA48E">
            <w:pPr>
              <w:pStyle w:val="369"/>
              <w:rPr>
                <w:b w:val="0"/>
                <w:bCs/>
                <w:sz w:val="21"/>
                <w:szCs w:val="21"/>
              </w:rPr>
            </w:pPr>
            <w:r>
              <w:rPr>
                <w:rFonts w:hint="eastAsia"/>
                <w:b w:val="0"/>
                <w:bCs/>
                <w:sz w:val="21"/>
                <w:szCs w:val="21"/>
              </w:rPr>
              <w:t>颗粒物</w:t>
            </w:r>
          </w:p>
        </w:tc>
        <w:tc>
          <w:tcPr>
            <w:tcW w:w="1523" w:type="dxa"/>
            <w:vAlign w:val="center"/>
          </w:tcPr>
          <w:p w14:paraId="2973A4E3">
            <w:pPr>
              <w:pStyle w:val="369"/>
              <w:rPr>
                <w:b w:val="0"/>
                <w:bCs/>
                <w:sz w:val="21"/>
                <w:szCs w:val="21"/>
              </w:rPr>
            </w:pPr>
            <w:r>
              <w:rPr>
                <w:rFonts w:hint="eastAsia"/>
                <w:b w:val="0"/>
                <w:bCs/>
                <w:sz w:val="21"/>
                <w:szCs w:val="21"/>
              </w:rPr>
              <w:t>5.43</w:t>
            </w:r>
          </w:p>
        </w:tc>
        <w:tc>
          <w:tcPr>
            <w:tcW w:w="1310" w:type="dxa"/>
            <w:vAlign w:val="center"/>
          </w:tcPr>
          <w:p w14:paraId="6D49C4A9">
            <w:pPr>
              <w:pStyle w:val="369"/>
              <w:rPr>
                <w:b w:val="0"/>
                <w:bCs/>
                <w:sz w:val="21"/>
                <w:szCs w:val="21"/>
              </w:rPr>
            </w:pPr>
            <w:r>
              <w:rPr>
                <w:rFonts w:hint="eastAsia"/>
                <w:b w:val="0"/>
                <w:bCs/>
                <w:sz w:val="21"/>
                <w:szCs w:val="21"/>
              </w:rPr>
              <w:t>布袋除尘器</w:t>
            </w:r>
          </w:p>
        </w:tc>
        <w:tc>
          <w:tcPr>
            <w:tcW w:w="1059" w:type="dxa"/>
            <w:vAlign w:val="center"/>
          </w:tcPr>
          <w:p w14:paraId="6187C319">
            <w:pPr>
              <w:pStyle w:val="369"/>
              <w:rPr>
                <w:b w:val="0"/>
                <w:bCs/>
                <w:sz w:val="21"/>
                <w:szCs w:val="21"/>
              </w:rPr>
            </w:pPr>
            <w:r>
              <w:rPr>
                <w:rFonts w:hint="eastAsia"/>
                <w:b w:val="0"/>
                <w:bCs/>
                <w:sz w:val="21"/>
                <w:szCs w:val="21"/>
              </w:rPr>
              <w:t>99%</w:t>
            </w:r>
          </w:p>
        </w:tc>
        <w:tc>
          <w:tcPr>
            <w:tcW w:w="1393" w:type="dxa"/>
            <w:vAlign w:val="center"/>
          </w:tcPr>
          <w:p w14:paraId="3598149E">
            <w:pPr>
              <w:pStyle w:val="369"/>
              <w:rPr>
                <w:b w:val="0"/>
                <w:bCs/>
                <w:sz w:val="21"/>
                <w:szCs w:val="21"/>
              </w:rPr>
            </w:pPr>
            <w:r>
              <w:rPr>
                <w:rFonts w:hint="eastAsia"/>
                <w:b w:val="0"/>
                <w:bCs/>
                <w:sz w:val="21"/>
                <w:szCs w:val="21"/>
              </w:rPr>
              <w:t>0.54</w:t>
            </w:r>
          </w:p>
        </w:tc>
        <w:tc>
          <w:tcPr>
            <w:tcW w:w="1734" w:type="dxa"/>
            <w:vAlign w:val="center"/>
          </w:tcPr>
          <w:p w14:paraId="061ED47F">
            <w:pPr>
              <w:pStyle w:val="369"/>
              <w:rPr>
                <w:b w:val="0"/>
                <w:bCs/>
                <w:sz w:val="21"/>
                <w:szCs w:val="21"/>
              </w:rPr>
            </w:pPr>
            <w:r>
              <w:rPr>
                <w:rFonts w:hint="eastAsia"/>
                <w:b w:val="0"/>
                <w:bCs/>
                <w:sz w:val="21"/>
                <w:szCs w:val="21"/>
              </w:rPr>
              <w:t>0.02</w:t>
            </w:r>
          </w:p>
        </w:tc>
      </w:tr>
      <w:tr w14:paraId="4ED7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vAlign w:val="center"/>
          </w:tcPr>
          <w:p w14:paraId="25CA8BA3">
            <w:pPr>
              <w:pStyle w:val="369"/>
              <w:rPr>
                <w:b w:val="0"/>
                <w:bCs/>
                <w:sz w:val="21"/>
                <w:szCs w:val="21"/>
              </w:rPr>
            </w:pPr>
            <w:r>
              <w:rPr>
                <w:rFonts w:hint="eastAsia"/>
                <w:b w:val="0"/>
                <w:bCs/>
                <w:sz w:val="21"/>
                <w:szCs w:val="21"/>
              </w:rPr>
              <w:t>污水处理站</w:t>
            </w:r>
          </w:p>
        </w:tc>
        <w:tc>
          <w:tcPr>
            <w:tcW w:w="1310" w:type="dxa"/>
            <w:vAlign w:val="center"/>
          </w:tcPr>
          <w:p w14:paraId="37FEC4C6">
            <w:pPr>
              <w:pStyle w:val="369"/>
              <w:rPr>
                <w:b w:val="0"/>
                <w:bCs/>
                <w:sz w:val="21"/>
                <w:szCs w:val="21"/>
              </w:rPr>
            </w:pPr>
            <w:r>
              <w:rPr>
                <w:b w:val="0"/>
                <w:bCs/>
              </w:rPr>
              <w:t>NH</w:t>
            </w:r>
            <w:r>
              <w:rPr>
                <w:b w:val="0"/>
                <w:bCs/>
                <w:vertAlign w:val="subscript"/>
              </w:rPr>
              <w:t>3</w:t>
            </w:r>
          </w:p>
        </w:tc>
        <w:tc>
          <w:tcPr>
            <w:tcW w:w="1523" w:type="dxa"/>
            <w:vAlign w:val="center"/>
          </w:tcPr>
          <w:p w14:paraId="569643F3">
            <w:pPr>
              <w:pStyle w:val="369"/>
              <w:rPr>
                <w:b w:val="0"/>
                <w:bCs/>
                <w:sz w:val="21"/>
                <w:szCs w:val="21"/>
              </w:rPr>
            </w:pPr>
            <w:r>
              <w:rPr>
                <w:rFonts w:hint="eastAsia"/>
                <w:b w:val="0"/>
                <w:bCs/>
                <w:sz w:val="21"/>
                <w:szCs w:val="21"/>
              </w:rPr>
              <w:t>0.054</w:t>
            </w:r>
          </w:p>
        </w:tc>
        <w:tc>
          <w:tcPr>
            <w:tcW w:w="1310" w:type="dxa"/>
            <w:vMerge w:val="restart"/>
            <w:vAlign w:val="center"/>
          </w:tcPr>
          <w:p w14:paraId="408142E2">
            <w:pPr>
              <w:pStyle w:val="369"/>
              <w:rPr>
                <w:b w:val="0"/>
                <w:bCs/>
                <w:sz w:val="21"/>
                <w:szCs w:val="21"/>
              </w:rPr>
            </w:pPr>
            <w:r>
              <w:rPr>
                <w:rFonts w:hint="eastAsia"/>
                <w:b w:val="0"/>
                <w:bCs/>
                <w:sz w:val="21"/>
                <w:szCs w:val="21"/>
              </w:rPr>
              <w:t>活性离子氧除臭设备</w:t>
            </w:r>
          </w:p>
        </w:tc>
        <w:tc>
          <w:tcPr>
            <w:tcW w:w="1059" w:type="dxa"/>
            <w:vMerge w:val="restart"/>
            <w:vAlign w:val="center"/>
          </w:tcPr>
          <w:p w14:paraId="33DA1911">
            <w:pPr>
              <w:pStyle w:val="369"/>
              <w:rPr>
                <w:b w:val="0"/>
                <w:bCs/>
                <w:sz w:val="21"/>
                <w:szCs w:val="21"/>
              </w:rPr>
            </w:pPr>
            <w:r>
              <w:rPr>
                <w:rFonts w:hint="eastAsia"/>
                <w:b w:val="0"/>
                <w:bCs/>
                <w:sz w:val="21"/>
                <w:szCs w:val="21"/>
              </w:rPr>
              <w:t>90%</w:t>
            </w:r>
          </w:p>
        </w:tc>
        <w:tc>
          <w:tcPr>
            <w:tcW w:w="1393" w:type="dxa"/>
            <w:vAlign w:val="center"/>
          </w:tcPr>
          <w:p w14:paraId="43D96EC9">
            <w:pPr>
              <w:pStyle w:val="369"/>
              <w:rPr>
                <w:b w:val="0"/>
                <w:bCs/>
                <w:sz w:val="21"/>
                <w:szCs w:val="21"/>
              </w:rPr>
            </w:pPr>
            <w:r>
              <w:rPr>
                <w:rFonts w:hint="eastAsia"/>
                <w:b w:val="0"/>
                <w:bCs/>
                <w:sz w:val="21"/>
                <w:szCs w:val="21"/>
              </w:rPr>
              <w:t>0.0513</w:t>
            </w:r>
          </w:p>
        </w:tc>
        <w:tc>
          <w:tcPr>
            <w:tcW w:w="1734" w:type="dxa"/>
            <w:vAlign w:val="center"/>
          </w:tcPr>
          <w:p w14:paraId="7D3529C5">
            <w:pPr>
              <w:pStyle w:val="369"/>
              <w:rPr>
                <w:b w:val="0"/>
                <w:bCs/>
                <w:sz w:val="21"/>
                <w:szCs w:val="21"/>
              </w:rPr>
            </w:pPr>
            <w:r>
              <w:rPr>
                <w:rFonts w:hint="eastAsia"/>
                <w:b w:val="0"/>
                <w:bCs/>
                <w:sz w:val="21"/>
                <w:szCs w:val="21"/>
              </w:rPr>
              <w:t>0.0019</w:t>
            </w:r>
          </w:p>
        </w:tc>
      </w:tr>
      <w:tr w14:paraId="14E0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60FC0F57">
            <w:pPr>
              <w:pStyle w:val="369"/>
              <w:rPr>
                <w:b w:val="0"/>
                <w:bCs/>
                <w:sz w:val="21"/>
                <w:szCs w:val="21"/>
              </w:rPr>
            </w:pPr>
          </w:p>
        </w:tc>
        <w:tc>
          <w:tcPr>
            <w:tcW w:w="1310" w:type="dxa"/>
            <w:vAlign w:val="center"/>
          </w:tcPr>
          <w:p w14:paraId="701684AB">
            <w:pPr>
              <w:pStyle w:val="369"/>
              <w:rPr>
                <w:b w:val="0"/>
                <w:sz w:val="21"/>
                <w:szCs w:val="21"/>
              </w:rPr>
            </w:pPr>
            <w:r>
              <w:rPr>
                <w:b w:val="0"/>
              </w:rPr>
              <w:t>H</w:t>
            </w:r>
            <w:r>
              <w:rPr>
                <w:b w:val="0"/>
                <w:vertAlign w:val="subscript"/>
              </w:rPr>
              <w:t>2</w:t>
            </w:r>
            <w:r>
              <w:rPr>
                <w:b w:val="0"/>
              </w:rPr>
              <w:t>S</w:t>
            </w:r>
          </w:p>
        </w:tc>
        <w:tc>
          <w:tcPr>
            <w:tcW w:w="1523" w:type="dxa"/>
            <w:vAlign w:val="center"/>
          </w:tcPr>
          <w:p w14:paraId="4641A058">
            <w:pPr>
              <w:pStyle w:val="369"/>
              <w:rPr>
                <w:b w:val="0"/>
                <w:bCs/>
                <w:sz w:val="21"/>
                <w:szCs w:val="21"/>
              </w:rPr>
            </w:pPr>
            <w:r>
              <w:rPr>
                <w:rFonts w:hint="eastAsia"/>
                <w:b w:val="0"/>
                <w:bCs/>
                <w:sz w:val="21"/>
                <w:szCs w:val="21"/>
              </w:rPr>
              <w:t>0.002</w:t>
            </w:r>
          </w:p>
        </w:tc>
        <w:tc>
          <w:tcPr>
            <w:tcW w:w="1310" w:type="dxa"/>
            <w:vMerge w:val="continue"/>
            <w:vAlign w:val="center"/>
          </w:tcPr>
          <w:p w14:paraId="4E7313F1">
            <w:pPr>
              <w:pStyle w:val="369"/>
              <w:rPr>
                <w:b w:val="0"/>
                <w:bCs/>
                <w:sz w:val="21"/>
                <w:szCs w:val="21"/>
              </w:rPr>
            </w:pPr>
          </w:p>
        </w:tc>
        <w:tc>
          <w:tcPr>
            <w:tcW w:w="1059" w:type="dxa"/>
            <w:vMerge w:val="continue"/>
            <w:vAlign w:val="center"/>
          </w:tcPr>
          <w:p w14:paraId="2D263279">
            <w:pPr>
              <w:pStyle w:val="369"/>
              <w:rPr>
                <w:b w:val="0"/>
                <w:bCs/>
                <w:sz w:val="21"/>
                <w:szCs w:val="21"/>
              </w:rPr>
            </w:pPr>
          </w:p>
        </w:tc>
        <w:tc>
          <w:tcPr>
            <w:tcW w:w="1393" w:type="dxa"/>
            <w:vAlign w:val="center"/>
          </w:tcPr>
          <w:p w14:paraId="06884E21">
            <w:pPr>
              <w:pStyle w:val="369"/>
              <w:rPr>
                <w:b w:val="0"/>
                <w:bCs/>
                <w:sz w:val="21"/>
                <w:szCs w:val="21"/>
              </w:rPr>
            </w:pPr>
            <w:r>
              <w:rPr>
                <w:rFonts w:hint="eastAsia"/>
                <w:b w:val="0"/>
                <w:bCs/>
                <w:sz w:val="21"/>
                <w:szCs w:val="21"/>
              </w:rPr>
              <w:t>0.0019</w:t>
            </w:r>
          </w:p>
        </w:tc>
        <w:tc>
          <w:tcPr>
            <w:tcW w:w="1734" w:type="dxa"/>
            <w:vAlign w:val="center"/>
          </w:tcPr>
          <w:p w14:paraId="115ECD95">
            <w:pPr>
              <w:pStyle w:val="369"/>
              <w:rPr>
                <w:b w:val="0"/>
                <w:bCs/>
                <w:sz w:val="21"/>
                <w:szCs w:val="21"/>
              </w:rPr>
            </w:pPr>
            <w:r>
              <w:rPr>
                <w:rFonts w:hint="eastAsia"/>
                <w:b w:val="0"/>
                <w:bCs/>
                <w:sz w:val="21"/>
                <w:szCs w:val="21"/>
              </w:rPr>
              <w:t>0.0002</w:t>
            </w:r>
          </w:p>
        </w:tc>
      </w:tr>
      <w:tr w14:paraId="1421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3938E217">
            <w:pPr>
              <w:pStyle w:val="369"/>
              <w:rPr>
                <w:b w:val="0"/>
                <w:bCs/>
                <w:sz w:val="21"/>
                <w:szCs w:val="21"/>
              </w:rPr>
            </w:pPr>
          </w:p>
        </w:tc>
        <w:tc>
          <w:tcPr>
            <w:tcW w:w="1310" w:type="dxa"/>
            <w:vAlign w:val="center"/>
          </w:tcPr>
          <w:p w14:paraId="40A39F07">
            <w:pPr>
              <w:pStyle w:val="369"/>
              <w:rPr>
                <w:b w:val="0"/>
                <w:bCs/>
                <w:sz w:val="21"/>
                <w:szCs w:val="21"/>
              </w:rPr>
            </w:pPr>
            <w:r>
              <w:rPr>
                <w:rFonts w:hint="eastAsia"/>
                <w:b w:val="0"/>
                <w:bCs/>
                <w:sz w:val="21"/>
                <w:szCs w:val="21"/>
              </w:rPr>
              <w:t>臭气浓度</w:t>
            </w:r>
          </w:p>
        </w:tc>
        <w:tc>
          <w:tcPr>
            <w:tcW w:w="1523" w:type="dxa"/>
            <w:vAlign w:val="center"/>
          </w:tcPr>
          <w:p w14:paraId="5C0B4D5C">
            <w:pPr>
              <w:pStyle w:val="369"/>
              <w:rPr>
                <w:b w:val="0"/>
                <w:bCs/>
                <w:sz w:val="21"/>
                <w:szCs w:val="21"/>
              </w:rPr>
            </w:pPr>
            <w:r>
              <w:rPr>
                <w:rFonts w:hint="eastAsia"/>
                <w:b w:val="0"/>
                <w:bCs/>
                <w:sz w:val="21"/>
                <w:szCs w:val="21"/>
              </w:rPr>
              <w:t>/</w:t>
            </w:r>
          </w:p>
        </w:tc>
        <w:tc>
          <w:tcPr>
            <w:tcW w:w="1310" w:type="dxa"/>
            <w:vMerge w:val="continue"/>
            <w:vAlign w:val="center"/>
          </w:tcPr>
          <w:p w14:paraId="6F399125">
            <w:pPr>
              <w:pStyle w:val="369"/>
              <w:rPr>
                <w:b w:val="0"/>
                <w:bCs/>
                <w:sz w:val="21"/>
                <w:szCs w:val="21"/>
              </w:rPr>
            </w:pPr>
          </w:p>
        </w:tc>
        <w:tc>
          <w:tcPr>
            <w:tcW w:w="1059" w:type="dxa"/>
            <w:vMerge w:val="continue"/>
            <w:vAlign w:val="center"/>
          </w:tcPr>
          <w:p w14:paraId="053C4054">
            <w:pPr>
              <w:pStyle w:val="369"/>
              <w:rPr>
                <w:b w:val="0"/>
                <w:bCs/>
                <w:sz w:val="21"/>
                <w:szCs w:val="21"/>
              </w:rPr>
            </w:pPr>
          </w:p>
        </w:tc>
        <w:tc>
          <w:tcPr>
            <w:tcW w:w="1393" w:type="dxa"/>
            <w:vAlign w:val="center"/>
          </w:tcPr>
          <w:p w14:paraId="7C5943EC">
            <w:pPr>
              <w:pStyle w:val="369"/>
              <w:rPr>
                <w:b w:val="0"/>
                <w:bCs/>
                <w:sz w:val="21"/>
                <w:szCs w:val="21"/>
              </w:rPr>
            </w:pPr>
            <w:r>
              <w:rPr>
                <w:rFonts w:hint="eastAsia"/>
                <w:b w:val="0"/>
                <w:bCs/>
                <w:sz w:val="21"/>
                <w:szCs w:val="21"/>
              </w:rPr>
              <w:t>/</w:t>
            </w:r>
          </w:p>
        </w:tc>
        <w:tc>
          <w:tcPr>
            <w:tcW w:w="1734" w:type="dxa"/>
            <w:vAlign w:val="center"/>
          </w:tcPr>
          <w:p w14:paraId="0E4FC694">
            <w:pPr>
              <w:pStyle w:val="369"/>
              <w:rPr>
                <w:b w:val="0"/>
                <w:bCs/>
                <w:sz w:val="21"/>
                <w:szCs w:val="21"/>
              </w:rPr>
            </w:pPr>
            <w:r>
              <w:rPr>
                <w:rFonts w:hint="eastAsia"/>
                <w:b w:val="0"/>
                <w:bCs/>
                <w:sz w:val="21"/>
                <w:szCs w:val="21"/>
              </w:rPr>
              <w:t>/</w:t>
            </w:r>
          </w:p>
        </w:tc>
      </w:tr>
    </w:tbl>
    <w:p w14:paraId="3C227995">
      <w:pPr>
        <w:pStyle w:val="766"/>
        <w:rPr>
          <w:b/>
          <w:bCs/>
          <w:color w:val="auto"/>
          <w:sz w:val="24"/>
          <w:szCs w:val="24"/>
        </w:rPr>
      </w:pPr>
      <w:r>
        <w:rPr>
          <w:b/>
          <w:bCs/>
          <w:color w:val="auto"/>
          <w:sz w:val="24"/>
          <w:szCs w:val="24"/>
        </w:rPr>
        <w:t>表3.3-</w:t>
      </w:r>
      <w:r>
        <w:rPr>
          <w:rFonts w:hint="eastAsia"/>
          <w:b/>
          <w:bCs/>
          <w:color w:val="auto"/>
          <w:sz w:val="24"/>
          <w:szCs w:val="24"/>
        </w:rPr>
        <w:t>7</w:t>
      </w:r>
      <w:r>
        <w:rPr>
          <w:b/>
          <w:bCs/>
          <w:color w:val="auto"/>
          <w:sz w:val="24"/>
          <w:szCs w:val="24"/>
        </w:rPr>
        <w:t xml:space="preserve">   本项目</w:t>
      </w:r>
      <w:r>
        <w:rPr>
          <w:rFonts w:hint="eastAsia"/>
          <w:b/>
          <w:bCs/>
          <w:color w:val="auto"/>
          <w:sz w:val="24"/>
          <w:szCs w:val="24"/>
        </w:rPr>
        <w:t>无组织</w:t>
      </w:r>
      <w:r>
        <w:rPr>
          <w:b/>
          <w:bCs/>
          <w:color w:val="auto"/>
          <w:sz w:val="24"/>
          <w:szCs w:val="24"/>
        </w:rPr>
        <w:t>恶臭产生及排放情况一览表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357"/>
        <w:gridCol w:w="1333"/>
        <w:gridCol w:w="2000"/>
        <w:gridCol w:w="989"/>
        <w:gridCol w:w="1323"/>
        <w:gridCol w:w="1327"/>
      </w:tblGrid>
      <w:tr w14:paraId="5BB3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27DEF1E7">
            <w:pPr>
              <w:pStyle w:val="766"/>
              <w:rPr>
                <w:color w:val="auto"/>
              </w:rPr>
            </w:pPr>
            <w:r>
              <w:rPr>
                <w:rFonts w:hint="eastAsia"/>
                <w:color w:val="auto"/>
              </w:rPr>
              <w:t>污染源</w:t>
            </w:r>
          </w:p>
        </w:tc>
        <w:tc>
          <w:tcPr>
            <w:tcW w:w="1357" w:type="dxa"/>
            <w:vAlign w:val="center"/>
          </w:tcPr>
          <w:p w14:paraId="1035A534">
            <w:pPr>
              <w:pStyle w:val="766"/>
              <w:rPr>
                <w:color w:val="auto"/>
              </w:rPr>
            </w:pPr>
            <w:r>
              <w:rPr>
                <w:rFonts w:hint="eastAsia"/>
                <w:color w:val="auto"/>
              </w:rPr>
              <w:t>污染物</w:t>
            </w:r>
          </w:p>
        </w:tc>
        <w:tc>
          <w:tcPr>
            <w:tcW w:w="1333" w:type="dxa"/>
            <w:vAlign w:val="center"/>
          </w:tcPr>
          <w:p w14:paraId="3D71D187">
            <w:pPr>
              <w:pStyle w:val="369"/>
              <w:rPr>
                <w:b w:val="0"/>
                <w:bCs/>
                <w:sz w:val="21"/>
                <w:szCs w:val="21"/>
              </w:rPr>
            </w:pPr>
            <w:r>
              <w:rPr>
                <w:rFonts w:hint="eastAsia"/>
                <w:b w:val="0"/>
                <w:bCs/>
                <w:sz w:val="21"/>
                <w:szCs w:val="21"/>
              </w:rPr>
              <w:t>产生量（t/a）</w:t>
            </w:r>
          </w:p>
        </w:tc>
        <w:tc>
          <w:tcPr>
            <w:tcW w:w="2000" w:type="dxa"/>
            <w:vAlign w:val="center"/>
          </w:tcPr>
          <w:p w14:paraId="615DCC90">
            <w:pPr>
              <w:pStyle w:val="369"/>
              <w:rPr>
                <w:b w:val="0"/>
                <w:bCs/>
                <w:sz w:val="21"/>
                <w:szCs w:val="21"/>
              </w:rPr>
            </w:pPr>
            <w:r>
              <w:rPr>
                <w:rFonts w:hint="eastAsia"/>
                <w:b w:val="0"/>
                <w:bCs/>
                <w:sz w:val="21"/>
                <w:szCs w:val="21"/>
              </w:rPr>
              <w:t>除臭措施</w:t>
            </w:r>
          </w:p>
        </w:tc>
        <w:tc>
          <w:tcPr>
            <w:tcW w:w="989" w:type="dxa"/>
            <w:vAlign w:val="center"/>
          </w:tcPr>
          <w:p w14:paraId="094FD26C">
            <w:pPr>
              <w:pStyle w:val="369"/>
              <w:rPr>
                <w:b w:val="0"/>
                <w:bCs/>
                <w:sz w:val="21"/>
                <w:szCs w:val="21"/>
              </w:rPr>
            </w:pPr>
            <w:r>
              <w:rPr>
                <w:rFonts w:hint="eastAsia"/>
                <w:b w:val="0"/>
                <w:bCs/>
                <w:sz w:val="21"/>
                <w:szCs w:val="21"/>
              </w:rPr>
              <w:t>除臭效率</w:t>
            </w:r>
          </w:p>
        </w:tc>
        <w:tc>
          <w:tcPr>
            <w:tcW w:w="1323" w:type="dxa"/>
            <w:vAlign w:val="center"/>
          </w:tcPr>
          <w:p w14:paraId="7F9F17D1">
            <w:pPr>
              <w:pStyle w:val="369"/>
              <w:rPr>
                <w:b w:val="0"/>
                <w:bCs/>
                <w:sz w:val="21"/>
                <w:szCs w:val="21"/>
              </w:rPr>
            </w:pPr>
            <w:r>
              <w:rPr>
                <w:rFonts w:hint="eastAsia"/>
                <w:b w:val="0"/>
                <w:bCs/>
                <w:sz w:val="21"/>
                <w:szCs w:val="21"/>
              </w:rPr>
              <w:t>排放量（t/a）</w:t>
            </w:r>
          </w:p>
        </w:tc>
        <w:tc>
          <w:tcPr>
            <w:tcW w:w="1327" w:type="dxa"/>
            <w:vAlign w:val="center"/>
          </w:tcPr>
          <w:p w14:paraId="12BFBB36">
            <w:pPr>
              <w:pStyle w:val="369"/>
              <w:rPr>
                <w:b w:val="0"/>
                <w:bCs/>
                <w:sz w:val="21"/>
                <w:szCs w:val="21"/>
              </w:rPr>
            </w:pPr>
            <w:r>
              <w:rPr>
                <w:rFonts w:hint="eastAsia"/>
                <w:b w:val="0"/>
                <w:bCs/>
                <w:sz w:val="21"/>
                <w:szCs w:val="21"/>
              </w:rPr>
              <w:t>排放浓度（mg/m</w:t>
            </w:r>
            <w:r>
              <w:rPr>
                <w:rFonts w:hint="eastAsia"/>
                <w:b w:val="0"/>
                <w:bCs/>
                <w:sz w:val="21"/>
                <w:szCs w:val="21"/>
                <w:vertAlign w:val="superscript"/>
              </w:rPr>
              <w:t>3</w:t>
            </w:r>
            <w:r>
              <w:rPr>
                <w:rFonts w:hint="eastAsia"/>
                <w:b w:val="0"/>
                <w:bCs/>
                <w:sz w:val="21"/>
                <w:szCs w:val="21"/>
              </w:rPr>
              <w:t>）</w:t>
            </w:r>
          </w:p>
        </w:tc>
      </w:tr>
      <w:tr w14:paraId="0572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vAlign w:val="center"/>
          </w:tcPr>
          <w:p w14:paraId="48DB98DE">
            <w:pPr>
              <w:pStyle w:val="766"/>
              <w:rPr>
                <w:color w:val="auto"/>
              </w:rPr>
            </w:pPr>
            <w:r>
              <w:rPr>
                <w:rFonts w:hint="eastAsia"/>
                <w:color w:val="auto"/>
              </w:rPr>
              <w:t>鸡舍</w:t>
            </w:r>
          </w:p>
        </w:tc>
        <w:tc>
          <w:tcPr>
            <w:tcW w:w="1357" w:type="dxa"/>
            <w:vAlign w:val="center"/>
          </w:tcPr>
          <w:p w14:paraId="03FAE7FD">
            <w:pPr>
              <w:pStyle w:val="369"/>
              <w:rPr>
                <w:b w:val="0"/>
                <w:bCs/>
                <w:sz w:val="21"/>
                <w:szCs w:val="21"/>
              </w:rPr>
            </w:pPr>
            <w:r>
              <w:rPr>
                <w:b w:val="0"/>
                <w:bCs/>
                <w:sz w:val="21"/>
                <w:szCs w:val="21"/>
              </w:rPr>
              <w:t>NH</w:t>
            </w:r>
            <w:r>
              <w:rPr>
                <w:b w:val="0"/>
                <w:bCs/>
                <w:sz w:val="21"/>
                <w:szCs w:val="21"/>
                <w:vertAlign w:val="subscript"/>
              </w:rPr>
              <w:t>3</w:t>
            </w:r>
          </w:p>
        </w:tc>
        <w:tc>
          <w:tcPr>
            <w:tcW w:w="1333" w:type="dxa"/>
            <w:vAlign w:val="center"/>
          </w:tcPr>
          <w:p w14:paraId="594D01CD">
            <w:pPr>
              <w:pStyle w:val="766"/>
              <w:rPr>
                <w:color w:val="auto"/>
              </w:rPr>
            </w:pPr>
            <w:r>
              <w:rPr>
                <w:rFonts w:hint="eastAsia"/>
                <w:color w:val="auto"/>
              </w:rPr>
              <w:t>269</w:t>
            </w:r>
          </w:p>
        </w:tc>
        <w:tc>
          <w:tcPr>
            <w:tcW w:w="2000" w:type="dxa"/>
            <w:vMerge w:val="restart"/>
            <w:vAlign w:val="center"/>
          </w:tcPr>
          <w:p w14:paraId="74160462">
            <w:pPr>
              <w:pStyle w:val="766"/>
              <w:rPr>
                <w:color w:val="auto"/>
              </w:rPr>
            </w:pPr>
            <w:r>
              <w:rPr>
                <w:color w:val="auto"/>
              </w:rPr>
              <w:t>选用益生菌配方饲料，及时清理粪便，定期喷洒除臭剂</w:t>
            </w:r>
            <w:r>
              <w:rPr>
                <w:rFonts w:hint="eastAsia"/>
                <w:color w:val="auto"/>
              </w:rPr>
              <w:t>，安装水雾除臭装置</w:t>
            </w:r>
          </w:p>
        </w:tc>
        <w:tc>
          <w:tcPr>
            <w:tcW w:w="989" w:type="dxa"/>
            <w:vMerge w:val="restart"/>
            <w:vAlign w:val="center"/>
          </w:tcPr>
          <w:p w14:paraId="58C0730A">
            <w:pPr>
              <w:pStyle w:val="766"/>
              <w:rPr>
                <w:color w:val="auto"/>
              </w:rPr>
            </w:pPr>
            <w:r>
              <w:rPr>
                <w:rFonts w:hint="eastAsia"/>
                <w:color w:val="auto"/>
              </w:rPr>
              <w:t>80%</w:t>
            </w:r>
          </w:p>
        </w:tc>
        <w:tc>
          <w:tcPr>
            <w:tcW w:w="1323" w:type="dxa"/>
            <w:vAlign w:val="center"/>
          </w:tcPr>
          <w:p w14:paraId="2BD694DF">
            <w:pPr>
              <w:pStyle w:val="766"/>
              <w:rPr>
                <w:color w:val="auto"/>
              </w:rPr>
            </w:pPr>
            <w:r>
              <w:rPr>
                <w:rFonts w:hint="eastAsia"/>
                <w:color w:val="auto"/>
              </w:rPr>
              <w:t>53.8</w:t>
            </w:r>
          </w:p>
        </w:tc>
        <w:tc>
          <w:tcPr>
            <w:tcW w:w="1327" w:type="dxa"/>
            <w:vAlign w:val="center"/>
          </w:tcPr>
          <w:p w14:paraId="4CD7117D">
            <w:pPr>
              <w:pStyle w:val="766"/>
              <w:rPr>
                <w:color w:val="auto"/>
              </w:rPr>
            </w:pPr>
            <w:r>
              <w:rPr>
                <w:rFonts w:hint="eastAsia"/>
                <w:color w:val="auto"/>
              </w:rPr>
              <w:t>1.02</w:t>
            </w:r>
          </w:p>
        </w:tc>
      </w:tr>
      <w:tr w14:paraId="1FA8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0A61404C">
            <w:pPr>
              <w:pStyle w:val="766"/>
              <w:rPr>
                <w:color w:val="auto"/>
              </w:rPr>
            </w:pPr>
          </w:p>
        </w:tc>
        <w:tc>
          <w:tcPr>
            <w:tcW w:w="1357" w:type="dxa"/>
            <w:vAlign w:val="center"/>
          </w:tcPr>
          <w:p w14:paraId="542EA63B">
            <w:pPr>
              <w:pStyle w:val="369"/>
              <w:rPr>
                <w:b w:val="0"/>
                <w:sz w:val="21"/>
                <w:szCs w:val="21"/>
              </w:rPr>
            </w:pPr>
            <w:r>
              <w:rPr>
                <w:b w:val="0"/>
                <w:sz w:val="21"/>
                <w:szCs w:val="21"/>
              </w:rPr>
              <w:t>H</w:t>
            </w:r>
            <w:r>
              <w:rPr>
                <w:b w:val="0"/>
                <w:sz w:val="21"/>
                <w:szCs w:val="21"/>
                <w:vertAlign w:val="subscript"/>
              </w:rPr>
              <w:t>2</w:t>
            </w:r>
            <w:r>
              <w:rPr>
                <w:b w:val="0"/>
                <w:sz w:val="21"/>
                <w:szCs w:val="21"/>
              </w:rPr>
              <w:t>S</w:t>
            </w:r>
          </w:p>
        </w:tc>
        <w:tc>
          <w:tcPr>
            <w:tcW w:w="1333" w:type="dxa"/>
            <w:vAlign w:val="center"/>
          </w:tcPr>
          <w:p w14:paraId="53E44490">
            <w:pPr>
              <w:pStyle w:val="766"/>
              <w:rPr>
                <w:color w:val="auto"/>
              </w:rPr>
            </w:pPr>
            <w:r>
              <w:rPr>
                <w:rFonts w:hint="eastAsia"/>
                <w:color w:val="auto"/>
              </w:rPr>
              <w:t>13.45</w:t>
            </w:r>
          </w:p>
        </w:tc>
        <w:tc>
          <w:tcPr>
            <w:tcW w:w="2000" w:type="dxa"/>
            <w:vMerge w:val="continue"/>
            <w:vAlign w:val="center"/>
          </w:tcPr>
          <w:p w14:paraId="1E1D99FC">
            <w:pPr>
              <w:pStyle w:val="766"/>
              <w:rPr>
                <w:color w:val="auto"/>
              </w:rPr>
            </w:pPr>
          </w:p>
        </w:tc>
        <w:tc>
          <w:tcPr>
            <w:tcW w:w="989" w:type="dxa"/>
            <w:vMerge w:val="continue"/>
            <w:vAlign w:val="center"/>
          </w:tcPr>
          <w:p w14:paraId="3175B70C">
            <w:pPr>
              <w:pStyle w:val="766"/>
              <w:rPr>
                <w:color w:val="auto"/>
              </w:rPr>
            </w:pPr>
          </w:p>
        </w:tc>
        <w:tc>
          <w:tcPr>
            <w:tcW w:w="1323" w:type="dxa"/>
            <w:vAlign w:val="center"/>
          </w:tcPr>
          <w:p w14:paraId="255625EF">
            <w:pPr>
              <w:pStyle w:val="766"/>
              <w:rPr>
                <w:color w:val="auto"/>
              </w:rPr>
            </w:pPr>
            <w:r>
              <w:rPr>
                <w:rFonts w:hint="eastAsia"/>
                <w:color w:val="auto"/>
              </w:rPr>
              <w:t>2.69</w:t>
            </w:r>
          </w:p>
        </w:tc>
        <w:tc>
          <w:tcPr>
            <w:tcW w:w="1327" w:type="dxa"/>
            <w:vAlign w:val="center"/>
          </w:tcPr>
          <w:p w14:paraId="02C81B30">
            <w:pPr>
              <w:pStyle w:val="766"/>
              <w:rPr>
                <w:color w:val="auto"/>
              </w:rPr>
            </w:pPr>
            <w:r>
              <w:rPr>
                <w:rFonts w:hint="eastAsia"/>
                <w:color w:val="auto"/>
              </w:rPr>
              <w:t>0.051</w:t>
            </w:r>
          </w:p>
        </w:tc>
      </w:tr>
      <w:tr w14:paraId="73AE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6C3EF659">
            <w:pPr>
              <w:pStyle w:val="766"/>
              <w:rPr>
                <w:color w:val="auto"/>
              </w:rPr>
            </w:pPr>
          </w:p>
        </w:tc>
        <w:tc>
          <w:tcPr>
            <w:tcW w:w="1357" w:type="dxa"/>
            <w:vAlign w:val="center"/>
          </w:tcPr>
          <w:p w14:paraId="534A5E74">
            <w:pPr>
              <w:pStyle w:val="369"/>
              <w:rPr>
                <w:b w:val="0"/>
                <w:bCs/>
                <w:sz w:val="21"/>
                <w:szCs w:val="21"/>
              </w:rPr>
            </w:pPr>
            <w:r>
              <w:rPr>
                <w:rFonts w:hint="eastAsia"/>
                <w:b w:val="0"/>
                <w:bCs/>
                <w:sz w:val="21"/>
                <w:szCs w:val="21"/>
              </w:rPr>
              <w:t>臭气浓度</w:t>
            </w:r>
          </w:p>
        </w:tc>
        <w:tc>
          <w:tcPr>
            <w:tcW w:w="1333" w:type="dxa"/>
            <w:vAlign w:val="center"/>
          </w:tcPr>
          <w:p w14:paraId="31ED5ECB">
            <w:pPr>
              <w:pStyle w:val="766"/>
              <w:rPr>
                <w:color w:val="auto"/>
              </w:rPr>
            </w:pPr>
            <w:r>
              <w:rPr>
                <w:rFonts w:hint="eastAsia"/>
                <w:color w:val="auto"/>
              </w:rPr>
              <w:t>/</w:t>
            </w:r>
          </w:p>
        </w:tc>
        <w:tc>
          <w:tcPr>
            <w:tcW w:w="2000" w:type="dxa"/>
            <w:vMerge w:val="continue"/>
            <w:vAlign w:val="center"/>
          </w:tcPr>
          <w:p w14:paraId="686C6BEE">
            <w:pPr>
              <w:pStyle w:val="766"/>
              <w:rPr>
                <w:color w:val="auto"/>
              </w:rPr>
            </w:pPr>
          </w:p>
        </w:tc>
        <w:tc>
          <w:tcPr>
            <w:tcW w:w="989" w:type="dxa"/>
            <w:vMerge w:val="continue"/>
            <w:vAlign w:val="center"/>
          </w:tcPr>
          <w:p w14:paraId="36C174AF">
            <w:pPr>
              <w:pStyle w:val="766"/>
              <w:rPr>
                <w:color w:val="auto"/>
              </w:rPr>
            </w:pPr>
          </w:p>
        </w:tc>
        <w:tc>
          <w:tcPr>
            <w:tcW w:w="1323" w:type="dxa"/>
            <w:vAlign w:val="center"/>
          </w:tcPr>
          <w:p w14:paraId="6456DABC">
            <w:pPr>
              <w:pStyle w:val="766"/>
              <w:rPr>
                <w:color w:val="auto"/>
              </w:rPr>
            </w:pPr>
            <w:r>
              <w:rPr>
                <w:rFonts w:hint="eastAsia"/>
                <w:color w:val="auto"/>
              </w:rPr>
              <w:t>/</w:t>
            </w:r>
          </w:p>
        </w:tc>
        <w:tc>
          <w:tcPr>
            <w:tcW w:w="1327" w:type="dxa"/>
            <w:vAlign w:val="center"/>
          </w:tcPr>
          <w:p w14:paraId="570BD1EB">
            <w:pPr>
              <w:pStyle w:val="766"/>
              <w:rPr>
                <w:color w:val="auto"/>
              </w:rPr>
            </w:pPr>
            <w:r>
              <w:rPr>
                <w:rFonts w:hint="eastAsia"/>
                <w:color w:val="auto"/>
              </w:rPr>
              <w:t>/</w:t>
            </w:r>
          </w:p>
        </w:tc>
      </w:tr>
      <w:tr w14:paraId="6DB4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vAlign w:val="center"/>
          </w:tcPr>
          <w:p w14:paraId="4ACABCD0">
            <w:pPr>
              <w:pStyle w:val="766"/>
              <w:rPr>
                <w:color w:val="auto"/>
              </w:rPr>
            </w:pPr>
            <w:r>
              <w:rPr>
                <w:rFonts w:hint="eastAsia"/>
                <w:color w:val="auto"/>
              </w:rPr>
              <w:t>污水处理站</w:t>
            </w:r>
          </w:p>
        </w:tc>
        <w:tc>
          <w:tcPr>
            <w:tcW w:w="1357" w:type="dxa"/>
            <w:vAlign w:val="center"/>
          </w:tcPr>
          <w:p w14:paraId="63039C09">
            <w:pPr>
              <w:pStyle w:val="369"/>
              <w:rPr>
                <w:b w:val="0"/>
                <w:bCs/>
                <w:sz w:val="21"/>
                <w:szCs w:val="21"/>
              </w:rPr>
            </w:pPr>
            <w:r>
              <w:rPr>
                <w:b w:val="0"/>
                <w:bCs/>
                <w:sz w:val="21"/>
                <w:szCs w:val="21"/>
              </w:rPr>
              <w:t>NH</w:t>
            </w:r>
            <w:r>
              <w:rPr>
                <w:b w:val="0"/>
                <w:bCs/>
                <w:sz w:val="21"/>
                <w:szCs w:val="21"/>
                <w:vertAlign w:val="subscript"/>
              </w:rPr>
              <w:t>3</w:t>
            </w:r>
          </w:p>
        </w:tc>
        <w:tc>
          <w:tcPr>
            <w:tcW w:w="1333" w:type="dxa"/>
            <w:vAlign w:val="center"/>
          </w:tcPr>
          <w:p w14:paraId="429A0407">
            <w:pPr>
              <w:pStyle w:val="766"/>
              <w:rPr>
                <w:color w:val="auto"/>
              </w:rPr>
            </w:pPr>
            <w:r>
              <w:rPr>
                <w:rFonts w:hint="eastAsia"/>
                <w:color w:val="auto"/>
              </w:rPr>
              <w:t>0.0027</w:t>
            </w:r>
          </w:p>
        </w:tc>
        <w:tc>
          <w:tcPr>
            <w:tcW w:w="2000" w:type="dxa"/>
            <w:vMerge w:val="restart"/>
            <w:vAlign w:val="center"/>
          </w:tcPr>
          <w:p w14:paraId="64C6461F">
            <w:pPr>
              <w:pStyle w:val="766"/>
              <w:rPr>
                <w:color w:val="auto"/>
              </w:rPr>
            </w:pPr>
            <w:r>
              <w:rPr>
                <w:rFonts w:hint="eastAsia"/>
                <w:color w:val="auto"/>
              </w:rPr>
              <w:t>/</w:t>
            </w:r>
          </w:p>
        </w:tc>
        <w:tc>
          <w:tcPr>
            <w:tcW w:w="989" w:type="dxa"/>
            <w:vMerge w:val="restart"/>
            <w:vAlign w:val="center"/>
          </w:tcPr>
          <w:p w14:paraId="689D1B1D">
            <w:pPr>
              <w:pStyle w:val="766"/>
              <w:rPr>
                <w:color w:val="auto"/>
              </w:rPr>
            </w:pPr>
            <w:r>
              <w:rPr>
                <w:rFonts w:hint="eastAsia"/>
                <w:color w:val="auto"/>
              </w:rPr>
              <w:t>/</w:t>
            </w:r>
          </w:p>
        </w:tc>
        <w:tc>
          <w:tcPr>
            <w:tcW w:w="1323" w:type="dxa"/>
            <w:vAlign w:val="center"/>
          </w:tcPr>
          <w:p w14:paraId="4B127CEB">
            <w:pPr>
              <w:pStyle w:val="766"/>
              <w:rPr>
                <w:color w:val="auto"/>
              </w:rPr>
            </w:pPr>
            <w:r>
              <w:rPr>
                <w:rFonts w:hint="eastAsia"/>
                <w:color w:val="auto"/>
              </w:rPr>
              <w:t>0.0027</w:t>
            </w:r>
          </w:p>
        </w:tc>
        <w:tc>
          <w:tcPr>
            <w:tcW w:w="1327" w:type="dxa"/>
            <w:vAlign w:val="center"/>
          </w:tcPr>
          <w:p w14:paraId="4759E9E2">
            <w:pPr>
              <w:pStyle w:val="766"/>
              <w:rPr>
                <w:color w:val="auto"/>
              </w:rPr>
            </w:pPr>
            <w:r>
              <w:rPr>
                <w:rFonts w:hint="eastAsia"/>
                <w:color w:val="auto"/>
              </w:rPr>
              <w:t>0.03</w:t>
            </w:r>
          </w:p>
        </w:tc>
      </w:tr>
      <w:tr w14:paraId="33CE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07807ED8">
            <w:pPr>
              <w:pStyle w:val="766"/>
              <w:rPr>
                <w:color w:val="auto"/>
              </w:rPr>
            </w:pPr>
          </w:p>
        </w:tc>
        <w:tc>
          <w:tcPr>
            <w:tcW w:w="1357" w:type="dxa"/>
            <w:vAlign w:val="center"/>
          </w:tcPr>
          <w:p w14:paraId="491E1496">
            <w:pPr>
              <w:pStyle w:val="369"/>
              <w:rPr>
                <w:b w:val="0"/>
                <w:sz w:val="21"/>
                <w:szCs w:val="21"/>
              </w:rPr>
            </w:pPr>
            <w:r>
              <w:rPr>
                <w:b w:val="0"/>
                <w:sz w:val="21"/>
                <w:szCs w:val="21"/>
              </w:rPr>
              <w:t>H</w:t>
            </w:r>
            <w:r>
              <w:rPr>
                <w:b w:val="0"/>
                <w:sz w:val="21"/>
                <w:szCs w:val="21"/>
                <w:vertAlign w:val="subscript"/>
              </w:rPr>
              <w:t>2</w:t>
            </w:r>
            <w:r>
              <w:rPr>
                <w:b w:val="0"/>
                <w:sz w:val="21"/>
                <w:szCs w:val="21"/>
              </w:rPr>
              <w:t>S</w:t>
            </w:r>
          </w:p>
        </w:tc>
        <w:tc>
          <w:tcPr>
            <w:tcW w:w="1333" w:type="dxa"/>
            <w:vAlign w:val="center"/>
          </w:tcPr>
          <w:p w14:paraId="372C0263">
            <w:pPr>
              <w:pStyle w:val="766"/>
              <w:rPr>
                <w:color w:val="auto"/>
              </w:rPr>
            </w:pPr>
            <w:r>
              <w:rPr>
                <w:rFonts w:hint="eastAsia"/>
                <w:color w:val="auto"/>
              </w:rPr>
              <w:t>0.0001</w:t>
            </w:r>
          </w:p>
        </w:tc>
        <w:tc>
          <w:tcPr>
            <w:tcW w:w="2000" w:type="dxa"/>
            <w:vMerge w:val="continue"/>
            <w:vAlign w:val="center"/>
          </w:tcPr>
          <w:p w14:paraId="5BB21DD0">
            <w:pPr>
              <w:pStyle w:val="766"/>
              <w:rPr>
                <w:color w:val="auto"/>
              </w:rPr>
            </w:pPr>
          </w:p>
        </w:tc>
        <w:tc>
          <w:tcPr>
            <w:tcW w:w="989" w:type="dxa"/>
            <w:vMerge w:val="continue"/>
            <w:vAlign w:val="center"/>
          </w:tcPr>
          <w:p w14:paraId="0E3255B8">
            <w:pPr>
              <w:pStyle w:val="766"/>
              <w:rPr>
                <w:color w:val="auto"/>
              </w:rPr>
            </w:pPr>
          </w:p>
        </w:tc>
        <w:tc>
          <w:tcPr>
            <w:tcW w:w="1323" w:type="dxa"/>
            <w:vAlign w:val="center"/>
          </w:tcPr>
          <w:p w14:paraId="29B4676F">
            <w:pPr>
              <w:pStyle w:val="766"/>
              <w:rPr>
                <w:color w:val="auto"/>
              </w:rPr>
            </w:pPr>
            <w:r>
              <w:rPr>
                <w:rFonts w:hint="eastAsia"/>
                <w:color w:val="auto"/>
              </w:rPr>
              <w:t>0.0001</w:t>
            </w:r>
          </w:p>
        </w:tc>
        <w:tc>
          <w:tcPr>
            <w:tcW w:w="1327" w:type="dxa"/>
            <w:vAlign w:val="center"/>
          </w:tcPr>
          <w:p w14:paraId="0ECC37D0">
            <w:pPr>
              <w:pStyle w:val="766"/>
              <w:rPr>
                <w:color w:val="auto"/>
              </w:rPr>
            </w:pPr>
            <w:r>
              <w:rPr>
                <w:rFonts w:hint="eastAsia"/>
                <w:color w:val="auto"/>
              </w:rPr>
              <w:t>0.001</w:t>
            </w:r>
          </w:p>
        </w:tc>
      </w:tr>
      <w:tr w14:paraId="3B34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vAlign w:val="center"/>
          </w:tcPr>
          <w:p w14:paraId="2230FC07">
            <w:pPr>
              <w:pStyle w:val="766"/>
              <w:rPr>
                <w:color w:val="auto"/>
              </w:rPr>
            </w:pPr>
          </w:p>
        </w:tc>
        <w:tc>
          <w:tcPr>
            <w:tcW w:w="1357" w:type="dxa"/>
            <w:vAlign w:val="center"/>
          </w:tcPr>
          <w:p w14:paraId="149F8AE9">
            <w:pPr>
              <w:pStyle w:val="369"/>
              <w:rPr>
                <w:b w:val="0"/>
                <w:bCs/>
                <w:sz w:val="21"/>
                <w:szCs w:val="21"/>
              </w:rPr>
            </w:pPr>
            <w:r>
              <w:rPr>
                <w:rFonts w:hint="eastAsia"/>
                <w:b w:val="0"/>
                <w:bCs/>
                <w:sz w:val="21"/>
                <w:szCs w:val="21"/>
              </w:rPr>
              <w:t>臭气浓度</w:t>
            </w:r>
          </w:p>
        </w:tc>
        <w:tc>
          <w:tcPr>
            <w:tcW w:w="1333" w:type="dxa"/>
            <w:vAlign w:val="center"/>
          </w:tcPr>
          <w:p w14:paraId="1BDCD40A">
            <w:pPr>
              <w:pStyle w:val="766"/>
              <w:rPr>
                <w:color w:val="auto"/>
              </w:rPr>
            </w:pPr>
            <w:r>
              <w:rPr>
                <w:rFonts w:hint="eastAsia"/>
                <w:color w:val="auto"/>
              </w:rPr>
              <w:t>/</w:t>
            </w:r>
          </w:p>
        </w:tc>
        <w:tc>
          <w:tcPr>
            <w:tcW w:w="2000" w:type="dxa"/>
            <w:vMerge w:val="continue"/>
            <w:vAlign w:val="center"/>
          </w:tcPr>
          <w:p w14:paraId="080268AD">
            <w:pPr>
              <w:pStyle w:val="766"/>
              <w:rPr>
                <w:color w:val="auto"/>
              </w:rPr>
            </w:pPr>
          </w:p>
        </w:tc>
        <w:tc>
          <w:tcPr>
            <w:tcW w:w="989" w:type="dxa"/>
            <w:vMerge w:val="continue"/>
            <w:vAlign w:val="center"/>
          </w:tcPr>
          <w:p w14:paraId="292DD756">
            <w:pPr>
              <w:pStyle w:val="766"/>
              <w:rPr>
                <w:color w:val="auto"/>
              </w:rPr>
            </w:pPr>
          </w:p>
        </w:tc>
        <w:tc>
          <w:tcPr>
            <w:tcW w:w="1323" w:type="dxa"/>
            <w:vAlign w:val="center"/>
          </w:tcPr>
          <w:p w14:paraId="6BA87A5B">
            <w:pPr>
              <w:pStyle w:val="766"/>
              <w:rPr>
                <w:color w:val="auto"/>
              </w:rPr>
            </w:pPr>
            <w:r>
              <w:rPr>
                <w:rFonts w:hint="eastAsia"/>
                <w:color w:val="auto"/>
              </w:rPr>
              <w:t>/</w:t>
            </w:r>
          </w:p>
        </w:tc>
        <w:tc>
          <w:tcPr>
            <w:tcW w:w="1327" w:type="dxa"/>
            <w:vAlign w:val="center"/>
          </w:tcPr>
          <w:p w14:paraId="67532E9F">
            <w:pPr>
              <w:pStyle w:val="766"/>
              <w:rPr>
                <w:color w:val="auto"/>
              </w:rPr>
            </w:pPr>
            <w:r>
              <w:rPr>
                <w:rFonts w:hint="eastAsia"/>
                <w:color w:val="auto"/>
              </w:rPr>
              <w:t>/</w:t>
            </w:r>
          </w:p>
        </w:tc>
      </w:tr>
    </w:tbl>
    <w:p w14:paraId="7154C0D2">
      <w:pPr>
        <w:pStyle w:val="105"/>
        <w:ind w:firstLine="482"/>
        <w:rPr>
          <w:b/>
          <w:bCs/>
        </w:rPr>
      </w:pPr>
      <w:r>
        <w:rPr>
          <w:b/>
          <w:bCs/>
        </w:rPr>
        <w:t>4</w:t>
      </w:r>
      <w:r>
        <w:rPr>
          <w:rFonts w:hint="eastAsia"/>
          <w:b/>
          <w:bCs/>
        </w:rPr>
        <w:t>、</w:t>
      </w:r>
      <w:r>
        <w:rPr>
          <w:b/>
          <w:bCs/>
        </w:rPr>
        <w:t>饲料加工粉尘</w:t>
      </w:r>
    </w:p>
    <w:p w14:paraId="49715D4C">
      <w:pPr>
        <w:spacing w:line="480" w:lineRule="exact"/>
        <w:ind w:firstLine="480"/>
        <w:rPr>
          <w:szCs w:val="24"/>
        </w:rPr>
      </w:pPr>
      <w:r>
        <w:rPr>
          <w:szCs w:val="24"/>
        </w:rPr>
        <w:t>项目在饲料加工过程中会产生粉尘。本项目设置1座饲料加工间，粉碎机日工作8h，年运行时间为2400h，饲料破碎加工废气通过集气罩收集后经1套布袋除尘器处理后由1根15m高排气筒排放。</w:t>
      </w:r>
    </w:p>
    <w:p w14:paraId="7C546270">
      <w:pPr>
        <w:spacing w:line="480" w:lineRule="exact"/>
        <w:ind w:firstLine="480"/>
        <w:rPr>
          <w:szCs w:val="24"/>
        </w:rPr>
      </w:pPr>
      <w:r>
        <w:rPr>
          <w:szCs w:val="24"/>
        </w:rPr>
        <w:t>项目饲料加工粉尘参照《未纳入排污许可管理行业适用的排污系数、物料衡算方法》（试行）-饲料加工行业-粉尘排污系数，0.045kg/t-产品，项目年加工饲料52500t，则本项目饲料加工过程总粉尘产生量2.36t/a，产生速率0.98kg/h。</w:t>
      </w:r>
      <w:r>
        <w:t>项目</w:t>
      </w:r>
      <w:r>
        <w:rPr>
          <w:szCs w:val="24"/>
        </w:rPr>
        <w:t>饲料加工废气</w:t>
      </w:r>
      <w:r>
        <w:t>收集效率为95%，</w:t>
      </w:r>
      <w:r>
        <w:rPr>
          <w:szCs w:val="24"/>
        </w:rPr>
        <w:t>项目布袋除尘器除尘效率99%，饲料破碎加工风机风量为4000m</w:t>
      </w:r>
      <w:r>
        <w:rPr>
          <w:szCs w:val="24"/>
          <w:vertAlign w:val="superscript"/>
        </w:rPr>
        <w:t>3</w:t>
      </w:r>
      <w:r>
        <w:rPr>
          <w:szCs w:val="24"/>
        </w:rPr>
        <w:t>/h。则</w:t>
      </w:r>
      <w:r>
        <w:rPr>
          <w:rFonts w:hint="eastAsia"/>
          <w:szCs w:val="24"/>
        </w:rPr>
        <w:t>饲料加工工序</w:t>
      </w:r>
      <w:r>
        <w:rPr>
          <w:szCs w:val="24"/>
        </w:rPr>
        <w:t>有组织粉尘产生量为2.242t/a，产生速率0.934kg/h，产生浓度233.5mg/m</w:t>
      </w:r>
      <w:r>
        <w:rPr>
          <w:szCs w:val="24"/>
          <w:vertAlign w:val="superscript"/>
        </w:rPr>
        <w:t>3</w:t>
      </w:r>
      <w:r>
        <w:rPr>
          <w:szCs w:val="24"/>
        </w:rPr>
        <w:t>，经布袋除尘器处理后粉尘排放量为0.0224t/a，排放速率0.00934kg/h，排放浓度为2.34mg/m</w:t>
      </w:r>
      <w:r>
        <w:rPr>
          <w:szCs w:val="24"/>
          <w:vertAlign w:val="superscript"/>
        </w:rPr>
        <w:t>3</w:t>
      </w:r>
      <w:r>
        <w:rPr>
          <w:szCs w:val="24"/>
        </w:rPr>
        <w:t>，满足《大气污染物综合排放标准》（GB16297-1996）表2二级排放限值要求。由于饲料加工生产区处于封闭车间内，未收集粉尘沉降收集，本评价不再考虑无组织粉尘排放。</w:t>
      </w:r>
    </w:p>
    <w:p w14:paraId="1A03925F">
      <w:pPr>
        <w:pStyle w:val="259"/>
        <w:spacing w:line="400" w:lineRule="exact"/>
        <w:ind w:firstLine="0" w:firstLineChars="0"/>
        <w:jc w:val="center"/>
        <w:rPr>
          <w:b/>
          <w:bCs/>
          <w:snapToGrid w:val="0"/>
        </w:rPr>
      </w:pPr>
      <w:r>
        <w:rPr>
          <w:b/>
          <w:bCs/>
          <w:snapToGrid w:val="0"/>
        </w:rPr>
        <w:t>表3.3-8  饲料加工粉尘排放情况</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642"/>
        <w:gridCol w:w="1292"/>
        <w:gridCol w:w="1219"/>
        <w:gridCol w:w="1055"/>
        <w:gridCol w:w="714"/>
        <w:gridCol w:w="1404"/>
        <w:gridCol w:w="1219"/>
        <w:gridCol w:w="1055"/>
      </w:tblGrid>
      <w:tr w14:paraId="0A5E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46204735">
            <w:pPr>
              <w:pStyle w:val="766"/>
              <w:rPr>
                <w:color w:val="auto"/>
              </w:rPr>
            </w:pPr>
            <w:r>
              <w:rPr>
                <w:color w:val="auto"/>
              </w:rPr>
              <w:t>位置</w:t>
            </w:r>
          </w:p>
        </w:tc>
        <w:tc>
          <w:tcPr>
            <w:tcW w:w="642" w:type="dxa"/>
            <w:vAlign w:val="center"/>
          </w:tcPr>
          <w:p w14:paraId="165DB12B">
            <w:pPr>
              <w:pStyle w:val="766"/>
              <w:rPr>
                <w:color w:val="auto"/>
              </w:rPr>
            </w:pPr>
            <w:r>
              <w:rPr>
                <w:color w:val="auto"/>
              </w:rPr>
              <w:t>污染物</w:t>
            </w:r>
          </w:p>
        </w:tc>
        <w:tc>
          <w:tcPr>
            <w:tcW w:w="1292" w:type="dxa"/>
            <w:vAlign w:val="center"/>
          </w:tcPr>
          <w:p w14:paraId="0E30E469">
            <w:pPr>
              <w:pStyle w:val="766"/>
              <w:rPr>
                <w:color w:val="auto"/>
              </w:rPr>
            </w:pPr>
            <w:r>
              <w:rPr>
                <w:color w:val="auto"/>
              </w:rPr>
              <w:t>产生浓度（</w:t>
            </w:r>
            <w:r>
              <w:rPr>
                <w:color w:val="auto"/>
                <w:szCs w:val="24"/>
              </w:rPr>
              <w:t>mg/m</w:t>
            </w:r>
            <w:r>
              <w:rPr>
                <w:color w:val="auto"/>
                <w:szCs w:val="24"/>
                <w:vertAlign w:val="superscript"/>
              </w:rPr>
              <w:t>3</w:t>
            </w:r>
            <w:r>
              <w:rPr>
                <w:color w:val="auto"/>
              </w:rPr>
              <w:t>）</w:t>
            </w:r>
          </w:p>
        </w:tc>
        <w:tc>
          <w:tcPr>
            <w:tcW w:w="0" w:type="auto"/>
            <w:vAlign w:val="center"/>
          </w:tcPr>
          <w:p w14:paraId="2804E3D9">
            <w:pPr>
              <w:pStyle w:val="766"/>
              <w:rPr>
                <w:color w:val="auto"/>
              </w:rPr>
            </w:pPr>
            <w:r>
              <w:rPr>
                <w:color w:val="auto"/>
              </w:rPr>
              <w:t>产生速率（kg/h）</w:t>
            </w:r>
          </w:p>
        </w:tc>
        <w:tc>
          <w:tcPr>
            <w:tcW w:w="0" w:type="auto"/>
            <w:vAlign w:val="center"/>
          </w:tcPr>
          <w:p w14:paraId="3D934372">
            <w:pPr>
              <w:pStyle w:val="766"/>
              <w:rPr>
                <w:color w:val="auto"/>
              </w:rPr>
            </w:pPr>
            <w:r>
              <w:rPr>
                <w:color w:val="auto"/>
              </w:rPr>
              <w:t>年产生量（t/a）</w:t>
            </w:r>
          </w:p>
        </w:tc>
        <w:tc>
          <w:tcPr>
            <w:tcW w:w="0" w:type="auto"/>
            <w:vAlign w:val="center"/>
          </w:tcPr>
          <w:p w14:paraId="787B133F">
            <w:pPr>
              <w:pStyle w:val="766"/>
              <w:rPr>
                <w:color w:val="auto"/>
              </w:rPr>
            </w:pPr>
            <w:r>
              <w:rPr>
                <w:color w:val="auto"/>
              </w:rPr>
              <w:t>除尘效率</w:t>
            </w:r>
          </w:p>
        </w:tc>
        <w:tc>
          <w:tcPr>
            <w:tcW w:w="0" w:type="auto"/>
            <w:vAlign w:val="center"/>
          </w:tcPr>
          <w:p w14:paraId="079E9635">
            <w:pPr>
              <w:pStyle w:val="766"/>
              <w:rPr>
                <w:color w:val="auto"/>
              </w:rPr>
            </w:pPr>
            <w:r>
              <w:rPr>
                <w:color w:val="auto"/>
              </w:rPr>
              <w:t>排放浓度（</w:t>
            </w:r>
            <w:r>
              <w:rPr>
                <w:color w:val="auto"/>
                <w:szCs w:val="24"/>
              </w:rPr>
              <w:t>mg/m</w:t>
            </w:r>
            <w:r>
              <w:rPr>
                <w:color w:val="auto"/>
                <w:szCs w:val="24"/>
                <w:vertAlign w:val="superscript"/>
              </w:rPr>
              <w:t>3</w:t>
            </w:r>
            <w:r>
              <w:rPr>
                <w:color w:val="auto"/>
              </w:rPr>
              <w:t>）</w:t>
            </w:r>
          </w:p>
        </w:tc>
        <w:tc>
          <w:tcPr>
            <w:tcW w:w="0" w:type="auto"/>
            <w:vAlign w:val="center"/>
          </w:tcPr>
          <w:p w14:paraId="65C3CFBD">
            <w:pPr>
              <w:pStyle w:val="766"/>
              <w:rPr>
                <w:color w:val="auto"/>
              </w:rPr>
            </w:pPr>
            <w:r>
              <w:rPr>
                <w:color w:val="auto"/>
              </w:rPr>
              <w:t>排放速率（kg/h）</w:t>
            </w:r>
          </w:p>
        </w:tc>
        <w:tc>
          <w:tcPr>
            <w:tcW w:w="0" w:type="auto"/>
            <w:vAlign w:val="center"/>
          </w:tcPr>
          <w:p w14:paraId="0DB00541">
            <w:pPr>
              <w:pStyle w:val="766"/>
              <w:rPr>
                <w:color w:val="auto"/>
              </w:rPr>
            </w:pPr>
            <w:r>
              <w:rPr>
                <w:color w:val="auto"/>
              </w:rPr>
              <w:t>年排放量（t/a）</w:t>
            </w:r>
          </w:p>
        </w:tc>
      </w:tr>
      <w:tr w14:paraId="7A0C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76451581">
            <w:pPr>
              <w:pStyle w:val="766"/>
              <w:rPr>
                <w:bCs/>
                <w:color w:val="auto"/>
              </w:rPr>
            </w:pPr>
            <w:r>
              <w:rPr>
                <w:bCs/>
                <w:color w:val="auto"/>
              </w:rPr>
              <w:t>饲料加工车间</w:t>
            </w:r>
          </w:p>
        </w:tc>
        <w:tc>
          <w:tcPr>
            <w:tcW w:w="642" w:type="dxa"/>
            <w:vAlign w:val="center"/>
          </w:tcPr>
          <w:p w14:paraId="4172D0BE">
            <w:pPr>
              <w:pStyle w:val="766"/>
              <w:rPr>
                <w:bCs/>
                <w:color w:val="auto"/>
              </w:rPr>
            </w:pPr>
            <w:r>
              <w:rPr>
                <w:bCs/>
                <w:color w:val="auto"/>
              </w:rPr>
              <w:t>颗粒物</w:t>
            </w:r>
          </w:p>
        </w:tc>
        <w:tc>
          <w:tcPr>
            <w:tcW w:w="1292" w:type="dxa"/>
            <w:vAlign w:val="center"/>
          </w:tcPr>
          <w:p w14:paraId="511C5824">
            <w:pPr>
              <w:pStyle w:val="766"/>
              <w:rPr>
                <w:color w:val="auto"/>
              </w:rPr>
            </w:pPr>
            <w:r>
              <w:rPr>
                <w:rFonts w:hint="eastAsia"/>
                <w:color w:val="auto"/>
              </w:rPr>
              <w:t>2</w:t>
            </w:r>
            <w:r>
              <w:rPr>
                <w:color w:val="auto"/>
              </w:rPr>
              <w:t>33.5</w:t>
            </w:r>
          </w:p>
        </w:tc>
        <w:tc>
          <w:tcPr>
            <w:tcW w:w="0" w:type="auto"/>
            <w:vAlign w:val="center"/>
          </w:tcPr>
          <w:p w14:paraId="0E2FCE72">
            <w:pPr>
              <w:pStyle w:val="766"/>
              <w:rPr>
                <w:color w:val="auto"/>
              </w:rPr>
            </w:pPr>
            <w:r>
              <w:rPr>
                <w:rFonts w:hint="eastAsia"/>
                <w:color w:val="auto"/>
              </w:rPr>
              <w:t>0</w:t>
            </w:r>
            <w:r>
              <w:rPr>
                <w:color w:val="auto"/>
              </w:rPr>
              <w:t>.934</w:t>
            </w:r>
          </w:p>
        </w:tc>
        <w:tc>
          <w:tcPr>
            <w:tcW w:w="0" w:type="auto"/>
            <w:vAlign w:val="center"/>
          </w:tcPr>
          <w:p w14:paraId="2ECF3DE0">
            <w:pPr>
              <w:pStyle w:val="766"/>
              <w:rPr>
                <w:color w:val="auto"/>
              </w:rPr>
            </w:pPr>
            <w:r>
              <w:rPr>
                <w:rFonts w:hint="eastAsia"/>
                <w:color w:val="auto"/>
              </w:rPr>
              <w:t>2</w:t>
            </w:r>
            <w:r>
              <w:rPr>
                <w:color w:val="auto"/>
              </w:rPr>
              <w:t>.242</w:t>
            </w:r>
          </w:p>
        </w:tc>
        <w:tc>
          <w:tcPr>
            <w:tcW w:w="0" w:type="auto"/>
            <w:vAlign w:val="center"/>
          </w:tcPr>
          <w:p w14:paraId="628FF124">
            <w:pPr>
              <w:pStyle w:val="766"/>
              <w:rPr>
                <w:color w:val="auto"/>
              </w:rPr>
            </w:pPr>
            <w:r>
              <w:rPr>
                <w:color w:val="auto"/>
              </w:rPr>
              <w:t>99%</w:t>
            </w:r>
          </w:p>
        </w:tc>
        <w:tc>
          <w:tcPr>
            <w:tcW w:w="0" w:type="auto"/>
            <w:vAlign w:val="center"/>
          </w:tcPr>
          <w:p w14:paraId="6EF4935B">
            <w:pPr>
              <w:pStyle w:val="766"/>
              <w:rPr>
                <w:color w:val="auto"/>
              </w:rPr>
            </w:pPr>
            <w:r>
              <w:rPr>
                <w:rFonts w:hint="eastAsia"/>
                <w:color w:val="auto"/>
              </w:rPr>
              <w:t>2</w:t>
            </w:r>
            <w:r>
              <w:rPr>
                <w:color w:val="auto"/>
              </w:rPr>
              <w:t>.34</w:t>
            </w:r>
          </w:p>
        </w:tc>
        <w:tc>
          <w:tcPr>
            <w:tcW w:w="0" w:type="auto"/>
            <w:vAlign w:val="center"/>
          </w:tcPr>
          <w:p w14:paraId="70E451C4">
            <w:pPr>
              <w:pStyle w:val="766"/>
              <w:rPr>
                <w:color w:val="auto"/>
              </w:rPr>
            </w:pPr>
            <w:r>
              <w:rPr>
                <w:rFonts w:hint="eastAsia"/>
                <w:color w:val="auto"/>
              </w:rPr>
              <w:t>0</w:t>
            </w:r>
            <w:r>
              <w:rPr>
                <w:color w:val="auto"/>
              </w:rPr>
              <w:t>.00934</w:t>
            </w:r>
          </w:p>
        </w:tc>
        <w:tc>
          <w:tcPr>
            <w:tcW w:w="0" w:type="auto"/>
            <w:vAlign w:val="center"/>
          </w:tcPr>
          <w:p w14:paraId="61171768">
            <w:pPr>
              <w:pStyle w:val="766"/>
              <w:rPr>
                <w:color w:val="auto"/>
              </w:rPr>
            </w:pPr>
            <w:r>
              <w:rPr>
                <w:rFonts w:hint="eastAsia"/>
                <w:color w:val="auto"/>
              </w:rPr>
              <w:t>0</w:t>
            </w:r>
            <w:r>
              <w:rPr>
                <w:color w:val="auto"/>
              </w:rPr>
              <w:t>.0224</w:t>
            </w:r>
          </w:p>
        </w:tc>
      </w:tr>
      <w:bookmarkEnd w:id="213"/>
    </w:tbl>
    <w:p w14:paraId="5DF31DBF">
      <w:pPr>
        <w:pStyle w:val="105"/>
        <w:ind w:firstLine="482"/>
        <w:rPr>
          <w:b/>
        </w:rPr>
      </w:pPr>
      <w:r>
        <w:rPr>
          <w:b/>
        </w:rPr>
        <w:t>5</w:t>
      </w:r>
      <w:r>
        <w:rPr>
          <w:rFonts w:hint="eastAsia"/>
          <w:b/>
        </w:rPr>
        <w:t>、</w:t>
      </w:r>
      <w:r>
        <w:rPr>
          <w:b/>
        </w:rPr>
        <w:t>锅炉烟气</w:t>
      </w:r>
    </w:p>
    <w:p w14:paraId="1D1B05ED">
      <w:pPr>
        <w:ind w:firstLine="480"/>
        <w:rPr>
          <w:snapToGrid w:val="0"/>
        </w:rPr>
      </w:pPr>
      <w:r>
        <w:t>本项目设3台</w:t>
      </w:r>
      <w:r>
        <w:rPr>
          <w:rFonts w:hint="eastAsia"/>
        </w:rPr>
        <w:t>（两用一备）</w:t>
      </w:r>
      <w:r>
        <w:t>3t/h的天然气热水锅炉为鸡舍供暖，燃料为</w:t>
      </w:r>
      <w:r>
        <w:rPr>
          <w:rFonts w:hint="eastAsia"/>
        </w:rPr>
        <w:t>天然气</w:t>
      </w:r>
      <w:r>
        <w:t>，</w:t>
      </w:r>
      <w:r>
        <w:rPr>
          <w:rFonts w:hint="eastAsia"/>
        </w:rPr>
        <w:t>由附近天然气供气站通过管道输送，</w:t>
      </w:r>
      <w:r>
        <w:t>供暖期间会产生燃烧废气，经建设方提供材料可知，供暖时间为120d，锅炉每天运行16h，消耗天然气量为70万</w:t>
      </w:r>
      <w:r>
        <w:rPr>
          <w:snapToGrid w:val="0"/>
        </w:rPr>
        <w:t>Nm</w:t>
      </w:r>
      <w:r>
        <w:rPr>
          <w:snapToGrid w:val="0"/>
          <w:vertAlign w:val="superscript"/>
        </w:rPr>
        <w:t>3</w:t>
      </w:r>
      <w:r>
        <w:rPr>
          <w:snapToGrid w:val="0"/>
        </w:rPr>
        <w:t>/a</w:t>
      </w:r>
      <w:r>
        <w:rPr>
          <w:rFonts w:hint="eastAsia"/>
          <w:snapToGrid w:val="0"/>
        </w:rPr>
        <w:t>（单台用量35万</w:t>
      </w:r>
      <w:r>
        <w:rPr>
          <w:snapToGrid w:val="0"/>
        </w:rPr>
        <w:t>Nm</w:t>
      </w:r>
      <w:r>
        <w:rPr>
          <w:snapToGrid w:val="0"/>
          <w:vertAlign w:val="superscript"/>
        </w:rPr>
        <w:t>3</w:t>
      </w:r>
      <w:r>
        <w:rPr>
          <w:snapToGrid w:val="0"/>
        </w:rPr>
        <w:t>/a</w:t>
      </w:r>
      <w:r>
        <w:rPr>
          <w:rFonts w:hint="eastAsia"/>
          <w:snapToGrid w:val="0"/>
        </w:rPr>
        <w:t>）</w:t>
      </w:r>
      <w:r>
        <w:rPr>
          <w:snapToGrid w:val="0"/>
        </w:rPr>
        <w:t>。</w:t>
      </w:r>
    </w:p>
    <w:p w14:paraId="24221D49">
      <w:pPr>
        <w:ind w:firstLine="480"/>
        <w:rPr>
          <w:bCs/>
        </w:rPr>
      </w:pPr>
      <w:r>
        <w:rPr>
          <w:rFonts w:hint="eastAsia"/>
          <w:bCs/>
        </w:rPr>
        <w:t>（1）基准烟气量</w:t>
      </w:r>
    </w:p>
    <w:p w14:paraId="3A794D8D">
      <w:pPr>
        <w:ind w:firstLine="480"/>
        <w:rPr>
          <w:bCs/>
        </w:rPr>
      </w:pPr>
      <w:r>
        <w:rPr>
          <w:rFonts w:hint="eastAsia"/>
          <w:bCs/>
        </w:rPr>
        <w:t>本次评价无法收集齐全理论公式计算所需要的燃料元素分析数据和气体组成成分分析数据，根据《</w:t>
      </w:r>
      <w:r>
        <w:rPr>
          <w:rFonts w:hint="eastAsia"/>
        </w:rPr>
        <w:t>污染源源强核算技术指南 锅炉</w:t>
      </w:r>
      <w:r>
        <w:rPr>
          <w:bCs/>
        </w:rPr>
        <w:t>》</w:t>
      </w:r>
      <w:r>
        <w:rPr>
          <w:rFonts w:hint="eastAsia"/>
        </w:rPr>
        <w:t>（HJ991-2018）</w:t>
      </w:r>
      <w:r>
        <w:rPr>
          <w:rFonts w:hint="eastAsia"/>
          <w:bCs/>
        </w:rPr>
        <w:t>本次评价基准烟气量采用经验公式估算法进行计算，本项目锅炉类型为天然气锅炉，计算公式如下：</w:t>
      </w:r>
    </w:p>
    <w:p w14:paraId="6ECE158C">
      <w:pPr>
        <w:ind w:firstLine="480"/>
      </w:pPr>
      <m:oMathPara>
        <m:oMath>
          <m:sSub>
            <m:sSubPr>
              <m:ctrlPr>
                <w:rPr>
                  <w:rFonts w:ascii="Cambria Math" w:hAnsi="Cambria Math"/>
                  <w:i/>
                </w:rPr>
              </m:ctrlPr>
            </m:sSubPr>
            <m:e>
              <m:r>
                <m:rPr/>
                <w:rPr>
                  <w:rFonts w:ascii="Cambria Math" w:hAnsi="Cambria Math"/>
                </w:rPr>
                <m:t>V</m:t>
              </m:r>
              <m:ctrlPr>
                <w:rPr>
                  <w:rFonts w:ascii="Cambria Math" w:hAnsi="Cambria Math"/>
                  <w:i/>
                </w:rPr>
              </m:ctrlPr>
            </m:e>
            <m:sub>
              <m:r>
                <m:rPr/>
                <w:rPr>
                  <w:rFonts w:ascii="Cambria Math" w:hAnsi="Cambria Math"/>
                </w:rPr>
                <m:t>gy</m:t>
              </m:r>
              <m:ctrlPr>
                <w:rPr>
                  <w:rFonts w:ascii="Cambria Math" w:hAnsi="Cambria Math"/>
                  <w:i/>
                </w:rPr>
              </m:ctrlPr>
            </m:sub>
          </m:sSub>
          <m:r>
            <m:rPr/>
            <w:rPr>
              <w:rFonts w:ascii="Cambria Math" w:hAnsi="Cambria Math"/>
            </w:rPr>
            <m:t>=0.285</m:t>
          </m:r>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net</m:t>
              </m:r>
              <m:ctrlPr>
                <w:rPr>
                  <w:rFonts w:ascii="Cambria Math" w:hAnsi="Cambria Math"/>
                  <w:i/>
                </w:rPr>
              </m:ctrlPr>
            </m:sub>
          </m:sSub>
          <m:r>
            <m:rPr/>
            <w:rPr>
              <w:rFonts w:ascii="Cambria Math" w:hAnsi="Cambria Math"/>
            </w:rPr>
            <m:t>+0.343</m:t>
          </m:r>
        </m:oMath>
      </m:oMathPara>
    </w:p>
    <w:p w14:paraId="50C4D2D5">
      <w:pPr>
        <w:ind w:firstLine="480"/>
      </w:pPr>
      <w:r>
        <w:rPr>
          <w:rFonts w:hint="eastAsia"/>
        </w:rPr>
        <w:t>式中：</w:t>
      </w:r>
      <m:oMath>
        <m:sSub>
          <m:sSubPr>
            <m:ctrlPr>
              <w:rPr>
                <w:rFonts w:ascii="Cambria Math" w:hAnsi="Cambria Math"/>
                <w:i/>
              </w:rPr>
            </m:ctrlPr>
          </m:sSubPr>
          <m:e>
            <m:r>
              <m:rPr/>
              <w:rPr>
                <w:rFonts w:ascii="Cambria Math" w:hAnsi="Cambria Math"/>
              </w:rPr>
              <m:t>V</m:t>
            </m:r>
            <m:ctrlPr>
              <w:rPr>
                <w:rFonts w:ascii="Cambria Math" w:hAnsi="Cambria Math"/>
                <w:i/>
              </w:rPr>
            </m:ctrlPr>
          </m:e>
          <m:sub>
            <m:r>
              <m:rPr/>
              <w:rPr>
                <w:rFonts w:ascii="Cambria Math" w:hAnsi="Cambria Math"/>
              </w:rPr>
              <m:t>gy</m:t>
            </m:r>
            <m:ctrlPr>
              <w:rPr>
                <w:rFonts w:ascii="Cambria Math" w:hAnsi="Cambria Math"/>
                <w:i/>
              </w:rPr>
            </m:ctrlPr>
          </m:sub>
        </m:sSub>
      </m:oMath>
      <w:r>
        <w:rPr>
          <w:rFonts w:hint="eastAsia" w:hAnsi="Cambria Math"/>
        </w:rPr>
        <w:t>指基准烟气量，Nm</w:t>
      </w:r>
      <w:r>
        <w:rPr>
          <w:rFonts w:hint="eastAsia" w:hAnsi="Cambria Math"/>
          <w:vertAlign w:val="superscript"/>
        </w:rPr>
        <w:t>3</w:t>
      </w:r>
      <w:r>
        <w:rPr>
          <w:rFonts w:hint="eastAsia" w:hAnsi="Cambria Math"/>
        </w:rPr>
        <w:t>/m</w:t>
      </w:r>
      <w:r>
        <w:rPr>
          <w:rFonts w:hint="eastAsia" w:hAnsi="Cambria Math"/>
          <w:vertAlign w:val="superscript"/>
        </w:rPr>
        <w:t>3</w:t>
      </w:r>
      <w:r>
        <w:rPr>
          <w:rFonts w:hint="eastAsia" w:hAnsi="Cambria Math"/>
        </w:rPr>
        <w:t>；</w:t>
      </w:r>
    </w:p>
    <w:p w14:paraId="69206D9F">
      <w:pPr>
        <w:ind w:firstLine="480"/>
      </w:pPr>
      <w:r>
        <w:rPr>
          <w:rFonts w:hint="eastAsia"/>
        </w:rPr>
        <w:t xml:space="preserve">      </w:t>
      </w:r>
      <m:oMath>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net</m:t>
            </m:r>
            <m:ctrlPr>
              <w:rPr>
                <w:rFonts w:ascii="Cambria Math" w:hAnsi="Cambria Math"/>
                <w:i/>
              </w:rPr>
            </m:ctrlPr>
          </m:sub>
        </m:sSub>
      </m:oMath>
      <w:r>
        <w:rPr>
          <w:rFonts w:hint="eastAsia" w:hAnsi="Cambria Math"/>
        </w:rPr>
        <w:t>指气体燃料低位发热量，MJ/m</w:t>
      </w:r>
      <w:r>
        <w:rPr>
          <w:rFonts w:hint="eastAsia" w:hAnsi="Cambria Math"/>
          <w:vertAlign w:val="superscript"/>
        </w:rPr>
        <w:t>3</w:t>
      </w:r>
      <w:r>
        <w:rPr>
          <w:rFonts w:hint="eastAsia" w:hAnsi="Cambria Math"/>
        </w:rPr>
        <w:t>，本项目所用天然气低位发热量为34.6MJ/m</w:t>
      </w:r>
      <w:r>
        <w:rPr>
          <w:rFonts w:hint="eastAsia" w:hAnsi="Cambria Math"/>
          <w:vertAlign w:val="superscript"/>
        </w:rPr>
        <w:t>3</w:t>
      </w:r>
      <w:r>
        <w:rPr>
          <w:rFonts w:hint="eastAsia" w:hAnsi="Cambria Math"/>
        </w:rPr>
        <w:t>；</w:t>
      </w:r>
    </w:p>
    <w:p w14:paraId="04189362">
      <w:pPr>
        <w:ind w:firstLine="480"/>
      </w:pPr>
      <w:r>
        <w:rPr>
          <w:rFonts w:hint="eastAsia"/>
        </w:rPr>
        <w:t>经计算，本项目燃气锅炉燃烧基准烟气量为10.204</w:t>
      </w:r>
      <w:r>
        <w:rPr>
          <w:rFonts w:hint="eastAsia" w:hAnsi="Cambria Math"/>
        </w:rPr>
        <w:t>Nm</w:t>
      </w:r>
      <w:r>
        <w:rPr>
          <w:rFonts w:hint="eastAsia" w:hAnsi="Cambria Math"/>
          <w:vertAlign w:val="superscript"/>
        </w:rPr>
        <w:t>3</w:t>
      </w:r>
      <w:r>
        <w:rPr>
          <w:rFonts w:hint="eastAsia" w:hAnsi="Cambria Math"/>
        </w:rPr>
        <w:t>/m</w:t>
      </w:r>
      <w:r>
        <w:rPr>
          <w:rFonts w:hint="eastAsia" w:hAnsi="Cambria Math"/>
          <w:vertAlign w:val="superscript"/>
        </w:rPr>
        <w:t>3</w:t>
      </w:r>
      <w:r>
        <w:rPr>
          <w:rFonts w:hint="eastAsia" w:hAnsi="Cambria Math"/>
        </w:rPr>
        <w:t>；根据企业提供资料，本项目单台燃气锅炉天然气使用量为35万</w:t>
      </w:r>
      <w:r>
        <w:rPr>
          <w:snapToGrid w:val="0"/>
        </w:rPr>
        <w:t>Nm</w:t>
      </w:r>
      <w:r>
        <w:rPr>
          <w:snapToGrid w:val="0"/>
          <w:vertAlign w:val="superscript"/>
        </w:rPr>
        <w:t>3</w:t>
      </w:r>
      <w:r>
        <w:rPr>
          <w:snapToGrid w:val="0"/>
        </w:rPr>
        <w:t>/a</w:t>
      </w:r>
      <w:r>
        <w:rPr>
          <w:rFonts w:hint="eastAsia"/>
          <w:snapToGrid w:val="0"/>
        </w:rPr>
        <w:t>，则本项目燃气锅炉烟气量为3.57×10</w:t>
      </w:r>
      <w:r>
        <w:rPr>
          <w:rFonts w:hint="eastAsia"/>
          <w:snapToGrid w:val="0"/>
          <w:vertAlign w:val="superscript"/>
        </w:rPr>
        <w:t>6</w:t>
      </w:r>
      <w:r>
        <w:rPr>
          <w:rFonts w:hint="eastAsia"/>
          <w:snapToGrid w:val="0"/>
        </w:rPr>
        <w:t>m</w:t>
      </w:r>
      <w:r>
        <w:rPr>
          <w:rFonts w:hint="eastAsia"/>
          <w:snapToGrid w:val="0"/>
          <w:vertAlign w:val="superscript"/>
        </w:rPr>
        <w:t>3</w:t>
      </w:r>
      <w:r>
        <w:rPr>
          <w:rFonts w:hint="eastAsia"/>
          <w:snapToGrid w:val="0"/>
        </w:rPr>
        <w:t>/a。</w:t>
      </w:r>
    </w:p>
    <w:p w14:paraId="68A88442">
      <w:pPr>
        <w:ind w:firstLine="480"/>
      </w:pPr>
      <w:r>
        <w:rPr>
          <w:rFonts w:hint="eastAsia"/>
        </w:rPr>
        <w:t>（2）颗粒物</w:t>
      </w:r>
    </w:p>
    <w:p w14:paraId="0662FD2B">
      <w:pPr>
        <w:ind w:firstLine="480"/>
      </w:pPr>
      <w:r>
        <w:rPr>
          <w:rFonts w:hint="eastAsia"/>
        </w:rPr>
        <w:t>根据《污染源源强核算技术指南 锅炉》（HJ991-2018）产污系数法进行计算，计算公式如下：</w:t>
      </w:r>
    </w:p>
    <w:p w14:paraId="50D620DE">
      <w:pPr>
        <w:ind w:firstLine="480"/>
      </w:pPr>
      <m:oMathPara>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hint="eastAsia" w:ascii="Cambria Math" w:hAnsi="Cambria Math"/>
                </w:rPr>
                <m:t>颗粒物</m:t>
              </m:r>
              <m:ctrlPr>
                <w:rPr>
                  <w:rFonts w:ascii="Cambria Math" w:hAnsi="Cambria Math"/>
                  <w:i/>
                </w:rPr>
              </m:ctrlPr>
            </m:sub>
          </m:sSub>
          <m:r>
            <m:rPr/>
            <w:rPr>
              <w:rFonts w:ascii="Cambria Math" w:hAnsi="Cambria Math"/>
            </w:rPr>
            <m:t>=</m:t>
          </m:r>
          <m:r>
            <m:rPr/>
            <w:rPr>
              <w:rFonts w:ascii="Cambria Math" w:hAnsi="Cambria Math" w:cs="Cambria Math"/>
            </w:rPr>
            <m:t>×</m:t>
          </m:r>
          <m:sSub>
            <m:sSubPr>
              <m:ctrlPr>
                <w:rPr>
                  <w:rFonts w:ascii="Cambria Math" w:hAnsi="Cambria Math" w:cs="Cambria Math"/>
                  <w:i/>
                </w:rPr>
              </m:ctrlPr>
            </m:sSubPr>
            <m:e>
              <m:r>
                <m:rPr/>
                <w:rPr>
                  <w:rFonts w:ascii="Cambria Math" w:hAnsi="Cambria Math" w:cs="Cambria Math"/>
                </w:rPr>
                <m:t>β</m:t>
              </m:r>
              <m:ctrlPr>
                <w:rPr>
                  <w:rFonts w:ascii="Cambria Math" w:hAnsi="Cambria Math" w:cs="Cambria Math"/>
                  <w:i/>
                </w:rPr>
              </m:ctrlPr>
            </m:e>
            <m:sub>
              <m:r>
                <m:rPr/>
                <w:rPr>
                  <w:rFonts w:hint="eastAsia" w:ascii="Cambria Math" w:hAnsi="Cambria Math" w:cs="Cambria Math"/>
                </w:rPr>
                <m:t>颗粒物</m:t>
              </m:r>
              <m:ctrlPr>
                <w:rPr>
                  <w:rFonts w:ascii="Cambria Math" w:hAnsi="Cambria Math" w:cs="Cambria Math"/>
                  <w:i/>
                </w:rPr>
              </m:ctrlPr>
            </m:sub>
          </m:sSub>
          <m:r>
            <m:rPr/>
            <w:rPr>
              <w:rFonts w:ascii="Cambria Math" w:hAnsi="Cambria Math" w:cs="Cambria Math"/>
            </w:rPr>
            <m:t>×</m:t>
          </m:r>
          <m:d>
            <m:dPr>
              <m:ctrlPr>
                <w:rPr>
                  <w:rFonts w:ascii="Cambria Math" w:hAnsi="Cambria Math" w:cs="Cambria Math"/>
                  <w:i/>
                </w:rPr>
              </m:ctrlPr>
            </m:dPr>
            <m:e>
              <m:r>
                <m:rPr/>
                <w:rPr>
                  <w:rFonts w:ascii="Cambria Math" w:hAnsi="Cambria Math" w:cs="Cambria Math"/>
                </w:rPr>
                <m:t>1−</m:t>
              </m:r>
              <m:f>
                <m:fPr>
                  <m:ctrlPr>
                    <w:rPr>
                      <w:rFonts w:ascii="Cambria Math" w:hAnsi="Cambria Math" w:cs="Cambria Math"/>
                      <w:i/>
                    </w:rPr>
                  </m:ctrlPr>
                </m:fPr>
                <m:num>
                  <m:r>
                    <m:rPr>
                      <m:sty m:val="p"/>
                    </m:rPr>
                    <w:rPr>
                      <w:rFonts w:ascii="Cambria Math" w:hAnsi="Cambria Math"/>
                    </w:rPr>
                    <m:t>η</m:t>
                  </m:r>
                  <m:ctrlPr>
                    <w:rPr>
                      <w:rFonts w:ascii="Cambria Math" w:hAnsi="Cambria Math" w:cs="Cambria Math"/>
                      <w:i/>
                    </w:rPr>
                  </m:ctrlPr>
                </m:num>
                <m:den>
                  <m:r>
                    <m:rPr/>
                    <w:rPr>
                      <w:rFonts w:ascii="Cambria Math" w:hAnsi="Cambria Math" w:cs="Cambria Math"/>
                    </w:rPr>
                    <m:t>100</m:t>
                  </m:r>
                  <m:ctrlPr>
                    <w:rPr>
                      <w:rFonts w:ascii="Cambria Math" w:hAnsi="Cambria Math" w:cs="Cambria Math"/>
                      <w:i/>
                    </w:rPr>
                  </m:ctrlPr>
                </m:den>
              </m:f>
              <m:ctrlPr>
                <w:rPr>
                  <w:rFonts w:ascii="Cambria Math" w:hAnsi="Cambria Math" w:cs="Cambria Math"/>
                  <w:i/>
                </w:rPr>
              </m:ctrlPr>
            </m:e>
          </m:d>
          <m:r>
            <m:rPr/>
            <w:rPr>
              <w:rFonts w:ascii="Cambria Math" w:hAnsi="Cambria Math" w:cs="Cambria Math"/>
            </w:rPr>
            <m:t>×</m:t>
          </m:r>
          <m:sSup>
            <m:sSupPr>
              <m:ctrlPr>
                <w:rPr>
                  <w:rFonts w:ascii="Cambria Math" w:hAnsi="Cambria Math" w:cs="Cambria Math"/>
                  <w:i/>
                </w:rPr>
              </m:ctrlPr>
            </m:sSupPr>
            <m:e>
              <m:r>
                <m:rPr/>
                <w:rPr>
                  <w:rFonts w:ascii="Cambria Math" w:hAnsi="Cambria Math" w:cs="Cambria Math"/>
                </w:rPr>
                <m:t>10</m:t>
              </m:r>
              <m:ctrlPr>
                <w:rPr>
                  <w:rFonts w:ascii="Cambria Math" w:hAnsi="Cambria Math" w:cs="Cambria Math"/>
                  <w:i/>
                </w:rPr>
              </m:ctrlPr>
            </m:e>
            <m:sup>
              <m:r>
                <m:rPr/>
                <w:rPr>
                  <w:rFonts w:ascii="Cambria Math" w:hAnsi="Cambria Math" w:cs="Cambria Math"/>
                </w:rPr>
                <m:t>−3</m:t>
              </m:r>
              <m:ctrlPr>
                <w:rPr>
                  <w:rFonts w:ascii="Cambria Math" w:hAnsi="Cambria Math" w:cs="Cambria Math"/>
                  <w:i/>
                </w:rPr>
              </m:ctrlPr>
            </m:sup>
          </m:sSup>
        </m:oMath>
      </m:oMathPara>
    </w:p>
    <w:p w14:paraId="5489B18E">
      <w:pPr>
        <w:ind w:firstLine="480"/>
      </w:pPr>
      <w:r>
        <w:rPr>
          <w:rFonts w:hint="eastAsia"/>
        </w:rPr>
        <w:t>式中：</w:t>
      </w:r>
      <m:oMath>
        <m:sSub>
          <m:sSubPr>
            <m:ctrlPr>
              <w:rPr>
                <w:rFonts w:ascii="Cambria Math" w:hAnsi="Cambria Math"/>
                <w:i/>
              </w:rPr>
            </m:ctrlPr>
          </m:sSubPr>
          <m:e>
            <m:r>
              <m:rPr/>
              <w:rPr>
                <w:rFonts w:ascii="Cambria Math" w:hAnsi="Cambria Math"/>
              </w:rPr>
              <m:t>E</m:t>
            </m:r>
            <m:ctrlPr>
              <w:rPr>
                <w:rFonts w:ascii="Cambria Math" w:hAnsi="Cambria Math"/>
                <w:i/>
              </w:rPr>
            </m:ctrlPr>
          </m:e>
          <m:sub>
            <m:r>
              <m:rPr/>
              <w:rPr>
                <w:rFonts w:hint="eastAsia" w:ascii="Cambria Math" w:hAnsi="Cambria Math"/>
              </w:rPr>
              <m:t>颗粒物</m:t>
            </m:r>
            <m:ctrlPr>
              <w:rPr>
                <w:rFonts w:ascii="Cambria Math" w:hAnsi="Cambria Math"/>
                <w:i/>
              </w:rPr>
            </m:ctrlPr>
          </m:sub>
        </m:sSub>
      </m:oMath>
      <w:r>
        <w:rPr>
          <w:rFonts w:hint="eastAsia" w:hAnsi="Cambria Math"/>
        </w:rPr>
        <w:t>——核算时段内颗粒物的排放量，t；</w:t>
      </w:r>
    </w:p>
    <w:p w14:paraId="587971F9">
      <w:pPr>
        <w:ind w:firstLine="480"/>
      </w:pPr>
      <w:r>
        <w:rPr>
          <w:rFonts w:hint="eastAsia"/>
        </w:rPr>
        <w:t xml:space="preserve">      </w:t>
      </w:r>
      <m:oMath>
        <m:r>
          <m:rPr/>
          <w:rPr>
            <w:rFonts w:ascii="Cambria Math" w:hAnsi="Cambria Math"/>
          </w:rPr>
          <m:t>R</m:t>
        </m:r>
      </m:oMath>
      <w:r>
        <w:rPr>
          <w:rFonts w:hint="eastAsia" w:hAnsi="Cambria Math"/>
        </w:rPr>
        <w:t>——核算时段内燃料耗量，万m</w:t>
      </w:r>
      <w:r>
        <w:rPr>
          <w:rFonts w:hint="eastAsia" w:hAnsi="Cambria Math"/>
          <w:vertAlign w:val="superscript"/>
        </w:rPr>
        <w:t>3</w:t>
      </w:r>
      <w:r>
        <w:rPr>
          <w:rFonts w:hint="eastAsia" w:hAnsi="Cambria Math"/>
        </w:rPr>
        <w:t>，每台锅炉使用天然气35万</w:t>
      </w:r>
      <w:r>
        <w:rPr>
          <w:snapToGrid w:val="0"/>
        </w:rPr>
        <w:t>Nm</w:t>
      </w:r>
      <w:r>
        <w:rPr>
          <w:snapToGrid w:val="0"/>
          <w:vertAlign w:val="superscript"/>
        </w:rPr>
        <w:t>3</w:t>
      </w:r>
      <w:r>
        <w:rPr>
          <w:snapToGrid w:val="0"/>
        </w:rPr>
        <w:t>/a</w:t>
      </w:r>
      <w:r>
        <w:rPr>
          <w:rFonts w:hint="eastAsia"/>
          <w:snapToGrid w:val="0"/>
        </w:rPr>
        <w:t>；</w:t>
      </w:r>
    </w:p>
    <w:p w14:paraId="6146D25B">
      <w:pPr>
        <w:ind w:firstLine="480"/>
        <w:jc w:val="both"/>
      </w:pPr>
      <w:r>
        <w:rPr>
          <w:rFonts w:hint="eastAsia"/>
        </w:rPr>
        <w:t xml:space="preserve">      </w:t>
      </w:r>
      <m:oMath>
        <m:sSub>
          <m:sSubPr>
            <m:ctrlPr>
              <w:rPr>
                <w:rFonts w:ascii="Cambria Math" w:hAnsi="Cambria Math" w:cs="Cambria Math"/>
                <w:i/>
              </w:rPr>
            </m:ctrlPr>
          </m:sSubPr>
          <m:e>
            <m:r>
              <m:rPr/>
              <w:rPr>
                <w:rFonts w:ascii="Cambria Math" w:hAnsi="Cambria Math" w:cs="Cambria Math"/>
              </w:rPr>
              <m:t>β</m:t>
            </m:r>
            <m:ctrlPr>
              <w:rPr>
                <w:rFonts w:ascii="Cambria Math" w:hAnsi="Cambria Math" w:cs="Cambria Math"/>
                <w:i/>
              </w:rPr>
            </m:ctrlPr>
          </m:e>
          <m:sub>
            <m:r>
              <m:rPr/>
              <w:rPr>
                <w:rFonts w:hint="eastAsia" w:ascii="Cambria Math" w:hAnsi="Cambria Math" w:cs="Cambria Math"/>
              </w:rPr>
              <m:t>颗粒物</m:t>
            </m:r>
            <m:ctrlPr>
              <w:rPr>
                <w:rFonts w:ascii="Cambria Math" w:hAnsi="Cambria Math" w:cs="Cambria Math"/>
                <w:i/>
              </w:rPr>
            </m:ctrlPr>
          </m:sub>
        </m:sSub>
      </m:oMath>
      <w:r>
        <w:rPr>
          <w:rFonts w:hint="eastAsia" w:hAnsi="Cambria Math" w:cs="Cambria Math"/>
        </w:rPr>
        <w:t>——产污系数，根据</w:t>
      </w:r>
      <w:r>
        <w:rPr>
          <w:rFonts w:hint="eastAsia" w:ascii="宋体" w:hAnsi="宋体" w:cs="宋体"/>
          <w:kern w:val="0"/>
          <w:szCs w:val="24"/>
          <w:lang w:bidi="ar"/>
        </w:rPr>
        <w:t>《排放源统计调查产排污核算方法和系数手册》（</w:t>
      </w:r>
      <w:r>
        <w:rPr>
          <w:kern w:val="0"/>
          <w:szCs w:val="24"/>
          <w:lang w:bidi="ar"/>
        </w:rPr>
        <w:t>4411</w:t>
      </w:r>
      <w:r>
        <w:rPr>
          <w:rFonts w:hint="eastAsia" w:ascii="宋体" w:hAnsi="宋体" w:cs="宋体"/>
          <w:kern w:val="0"/>
          <w:szCs w:val="24"/>
          <w:lang w:bidi="ar"/>
        </w:rPr>
        <w:t>火力发电、</w:t>
      </w:r>
      <w:r>
        <w:rPr>
          <w:kern w:val="0"/>
          <w:szCs w:val="24"/>
          <w:lang w:bidi="ar"/>
        </w:rPr>
        <w:t>4412</w:t>
      </w:r>
      <w:r>
        <w:rPr>
          <w:rFonts w:hint="eastAsia" w:ascii="宋体" w:hAnsi="宋体" w:cs="宋体"/>
          <w:kern w:val="0"/>
          <w:szCs w:val="24"/>
          <w:lang w:bidi="ar"/>
        </w:rPr>
        <w:t>热电联产行业废气、废水污染物系数表</w:t>
      </w:r>
      <w:r>
        <w:rPr>
          <w:kern w:val="0"/>
          <w:szCs w:val="24"/>
          <w:lang w:bidi="ar"/>
        </w:rPr>
        <w:t>-</w:t>
      </w:r>
      <w:r>
        <w:rPr>
          <w:rFonts w:hint="eastAsia" w:ascii="宋体" w:hAnsi="宋体" w:cs="宋体"/>
          <w:kern w:val="0"/>
          <w:szCs w:val="24"/>
          <w:lang w:bidi="ar"/>
        </w:rPr>
        <w:t>天然气锅炉）中颗粒物产污系数为</w:t>
      </w:r>
      <w:r>
        <w:rPr>
          <w:kern w:val="0"/>
          <w:szCs w:val="24"/>
          <w:lang w:bidi="ar"/>
        </w:rPr>
        <w:t>103.90</w:t>
      </w:r>
      <w:r>
        <w:rPr>
          <w:rFonts w:hint="eastAsia" w:ascii="宋体" w:hAnsi="宋体" w:cs="宋体"/>
          <w:kern w:val="0"/>
          <w:szCs w:val="24"/>
          <w:lang w:bidi="ar"/>
        </w:rPr>
        <w:t>毫克</w:t>
      </w:r>
      <w:r>
        <w:rPr>
          <w:kern w:val="0"/>
          <w:szCs w:val="24"/>
          <w:lang w:bidi="ar"/>
        </w:rPr>
        <w:t>/</w:t>
      </w:r>
      <w:r>
        <w:rPr>
          <w:rFonts w:hint="eastAsia" w:ascii="宋体" w:hAnsi="宋体" w:cs="宋体"/>
          <w:kern w:val="0"/>
          <w:szCs w:val="24"/>
          <w:lang w:bidi="ar"/>
        </w:rPr>
        <w:t>立方米</w:t>
      </w:r>
      <w:r>
        <w:rPr>
          <w:kern w:val="0"/>
          <w:szCs w:val="24"/>
          <w:lang w:bidi="ar"/>
        </w:rPr>
        <w:t>-</w:t>
      </w:r>
      <w:r>
        <w:rPr>
          <w:rFonts w:hint="eastAsia" w:ascii="宋体" w:hAnsi="宋体" w:cs="宋体"/>
          <w:kern w:val="0"/>
          <w:szCs w:val="24"/>
          <w:lang w:bidi="ar"/>
        </w:rPr>
        <w:t>原料</w:t>
      </w:r>
      <w:r>
        <w:rPr>
          <w:rFonts w:hint="eastAsia" w:hAnsi="Cambria Math" w:cs="Cambria Math"/>
        </w:rPr>
        <w:t>；</w:t>
      </w:r>
    </w:p>
    <w:p w14:paraId="650EAA2F">
      <w:pPr>
        <w:ind w:firstLine="480"/>
        <w:jc w:val="both"/>
      </w:pPr>
      <w:r>
        <w:rPr>
          <w:rFonts w:hint="eastAsia"/>
        </w:rPr>
        <w:t xml:space="preserve">      </w:t>
      </w:r>
      <m:oMath>
        <m:r>
          <m:rPr>
            <m:sty m:val="p"/>
          </m:rPr>
          <w:rPr>
            <w:rFonts w:ascii="Cambria Math" w:hAnsi="Cambria Math"/>
          </w:rPr>
          <m:t>η</m:t>
        </m:r>
      </m:oMath>
      <w:r>
        <w:rPr>
          <w:rFonts w:hint="eastAsia" w:hAnsi="Cambria Math"/>
        </w:rPr>
        <w:t>——污染物的脱除效率，%，本项目锅炉无除尘设施，脱除效率为0。</w:t>
      </w:r>
    </w:p>
    <w:p w14:paraId="10AF7125">
      <w:pPr>
        <w:ind w:firstLine="480"/>
        <w:jc w:val="both"/>
      </w:pPr>
      <w:r>
        <w:rPr>
          <w:rFonts w:hint="eastAsia"/>
        </w:rPr>
        <w:t>根据上式进行计算，本项目单台锅炉颗粒物排放量为0.036t/a，排放浓度为10.14mg/m</w:t>
      </w:r>
      <w:r>
        <w:rPr>
          <w:rFonts w:hint="eastAsia"/>
          <w:vertAlign w:val="superscript"/>
        </w:rPr>
        <w:t>3</w:t>
      </w:r>
      <w:r>
        <w:rPr>
          <w:rFonts w:hint="eastAsia"/>
        </w:rPr>
        <w:t>，排放速率为0.019kg/h。本项目共设3台锅炉（两用一备），颗粒物总排放量为0.072ta。</w:t>
      </w:r>
    </w:p>
    <w:p w14:paraId="59215F2E">
      <w:pPr>
        <w:ind w:firstLine="480"/>
      </w:pPr>
      <w:r>
        <w:rPr>
          <w:rFonts w:hint="eastAsia"/>
        </w:rPr>
        <w:t>颗粒物排放满足《锅炉大气污染物排放标准》（GB13271-2014）表3新建（燃气）锅炉大气污染物特别排放限值要求（颗粒物：20mg/m</w:t>
      </w:r>
      <w:r>
        <w:rPr>
          <w:rFonts w:hint="eastAsia"/>
          <w:vertAlign w:val="superscript"/>
        </w:rPr>
        <w:t>3</w:t>
      </w:r>
      <w:r>
        <w:rPr>
          <w:rFonts w:hint="eastAsia"/>
        </w:rPr>
        <w:t>）。</w:t>
      </w:r>
    </w:p>
    <w:p w14:paraId="0F1C8F8E">
      <w:pPr>
        <w:ind w:firstLine="480"/>
      </w:pPr>
      <w:r>
        <w:rPr>
          <w:rFonts w:hint="eastAsia"/>
        </w:rPr>
        <w:t>（3）二氧化硫</w:t>
      </w:r>
    </w:p>
    <w:p w14:paraId="2CB25628">
      <w:pPr>
        <w:ind w:firstLine="480"/>
      </w:pPr>
      <w:r>
        <w:rPr>
          <w:rFonts w:hint="eastAsia"/>
        </w:rPr>
        <w:t>根据天然气组分分析数据报告（附件12），本项目所使用天然气中硫含量为0，因此本项目锅炉燃烧过程中无二氧化硫产生排放。</w:t>
      </w:r>
    </w:p>
    <w:p w14:paraId="769AD97E">
      <w:pPr>
        <w:ind w:firstLine="480"/>
      </w:pPr>
      <w:r>
        <w:rPr>
          <w:rFonts w:hint="eastAsia"/>
        </w:rPr>
        <w:t>（4）氮氧化物</w:t>
      </w:r>
    </w:p>
    <w:p w14:paraId="7B23BEE7">
      <w:pPr>
        <w:ind w:firstLine="480"/>
      </w:pPr>
      <w:r>
        <w:rPr>
          <w:rFonts w:hint="eastAsia"/>
        </w:rPr>
        <w:t>根据《污染源源强核算技术指南 锅炉》（HJ991-2018），燃气锅炉氮氧化物计算公式如下：</w:t>
      </w:r>
    </w:p>
    <w:p w14:paraId="198CF180">
      <w:pPr>
        <w:ind w:firstLine="480"/>
      </w:pPr>
      <m:oMathPara>
        <m:oMath>
          <m:sSub>
            <m:sSubPr>
              <m:ctrlPr>
                <w:rPr>
                  <w:rFonts w:ascii="Cambria Math" w:hAnsi="Cambria Math"/>
                </w:rPr>
              </m:ctrlPr>
            </m:sSubPr>
            <m:e>
              <m:r>
                <m:rPr>
                  <m:sty m:val="p"/>
                </m:rPr>
                <w:rPr>
                  <w:rFonts w:ascii="Cambria Math" w:hAnsi="Cambria Math"/>
                </w:rPr>
                <m:t>E</m:t>
              </m:r>
              <m:ctrlPr>
                <w:rPr>
                  <w:rFonts w:ascii="Cambria Math" w:hAnsi="Cambria Math"/>
                </w:rPr>
              </m:ctrlPr>
            </m:e>
            <m:sub>
              <m:sSub>
                <m:sSubPr>
                  <m:ctrlPr>
                    <w:rPr>
                      <w:rFonts w:ascii="Cambria Math" w:hAnsi="Cambria Math"/>
                    </w:rPr>
                  </m:ctrlPr>
                </m:sSubPr>
                <m:e>
                  <m:r>
                    <m:rPr>
                      <m:sty m:val="p"/>
                    </m:rPr>
                    <w:rPr>
                      <w:rFonts w:ascii="Cambria Math" w:hAnsi="Cambria Math"/>
                    </w:rPr>
                    <m:t>NO</m:t>
                  </m:r>
                  <m:ctrlPr>
                    <w:rPr>
                      <w:rFonts w:ascii="Cambria Math" w:hAnsi="Cambria Math"/>
                    </w:rPr>
                  </m:ctrlPr>
                </m:e>
                <m:sub>
                  <m:r>
                    <m:rPr>
                      <m:sty m:val="p"/>
                    </m:rPr>
                    <w:rPr>
                      <w:rFonts w:ascii="Cambria Math" w:hAnsi="Cambria Math"/>
                    </w:rPr>
                    <m:t>x</m:t>
                  </m:r>
                  <m:ctrlPr>
                    <w:rPr>
                      <w:rFonts w:ascii="Cambria Math" w:hAnsi="Cambria Math"/>
                    </w:rPr>
                  </m:ctrlPr>
                </m:sub>
              </m:sSub>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ρ</m:t>
              </m:r>
              <m:ctrlPr>
                <w:rPr>
                  <w:rFonts w:ascii="Cambria Math" w:hAnsi="Cambria Math"/>
                </w:rPr>
              </m:ctrlPr>
            </m:e>
            <m:sub>
              <m:sSub>
                <m:sSubPr>
                  <m:ctrlPr>
                    <w:rPr>
                      <w:rFonts w:ascii="Cambria Math" w:hAnsi="Cambria Math"/>
                    </w:rPr>
                  </m:ctrlPr>
                </m:sSubPr>
                <m:e>
                  <m:r>
                    <m:rPr>
                      <m:sty m:val="p"/>
                    </m:rPr>
                    <w:rPr>
                      <w:rFonts w:ascii="Cambria Math" w:hAnsi="Cambria Math"/>
                    </w:rPr>
                    <m:t>NO</m:t>
                  </m:r>
                  <m:ctrlPr>
                    <w:rPr>
                      <w:rFonts w:ascii="Cambria Math" w:hAnsi="Cambria Math"/>
                    </w:rPr>
                  </m:ctrlPr>
                </m:e>
                <m:sub>
                  <m:r>
                    <m:rPr>
                      <m:sty m:val="p"/>
                    </m:rPr>
                    <w:rPr>
                      <w:rFonts w:ascii="Cambria Math" w:hAnsi="Cambria Math"/>
                    </w:rPr>
                    <m:t>x</m:t>
                  </m:r>
                  <m:ctrlPr>
                    <w:rPr>
                      <w:rFonts w:ascii="Cambria Math" w:hAnsi="Cambria Math"/>
                    </w:rPr>
                  </m:ctrlPr>
                </m:sub>
              </m:sSub>
              <m:ctrlPr>
                <w:rPr>
                  <w:rFonts w:ascii="Cambria Math" w:hAnsi="Cambria Math"/>
                </w:rPr>
              </m:ctrlPr>
            </m:sub>
          </m:sSub>
          <m:r>
            <m:rPr>
              <m:sty m:val="p"/>
            </m:rPr>
            <w:rPr>
              <w:rFonts w:ascii="Cambria Math" w:hAnsi="Cambria Math"/>
            </w:rPr>
            <m:t>×Q×</m:t>
          </m:r>
          <m:d>
            <m:dPr>
              <m:ctrlPr>
                <w:rPr>
                  <w:rFonts w:ascii="Cambria Math" w:hAnsi="Cambria Math"/>
                </w:rPr>
              </m:ctrlPr>
            </m:dPr>
            <m:e>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m:rPr>
                          <m:sty m:val="p"/>
                        </m:rPr>
                        <w:rPr>
                          <w:rFonts w:ascii="Cambria Math" w:hAnsi="Cambria Math"/>
                        </w:rPr>
                        <m:t>η</m:t>
                      </m:r>
                      <m:ctrlPr>
                        <w:rPr>
                          <w:rFonts w:ascii="Cambria Math" w:hAnsi="Cambria Math"/>
                        </w:rPr>
                      </m:ctrlPr>
                    </m:e>
                    <m:sub>
                      <m:sSub>
                        <m:sSubPr>
                          <m:ctrlPr>
                            <w:rPr>
                              <w:rFonts w:ascii="Cambria Math" w:hAnsi="Cambria Math"/>
                            </w:rPr>
                          </m:ctrlPr>
                        </m:sSubPr>
                        <m:e>
                          <m:r>
                            <m:rPr>
                              <m:sty m:val="p"/>
                            </m:rPr>
                            <w:rPr>
                              <w:rFonts w:ascii="Cambria Math" w:hAnsi="Cambria Math"/>
                            </w:rPr>
                            <m:t>NO</m:t>
                          </m:r>
                          <m:ctrlPr>
                            <w:rPr>
                              <w:rFonts w:ascii="Cambria Math" w:hAnsi="Cambria Math"/>
                            </w:rPr>
                          </m:ctrlPr>
                        </m:e>
                        <m:sub>
                          <m:r>
                            <m:rPr>
                              <m:sty m:val="p"/>
                            </m:rPr>
                            <w:rPr>
                              <w:rFonts w:ascii="Cambria Math" w:hAnsi="Cambria Math"/>
                            </w:rPr>
                            <m:t>x</m:t>
                          </m:r>
                          <m:ctrlPr>
                            <w:rPr>
                              <w:rFonts w:ascii="Cambria Math" w:hAnsi="Cambria Math"/>
                            </w:rPr>
                          </m:ctrlPr>
                        </m:sub>
                      </m:sSub>
                      <m:ctrlPr>
                        <w:rPr>
                          <w:rFonts w:ascii="Cambria Math" w:hAnsi="Cambria Math"/>
                        </w:rPr>
                      </m:ctrlPr>
                    </m:sub>
                  </m:sSub>
                  <m:ctrlPr>
                    <w:rPr>
                      <w:rFonts w:ascii="Cambria Math" w:hAnsi="Cambria Math"/>
                    </w:rPr>
                  </m:ctrlPr>
                </m:num>
                <m:den>
                  <m:r>
                    <m:rPr>
                      <m:sty m:val="p"/>
                    </m:rPr>
                    <w:rPr>
                      <w:rFonts w:ascii="Cambria Math" w:hAnsi="Cambria Math"/>
                    </w:rPr>
                    <m:t>100</m:t>
                  </m:r>
                  <m:ctrlPr>
                    <w:rPr>
                      <w:rFonts w:ascii="Cambria Math" w:hAnsi="Cambria Math"/>
                    </w:rPr>
                  </m:ctrlPr>
                </m:den>
              </m:f>
              <m:ctrlPr>
                <w:rPr>
                  <w:rFonts w:ascii="Cambria Math" w:hAnsi="Cambria Math"/>
                </w:rPr>
              </m:ctrlPr>
            </m:e>
          </m:d>
          <m:r>
            <m:rPr>
              <m:sty m:val="p"/>
            </m:rPr>
            <w:rPr>
              <w:rFonts w:ascii="Cambria Math" w:hAnsi="Cambria Math"/>
            </w:rPr>
            <m:t>×</m:t>
          </m:r>
          <m:sSup>
            <m:sSupPr>
              <m:ctrlPr>
                <w:rPr>
                  <w:rFonts w:ascii="Cambria Math" w:hAnsi="Cambria Math"/>
                </w:rPr>
              </m:ctrlPr>
            </m:sSupPr>
            <m:e>
              <m:r>
                <m:rPr>
                  <m:sty m:val="p"/>
                </m:rPr>
                <w:rPr>
                  <w:rFonts w:ascii="Cambria Math" w:hAnsi="Cambria Math"/>
                </w:rPr>
                <m:t>10</m:t>
              </m:r>
              <m:ctrlPr>
                <w:rPr>
                  <w:rFonts w:ascii="Cambria Math" w:hAnsi="Cambria Math"/>
                </w:rPr>
              </m:ctrlPr>
            </m:e>
            <m:sup>
              <m:r>
                <m:rPr>
                  <m:sty m:val="p"/>
                </m:rPr>
                <w:rPr>
                  <w:rFonts w:ascii="Cambria Math" w:hAnsi="Cambria Math"/>
                </w:rPr>
                <m:t>−9</m:t>
              </m:r>
              <m:ctrlPr>
                <w:rPr>
                  <w:rFonts w:ascii="Cambria Math" w:hAnsi="Cambria Math"/>
                </w:rPr>
              </m:ctrlPr>
            </m:sup>
          </m:sSup>
        </m:oMath>
      </m:oMathPara>
    </w:p>
    <w:p w14:paraId="67678361">
      <w:pPr>
        <w:ind w:firstLine="480"/>
      </w:pPr>
      <w:r>
        <w:rPr>
          <w:rFonts w:hint="eastAsia"/>
        </w:rPr>
        <w:t>式中：</w:t>
      </w:r>
      <m:oMath>
        <m:sSub>
          <m:sSubPr>
            <m:ctrlPr>
              <w:rPr>
                <w:rFonts w:ascii="Cambria Math" w:hAnsi="Cambria Math"/>
              </w:rPr>
            </m:ctrlPr>
          </m:sSubPr>
          <m:e>
            <m:r>
              <m:rPr>
                <m:sty m:val="p"/>
              </m:rPr>
              <w:rPr>
                <w:rFonts w:ascii="Cambria Math" w:hAnsi="Cambria Math"/>
              </w:rPr>
              <m:t>E</m:t>
            </m:r>
            <m:ctrlPr>
              <w:rPr>
                <w:rFonts w:ascii="Cambria Math" w:hAnsi="Cambria Math"/>
              </w:rPr>
            </m:ctrlPr>
          </m:e>
          <m:sub>
            <m:sSub>
              <m:sSubPr>
                <m:ctrlPr>
                  <w:rPr>
                    <w:rFonts w:ascii="Cambria Math" w:hAnsi="Cambria Math"/>
                  </w:rPr>
                </m:ctrlPr>
              </m:sSubPr>
              <m:e>
                <m:r>
                  <m:rPr>
                    <m:sty m:val="p"/>
                  </m:rPr>
                  <w:rPr>
                    <w:rFonts w:ascii="Cambria Math" w:hAnsi="Cambria Math"/>
                  </w:rPr>
                  <m:t>NO</m:t>
                </m:r>
                <m:ctrlPr>
                  <w:rPr>
                    <w:rFonts w:ascii="Cambria Math" w:hAnsi="Cambria Math"/>
                  </w:rPr>
                </m:ctrlPr>
              </m:e>
              <m:sub>
                <m:r>
                  <m:rPr>
                    <m:sty m:val="p"/>
                  </m:rPr>
                  <w:rPr>
                    <w:rFonts w:ascii="Cambria Math" w:hAnsi="Cambria Math"/>
                  </w:rPr>
                  <m:t>x</m:t>
                </m:r>
                <m:ctrlPr>
                  <w:rPr>
                    <w:rFonts w:ascii="Cambria Math" w:hAnsi="Cambria Math"/>
                  </w:rPr>
                </m:ctrlPr>
              </m:sub>
            </m:sSub>
            <m:ctrlPr>
              <w:rPr>
                <w:rFonts w:ascii="Cambria Math" w:hAnsi="Cambria Math"/>
              </w:rPr>
            </m:ctrlPr>
          </m:sub>
        </m:sSub>
      </m:oMath>
      <w:r>
        <w:rPr>
          <w:rFonts w:hint="eastAsia"/>
        </w:rPr>
        <w:t>——核算时段内氮氧化物排放量，t；</w:t>
      </w:r>
    </w:p>
    <w:p w14:paraId="2ABBF173">
      <w:pPr>
        <w:ind w:firstLine="480"/>
      </w:pPr>
      <w:r>
        <w:rPr>
          <w:rFonts w:hint="eastAsia"/>
        </w:rPr>
        <w:t xml:space="preserve">      </w:t>
      </w:r>
      <m:oMath>
        <m:sSub>
          <m:sSubPr>
            <m:ctrlPr>
              <w:rPr>
                <w:rFonts w:ascii="Cambria Math" w:hAnsi="Cambria Math"/>
              </w:rPr>
            </m:ctrlPr>
          </m:sSubPr>
          <m:e>
            <m:r>
              <m:rPr>
                <m:sty m:val="p"/>
              </m:rPr>
              <w:rPr>
                <w:rFonts w:ascii="Cambria Math" w:hAnsi="Cambria Math"/>
              </w:rPr>
              <m:t>ρ</m:t>
            </m:r>
            <m:ctrlPr>
              <w:rPr>
                <w:rFonts w:ascii="Cambria Math" w:hAnsi="Cambria Math"/>
              </w:rPr>
            </m:ctrlPr>
          </m:e>
          <m:sub>
            <m:sSub>
              <m:sSubPr>
                <m:ctrlPr>
                  <w:rPr>
                    <w:rFonts w:ascii="Cambria Math" w:hAnsi="Cambria Math"/>
                  </w:rPr>
                </m:ctrlPr>
              </m:sSubPr>
              <m:e>
                <m:r>
                  <m:rPr>
                    <m:sty m:val="p"/>
                  </m:rPr>
                  <w:rPr>
                    <w:rFonts w:ascii="Cambria Math" w:hAnsi="Cambria Math"/>
                  </w:rPr>
                  <m:t>NO</m:t>
                </m:r>
                <m:ctrlPr>
                  <w:rPr>
                    <w:rFonts w:ascii="Cambria Math" w:hAnsi="Cambria Math"/>
                  </w:rPr>
                </m:ctrlPr>
              </m:e>
              <m:sub>
                <m:r>
                  <m:rPr>
                    <m:sty m:val="p"/>
                  </m:rPr>
                  <w:rPr>
                    <w:rFonts w:ascii="Cambria Math" w:hAnsi="Cambria Math"/>
                  </w:rPr>
                  <m:t>x</m:t>
                </m:r>
                <m:ctrlPr>
                  <w:rPr>
                    <w:rFonts w:ascii="Cambria Math" w:hAnsi="Cambria Math"/>
                  </w:rPr>
                </m:ctrlPr>
              </m:sub>
            </m:sSub>
            <m:ctrlPr>
              <w:rPr>
                <w:rFonts w:ascii="Cambria Math" w:hAnsi="Cambria Math"/>
              </w:rPr>
            </m:ctrlPr>
          </m:sub>
        </m:sSub>
      </m:oMath>
      <w:r>
        <w:rPr>
          <w:rFonts w:hint="eastAsia"/>
        </w:rPr>
        <w:t>——锅炉炉膛出口氮氧化物质量浓度，mg/m</w:t>
      </w:r>
      <w:r>
        <w:rPr>
          <w:rFonts w:hint="eastAsia"/>
          <w:vertAlign w:val="superscript"/>
        </w:rPr>
        <w:t>3</w:t>
      </w:r>
      <w:r>
        <w:rPr>
          <w:rFonts w:hint="eastAsia"/>
        </w:rPr>
        <w:t>；根据《污染源源强核算技术指南 锅炉》（HJ991-2018）表B.4锅炉炉膛出口NOx浓度范围，燃气锅炉取值为30~300mg/m</w:t>
      </w:r>
      <w:r>
        <w:rPr>
          <w:rFonts w:hint="eastAsia"/>
          <w:vertAlign w:val="superscript"/>
        </w:rPr>
        <w:t>3</w:t>
      </w:r>
      <w:r>
        <w:rPr>
          <w:rFonts w:hint="eastAsia"/>
        </w:rPr>
        <w:t>，本次计算取值为100mg/m</w:t>
      </w:r>
      <w:r>
        <w:rPr>
          <w:rFonts w:hint="eastAsia"/>
          <w:vertAlign w:val="superscript"/>
        </w:rPr>
        <w:t>3</w:t>
      </w:r>
      <w:r>
        <w:rPr>
          <w:rFonts w:hint="eastAsia"/>
        </w:rPr>
        <w:t>。</w:t>
      </w:r>
    </w:p>
    <w:p w14:paraId="77722697">
      <w:pPr>
        <w:ind w:firstLine="480"/>
      </w:pPr>
      <w:r>
        <w:rPr>
          <w:rFonts w:hint="eastAsia"/>
        </w:rPr>
        <w:t xml:space="preserve">      </w:t>
      </w:r>
      <m:oMath>
        <m:r>
          <m:rPr>
            <m:sty m:val="p"/>
          </m:rPr>
          <w:rPr>
            <w:rFonts w:ascii="Cambria Math" w:hAnsi="Cambria Math"/>
          </w:rPr>
          <m:t>Q</m:t>
        </m:r>
      </m:oMath>
      <w:r>
        <w:rPr>
          <w:rFonts w:hint="eastAsia"/>
        </w:rPr>
        <w:t>——核算时段内标态干烟气排放量，m</w:t>
      </w:r>
      <w:r>
        <w:rPr>
          <w:rFonts w:hint="eastAsia"/>
          <w:vertAlign w:val="superscript"/>
        </w:rPr>
        <w:t>3</w:t>
      </w:r>
      <w:r>
        <w:rPr>
          <w:rFonts w:hint="eastAsia"/>
        </w:rPr>
        <w:t>；烟气量为</w:t>
      </w:r>
      <w:r>
        <w:rPr>
          <w:rFonts w:hint="eastAsia"/>
          <w:snapToGrid w:val="0"/>
        </w:rPr>
        <w:t>3.57×10</w:t>
      </w:r>
      <w:r>
        <w:rPr>
          <w:rFonts w:hint="eastAsia"/>
          <w:snapToGrid w:val="0"/>
          <w:vertAlign w:val="superscript"/>
        </w:rPr>
        <w:t>6</w:t>
      </w:r>
      <w:r>
        <w:rPr>
          <w:rFonts w:hint="eastAsia"/>
        </w:rPr>
        <w:t>m</w:t>
      </w:r>
      <w:r>
        <w:rPr>
          <w:rFonts w:hint="eastAsia"/>
          <w:vertAlign w:val="superscript"/>
        </w:rPr>
        <w:t>a</w:t>
      </w:r>
      <w:r>
        <w:rPr>
          <w:rFonts w:hint="eastAsia"/>
        </w:rPr>
        <w:t>/a；</w:t>
      </w:r>
    </w:p>
    <w:p w14:paraId="53B0F259">
      <w:pPr>
        <w:ind w:firstLine="480"/>
      </w:pPr>
      <w:r>
        <w:rPr>
          <w:rFonts w:hint="eastAsia"/>
        </w:rPr>
        <w:t xml:space="preserve">      </w:t>
      </w:r>
      <m:oMath>
        <m:sSub>
          <m:sSubPr>
            <m:ctrlPr>
              <w:rPr>
                <w:rFonts w:ascii="Cambria Math" w:hAnsi="Cambria Math"/>
              </w:rPr>
            </m:ctrlPr>
          </m:sSubPr>
          <m:e>
            <m:r>
              <m:rPr>
                <m:sty m:val="p"/>
              </m:rPr>
              <w:rPr>
                <w:rFonts w:ascii="Cambria Math" w:hAnsi="Cambria Math"/>
              </w:rPr>
              <m:t>η</m:t>
            </m:r>
            <m:ctrlPr>
              <w:rPr>
                <w:rFonts w:ascii="Cambria Math" w:hAnsi="Cambria Math"/>
              </w:rPr>
            </m:ctrlPr>
          </m:e>
          <m:sub>
            <m:sSub>
              <m:sSubPr>
                <m:ctrlPr>
                  <w:rPr>
                    <w:rFonts w:ascii="Cambria Math" w:hAnsi="Cambria Math"/>
                  </w:rPr>
                </m:ctrlPr>
              </m:sSubPr>
              <m:e>
                <m:r>
                  <m:rPr>
                    <m:sty m:val="p"/>
                  </m:rPr>
                  <w:rPr>
                    <w:rFonts w:ascii="Cambria Math" w:hAnsi="Cambria Math"/>
                  </w:rPr>
                  <m:t>NO</m:t>
                </m:r>
                <m:ctrlPr>
                  <w:rPr>
                    <w:rFonts w:ascii="Cambria Math" w:hAnsi="Cambria Math"/>
                  </w:rPr>
                </m:ctrlPr>
              </m:e>
              <m:sub>
                <m:r>
                  <m:rPr>
                    <m:sty m:val="p"/>
                  </m:rPr>
                  <w:rPr>
                    <w:rFonts w:ascii="Cambria Math" w:hAnsi="Cambria Math"/>
                  </w:rPr>
                  <m:t>x</m:t>
                </m:r>
                <m:ctrlPr>
                  <w:rPr>
                    <w:rFonts w:ascii="Cambria Math" w:hAnsi="Cambria Math"/>
                  </w:rPr>
                </m:ctrlPr>
              </m:sub>
            </m:sSub>
            <m:ctrlPr>
              <w:rPr>
                <w:rFonts w:ascii="Cambria Math" w:hAnsi="Cambria Math"/>
              </w:rPr>
            </m:ctrlPr>
          </m:sub>
        </m:sSub>
      </m:oMath>
      <w:r>
        <w:rPr>
          <w:rFonts w:hint="eastAsia"/>
        </w:rPr>
        <w:t>——脱硝效率，%；本项目锅炉安装低氮燃烧器，脱硝效率按0计算。</w:t>
      </w:r>
    </w:p>
    <w:p w14:paraId="6A517279">
      <w:pPr>
        <w:ind w:firstLine="480"/>
      </w:pPr>
      <w:r>
        <w:rPr>
          <w:rFonts w:hint="eastAsia"/>
        </w:rPr>
        <w:t>根据上式进行计算，本项目单台锅炉氮氧化物排放量为0.357t/a。</w:t>
      </w:r>
    </w:p>
    <w:p w14:paraId="51243E6E">
      <w:pPr>
        <w:ind w:firstLine="480"/>
      </w:pPr>
      <w:r>
        <w:rPr>
          <w:rFonts w:hint="eastAsia"/>
        </w:rPr>
        <w:t>排放浓度=排放量/基准烟气量=100mg/m</w:t>
      </w:r>
      <w:r>
        <w:rPr>
          <w:rFonts w:hint="eastAsia"/>
          <w:vertAlign w:val="superscript"/>
        </w:rPr>
        <w:t>3</w:t>
      </w:r>
      <w:r>
        <w:rPr>
          <w:rFonts w:hint="eastAsia"/>
        </w:rPr>
        <w:t>。</w:t>
      </w:r>
    </w:p>
    <w:p w14:paraId="06B0FCC9">
      <w:pPr>
        <w:ind w:firstLine="480"/>
        <w:jc w:val="both"/>
      </w:pPr>
      <w:r>
        <w:rPr>
          <w:rFonts w:hint="eastAsia"/>
        </w:rPr>
        <w:t>锅炉燃烧过程产生的氮氧化物排放浓度符合《锅炉大气污染物排放标准》（GB13271-2014）表3新建（燃气）锅炉大气污染物特别排放限值要求（氮氧化物：150mg/m</w:t>
      </w:r>
      <w:r>
        <w:rPr>
          <w:rFonts w:hint="eastAsia"/>
          <w:vertAlign w:val="superscript"/>
        </w:rPr>
        <w:t>3</w:t>
      </w:r>
      <w:r>
        <w:rPr>
          <w:rFonts w:hint="eastAsia"/>
        </w:rPr>
        <w:t>）。</w:t>
      </w:r>
    </w:p>
    <w:p w14:paraId="35824702">
      <w:pPr>
        <w:ind w:firstLine="480"/>
        <w:jc w:val="both"/>
      </w:pPr>
      <w:r>
        <w:rPr>
          <w:rFonts w:hint="eastAsia"/>
        </w:rPr>
        <w:t>本项目共设置3台天然气锅炉（两用一备），项目锅炉房氮氧化物总排放量为0.714t/a，燃烧废气经低氮燃烧器分别处理后经各自排气筒（每台锅炉配套1根排气筒，编号分别为DA004、DA005、DA006）排放，排气筒高度8m</w:t>
      </w:r>
      <w:r>
        <w:t>。</w:t>
      </w:r>
    </w:p>
    <w:p w14:paraId="4F0A9732">
      <w:pPr>
        <w:pStyle w:val="259"/>
        <w:spacing w:line="400" w:lineRule="exact"/>
        <w:ind w:firstLine="0" w:firstLineChars="0"/>
        <w:jc w:val="center"/>
      </w:pPr>
      <w:r>
        <w:rPr>
          <w:b/>
          <w:bCs/>
          <w:snapToGrid w:val="0"/>
        </w:rPr>
        <w:t xml:space="preserve">表3.3-9  </w:t>
      </w:r>
      <w:r>
        <w:rPr>
          <w:rFonts w:hint="eastAsia"/>
          <w:b/>
          <w:bCs/>
          <w:snapToGrid w:val="0"/>
        </w:rPr>
        <w:t>单台然气</w:t>
      </w:r>
      <w:r>
        <w:rPr>
          <w:b/>
          <w:bCs/>
          <w:snapToGrid w:val="0"/>
        </w:rPr>
        <w:t>锅炉烟气污染物排放情况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1238"/>
        <w:gridCol w:w="1148"/>
        <w:gridCol w:w="1214"/>
        <w:gridCol w:w="1033"/>
        <w:gridCol w:w="1148"/>
        <w:gridCol w:w="1334"/>
        <w:gridCol w:w="1164"/>
      </w:tblGrid>
      <w:tr w14:paraId="794B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E76D327">
            <w:pPr>
              <w:spacing w:line="240" w:lineRule="auto"/>
              <w:ind w:firstLine="0" w:firstLineChars="0"/>
              <w:jc w:val="center"/>
              <w:rPr>
                <w:sz w:val="21"/>
                <w:szCs w:val="21"/>
              </w:rPr>
            </w:pPr>
            <w:r>
              <w:rPr>
                <w:rFonts w:hint="eastAsia"/>
                <w:sz w:val="21"/>
                <w:szCs w:val="21"/>
              </w:rPr>
              <w:t>污染源</w:t>
            </w:r>
          </w:p>
        </w:tc>
        <w:tc>
          <w:tcPr>
            <w:tcW w:w="1238" w:type="dxa"/>
            <w:vAlign w:val="center"/>
          </w:tcPr>
          <w:p w14:paraId="6F98F180">
            <w:pPr>
              <w:spacing w:line="240" w:lineRule="auto"/>
              <w:ind w:firstLine="0" w:firstLineChars="0"/>
              <w:jc w:val="center"/>
              <w:rPr>
                <w:sz w:val="21"/>
                <w:szCs w:val="21"/>
              </w:rPr>
            </w:pPr>
            <w:r>
              <w:rPr>
                <w:rFonts w:hint="eastAsia"/>
                <w:sz w:val="21"/>
                <w:szCs w:val="21"/>
              </w:rPr>
              <w:t>污染物</w:t>
            </w:r>
          </w:p>
        </w:tc>
        <w:tc>
          <w:tcPr>
            <w:tcW w:w="1148" w:type="dxa"/>
            <w:vAlign w:val="center"/>
          </w:tcPr>
          <w:p w14:paraId="729BDCD1">
            <w:pPr>
              <w:spacing w:line="240" w:lineRule="auto"/>
              <w:ind w:firstLine="0" w:firstLineChars="0"/>
              <w:jc w:val="center"/>
              <w:rPr>
                <w:sz w:val="21"/>
                <w:szCs w:val="21"/>
              </w:rPr>
            </w:pPr>
            <w:r>
              <w:rPr>
                <w:rFonts w:hint="eastAsia"/>
                <w:sz w:val="21"/>
                <w:szCs w:val="21"/>
              </w:rPr>
              <w:t>产生量（t/a）</w:t>
            </w:r>
          </w:p>
        </w:tc>
        <w:tc>
          <w:tcPr>
            <w:tcW w:w="1214" w:type="dxa"/>
            <w:vAlign w:val="center"/>
          </w:tcPr>
          <w:p w14:paraId="5BBCBE3F">
            <w:pPr>
              <w:spacing w:line="240" w:lineRule="auto"/>
              <w:ind w:firstLine="0" w:firstLineChars="0"/>
              <w:jc w:val="center"/>
              <w:rPr>
                <w:sz w:val="21"/>
                <w:szCs w:val="21"/>
              </w:rPr>
            </w:pPr>
            <w:r>
              <w:rPr>
                <w:rFonts w:hint="eastAsia"/>
                <w:sz w:val="21"/>
                <w:szCs w:val="21"/>
              </w:rPr>
              <w:t>防治措施</w:t>
            </w:r>
          </w:p>
        </w:tc>
        <w:tc>
          <w:tcPr>
            <w:tcW w:w="1033" w:type="dxa"/>
            <w:vAlign w:val="center"/>
          </w:tcPr>
          <w:p w14:paraId="074A5CCC">
            <w:pPr>
              <w:spacing w:line="240" w:lineRule="auto"/>
              <w:ind w:firstLine="0" w:firstLineChars="0"/>
              <w:jc w:val="center"/>
              <w:rPr>
                <w:sz w:val="21"/>
                <w:szCs w:val="21"/>
              </w:rPr>
            </w:pPr>
            <w:r>
              <w:rPr>
                <w:rFonts w:hint="eastAsia"/>
                <w:sz w:val="21"/>
                <w:szCs w:val="21"/>
              </w:rPr>
              <w:t>治理效率</w:t>
            </w:r>
          </w:p>
        </w:tc>
        <w:tc>
          <w:tcPr>
            <w:tcW w:w="1148" w:type="dxa"/>
            <w:vAlign w:val="center"/>
          </w:tcPr>
          <w:p w14:paraId="38002B1F">
            <w:pPr>
              <w:spacing w:line="240" w:lineRule="auto"/>
              <w:ind w:firstLine="0" w:firstLineChars="0"/>
              <w:jc w:val="center"/>
              <w:rPr>
                <w:sz w:val="21"/>
                <w:szCs w:val="21"/>
              </w:rPr>
            </w:pPr>
            <w:r>
              <w:rPr>
                <w:rFonts w:hint="eastAsia"/>
                <w:sz w:val="21"/>
                <w:szCs w:val="21"/>
              </w:rPr>
              <w:t>排放量（t/a）</w:t>
            </w:r>
          </w:p>
        </w:tc>
        <w:tc>
          <w:tcPr>
            <w:tcW w:w="1334" w:type="dxa"/>
            <w:vAlign w:val="center"/>
          </w:tcPr>
          <w:p w14:paraId="7D8EF287">
            <w:pPr>
              <w:spacing w:line="240" w:lineRule="auto"/>
              <w:ind w:firstLine="0" w:firstLineChars="0"/>
              <w:jc w:val="center"/>
              <w:rPr>
                <w:sz w:val="21"/>
                <w:szCs w:val="21"/>
              </w:rPr>
            </w:pPr>
            <w:r>
              <w:rPr>
                <w:rFonts w:hint="eastAsia"/>
                <w:sz w:val="21"/>
                <w:szCs w:val="21"/>
              </w:rPr>
              <w:t>排放浓度（mg/m</w:t>
            </w:r>
            <w:r>
              <w:rPr>
                <w:rFonts w:hint="eastAsia"/>
                <w:sz w:val="21"/>
                <w:szCs w:val="21"/>
                <w:vertAlign w:val="superscript"/>
              </w:rPr>
              <w:t>3</w:t>
            </w:r>
            <w:r>
              <w:rPr>
                <w:rFonts w:hint="eastAsia"/>
                <w:sz w:val="21"/>
                <w:szCs w:val="21"/>
              </w:rPr>
              <w:t>）</w:t>
            </w:r>
          </w:p>
        </w:tc>
        <w:tc>
          <w:tcPr>
            <w:tcW w:w="1164" w:type="dxa"/>
            <w:vAlign w:val="center"/>
          </w:tcPr>
          <w:p w14:paraId="3DC83037">
            <w:pPr>
              <w:spacing w:line="240" w:lineRule="auto"/>
              <w:ind w:firstLine="0" w:firstLineChars="0"/>
              <w:jc w:val="center"/>
              <w:rPr>
                <w:sz w:val="21"/>
                <w:szCs w:val="21"/>
              </w:rPr>
            </w:pPr>
            <w:r>
              <w:rPr>
                <w:rFonts w:hint="eastAsia"/>
                <w:sz w:val="21"/>
                <w:szCs w:val="21"/>
              </w:rPr>
              <w:t>排放速率（kg/h）</w:t>
            </w:r>
          </w:p>
        </w:tc>
      </w:tr>
      <w:tr w14:paraId="5C2E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restart"/>
            <w:vAlign w:val="center"/>
          </w:tcPr>
          <w:p w14:paraId="6063D669">
            <w:pPr>
              <w:spacing w:line="240" w:lineRule="auto"/>
              <w:ind w:firstLine="0" w:firstLineChars="0"/>
              <w:jc w:val="center"/>
              <w:rPr>
                <w:sz w:val="21"/>
                <w:szCs w:val="21"/>
              </w:rPr>
            </w:pPr>
            <w:r>
              <w:rPr>
                <w:rFonts w:hint="eastAsia"/>
                <w:sz w:val="21"/>
                <w:szCs w:val="21"/>
              </w:rPr>
              <w:t>单台天然气锅炉</w:t>
            </w:r>
          </w:p>
        </w:tc>
        <w:tc>
          <w:tcPr>
            <w:tcW w:w="1238" w:type="dxa"/>
            <w:vAlign w:val="center"/>
          </w:tcPr>
          <w:p w14:paraId="478F59CF">
            <w:pPr>
              <w:spacing w:line="240" w:lineRule="auto"/>
              <w:ind w:firstLine="0" w:firstLineChars="0"/>
              <w:jc w:val="center"/>
              <w:rPr>
                <w:sz w:val="21"/>
                <w:szCs w:val="21"/>
              </w:rPr>
            </w:pPr>
            <w:r>
              <w:rPr>
                <w:rFonts w:hint="eastAsia"/>
                <w:sz w:val="21"/>
                <w:szCs w:val="21"/>
              </w:rPr>
              <w:t>颗粒物</w:t>
            </w:r>
          </w:p>
        </w:tc>
        <w:tc>
          <w:tcPr>
            <w:tcW w:w="1148" w:type="dxa"/>
            <w:vAlign w:val="center"/>
          </w:tcPr>
          <w:p w14:paraId="18CBD17C">
            <w:pPr>
              <w:spacing w:line="240" w:lineRule="auto"/>
              <w:ind w:firstLine="0" w:firstLineChars="0"/>
              <w:jc w:val="center"/>
              <w:rPr>
                <w:sz w:val="21"/>
                <w:szCs w:val="21"/>
              </w:rPr>
            </w:pPr>
            <w:r>
              <w:rPr>
                <w:rFonts w:hint="eastAsia"/>
                <w:sz w:val="21"/>
                <w:szCs w:val="21"/>
              </w:rPr>
              <w:t>0.036</w:t>
            </w:r>
          </w:p>
        </w:tc>
        <w:tc>
          <w:tcPr>
            <w:tcW w:w="1214" w:type="dxa"/>
            <w:vAlign w:val="center"/>
          </w:tcPr>
          <w:p w14:paraId="6ADA9041">
            <w:pPr>
              <w:spacing w:line="240" w:lineRule="auto"/>
              <w:ind w:firstLine="0" w:firstLineChars="0"/>
              <w:jc w:val="center"/>
              <w:rPr>
                <w:sz w:val="21"/>
                <w:szCs w:val="21"/>
              </w:rPr>
            </w:pPr>
            <w:r>
              <w:rPr>
                <w:rFonts w:hint="eastAsia"/>
                <w:sz w:val="21"/>
                <w:szCs w:val="21"/>
              </w:rPr>
              <w:t>/</w:t>
            </w:r>
          </w:p>
        </w:tc>
        <w:tc>
          <w:tcPr>
            <w:tcW w:w="1033" w:type="dxa"/>
            <w:vAlign w:val="center"/>
          </w:tcPr>
          <w:p w14:paraId="0C87B771">
            <w:pPr>
              <w:spacing w:line="240" w:lineRule="auto"/>
              <w:ind w:firstLine="0" w:firstLineChars="0"/>
              <w:jc w:val="center"/>
              <w:rPr>
                <w:sz w:val="21"/>
                <w:szCs w:val="21"/>
              </w:rPr>
            </w:pPr>
            <w:r>
              <w:rPr>
                <w:rFonts w:hint="eastAsia"/>
                <w:sz w:val="21"/>
                <w:szCs w:val="21"/>
              </w:rPr>
              <w:t>0</w:t>
            </w:r>
          </w:p>
        </w:tc>
        <w:tc>
          <w:tcPr>
            <w:tcW w:w="1148" w:type="dxa"/>
            <w:vAlign w:val="center"/>
          </w:tcPr>
          <w:p w14:paraId="4291BE09">
            <w:pPr>
              <w:spacing w:line="240" w:lineRule="auto"/>
              <w:ind w:firstLine="0" w:firstLineChars="0"/>
              <w:jc w:val="center"/>
              <w:rPr>
                <w:sz w:val="21"/>
                <w:szCs w:val="21"/>
              </w:rPr>
            </w:pPr>
            <w:r>
              <w:rPr>
                <w:rFonts w:hint="eastAsia"/>
                <w:sz w:val="21"/>
                <w:szCs w:val="21"/>
              </w:rPr>
              <w:t>0.036</w:t>
            </w:r>
          </w:p>
        </w:tc>
        <w:tc>
          <w:tcPr>
            <w:tcW w:w="1334" w:type="dxa"/>
            <w:vAlign w:val="center"/>
          </w:tcPr>
          <w:p w14:paraId="043DA01B">
            <w:pPr>
              <w:spacing w:line="240" w:lineRule="auto"/>
              <w:ind w:firstLine="0" w:firstLineChars="0"/>
              <w:jc w:val="center"/>
              <w:rPr>
                <w:sz w:val="21"/>
                <w:szCs w:val="21"/>
              </w:rPr>
            </w:pPr>
            <w:r>
              <w:rPr>
                <w:rFonts w:hint="eastAsia"/>
                <w:sz w:val="21"/>
                <w:szCs w:val="21"/>
              </w:rPr>
              <w:t>10.14</w:t>
            </w:r>
          </w:p>
        </w:tc>
        <w:tc>
          <w:tcPr>
            <w:tcW w:w="1164" w:type="dxa"/>
            <w:vAlign w:val="center"/>
          </w:tcPr>
          <w:p w14:paraId="4B8DC874">
            <w:pPr>
              <w:spacing w:line="240" w:lineRule="auto"/>
              <w:ind w:firstLine="0" w:firstLineChars="0"/>
              <w:jc w:val="center"/>
              <w:rPr>
                <w:sz w:val="21"/>
                <w:szCs w:val="21"/>
              </w:rPr>
            </w:pPr>
            <w:r>
              <w:rPr>
                <w:rFonts w:hint="eastAsia"/>
                <w:sz w:val="21"/>
                <w:szCs w:val="21"/>
              </w:rPr>
              <w:t>0.019</w:t>
            </w:r>
          </w:p>
        </w:tc>
      </w:tr>
      <w:tr w14:paraId="6D88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vAlign w:val="center"/>
          </w:tcPr>
          <w:p w14:paraId="49DB523F">
            <w:pPr>
              <w:spacing w:line="240" w:lineRule="auto"/>
              <w:ind w:firstLine="0" w:firstLineChars="0"/>
              <w:jc w:val="center"/>
              <w:rPr>
                <w:sz w:val="21"/>
                <w:szCs w:val="21"/>
              </w:rPr>
            </w:pPr>
          </w:p>
        </w:tc>
        <w:tc>
          <w:tcPr>
            <w:tcW w:w="1238" w:type="dxa"/>
            <w:vAlign w:val="center"/>
          </w:tcPr>
          <w:p w14:paraId="6424F2F3">
            <w:pPr>
              <w:spacing w:line="240" w:lineRule="auto"/>
              <w:ind w:firstLine="0" w:firstLineChars="0"/>
              <w:jc w:val="center"/>
              <w:rPr>
                <w:sz w:val="21"/>
                <w:szCs w:val="21"/>
              </w:rPr>
            </w:pPr>
            <w:r>
              <w:rPr>
                <w:rFonts w:hint="eastAsia"/>
                <w:sz w:val="21"/>
                <w:szCs w:val="21"/>
              </w:rPr>
              <w:t>二氧化硫</w:t>
            </w:r>
          </w:p>
        </w:tc>
        <w:tc>
          <w:tcPr>
            <w:tcW w:w="1148" w:type="dxa"/>
            <w:vAlign w:val="center"/>
          </w:tcPr>
          <w:p w14:paraId="3CD01678">
            <w:pPr>
              <w:spacing w:line="240" w:lineRule="auto"/>
              <w:ind w:firstLine="0" w:firstLineChars="0"/>
              <w:jc w:val="center"/>
              <w:rPr>
                <w:sz w:val="21"/>
                <w:szCs w:val="21"/>
              </w:rPr>
            </w:pPr>
            <w:r>
              <w:rPr>
                <w:rFonts w:hint="eastAsia"/>
                <w:sz w:val="21"/>
                <w:szCs w:val="21"/>
              </w:rPr>
              <w:t>0</w:t>
            </w:r>
          </w:p>
        </w:tc>
        <w:tc>
          <w:tcPr>
            <w:tcW w:w="1214" w:type="dxa"/>
            <w:vAlign w:val="center"/>
          </w:tcPr>
          <w:p w14:paraId="5EB69920">
            <w:pPr>
              <w:spacing w:line="240" w:lineRule="auto"/>
              <w:ind w:firstLine="0" w:firstLineChars="0"/>
              <w:jc w:val="center"/>
              <w:rPr>
                <w:sz w:val="21"/>
                <w:szCs w:val="21"/>
              </w:rPr>
            </w:pPr>
            <w:r>
              <w:rPr>
                <w:rFonts w:hint="eastAsia"/>
                <w:sz w:val="21"/>
                <w:szCs w:val="21"/>
              </w:rPr>
              <w:t>/</w:t>
            </w:r>
          </w:p>
        </w:tc>
        <w:tc>
          <w:tcPr>
            <w:tcW w:w="1033" w:type="dxa"/>
            <w:vAlign w:val="center"/>
          </w:tcPr>
          <w:p w14:paraId="0733276C">
            <w:pPr>
              <w:spacing w:line="240" w:lineRule="auto"/>
              <w:ind w:firstLine="0" w:firstLineChars="0"/>
              <w:jc w:val="center"/>
              <w:rPr>
                <w:sz w:val="21"/>
                <w:szCs w:val="21"/>
              </w:rPr>
            </w:pPr>
            <w:r>
              <w:rPr>
                <w:rFonts w:hint="eastAsia"/>
                <w:sz w:val="21"/>
                <w:szCs w:val="21"/>
              </w:rPr>
              <w:t>/</w:t>
            </w:r>
          </w:p>
        </w:tc>
        <w:tc>
          <w:tcPr>
            <w:tcW w:w="1148" w:type="dxa"/>
            <w:vAlign w:val="center"/>
          </w:tcPr>
          <w:p w14:paraId="04C0AF42">
            <w:pPr>
              <w:spacing w:line="240" w:lineRule="auto"/>
              <w:ind w:firstLine="0" w:firstLineChars="0"/>
              <w:jc w:val="center"/>
              <w:rPr>
                <w:sz w:val="21"/>
                <w:szCs w:val="21"/>
              </w:rPr>
            </w:pPr>
            <w:r>
              <w:rPr>
                <w:rFonts w:hint="eastAsia"/>
                <w:sz w:val="21"/>
                <w:szCs w:val="21"/>
              </w:rPr>
              <w:t>0</w:t>
            </w:r>
          </w:p>
        </w:tc>
        <w:tc>
          <w:tcPr>
            <w:tcW w:w="1334" w:type="dxa"/>
            <w:vAlign w:val="center"/>
          </w:tcPr>
          <w:p w14:paraId="23D09F84">
            <w:pPr>
              <w:spacing w:line="240" w:lineRule="auto"/>
              <w:ind w:firstLine="0" w:firstLineChars="0"/>
              <w:jc w:val="center"/>
              <w:rPr>
                <w:sz w:val="21"/>
                <w:szCs w:val="21"/>
              </w:rPr>
            </w:pPr>
            <w:r>
              <w:rPr>
                <w:rFonts w:hint="eastAsia"/>
                <w:sz w:val="21"/>
                <w:szCs w:val="21"/>
              </w:rPr>
              <w:t>0</w:t>
            </w:r>
          </w:p>
        </w:tc>
        <w:tc>
          <w:tcPr>
            <w:tcW w:w="1164" w:type="dxa"/>
            <w:vAlign w:val="center"/>
          </w:tcPr>
          <w:p w14:paraId="79E7C395">
            <w:pPr>
              <w:spacing w:line="240" w:lineRule="auto"/>
              <w:ind w:firstLine="0" w:firstLineChars="0"/>
              <w:jc w:val="center"/>
              <w:rPr>
                <w:sz w:val="21"/>
                <w:szCs w:val="21"/>
              </w:rPr>
            </w:pPr>
            <w:r>
              <w:rPr>
                <w:rFonts w:hint="eastAsia"/>
                <w:sz w:val="21"/>
                <w:szCs w:val="21"/>
              </w:rPr>
              <w:t>0</w:t>
            </w:r>
          </w:p>
        </w:tc>
      </w:tr>
      <w:tr w14:paraId="6D3A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vAlign w:val="center"/>
          </w:tcPr>
          <w:p w14:paraId="27EAB098">
            <w:pPr>
              <w:spacing w:line="240" w:lineRule="auto"/>
              <w:ind w:firstLine="0" w:firstLineChars="0"/>
              <w:jc w:val="center"/>
              <w:rPr>
                <w:sz w:val="21"/>
                <w:szCs w:val="21"/>
              </w:rPr>
            </w:pPr>
          </w:p>
        </w:tc>
        <w:tc>
          <w:tcPr>
            <w:tcW w:w="1238" w:type="dxa"/>
            <w:vAlign w:val="center"/>
          </w:tcPr>
          <w:p w14:paraId="65F31E4E">
            <w:pPr>
              <w:spacing w:line="240" w:lineRule="auto"/>
              <w:ind w:firstLine="0" w:firstLineChars="0"/>
              <w:jc w:val="center"/>
              <w:rPr>
                <w:sz w:val="21"/>
                <w:szCs w:val="21"/>
              </w:rPr>
            </w:pPr>
            <w:r>
              <w:rPr>
                <w:rFonts w:hint="eastAsia"/>
                <w:sz w:val="21"/>
                <w:szCs w:val="21"/>
              </w:rPr>
              <w:t>氮氧化物</w:t>
            </w:r>
          </w:p>
        </w:tc>
        <w:tc>
          <w:tcPr>
            <w:tcW w:w="1148" w:type="dxa"/>
            <w:vAlign w:val="center"/>
          </w:tcPr>
          <w:p w14:paraId="60A30D53">
            <w:pPr>
              <w:spacing w:line="240" w:lineRule="auto"/>
              <w:ind w:firstLine="0" w:firstLineChars="0"/>
              <w:jc w:val="center"/>
              <w:rPr>
                <w:sz w:val="21"/>
                <w:szCs w:val="21"/>
              </w:rPr>
            </w:pPr>
            <w:r>
              <w:rPr>
                <w:rFonts w:hint="eastAsia"/>
                <w:sz w:val="21"/>
                <w:szCs w:val="21"/>
              </w:rPr>
              <w:t>0.357</w:t>
            </w:r>
          </w:p>
        </w:tc>
        <w:tc>
          <w:tcPr>
            <w:tcW w:w="1214" w:type="dxa"/>
            <w:vAlign w:val="center"/>
          </w:tcPr>
          <w:p w14:paraId="034DD357">
            <w:pPr>
              <w:spacing w:line="240" w:lineRule="auto"/>
              <w:ind w:firstLine="0" w:firstLineChars="0"/>
              <w:jc w:val="center"/>
              <w:rPr>
                <w:sz w:val="21"/>
                <w:szCs w:val="21"/>
              </w:rPr>
            </w:pPr>
            <w:r>
              <w:rPr>
                <w:rFonts w:hint="eastAsia"/>
                <w:sz w:val="21"/>
                <w:szCs w:val="21"/>
              </w:rPr>
              <w:t>低氮燃烧</w:t>
            </w:r>
          </w:p>
        </w:tc>
        <w:tc>
          <w:tcPr>
            <w:tcW w:w="1033" w:type="dxa"/>
            <w:vAlign w:val="center"/>
          </w:tcPr>
          <w:p w14:paraId="439ACDCC">
            <w:pPr>
              <w:spacing w:line="240" w:lineRule="auto"/>
              <w:ind w:firstLine="0" w:firstLineChars="0"/>
              <w:jc w:val="center"/>
              <w:rPr>
                <w:sz w:val="21"/>
                <w:szCs w:val="21"/>
              </w:rPr>
            </w:pPr>
            <w:r>
              <w:rPr>
                <w:rFonts w:hint="eastAsia"/>
                <w:sz w:val="21"/>
                <w:szCs w:val="21"/>
              </w:rPr>
              <w:t>0</w:t>
            </w:r>
          </w:p>
        </w:tc>
        <w:tc>
          <w:tcPr>
            <w:tcW w:w="1148" w:type="dxa"/>
            <w:vAlign w:val="center"/>
          </w:tcPr>
          <w:p w14:paraId="62F4D453">
            <w:pPr>
              <w:spacing w:line="240" w:lineRule="auto"/>
              <w:ind w:firstLine="0" w:firstLineChars="0"/>
              <w:jc w:val="center"/>
              <w:rPr>
                <w:sz w:val="21"/>
                <w:szCs w:val="21"/>
              </w:rPr>
            </w:pPr>
            <w:r>
              <w:rPr>
                <w:rFonts w:hint="eastAsia"/>
                <w:sz w:val="21"/>
                <w:szCs w:val="21"/>
              </w:rPr>
              <w:t>0.357</w:t>
            </w:r>
          </w:p>
        </w:tc>
        <w:tc>
          <w:tcPr>
            <w:tcW w:w="1334" w:type="dxa"/>
            <w:vAlign w:val="center"/>
          </w:tcPr>
          <w:p w14:paraId="0B5B6339">
            <w:pPr>
              <w:spacing w:line="240" w:lineRule="auto"/>
              <w:ind w:firstLine="0" w:firstLineChars="0"/>
              <w:jc w:val="center"/>
              <w:rPr>
                <w:sz w:val="21"/>
                <w:szCs w:val="21"/>
              </w:rPr>
            </w:pPr>
            <w:r>
              <w:rPr>
                <w:rFonts w:hint="eastAsia"/>
                <w:sz w:val="21"/>
                <w:szCs w:val="21"/>
              </w:rPr>
              <w:t>100</w:t>
            </w:r>
          </w:p>
        </w:tc>
        <w:tc>
          <w:tcPr>
            <w:tcW w:w="1164" w:type="dxa"/>
            <w:vAlign w:val="center"/>
          </w:tcPr>
          <w:p w14:paraId="2B7A9B2C">
            <w:pPr>
              <w:spacing w:line="240" w:lineRule="auto"/>
              <w:ind w:firstLine="0" w:firstLineChars="0"/>
              <w:jc w:val="center"/>
              <w:rPr>
                <w:sz w:val="21"/>
                <w:szCs w:val="21"/>
              </w:rPr>
            </w:pPr>
            <w:r>
              <w:rPr>
                <w:rFonts w:hint="eastAsia"/>
                <w:sz w:val="21"/>
                <w:szCs w:val="21"/>
              </w:rPr>
              <w:t>0.19</w:t>
            </w:r>
          </w:p>
        </w:tc>
      </w:tr>
    </w:tbl>
    <w:p w14:paraId="26296EA0">
      <w:pPr>
        <w:pStyle w:val="105"/>
        <w:spacing w:line="240" w:lineRule="auto"/>
        <w:ind w:firstLine="0" w:firstLineChars="0"/>
        <w:jc w:val="center"/>
        <w:rPr>
          <w:b/>
        </w:rPr>
      </w:pPr>
      <w:r>
        <w:rPr>
          <w:rFonts w:hint="eastAsia"/>
          <w:b/>
        </w:rPr>
        <w:t>表3.3-10 本项目锅炉房污染物总排放量情况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684"/>
        <w:gridCol w:w="1562"/>
        <w:gridCol w:w="1652"/>
        <w:gridCol w:w="1405"/>
        <w:gridCol w:w="1562"/>
      </w:tblGrid>
      <w:tr w14:paraId="254F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371" w:type="dxa"/>
            <w:vAlign w:val="center"/>
          </w:tcPr>
          <w:p w14:paraId="0A3C8547">
            <w:pPr>
              <w:spacing w:line="240" w:lineRule="auto"/>
              <w:ind w:firstLine="0" w:firstLineChars="0"/>
              <w:jc w:val="center"/>
              <w:rPr>
                <w:sz w:val="21"/>
                <w:szCs w:val="21"/>
              </w:rPr>
            </w:pPr>
            <w:r>
              <w:rPr>
                <w:rFonts w:hint="eastAsia"/>
                <w:sz w:val="21"/>
                <w:szCs w:val="21"/>
              </w:rPr>
              <w:t>污染源</w:t>
            </w:r>
          </w:p>
        </w:tc>
        <w:tc>
          <w:tcPr>
            <w:tcW w:w="1684" w:type="dxa"/>
            <w:vAlign w:val="center"/>
          </w:tcPr>
          <w:p w14:paraId="679BD326">
            <w:pPr>
              <w:spacing w:line="240" w:lineRule="auto"/>
              <w:ind w:firstLine="0" w:firstLineChars="0"/>
              <w:jc w:val="center"/>
              <w:rPr>
                <w:sz w:val="21"/>
                <w:szCs w:val="21"/>
              </w:rPr>
            </w:pPr>
            <w:r>
              <w:rPr>
                <w:rFonts w:hint="eastAsia"/>
                <w:sz w:val="21"/>
                <w:szCs w:val="21"/>
              </w:rPr>
              <w:t>污染物</w:t>
            </w:r>
          </w:p>
        </w:tc>
        <w:tc>
          <w:tcPr>
            <w:tcW w:w="1562" w:type="dxa"/>
            <w:vAlign w:val="center"/>
          </w:tcPr>
          <w:p w14:paraId="0B8AEFFC">
            <w:pPr>
              <w:spacing w:line="240" w:lineRule="auto"/>
              <w:ind w:firstLine="0" w:firstLineChars="0"/>
              <w:jc w:val="center"/>
              <w:rPr>
                <w:sz w:val="21"/>
                <w:szCs w:val="21"/>
              </w:rPr>
            </w:pPr>
            <w:r>
              <w:rPr>
                <w:rFonts w:hint="eastAsia"/>
                <w:sz w:val="21"/>
                <w:szCs w:val="21"/>
              </w:rPr>
              <w:t>产生量（t/a）</w:t>
            </w:r>
          </w:p>
        </w:tc>
        <w:tc>
          <w:tcPr>
            <w:tcW w:w="1652" w:type="dxa"/>
            <w:vAlign w:val="center"/>
          </w:tcPr>
          <w:p w14:paraId="1D346E69">
            <w:pPr>
              <w:spacing w:line="240" w:lineRule="auto"/>
              <w:ind w:firstLine="0" w:firstLineChars="0"/>
              <w:jc w:val="center"/>
              <w:rPr>
                <w:sz w:val="21"/>
                <w:szCs w:val="21"/>
              </w:rPr>
            </w:pPr>
            <w:r>
              <w:rPr>
                <w:rFonts w:hint="eastAsia"/>
                <w:sz w:val="21"/>
                <w:szCs w:val="21"/>
              </w:rPr>
              <w:t>防治措施</w:t>
            </w:r>
          </w:p>
        </w:tc>
        <w:tc>
          <w:tcPr>
            <w:tcW w:w="1405" w:type="dxa"/>
            <w:vAlign w:val="center"/>
          </w:tcPr>
          <w:p w14:paraId="609D8A9B">
            <w:pPr>
              <w:spacing w:line="240" w:lineRule="auto"/>
              <w:ind w:firstLine="0" w:firstLineChars="0"/>
              <w:jc w:val="center"/>
              <w:rPr>
                <w:sz w:val="21"/>
                <w:szCs w:val="21"/>
              </w:rPr>
            </w:pPr>
            <w:r>
              <w:rPr>
                <w:rFonts w:hint="eastAsia"/>
                <w:sz w:val="21"/>
                <w:szCs w:val="21"/>
              </w:rPr>
              <w:t>治理效率</w:t>
            </w:r>
          </w:p>
        </w:tc>
        <w:tc>
          <w:tcPr>
            <w:tcW w:w="1562" w:type="dxa"/>
            <w:vAlign w:val="center"/>
          </w:tcPr>
          <w:p w14:paraId="641C8E98">
            <w:pPr>
              <w:spacing w:line="240" w:lineRule="auto"/>
              <w:ind w:firstLine="0" w:firstLineChars="0"/>
              <w:jc w:val="center"/>
              <w:rPr>
                <w:sz w:val="21"/>
                <w:szCs w:val="21"/>
              </w:rPr>
            </w:pPr>
            <w:r>
              <w:rPr>
                <w:rFonts w:hint="eastAsia"/>
                <w:sz w:val="21"/>
                <w:szCs w:val="21"/>
              </w:rPr>
              <w:t>排放量（t/a）</w:t>
            </w:r>
          </w:p>
        </w:tc>
      </w:tr>
      <w:tr w14:paraId="71DE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371" w:type="dxa"/>
            <w:vMerge w:val="restart"/>
            <w:vAlign w:val="center"/>
          </w:tcPr>
          <w:p w14:paraId="3BC9D0CB">
            <w:pPr>
              <w:spacing w:line="240" w:lineRule="auto"/>
              <w:ind w:firstLine="0" w:firstLineChars="0"/>
              <w:jc w:val="center"/>
              <w:rPr>
                <w:sz w:val="21"/>
                <w:szCs w:val="21"/>
              </w:rPr>
            </w:pPr>
            <w:r>
              <w:rPr>
                <w:rFonts w:hint="eastAsia"/>
                <w:sz w:val="21"/>
                <w:szCs w:val="21"/>
              </w:rPr>
              <w:t>锅炉房</w:t>
            </w:r>
          </w:p>
        </w:tc>
        <w:tc>
          <w:tcPr>
            <w:tcW w:w="1684" w:type="dxa"/>
            <w:vAlign w:val="center"/>
          </w:tcPr>
          <w:p w14:paraId="56DCCE09">
            <w:pPr>
              <w:spacing w:line="240" w:lineRule="auto"/>
              <w:ind w:firstLine="0" w:firstLineChars="0"/>
              <w:jc w:val="center"/>
              <w:rPr>
                <w:sz w:val="21"/>
                <w:szCs w:val="21"/>
              </w:rPr>
            </w:pPr>
            <w:r>
              <w:rPr>
                <w:rFonts w:hint="eastAsia"/>
                <w:sz w:val="21"/>
                <w:szCs w:val="21"/>
              </w:rPr>
              <w:t>颗粒物</w:t>
            </w:r>
          </w:p>
        </w:tc>
        <w:tc>
          <w:tcPr>
            <w:tcW w:w="1562" w:type="dxa"/>
            <w:vAlign w:val="center"/>
          </w:tcPr>
          <w:p w14:paraId="428C97EE">
            <w:pPr>
              <w:spacing w:line="240" w:lineRule="auto"/>
              <w:ind w:firstLine="0" w:firstLineChars="0"/>
              <w:jc w:val="center"/>
              <w:rPr>
                <w:sz w:val="21"/>
                <w:szCs w:val="21"/>
              </w:rPr>
            </w:pPr>
            <w:r>
              <w:rPr>
                <w:rFonts w:hint="eastAsia"/>
                <w:sz w:val="21"/>
                <w:szCs w:val="21"/>
              </w:rPr>
              <w:t>0.072</w:t>
            </w:r>
          </w:p>
        </w:tc>
        <w:tc>
          <w:tcPr>
            <w:tcW w:w="1652" w:type="dxa"/>
            <w:vAlign w:val="center"/>
          </w:tcPr>
          <w:p w14:paraId="026FBE3E">
            <w:pPr>
              <w:spacing w:line="240" w:lineRule="auto"/>
              <w:ind w:firstLine="0" w:firstLineChars="0"/>
              <w:jc w:val="center"/>
              <w:rPr>
                <w:sz w:val="21"/>
                <w:szCs w:val="21"/>
              </w:rPr>
            </w:pPr>
            <w:r>
              <w:rPr>
                <w:rFonts w:hint="eastAsia"/>
                <w:sz w:val="21"/>
                <w:szCs w:val="21"/>
              </w:rPr>
              <w:t>/</w:t>
            </w:r>
          </w:p>
        </w:tc>
        <w:tc>
          <w:tcPr>
            <w:tcW w:w="1405" w:type="dxa"/>
            <w:vAlign w:val="center"/>
          </w:tcPr>
          <w:p w14:paraId="53436506">
            <w:pPr>
              <w:spacing w:line="240" w:lineRule="auto"/>
              <w:ind w:firstLine="0" w:firstLineChars="0"/>
              <w:jc w:val="center"/>
              <w:rPr>
                <w:sz w:val="21"/>
                <w:szCs w:val="21"/>
              </w:rPr>
            </w:pPr>
            <w:r>
              <w:rPr>
                <w:rFonts w:hint="eastAsia"/>
                <w:sz w:val="21"/>
                <w:szCs w:val="21"/>
              </w:rPr>
              <w:t>0</w:t>
            </w:r>
          </w:p>
        </w:tc>
        <w:tc>
          <w:tcPr>
            <w:tcW w:w="1562" w:type="dxa"/>
            <w:vAlign w:val="center"/>
          </w:tcPr>
          <w:p w14:paraId="70A0E91B">
            <w:pPr>
              <w:spacing w:line="240" w:lineRule="auto"/>
              <w:ind w:firstLine="0" w:firstLineChars="0"/>
              <w:jc w:val="center"/>
              <w:rPr>
                <w:sz w:val="21"/>
                <w:szCs w:val="21"/>
              </w:rPr>
            </w:pPr>
            <w:r>
              <w:rPr>
                <w:rFonts w:hint="eastAsia"/>
                <w:sz w:val="21"/>
                <w:szCs w:val="21"/>
              </w:rPr>
              <w:t>0.036</w:t>
            </w:r>
          </w:p>
        </w:tc>
      </w:tr>
      <w:tr w14:paraId="041C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371" w:type="dxa"/>
            <w:vMerge w:val="continue"/>
            <w:vAlign w:val="center"/>
          </w:tcPr>
          <w:p w14:paraId="626BB6D6">
            <w:pPr>
              <w:spacing w:line="240" w:lineRule="auto"/>
              <w:ind w:firstLine="0" w:firstLineChars="0"/>
              <w:jc w:val="center"/>
              <w:rPr>
                <w:sz w:val="21"/>
                <w:szCs w:val="21"/>
              </w:rPr>
            </w:pPr>
          </w:p>
        </w:tc>
        <w:tc>
          <w:tcPr>
            <w:tcW w:w="1684" w:type="dxa"/>
            <w:vAlign w:val="center"/>
          </w:tcPr>
          <w:p w14:paraId="038EDC6F">
            <w:pPr>
              <w:spacing w:line="240" w:lineRule="auto"/>
              <w:ind w:firstLine="0" w:firstLineChars="0"/>
              <w:jc w:val="center"/>
              <w:rPr>
                <w:sz w:val="21"/>
                <w:szCs w:val="21"/>
              </w:rPr>
            </w:pPr>
            <w:r>
              <w:rPr>
                <w:rFonts w:hint="eastAsia"/>
                <w:sz w:val="21"/>
                <w:szCs w:val="21"/>
              </w:rPr>
              <w:t>二氧化硫</w:t>
            </w:r>
          </w:p>
        </w:tc>
        <w:tc>
          <w:tcPr>
            <w:tcW w:w="1562" w:type="dxa"/>
            <w:vAlign w:val="center"/>
          </w:tcPr>
          <w:p w14:paraId="7BE9D07E">
            <w:pPr>
              <w:spacing w:line="240" w:lineRule="auto"/>
              <w:ind w:firstLine="0" w:firstLineChars="0"/>
              <w:jc w:val="center"/>
              <w:rPr>
                <w:sz w:val="21"/>
                <w:szCs w:val="21"/>
              </w:rPr>
            </w:pPr>
            <w:r>
              <w:rPr>
                <w:rFonts w:hint="eastAsia"/>
                <w:sz w:val="21"/>
                <w:szCs w:val="21"/>
              </w:rPr>
              <w:t>0</w:t>
            </w:r>
          </w:p>
        </w:tc>
        <w:tc>
          <w:tcPr>
            <w:tcW w:w="1652" w:type="dxa"/>
            <w:vAlign w:val="center"/>
          </w:tcPr>
          <w:p w14:paraId="2DCBA9CD">
            <w:pPr>
              <w:spacing w:line="240" w:lineRule="auto"/>
              <w:ind w:firstLine="0" w:firstLineChars="0"/>
              <w:jc w:val="center"/>
              <w:rPr>
                <w:sz w:val="21"/>
                <w:szCs w:val="21"/>
              </w:rPr>
            </w:pPr>
            <w:r>
              <w:rPr>
                <w:rFonts w:hint="eastAsia"/>
                <w:sz w:val="21"/>
                <w:szCs w:val="21"/>
              </w:rPr>
              <w:t>/</w:t>
            </w:r>
          </w:p>
        </w:tc>
        <w:tc>
          <w:tcPr>
            <w:tcW w:w="1405" w:type="dxa"/>
            <w:vAlign w:val="center"/>
          </w:tcPr>
          <w:p w14:paraId="478067E8">
            <w:pPr>
              <w:spacing w:line="240" w:lineRule="auto"/>
              <w:ind w:firstLine="0" w:firstLineChars="0"/>
              <w:jc w:val="center"/>
              <w:rPr>
                <w:sz w:val="21"/>
                <w:szCs w:val="21"/>
              </w:rPr>
            </w:pPr>
            <w:r>
              <w:rPr>
                <w:rFonts w:hint="eastAsia"/>
                <w:sz w:val="21"/>
                <w:szCs w:val="21"/>
              </w:rPr>
              <w:t>/</w:t>
            </w:r>
          </w:p>
        </w:tc>
        <w:tc>
          <w:tcPr>
            <w:tcW w:w="1562" w:type="dxa"/>
            <w:vAlign w:val="center"/>
          </w:tcPr>
          <w:p w14:paraId="110C66D6">
            <w:pPr>
              <w:spacing w:line="240" w:lineRule="auto"/>
              <w:ind w:firstLine="0" w:firstLineChars="0"/>
              <w:jc w:val="center"/>
              <w:rPr>
                <w:sz w:val="21"/>
                <w:szCs w:val="21"/>
              </w:rPr>
            </w:pPr>
            <w:r>
              <w:rPr>
                <w:rFonts w:hint="eastAsia"/>
                <w:sz w:val="21"/>
                <w:szCs w:val="21"/>
              </w:rPr>
              <w:t>0</w:t>
            </w:r>
          </w:p>
        </w:tc>
      </w:tr>
      <w:tr w14:paraId="75AA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371" w:type="dxa"/>
            <w:vMerge w:val="continue"/>
            <w:vAlign w:val="center"/>
          </w:tcPr>
          <w:p w14:paraId="767B4231">
            <w:pPr>
              <w:spacing w:line="240" w:lineRule="auto"/>
              <w:ind w:firstLine="0" w:firstLineChars="0"/>
              <w:jc w:val="center"/>
              <w:rPr>
                <w:sz w:val="21"/>
                <w:szCs w:val="21"/>
              </w:rPr>
            </w:pPr>
          </w:p>
        </w:tc>
        <w:tc>
          <w:tcPr>
            <w:tcW w:w="1684" w:type="dxa"/>
            <w:vAlign w:val="center"/>
          </w:tcPr>
          <w:p w14:paraId="37CA3602">
            <w:pPr>
              <w:spacing w:line="240" w:lineRule="auto"/>
              <w:ind w:firstLine="0" w:firstLineChars="0"/>
              <w:jc w:val="center"/>
              <w:rPr>
                <w:sz w:val="21"/>
                <w:szCs w:val="21"/>
              </w:rPr>
            </w:pPr>
            <w:r>
              <w:rPr>
                <w:rFonts w:hint="eastAsia"/>
                <w:sz w:val="21"/>
                <w:szCs w:val="21"/>
              </w:rPr>
              <w:t>氮氧化物</w:t>
            </w:r>
          </w:p>
        </w:tc>
        <w:tc>
          <w:tcPr>
            <w:tcW w:w="1562" w:type="dxa"/>
            <w:vAlign w:val="center"/>
          </w:tcPr>
          <w:p w14:paraId="4EC788EF">
            <w:pPr>
              <w:spacing w:line="240" w:lineRule="auto"/>
              <w:ind w:firstLine="0" w:firstLineChars="0"/>
              <w:jc w:val="center"/>
              <w:rPr>
                <w:sz w:val="21"/>
                <w:szCs w:val="21"/>
              </w:rPr>
            </w:pPr>
            <w:r>
              <w:rPr>
                <w:rFonts w:hint="eastAsia"/>
                <w:sz w:val="21"/>
                <w:szCs w:val="21"/>
              </w:rPr>
              <w:t>0.714</w:t>
            </w:r>
          </w:p>
        </w:tc>
        <w:tc>
          <w:tcPr>
            <w:tcW w:w="1652" w:type="dxa"/>
            <w:vAlign w:val="center"/>
          </w:tcPr>
          <w:p w14:paraId="73F29D00">
            <w:pPr>
              <w:spacing w:line="240" w:lineRule="auto"/>
              <w:ind w:firstLine="0" w:firstLineChars="0"/>
              <w:jc w:val="center"/>
              <w:rPr>
                <w:sz w:val="21"/>
                <w:szCs w:val="21"/>
              </w:rPr>
            </w:pPr>
            <w:r>
              <w:rPr>
                <w:rFonts w:hint="eastAsia"/>
                <w:sz w:val="21"/>
                <w:szCs w:val="21"/>
              </w:rPr>
              <w:t>低氮燃烧</w:t>
            </w:r>
          </w:p>
        </w:tc>
        <w:tc>
          <w:tcPr>
            <w:tcW w:w="1405" w:type="dxa"/>
            <w:vAlign w:val="center"/>
          </w:tcPr>
          <w:p w14:paraId="3FFD923F">
            <w:pPr>
              <w:spacing w:line="240" w:lineRule="auto"/>
              <w:ind w:firstLine="0" w:firstLineChars="0"/>
              <w:jc w:val="center"/>
              <w:rPr>
                <w:sz w:val="21"/>
                <w:szCs w:val="21"/>
              </w:rPr>
            </w:pPr>
            <w:r>
              <w:rPr>
                <w:rFonts w:hint="eastAsia"/>
                <w:sz w:val="21"/>
                <w:szCs w:val="21"/>
              </w:rPr>
              <w:t>0</w:t>
            </w:r>
          </w:p>
        </w:tc>
        <w:tc>
          <w:tcPr>
            <w:tcW w:w="1562" w:type="dxa"/>
            <w:vAlign w:val="center"/>
          </w:tcPr>
          <w:p w14:paraId="0F5C4EE8">
            <w:pPr>
              <w:spacing w:line="240" w:lineRule="auto"/>
              <w:ind w:firstLine="0" w:firstLineChars="0"/>
              <w:jc w:val="center"/>
              <w:rPr>
                <w:sz w:val="21"/>
                <w:szCs w:val="21"/>
              </w:rPr>
            </w:pPr>
            <w:r>
              <w:rPr>
                <w:rFonts w:hint="eastAsia"/>
                <w:sz w:val="21"/>
                <w:szCs w:val="21"/>
              </w:rPr>
              <w:t>0.714</w:t>
            </w:r>
          </w:p>
        </w:tc>
      </w:tr>
    </w:tbl>
    <w:p w14:paraId="3493C921">
      <w:pPr>
        <w:pStyle w:val="105"/>
        <w:ind w:firstLine="482"/>
        <w:rPr>
          <w:b/>
        </w:rPr>
      </w:pPr>
      <w:r>
        <w:rPr>
          <w:b/>
        </w:rPr>
        <w:t>6</w:t>
      </w:r>
      <w:r>
        <w:rPr>
          <w:rFonts w:hint="eastAsia"/>
          <w:b/>
        </w:rPr>
        <w:t>、</w:t>
      </w:r>
      <w:r>
        <w:rPr>
          <w:b/>
        </w:rPr>
        <w:t>食堂油烟</w:t>
      </w:r>
    </w:p>
    <w:p w14:paraId="72EDF805">
      <w:pPr>
        <w:pStyle w:val="104"/>
        <w:sectPr>
          <w:pgSz w:w="11907" w:h="16840"/>
          <w:pgMar w:top="1418" w:right="1418" w:bottom="1418" w:left="1418" w:header="964" w:footer="964" w:gutter="0"/>
          <w:cols w:space="720" w:num="1"/>
          <w:docGrid w:linePitch="312" w:charSpace="0"/>
        </w:sectPr>
      </w:pPr>
      <w:r>
        <w:t>食堂主要为员工提供餐饮服务，全年生产天数365天，每天一班，每餐就餐人数按50人次/d。餐厅灶头4个，每天供应三餐，每人每天用油0.03kg，产生油烟按3%计，因此油烟产生量为0.045t/a。食堂安装静电式油烟净化装置，根据《饮食业油烟排放标准》（GB18483-2001）油烟去除率75%，根据《饮食业环境保护技术规范》（HJ554-2010）附录A确定项目油烟净化装置排风量10000m</w:t>
      </w:r>
      <w:r>
        <w:rPr>
          <w:vertAlign w:val="superscript"/>
        </w:rPr>
        <w:t>3</w:t>
      </w:r>
      <w:r>
        <w:t>/h，日操作时间6h，则项目油烟排放量0.01125t/a（0.005kg/h），排放浓度0.53mg/m³。排放符合《饮食业油烟排放标准（试行）》（GB18483-2001）中型饮食业单位标准。</w:t>
      </w:r>
    </w:p>
    <w:p w14:paraId="254831F4">
      <w:pPr>
        <w:pStyle w:val="369"/>
      </w:pPr>
      <w:r>
        <w:t>表3.3-1</w:t>
      </w:r>
      <w:r>
        <w:rPr>
          <w:rFonts w:hint="eastAsia"/>
        </w:rPr>
        <w:t>1</w:t>
      </w:r>
      <w:r>
        <w:t xml:space="preserve">  项目废气污染物排放达标分析一览表</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779"/>
        <w:gridCol w:w="1236"/>
        <w:gridCol w:w="694"/>
        <w:gridCol w:w="653"/>
        <w:gridCol w:w="927"/>
        <w:gridCol w:w="951"/>
        <w:gridCol w:w="888"/>
        <w:gridCol w:w="1956"/>
        <w:gridCol w:w="664"/>
        <w:gridCol w:w="1001"/>
        <w:gridCol w:w="877"/>
        <w:gridCol w:w="1008"/>
        <w:gridCol w:w="898"/>
        <w:gridCol w:w="713"/>
        <w:gridCol w:w="513"/>
      </w:tblGrid>
      <w:tr w14:paraId="42F8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restart"/>
            <w:vAlign w:val="center"/>
          </w:tcPr>
          <w:p w14:paraId="58B5C260">
            <w:pPr>
              <w:pStyle w:val="766"/>
              <w:rPr>
                <w:color w:val="auto"/>
              </w:rPr>
            </w:pPr>
            <w:r>
              <w:rPr>
                <w:color w:val="auto"/>
              </w:rPr>
              <w:t>类别</w:t>
            </w:r>
          </w:p>
        </w:tc>
        <w:tc>
          <w:tcPr>
            <w:tcW w:w="779" w:type="dxa"/>
            <w:vMerge w:val="restart"/>
            <w:vAlign w:val="center"/>
          </w:tcPr>
          <w:p w14:paraId="39EBCAD3">
            <w:pPr>
              <w:pStyle w:val="766"/>
              <w:rPr>
                <w:color w:val="auto"/>
              </w:rPr>
            </w:pPr>
            <w:r>
              <w:rPr>
                <w:color w:val="auto"/>
              </w:rPr>
              <w:t>污染源名称</w:t>
            </w:r>
          </w:p>
        </w:tc>
        <w:tc>
          <w:tcPr>
            <w:tcW w:w="1236" w:type="dxa"/>
            <w:vMerge w:val="restart"/>
            <w:vAlign w:val="center"/>
          </w:tcPr>
          <w:p w14:paraId="6A5FBAEE">
            <w:pPr>
              <w:pStyle w:val="766"/>
              <w:rPr>
                <w:color w:val="auto"/>
              </w:rPr>
            </w:pPr>
            <w:r>
              <w:rPr>
                <w:color w:val="auto"/>
              </w:rPr>
              <w:t>排放方式</w:t>
            </w:r>
          </w:p>
        </w:tc>
        <w:tc>
          <w:tcPr>
            <w:tcW w:w="694" w:type="dxa"/>
            <w:vMerge w:val="restart"/>
            <w:vAlign w:val="center"/>
          </w:tcPr>
          <w:p w14:paraId="158EA899">
            <w:pPr>
              <w:pStyle w:val="766"/>
              <w:rPr>
                <w:color w:val="auto"/>
              </w:rPr>
            </w:pPr>
            <w:r>
              <w:rPr>
                <w:color w:val="auto"/>
              </w:rPr>
              <w:t>排放时间</w:t>
            </w:r>
          </w:p>
        </w:tc>
        <w:tc>
          <w:tcPr>
            <w:tcW w:w="653" w:type="dxa"/>
            <w:vMerge w:val="restart"/>
            <w:vAlign w:val="center"/>
          </w:tcPr>
          <w:p w14:paraId="3591E7D7">
            <w:pPr>
              <w:pStyle w:val="766"/>
              <w:rPr>
                <w:color w:val="auto"/>
              </w:rPr>
            </w:pPr>
            <w:r>
              <w:rPr>
                <w:color w:val="auto"/>
              </w:rPr>
              <w:t>污染物</w:t>
            </w:r>
          </w:p>
        </w:tc>
        <w:tc>
          <w:tcPr>
            <w:tcW w:w="2766" w:type="dxa"/>
            <w:gridSpan w:val="3"/>
            <w:vAlign w:val="center"/>
          </w:tcPr>
          <w:p w14:paraId="52B8E579">
            <w:pPr>
              <w:pStyle w:val="766"/>
              <w:rPr>
                <w:color w:val="auto"/>
              </w:rPr>
            </w:pPr>
            <w:r>
              <w:rPr>
                <w:color w:val="auto"/>
              </w:rPr>
              <w:t>产生情况</w:t>
            </w:r>
          </w:p>
        </w:tc>
        <w:tc>
          <w:tcPr>
            <w:tcW w:w="1956" w:type="dxa"/>
            <w:vMerge w:val="restart"/>
            <w:vAlign w:val="center"/>
          </w:tcPr>
          <w:p w14:paraId="048E04C3">
            <w:pPr>
              <w:pStyle w:val="766"/>
              <w:rPr>
                <w:color w:val="auto"/>
              </w:rPr>
            </w:pPr>
            <w:r>
              <w:rPr>
                <w:color w:val="auto"/>
              </w:rPr>
              <w:t>治理措施</w:t>
            </w:r>
          </w:p>
        </w:tc>
        <w:tc>
          <w:tcPr>
            <w:tcW w:w="664" w:type="dxa"/>
            <w:vMerge w:val="restart"/>
            <w:vAlign w:val="center"/>
          </w:tcPr>
          <w:p w14:paraId="04E24E5F">
            <w:pPr>
              <w:pStyle w:val="766"/>
              <w:rPr>
                <w:color w:val="auto"/>
              </w:rPr>
            </w:pPr>
            <w:r>
              <w:rPr>
                <w:color w:val="auto"/>
              </w:rPr>
              <w:t>处理效率</w:t>
            </w:r>
          </w:p>
        </w:tc>
        <w:tc>
          <w:tcPr>
            <w:tcW w:w="2886" w:type="dxa"/>
            <w:gridSpan w:val="3"/>
            <w:vAlign w:val="center"/>
          </w:tcPr>
          <w:p w14:paraId="19AD0D1F">
            <w:pPr>
              <w:pStyle w:val="766"/>
              <w:rPr>
                <w:color w:val="auto"/>
              </w:rPr>
            </w:pPr>
            <w:r>
              <w:rPr>
                <w:color w:val="auto"/>
              </w:rPr>
              <w:t>污染物排放</w:t>
            </w:r>
          </w:p>
        </w:tc>
        <w:tc>
          <w:tcPr>
            <w:tcW w:w="1611" w:type="dxa"/>
            <w:gridSpan w:val="2"/>
            <w:vAlign w:val="center"/>
          </w:tcPr>
          <w:p w14:paraId="43EDE8E3">
            <w:pPr>
              <w:pStyle w:val="766"/>
              <w:rPr>
                <w:color w:val="auto"/>
              </w:rPr>
            </w:pPr>
            <w:r>
              <w:rPr>
                <w:color w:val="auto"/>
              </w:rPr>
              <w:t>排放标准</w:t>
            </w:r>
          </w:p>
        </w:tc>
        <w:tc>
          <w:tcPr>
            <w:tcW w:w="513" w:type="dxa"/>
            <w:vMerge w:val="restart"/>
            <w:vAlign w:val="center"/>
          </w:tcPr>
          <w:p w14:paraId="1B77BB47">
            <w:pPr>
              <w:pStyle w:val="766"/>
              <w:rPr>
                <w:color w:val="auto"/>
              </w:rPr>
            </w:pPr>
            <w:r>
              <w:rPr>
                <w:color w:val="auto"/>
              </w:rPr>
              <w:t>是否达标</w:t>
            </w:r>
          </w:p>
        </w:tc>
      </w:tr>
      <w:tr w14:paraId="01E7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281A73BE">
            <w:pPr>
              <w:pStyle w:val="766"/>
              <w:rPr>
                <w:color w:val="auto"/>
              </w:rPr>
            </w:pPr>
          </w:p>
        </w:tc>
        <w:tc>
          <w:tcPr>
            <w:tcW w:w="779" w:type="dxa"/>
            <w:vMerge w:val="continue"/>
            <w:vAlign w:val="center"/>
          </w:tcPr>
          <w:p w14:paraId="5D461556">
            <w:pPr>
              <w:pStyle w:val="766"/>
              <w:rPr>
                <w:color w:val="auto"/>
              </w:rPr>
            </w:pPr>
          </w:p>
        </w:tc>
        <w:tc>
          <w:tcPr>
            <w:tcW w:w="1236" w:type="dxa"/>
            <w:vMerge w:val="continue"/>
            <w:vAlign w:val="center"/>
          </w:tcPr>
          <w:p w14:paraId="5F42DCD7">
            <w:pPr>
              <w:pStyle w:val="766"/>
              <w:rPr>
                <w:color w:val="auto"/>
              </w:rPr>
            </w:pPr>
          </w:p>
        </w:tc>
        <w:tc>
          <w:tcPr>
            <w:tcW w:w="694" w:type="dxa"/>
            <w:vMerge w:val="continue"/>
            <w:vAlign w:val="center"/>
          </w:tcPr>
          <w:p w14:paraId="1C31580F">
            <w:pPr>
              <w:pStyle w:val="766"/>
              <w:rPr>
                <w:color w:val="auto"/>
              </w:rPr>
            </w:pPr>
          </w:p>
        </w:tc>
        <w:tc>
          <w:tcPr>
            <w:tcW w:w="653" w:type="dxa"/>
            <w:vMerge w:val="continue"/>
            <w:vAlign w:val="center"/>
          </w:tcPr>
          <w:p w14:paraId="6A60974A">
            <w:pPr>
              <w:pStyle w:val="766"/>
              <w:rPr>
                <w:color w:val="auto"/>
              </w:rPr>
            </w:pPr>
          </w:p>
        </w:tc>
        <w:tc>
          <w:tcPr>
            <w:tcW w:w="927" w:type="dxa"/>
            <w:vAlign w:val="center"/>
          </w:tcPr>
          <w:p w14:paraId="03B51145">
            <w:pPr>
              <w:pStyle w:val="766"/>
              <w:rPr>
                <w:color w:val="auto"/>
              </w:rPr>
            </w:pPr>
            <w:r>
              <w:rPr>
                <w:color w:val="auto"/>
              </w:rPr>
              <w:t>产生浓度mg/m</w:t>
            </w:r>
            <w:r>
              <w:rPr>
                <w:color w:val="auto"/>
                <w:vertAlign w:val="superscript"/>
              </w:rPr>
              <w:t>3</w:t>
            </w:r>
          </w:p>
        </w:tc>
        <w:tc>
          <w:tcPr>
            <w:tcW w:w="951" w:type="dxa"/>
            <w:vAlign w:val="center"/>
          </w:tcPr>
          <w:p w14:paraId="437FC1B4">
            <w:pPr>
              <w:pStyle w:val="766"/>
              <w:rPr>
                <w:color w:val="auto"/>
              </w:rPr>
            </w:pPr>
            <w:r>
              <w:rPr>
                <w:color w:val="auto"/>
              </w:rPr>
              <w:t>产生速率kg/h</w:t>
            </w:r>
          </w:p>
        </w:tc>
        <w:tc>
          <w:tcPr>
            <w:tcW w:w="888" w:type="dxa"/>
            <w:vAlign w:val="center"/>
          </w:tcPr>
          <w:p w14:paraId="00DB9C5C">
            <w:pPr>
              <w:pStyle w:val="766"/>
              <w:rPr>
                <w:color w:val="auto"/>
              </w:rPr>
            </w:pPr>
            <w:r>
              <w:rPr>
                <w:color w:val="auto"/>
              </w:rPr>
              <w:t>产生量t/a</w:t>
            </w:r>
          </w:p>
        </w:tc>
        <w:tc>
          <w:tcPr>
            <w:tcW w:w="1956" w:type="dxa"/>
            <w:vMerge w:val="continue"/>
            <w:vAlign w:val="center"/>
          </w:tcPr>
          <w:p w14:paraId="271369DA">
            <w:pPr>
              <w:pStyle w:val="766"/>
              <w:rPr>
                <w:color w:val="auto"/>
              </w:rPr>
            </w:pPr>
          </w:p>
        </w:tc>
        <w:tc>
          <w:tcPr>
            <w:tcW w:w="664" w:type="dxa"/>
            <w:vMerge w:val="continue"/>
            <w:vAlign w:val="center"/>
          </w:tcPr>
          <w:p w14:paraId="38EF7FF6">
            <w:pPr>
              <w:pStyle w:val="766"/>
              <w:rPr>
                <w:color w:val="auto"/>
              </w:rPr>
            </w:pPr>
          </w:p>
        </w:tc>
        <w:tc>
          <w:tcPr>
            <w:tcW w:w="1001" w:type="dxa"/>
            <w:vAlign w:val="center"/>
          </w:tcPr>
          <w:p w14:paraId="39875800">
            <w:pPr>
              <w:pStyle w:val="766"/>
              <w:rPr>
                <w:color w:val="auto"/>
              </w:rPr>
            </w:pPr>
            <w:r>
              <w:rPr>
                <w:color w:val="auto"/>
              </w:rPr>
              <w:t>排放浓度mg/m</w:t>
            </w:r>
            <w:r>
              <w:rPr>
                <w:color w:val="auto"/>
                <w:vertAlign w:val="superscript"/>
              </w:rPr>
              <w:t>3</w:t>
            </w:r>
          </w:p>
        </w:tc>
        <w:tc>
          <w:tcPr>
            <w:tcW w:w="877" w:type="dxa"/>
            <w:vAlign w:val="center"/>
          </w:tcPr>
          <w:p w14:paraId="576311DA">
            <w:pPr>
              <w:pStyle w:val="766"/>
              <w:rPr>
                <w:color w:val="auto"/>
              </w:rPr>
            </w:pPr>
            <w:r>
              <w:rPr>
                <w:color w:val="auto"/>
              </w:rPr>
              <w:t>排放速率kg/h</w:t>
            </w:r>
          </w:p>
        </w:tc>
        <w:tc>
          <w:tcPr>
            <w:tcW w:w="1008" w:type="dxa"/>
            <w:vAlign w:val="center"/>
          </w:tcPr>
          <w:p w14:paraId="58A03C33">
            <w:pPr>
              <w:pStyle w:val="766"/>
              <w:rPr>
                <w:color w:val="auto"/>
              </w:rPr>
            </w:pPr>
            <w:r>
              <w:rPr>
                <w:color w:val="auto"/>
              </w:rPr>
              <w:t>排放量t/a</w:t>
            </w:r>
          </w:p>
        </w:tc>
        <w:tc>
          <w:tcPr>
            <w:tcW w:w="898" w:type="dxa"/>
            <w:vAlign w:val="center"/>
          </w:tcPr>
          <w:p w14:paraId="15A3B8B3">
            <w:pPr>
              <w:pStyle w:val="766"/>
              <w:rPr>
                <w:color w:val="auto"/>
              </w:rPr>
            </w:pPr>
            <w:r>
              <w:rPr>
                <w:color w:val="auto"/>
              </w:rPr>
              <w:t>排放浓度mg/m</w:t>
            </w:r>
            <w:r>
              <w:rPr>
                <w:color w:val="auto"/>
                <w:vertAlign w:val="superscript"/>
              </w:rPr>
              <w:t>3</w:t>
            </w:r>
          </w:p>
        </w:tc>
        <w:tc>
          <w:tcPr>
            <w:tcW w:w="713" w:type="dxa"/>
            <w:vAlign w:val="center"/>
          </w:tcPr>
          <w:p w14:paraId="37DA55A5">
            <w:pPr>
              <w:pStyle w:val="766"/>
              <w:rPr>
                <w:color w:val="auto"/>
              </w:rPr>
            </w:pPr>
            <w:r>
              <w:rPr>
                <w:color w:val="auto"/>
              </w:rPr>
              <w:t>排放速率kg/h</w:t>
            </w:r>
          </w:p>
        </w:tc>
        <w:tc>
          <w:tcPr>
            <w:tcW w:w="513" w:type="dxa"/>
            <w:vMerge w:val="continue"/>
            <w:vAlign w:val="center"/>
          </w:tcPr>
          <w:p w14:paraId="23F2FAB8">
            <w:pPr>
              <w:pStyle w:val="766"/>
              <w:rPr>
                <w:color w:val="auto"/>
              </w:rPr>
            </w:pPr>
          </w:p>
        </w:tc>
      </w:tr>
      <w:tr w14:paraId="57D9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455" w:type="dxa"/>
            <w:vMerge w:val="restart"/>
            <w:vAlign w:val="center"/>
          </w:tcPr>
          <w:p w14:paraId="01292DE6">
            <w:pPr>
              <w:pStyle w:val="766"/>
              <w:rPr>
                <w:color w:val="auto"/>
              </w:rPr>
            </w:pPr>
            <w:r>
              <w:rPr>
                <w:color w:val="auto"/>
              </w:rPr>
              <w:t>废气</w:t>
            </w:r>
          </w:p>
        </w:tc>
        <w:tc>
          <w:tcPr>
            <w:tcW w:w="779" w:type="dxa"/>
            <w:vMerge w:val="restart"/>
            <w:vAlign w:val="center"/>
          </w:tcPr>
          <w:p w14:paraId="2435AC0E">
            <w:pPr>
              <w:pStyle w:val="766"/>
              <w:rPr>
                <w:color w:val="auto"/>
                <w:spacing w:val="4"/>
              </w:rPr>
            </w:pPr>
            <w:r>
              <w:rPr>
                <w:color w:val="auto"/>
                <w:spacing w:val="4"/>
              </w:rPr>
              <w:t>鸡舍</w:t>
            </w:r>
          </w:p>
        </w:tc>
        <w:tc>
          <w:tcPr>
            <w:tcW w:w="1236" w:type="dxa"/>
            <w:vMerge w:val="restart"/>
            <w:vAlign w:val="center"/>
          </w:tcPr>
          <w:p w14:paraId="158E110E">
            <w:pPr>
              <w:pStyle w:val="766"/>
              <w:rPr>
                <w:color w:val="auto"/>
              </w:rPr>
            </w:pPr>
            <w:r>
              <w:rPr>
                <w:color w:val="auto"/>
              </w:rPr>
              <w:t>无组织</w:t>
            </w:r>
          </w:p>
        </w:tc>
        <w:tc>
          <w:tcPr>
            <w:tcW w:w="694" w:type="dxa"/>
            <w:vMerge w:val="restart"/>
            <w:vAlign w:val="center"/>
          </w:tcPr>
          <w:p w14:paraId="29C6ABF0">
            <w:pPr>
              <w:pStyle w:val="766"/>
              <w:rPr>
                <w:color w:val="auto"/>
              </w:rPr>
            </w:pPr>
            <w:r>
              <w:rPr>
                <w:color w:val="auto"/>
              </w:rPr>
              <w:t>8760</w:t>
            </w:r>
          </w:p>
        </w:tc>
        <w:tc>
          <w:tcPr>
            <w:tcW w:w="653" w:type="dxa"/>
            <w:vAlign w:val="center"/>
          </w:tcPr>
          <w:p w14:paraId="5CFE5C26">
            <w:pPr>
              <w:pStyle w:val="766"/>
              <w:rPr>
                <w:color w:val="auto"/>
              </w:rPr>
            </w:pPr>
            <w:r>
              <w:rPr>
                <w:color w:val="auto"/>
              </w:rPr>
              <w:t>NH</w:t>
            </w:r>
            <w:r>
              <w:rPr>
                <w:color w:val="auto"/>
                <w:vertAlign w:val="subscript"/>
              </w:rPr>
              <w:t>3</w:t>
            </w:r>
          </w:p>
        </w:tc>
        <w:tc>
          <w:tcPr>
            <w:tcW w:w="927" w:type="dxa"/>
            <w:vAlign w:val="center"/>
          </w:tcPr>
          <w:p w14:paraId="169AAF14">
            <w:pPr>
              <w:pStyle w:val="766"/>
              <w:rPr>
                <w:color w:val="auto"/>
              </w:rPr>
            </w:pPr>
            <w:r>
              <w:rPr>
                <w:rFonts w:hint="eastAsia"/>
                <w:color w:val="auto"/>
              </w:rPr>
              <w:t>1.275</w:t>
            </w:r>
          </w:p>
        </w:tc>
        <w:tc>
          <w:tcPr>
            <w:tcW w:w="951" w:type="dxa"/>
            <w:vAlign w:val="center"/>
          </w:tcPr>
          <w:p w14:paraId="264FF6E0">
            <w:pPr>
              <w:pStyle w:val="766"/>
              <w:rPr>
                <w:color w:val="auto"/>
              </w:rPr>
            </w:pPr>
            <w:r>
              <w:rPr>
                <w:rFonts w:hint="eastAsia"/>
                <w:color w:val="auto"/>
              </w:rPr>
              <w:t>30.71</w:t>
            </w:r>
          </w:p>
        </w:tc>
        <w:tc>
          <w:tcPr>
            <w:tcW w:w="888" w:type="dxa"/>
            <w:vAlign w:val="center"/>
          </w:tcPr>
          <w:p w14:paraId="45721914">
            <w:pPr>
              <w:pStyle w:val="766"/>
              <w:rPr>
                <w:color w:val="auto"/>
              </w:rPr>
            </w:pPr>
            <w:r>
              <w:rPr>
                <w:rFonts w:hint="eastAsia"/>
                <w:color w:val="auto"/>
              </w:rPr>
              <w:t>269</w:t>
            </w:r>
          </w:p>
        </w:tc>
        <w:tc>
          <w:tcPr>
            <w:tcW w:w="1956" w:type="dxa"/>
            <w:vMerge w:val="restart"/>
            <w:vAlign w:val="center"/>
          </w:tcPr>
          <w:p w14:paraId="1915F3F1">
            <w:pPr>
              <w:pStyle w:val="766"/>
              <w:rPr>
                <w:color w:val="auto"/>
              </w:rPr>
            </w:pPr>
            <w:r>
              <w:rPr>
                <w:rFonts w:hint="eastAsia" w:ascii="宋体" w:hAnsi="宋体" w:cs="宋体"/>
                <w:color w:val="auto"/>
              </w:rPr>
              <w:t>①</w:t>
            </w:r>
            <w:r>
              <w:rPr>
                <w:color w:val="auto"/>
              </w:rPr>
              <w:t>选用益生菌配方饲料；</w:t>
            </w:r>
            <w:r>
              <w:rPr>
                <w:rFonts w:hint="eastAsia" w:ascii="宋体" w:hAnsi="宋体" w:cs="宋体"/>
                <w:color w:val="auto"/>
              </w:rPr>
              <w:t>②</w:t>
            </w:r>
            <w:r>
              <w:rPr>
                <w:color w:val="auto"/>
              </w:rPr>
              <w:t>及时清运粪污；</w:t>
            </w:r>
            <w:r>
              <w:rPr>
                <w:rFonts w:hint="eastAsia" w:ascii="宋体" w:hAnsi="宋体" w:cs="宋体"/>
                <w:color w:val="auto"/>
              </w:rPr>
              <w:t>③</w:t>
            </w:r>
            <w:r>
              <w:rPr>
                <w:color w:val="auto"/>
              </w:rPr>
              <w:t>向舍内定期投入除臭剂；</w:t>
            </w:r>
            <w:r>
              <w:rPr>
                <w:rFonts w:hint="eastAsia" w:ascii="宋体" w:hAnsi="宋体" w:cs="宋体"/>
                <w:color w:val="auto"/>
              </w:rPr>
              <w:t>④</w:t>
            </w:r>
            <w:r>
              <w:rPr>
                <w:color w:val="auto"/>
              </w:rPr>
              <w:t>周边加强绿化</w:t>
            </w:r>
            <w:r>
              <w:rPr>
                <w:rFonts w:hint="eastAsia"/>
                <w:color w:val="auto"/>
              </w:rPr>
              <w:t>⑤水雾吸附</w:t>
            </w:r>
          </w:p>
        </w:tc>
        <w:tc>
          <w:tcPr>
            <w:tcW w:w="664" w:type="dxa"/>
            <w:vMerge w:val="restart"/>
            <w:vAlign w:val="center"/>
          </w:tcPr>
          <w:p w14:paraId="1B646FC8">
            <w:pPr>
              <w:pStyle w:val="766"/>
              <w:rPr>
                <w:color w:val="auto"/>
              </w:rPr>
            </w:pPr>
            <w:r>
              <w:rPr>
                <w:rFonts w:hint="eastAsia"/>
                <w:color w:val="auto"/>
              </w:rPr>
              <w:t>8</w:t>
            </w:r>
            <w:r>
              <w:rPr>
                <w:color w:val="auto"/>
              </w:rPr>
              <w:t>0%</w:t>
            </w:r>
          </w:p>
        </w:tc>
        <w:tc>
          <w:tcPr>
            <w:tcW w:w="1001" w:type="dxa"/>
            <w:vAlign w:val="center"/>
          </w:tcPr>
          <w:p w14:paraId="0C0B1977">
            <w:pPr>
              <w:pStyle w:val="766"/>
              <w:rPr>
                <w:color w:val="auto"/>
              </w:rPr>
            </w:pPr>
            <w:r>
              <w:rPr>
                <w:rFonts w:hint="eastAsia"/>
                <w:color w:val="auto"/>
              </w:rPr>
              <w:t>1.02</w:t>
            </w:r>
          </w:p>
        </w:tc>
        <w:tc>
          <w:tcPr>
            <w:tcW w:w="877" w:type="dxa"/>
            <w:vAlign w:val="center"/>
          </w:tcPr>
          <w:p w14:paraId="3E010760">
            <w:pPr>
              <w:pStyle w:val="766"/>
              <w:rPr>
                <w:color w:val="auto"/>
              </w:rPr>
            </w:pPr>
            <w:r>
              <w:rPr>
                <w:rFonts w:hint="eastAsia"/>
                <w:color w:val="auto"/>
              </w:rPr>
              <w:t>6.14</w:t>
            </w:r>
          </w:p>
        </w:tc>
        <w:tc>
          <w:tcPr>
            <w:tcW w:w="1008" w:type="dxa"/>
            <w:vAlign w:val="center"/>
          </w:tcPr>
          <w:p w14:paraId="1C613946">
            <w:pPr>
              <w:pStyle w:val="766"/>
              <w:rPr>
                <w:color w:val="auto"/>
              </w:rPr>
            </w:pPr>
            <w:r>
              <w:rPr>
                <w:rFonts w:hint="eastAsia"/>
                <w:color w:val="auto"/>
              </w:rPr>
              <w:t>53.8</w:t>
            </w:r>
          </w:p>
        </w:tc>
        <w:tc>
          <w:tcPr>
            <w:tcW w:w="898" w:type="dxa"/>
            <w:vAlign w:val="center"/>
          </w:tcPr>
          <w:p w14:paraId="64A2C402">
            <w:pPr>
              <w:pStyle w:val="766"/>
              <w:rPr>
                <w:color w:val="auto"/>
              </w:rPr>
            </w:pPr>
            <w:r>
              <w:rPr>
                <w:color w:val="auto"/>
              </w:rPr>
              <w:t>1.5</w:t>
            </w:r>
          </w:p>
        </w:tc>
        <w:tc>
          <w:tcPr>
            <w:tcW w:w="713" w:type="dxa"/>
            <w:vAlign w:val="center"/>
          </w:tcPr>
          <w:p w14:paraId="2C3C76EA">
            <w:pPr>
              <w:pStyle w:val="766"/>
              <w:rPr>
                <w:color w:val="auto"/>
              </w:rPr>
            </w:pPr>
            <w:r>
              <w:rPr>
                <w:color w:val="auto"/>
              </w:rPr>
              <w:t>/</w:t>
            </w:r>
          </w:p>
        </w:tc>
        <w:tc>
          <w:tcPr>
            <w:tcW w:w="513" w:type="dxa"/>
            <w:vAlign w:val="center"/>
          </w:tcPr>
          <w:p w14:paraId="304236C4">
            <w:pPr>
              <w:pStyle w:val="766"/>
              <w:rPr>
                <w:color w:val="auto"/>
              </w:rPr>
            </w:pPr>
            <w:r>
              <w:rPr>
                <w:color w:val="auto"/>
              </w:rPr>
              <w:t>是</w:t>
            </w:r>
          </w:p>
        </w:tc>
      </w:tr>
      <w:tr w14:paraId="2F7E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55" w:type="dxa"/>
            <w:vMerge w:val="continue"/>
            <w:vAlign w:val="center"/>
          </w:tcPr>
          <w:p w14:paraId="03D6670D">
            <w:pPr>
              <w:pStyle w:val="766"/>
              <w:rPr>
                <w:color w:val="auto"/>
              </w:rPr>
            </w:pPr>
          </w:p>
        </w:tc>
        <w:tc>
          <w:tcPr>
            <w:tcW w:w="779" w:type="dxa"/>
            <w:vMerge w:val="continue"/>
            <w:vAlign w:val="center"/>
          </w:tcPr>
          <w:p w14:paraId="7A248E80">
            <w:pPr>
              <w:pStyle w:val="766"/>
              <w:rPr>
                <w:color w:val="auto"/>
                <w:spacing w:val="4"/>
              </w:rPr>
            </w:pPr>
          </w:p>
        </w:tc>
        <w:tc>
          <w:tcPr>
            <w:tcW w:w="1236" w:type="dxa"/>
            <w:vMerge w:val="continue"/>
            <w:vAlign w:val="center"/>
          </w:tcPr>
          <w:p w14:paraId="79F1B82B">
            <w:pPr>
              <w:pStyle w:val="766"/>
              <w:rPr>
                <w:color w:val="auto"/>
              </w:rPr>
            </w:pPr>
          </w:p>
        </w:tc>
        <w:tc>
          <w:tcPr>
            <w:tcW w:w="694" w:type="dxa"/>
            <w:vMerge w:val="continue"/>
            <w:vAlign w:val="center"/>
          </w:tcPr>
          <w:p w14:paraId="1F3C48CF">
            <w:pPr>
              <w:pStyle w:val="766"/>
              <w:rPr>
                <w:color w:val="auto"/>
              </w:rPr>
            </w:pPr>
          </w:p>
        </w:tc>
        <w:tc>
          <w:tcPr>
            <w:tcW w:w="653" w:type="dxa"/>
            <w:vAlign w:val="center"/>
          </w:tcPr>
          <w:p w14:paraId="595A99D3">
            <w:pPr>
              <w:pStyle w:val="766"/>
              <w:rPr>
                <w:color w:val="auto"/>
              </w:rPr>
            </w:pPr>
            <w:r>
              <w:rPr>
                <w:color w:val="auto"/>
              </w:rPr>
              <w:t>H</w:t>
            </w:r>
            <w:r>
              <w:rPr>
                <w:color w:val="auto"/>
                <w:vertAlign w:val="subscript"/>
              </w:rPr>
              <w:t>2</w:t>
            </w:r>
            <w:r>
              <w:rPr>
                <w:color w:val="auto"/>
              </w:rPr>
              <w:t>S</w:t>
            </w:r>
          </w:p>
        </w:tc>
        <w:tc>
          <w:tcPr>
            <w:tcW w:w="927" w:type="dxa"/>
            <w:vAlign w:val="center"/>
          </w:tcPr>
          <w:p w14:paraId="7698D4DB">
            <w:pPr>
              <w:pStyle w:val="766"/>
              <w:rPr>
                <w:color w:val="auto"/>
              </w:rPr>
            </w:pPr>
            <w:r>
              <w:rPr>
                <w:rFonts w:hint="eastAsia"/>
                <w:color w:val="auto"/>
              </w:rPr>
              <w:t>0.064</w:t>
            </w:r>
          </w:p>
        </w:tc>
        <w:tc>
          <w:tcPr>
            <w:tcW w:w="951" w:type="dxa"/>
            <w:vAlign w:val="center"/>
          </w:tcPr>
          <w:p w14:paraId="6D29CEE4">
            <w:pPr>
              <w:pStyle w:val="766"/>
              <w:rPr>
                <w:color w:val="auto"/>
              </w:rPr>
            </w:pPr>
            <w:r>
              <w:rPr>
                <w:rFonts w:hint="eastAsia"/>
                <w:color w:val="auto"/>
              </w:rPr>
              <w:t>1.54</w:t>
            </w:r>
          </w:p>
        </w:tc>
        <w:tc>
          <w:tcPr>
            <w:tcW w:w="888" w:type="dxa"/>
            <w:vAlign w:val="center"/>
          </w:tcPr>
          <w:p w14:paraId="7495AC7E">
            <w:pPr>
              <w:pStyle w:val="766"/>
              <w:rPr>
                <w:color w:val="auto"/>
              </w:rPr>
            </w:pPr>
            <w:r>
              <w:rPr>
                <w:rFonts w:hint="eastAsia"/>
                <w:color w:val="auto"/>
              </w:rPr>
              <w:t>13.45</w:t>
            </w:r>
          </w:p>
        </w:tc>
        <w:tc>
          <w:tcPr>
            <w:tcW w:w="1956" w:type="dxa"/>
            <w:vMerge w:val="continue"/>
            <w:vAlign w:val="center"/>
          </w:tcPr>
          <w:p w14:paraId="7634D36B">
            <w:pPr>
              <w:pStyle w:val="766"/>
              <w:rPr>
                <w:color w:val="auto"/>
              </w:rPr>
            </w:pPr>
          </w:p>
        </w:tc>
        <w:tc>
          <w:tcPr>
            <w:tcW w:w="664" w:type="dxa"/>
            <w:vMerge w:val="continue"/>
            <w:vAlign w:val="center"/>
          </w:tcPr>
          <w:p w14:paraId="6EEDF7AF">
            <w:pPr>
              <w:pStyle w:val="766"/>
              <w:rPr>
                <w:color w:val="auto"/>
              </w:rPr>
            </w:pPr>
          </w:p>
        </w:tc>
        <w:tc>
          <w:tcPr>
            <w:tcW w:w="1001" w:type="dxa"/>
            <w:vAlign w:val="center"/>
          </w:tcPr>
          <w:p w14:paraId="667005BB">
            <w:pPr>
              <w:pStyle w:val="766"/>
              <w:rPr>
                <w:color w:val="auto"/>
              </w:rPr>
            </w:pPr>
            <w:r>
              <w:rPr>
                <w:rFonts w:hint="eastAsia"/>
                <w:color w:val="auto"/>
              </w:rPr>
              <w:t>0.051</w:t>
            </w:r>
          </w:p>
        </w:tc>
        <w:tc>
          <w:tcPr>
            <w:tcW w:w="877" w:type="dxa"/>
            <w:vAlign w:val="center"/>
          </w:tcPr>
          <w:p w14:paraId="5BE1B4F0">
            <w:pPr>
              <w:pStyle w:val="766"/>
              <w:rPr>
                <w:color w:val="auto"/>
              </w:rPr>
            </w:pPr>
            <w:r>
              <w:rPr>
                <w:rFonts w:hint="eastAsia"/>
                <w:color w:val="auto"/>
              </w:rPr>
              <w:t>0.31</w:t>
            </w:r>
          </w:p>
        </w:tc>
        <w:tc>
          <w:tcPr>
            <w:tcW w:w="1008" w:type="dxa"/>
            <w:vAlign w:val="center"/>
          </w:tcPr>
          <w:p w14:paraId="319C5F06">
            <w:pPr>
              <w:pStyle w:val="766"/>
              <w:rPr>
                <w:color w:val="auto"/>
              </w:rPr>
            </w:pPr>
            <w:r>
              <w:rPr>
                <w:rFonts w:hint="eastAsia"/>
                <w:color w:val="auto"/>
              </w:rPr>
              <w:t>2.69</w:t>
            </w:r>
          </w:p>
        </w:tc>
        <w:tc>
          <w:tcPr>
            <w:tcW w:w="898" w:type="dxa"/>
            <w:vAlign w:val="center"/>
          </w:tcPr>
          <w:p w14:paraId="0CD783C8">
            <w:pPr>
              <w:pStyle w:val="766"/>
              <w:rPr>
                <w:color w:val="auto"/>
              </w:rPr>
            </w:pPr>
            <w:r>
              <w:rPr>
                <w:color w:val="auto"/>
              </w:rPr>
              <w:t>0.06</w:t>
            </w:r>
          </w:p>
        </w:tc>
        <w:tc>
          <w:tcPr>
            <w:tcW w:w="713" w:type="dxa"/>
            <w:vAlign w:val="center"/>
          </w:tcPr>
          <w:p w14:paraId="75000768">
            <w:pPr>
              <w:pStyle w:val="766"/>
              <w:rPr>
                <w:color w:val="auto"/>
              </w:rPr>
            </w:pPr>
            <w:r>
              <w:rPr>
                <w:color w:val="auto"/>
              </w:rPr>
              <w:t>/</w:t>
            </w:r>
          </w:p>
        </w:tc>
        <w:tc>
          <w:tcPr>
            <w:tcW w:w="513" w:type="dxa"/>
            <w:vAlign w:val="center"/>
          </w:tcPr>
          <w:p w14:paraId="1F025346">
            <w:pPr>
              <w:pStyle w:val="766"/>
              <w:rPr>
                <w:color w:val="auto"/>
              </w:rPr>
            </w:pPr>
            <w:r>
              <w:rPr>
                <w:color w:val="auto"/>
              </w:rPr>
              <w:t>是</w:t>
            </w:r>
          </w:p>
        </w:tc>
      </w:tr>
      <w:tr w14:paraId="2443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646EA5B5">
            <w:pPr>
              <w:pStyle w:val="766"/>
              <w:rPr>
                <w:color w:val="auto"/>
              </w:rPr>
            </w:pPr>
          </w:p>
        </w:tc>
        <w:tc>
          <w:tcPr>
            <w:tcW w:w="779" w:type="dxa"/>
            <w:vMerge w:val="continue"/>
            <w:vAlign w:val="center"/>
          </w:tcPr>
          <w:p w14:paraId="20A83FA3">
            <w:pPr>
              <w:pStyle w:val="766"/>
              <w:rPr>
                <w:color w:val="auto"/>
                <w:spacing w:val="4"/>
              </w:rPr>
            </w:pPr>
          </w:p>
        </w:tc>
        <w:tc>
          <w:tcPr>
            <w:tcW w:w="1236" w:type="dxa"/>
            <w:vMerge w:val="continue"/>
            <w:vAlign w:val="center"/>
          </w:tcPr>
          <w:p w14:paraId="3247E402">
            <w:pPr>
              <w:pStyle w:val="766"/>
              <w:rPr>
                <w:color w:val="auto"/>
              </w:rPr>
            </w:pPr>
          </w:p>
        </w:tc>
        <w:tc>
          <w:tcPr>
            <w:tcW w:w="694" w:type="dxa"/>
            <w:vMerge w:val="continue"/>
            <w:vAlign w:val="center"/>
          </w:tcPr>
          <w:p w14:paraId="469FEFB4">
            <w:pPr>
              <w:pStyle w:val="766"/>
              <w:rPr>
                <w:color w:val="auto"/>
              </w:rPr>
            </w:pPr>
          </w:p>
        </w:tc>
        <w:tc>
          <w:tcPr>
            <w:tcW w:w="653" w:type="dxa"/>
            <w:vAlign w:val="center"/>
          </w:tcPr>
          <w:p w14:paraId="516A14C9">
            <w:pPr>
              <w:pStyle w:val="766"/>
              <w:rPr>
                <w:color w:val="auto"/>
              </w:rPr>
            </w:pPr>
            <w:r>
              <w:rPr>
                <w:color w:val="auto"/>
              </w:rPr>
              <w:t>臭气浓度</w:t>
            </w:r>
          </w:p>
        </w:tc>
        <w:tc>
          <w:tcPr>
            <w:tcW w:w="927" w:type="dxa"/>
            <w:vAlign w:val="center"/>
          </w:tcPr>
          <w:p w14:paraId="68931415">
            <w:pPr>
              <w:pStyle w:val="766"/>
              <w:rPr>
                <w:color w:val="auto"/>
              </w:rPr>
            </w:pPr>
            <w:r>
              <w:rPr>
                <w:color w:val="auto"/>
              </w:rPr>
              <w:t>/</w:t>
            </w:r>
          </w:p>
        </w:tc>
        <w:tc>
          <w:tcPr>
            <w:tcW w:w="951" w:type="dxa"/>
            <w:vAlign w:val="center"/>
          </w:tcPr>
          <w:p w14:paraId="066013BB">
            <w:pPr>
              <w:pStyle w:val="766"/>
              <w:rPr>
                <w:color w:val="auto"/>
              </w:rPr>
            </w:pPr>
            <w:r>
              <w:rPr>
                <w:color w:val="auto"/>
              </w:rPr>
              <w:t>/</w:t>
            </w:r>
          </w:p>
        </w:tc>
        <w:tc>
          <w:tcPr>
            <w:tcW w:w="888" w:type="dxa"/>
            <w:vAlign w:val="center"/>
          </w:tcPr>
          <w:p w14:paraId="5807DCCA">
            <w:pPr>
              <w:pStyle w:val="766"/>
              <w:rPr>
                <w:color w:val="auto"/>
              </w:rPr>
            </w:pPr>
            <w:r>
              <w:rPr>
                <w:color w:val="auto"/>
              </w:rPr>
              <w:t>90（无量纲）</w:t>
            </w:r>
          </w:p>
        </w:tc>
        <w:tc>
          <w:tcPr>
            <w:tcW w:w="1956" w:type="dxa"/>
            <w:vMerge w:val="continue"/>
            <w:vAlign w:val="center"/>
          </w:tcPr>
          <w:p w14:paraId="69619AAF">
            <w:pPr>
              <w:pStyle w:val="766"/>
              <w:rPr>
                <w:color w:val="auto"/>
              </w:rPr>
            </w:pPr>
          </w:p>
        </w:tc>
        <w:tc>
          <w:tcPr>
            <w:tcW w:w="664" w:type="dxa"/>
            <w:vMerge w:val="continue"/>
            <w:vAlign w:val="center"/>
          </w:tcPr>
          <w:p w14:paraId="14589482">
            <w:pPr>
              <w:pStyle w:val="766"/>
              <w:rPr>
                <w:color w:val="auto"/>
              </w:rPr>
            </w:pPr>
          </w:p>
        </w:tc>
        <w:tc>
          <w:tcPr>
            <w:tcW w:w="1001" w:type="dxa"/>
            <w:vAlign w:val="center"/>
          </w:tcPr>
          <w:p w14:paraId="3D50C9E1">
            <w:pPr>
              <w:pStyle w:val="766"/>
              <w:rPr>
                <w:color w:val="auto"/>
              </w:rPr>
            </w:pPr>
            <w:r>
              <w:rPr>
                <w:color w:val="auto"/>
              </w:rPr>
              <w:t>/</w:t>
            </w:r>
          </w:p>
        </w:tc>
        <w:tc>
          <w:tcPr>
            <w:tcW w:w="877" w:type="dxa"/>
            <w:vAlign w:val="center"/>
          </w:tcPr>
          <w:p w14:paraId="32FDE167">
            <w:pPr>
              <w:pStyle w:val="766"/>
              <w:rPr>
                <w:color w:val="auto"/>
              </w:rPr>
            </w:pPr>
            <w:r>
              <w:rPr>
                <w:color w:val="auto"/>
              </w:rPr>
              <w:t>/</w:t>
            </w:r>
          </w:p>
        </w:tc>
        <w:tc>
          <w:tcPr>
            <w:tcW w:w="1008" w:type="dxa"/>
            <w:vAlign w:val="center"/>
          </w:tcPr>
          <w:p w14:paraId="267E311A">
            <w:pPr>
              <w:pStyle w:val="766"/>
              <w:rPr>
                <w:color w:val="auto"/>
              </w:rPr>
            </w:pPr>
            <w:r>
              <w:rPr>
                <w:color w:val="auto"/>
              </w:rPr>
              <w:t>＜30（无量纲）</w:t>
            </w:r>
          </w:p>
        </w:tc>
        <w:tc>
          <w:tcPr>
            <w:tcW w:w="898" w:type="dxa"/>
            <w:vAlign w:val="center"/>
          </w:tcPr>
          <w:p w14:paraId="0BE1D54B">
            <w:pPr>
              <w:pStyle w:val="766"/>
              <w:rPr>
                <w:color w:val="auto"/>
              </w:rPr>
            </w:pPr>
            <w:r>
              <w:rPr>
                <w:color w:val="auto"/>
              </w:rPr>
              <w:t>70（无量纲）</w:t>
            </w:r>
          </w:p>
        </w:tc>
        <w:tc>
          <w:tcPr>
            <w:tcW w:w="713" w:type="dxa"/>
            <w:vAlign w:val="center"/>
          </w:tcPr>
          <w:p w14:paraId="516C3ED7">
            <w:pPr>
              <w:pStyle w:val="766"/>
              <w:rPr>
                <w:color w:val="auto"/>
              </w:rPr>
            </w:pPr>
            <w:r>
              <w:rPr>
                <w:color w:val="auto"/>
              </w:rPr>
              <w:t>/</w:t>
            </w:r>
          </w:p>
        </w:tc>
        <w:tc>
          <w:tcPr>
            <w:tcW w:w="513" w:type="dxa"/>
            <w:vAlign w:val="center"/>
          </w:tcPr>
          <w:p w14:paraId="7967032F">
            <w:pPr>
              <w:pStyle w:val="766"/>
              <w:rPr>
                <w:color w:val="auto"/>
              </w:rPr>
            </w:pPr>
            <w:r>
              <w:rPr>
                <w:color w:val="auto"/>
              </w:rPr>
              <w:t>是</w:t>
            </w:r>
          </w:p>
        </w:tc>
      </w:tr>
      <w:tr w14:paraId="36DC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2080AFF7">
            <w:pPr>
              <w:pStyle w:val="766"/>
              <w:rPr>
                <w:color w:val="auto"/>
              </w:rPr>
            </w:pPr>
          </w:p>
        </w:tc>
        <w:tc>
          <w:tcPr>
            <w:tcW w:w="779" w:type="dxa"/>
            <w:vMerge w:val="restart"/>
            <w:vAlign w:val="center"/>
          </w:tcPr>
          <w:p w14:paraId="66295CC2">
            <w:pPr>
              <w:pStyle w:val="766"/>
              <w:rPr>
                <w:color w:val="auto"/>
                <w:spacing w:val="4"/>
              </w:rPr>
            </w:pPr>
            <w:r>
              <w:rPr>
                <w:rFonts w:hint="eastAsia"/>
                <w:color w:val="auto"/>
                <w:spacing w:val="4"/>
              </w:rPr>
              <w:t>有机肥加工车间</w:t>
            </w:r>
          </w:p>
        </w:tc>
        <w:tc>
          <w:tcPr>
            <w:tcW w:w="1236" w:type="dxa"/>
            <w:vMerge w:val="restart"/>
            <w:vAlign w:val="center"/>
          </w:tcPr>
          <w:p w14:paraId="7F65E4B9">
            <w:pPr>
              <w:pStyle w:val="766"/>
              <w:rPr>
                <w:color w:val="auto"/>
              </w:rPr>
            </w:pPr>
            <w:r>
              <w:rPr>
                <w:rFonts w:hint="eastAsia"/>
                <w:color w:val="auto"/>
              </w:rPr>
              <w:t>有组织（DA002）</w:t>
            </w:r>
          </w:p>
        </w:tc>
        <w:tc>
          <w:tcPr>
            <w:tcW w:w="694" w:type="dxa"/>
            <w:vMerge w:val="restart"/>
            <w:vAlign w:val="center"/>
          </w:tcPr>
          <w:p w14:paraId="1E3E968E">
            <w:pPr>
              <w:pStyle w:val="766"/>
              <w:rPr>
                <w:color w:val="auto"/>
              </w:rPr>
            </w:pPr>
            <w:r>
              <w:rPr>
                <w:color w:val="auto"/>
              </w:rPr>
              <w:t>8760</w:t>
            </w:r>
          </w:p>
        </w:tc>
        <w:tc>
          <w:tcPr>
            <w:tcW w:w="653" w:type="dxa"/>
            <w:vAlign w:val="center"/>
          </w:tcPr>
          <w:p w14:paraId="41AD2476">
            <w:pPr>
              <w:pStyle w:val="766"/>
              <w:rPr>
                <w:color w:val="auto"/>
              </w:rPr>
            </w:pPr>
            <w:r>
              <w:rPr>
                <w:color w:val="auto"/>
              </w:rPr>
              <w:t>NH</w:t>
            </w:r>
            <w:r>
              <w:rPr>
                <w:color w:val="auto"/>
                <w:vertAlign w:val="subscript"/>
              </w:rPr>
              <w:t>3</w:t>
            </w:r>
          </w:p>
        </w:tc>
        <w:tc>
          <w:tcPr>
            <w:tcW w:w="927" w:type="dxa"/>
            <w:vAlign w:val="center"/>
          </w:tcPr>
          <w:p w14:paraId="207F0725">
            <w:pPr>
              <w:pStyle w:val="766"/>
              <w:rPr>
                <w:color w:val="auto"/>
              </w:rPr>
            </w:pPr>
            <w:r>
              <w:rPr>
                <w:rFonts w:hint="eastAsia"/>
                <w:color w:val="auto"/>
              </w:rPr>
              <w:t>10.95</w:t>
            </w:r>
          </w:p>
        </w:tc>
        <w:tc>
          <w:tcPr>
            <w:tcW w:w="951" w:type="dxa"/>
            <w:vAlign w:val="center"/>
          </w:tcPr>
          <w:p w14:paraId="50F03DDD">
            <w:pPr>
              <w:pStyle w:val="766"/>
              <w:rPr>
                <w:color w:val="auto"/>
              </w:rPr>
            </w:pPr>
            <w:r>
              <w:rPr>
                <w:rFonts w:hint="eastAsia"/>
                <w:color w:val="auto"/>
              </w:rPr>
              <w:t>0.11</w:t>
            </w:r>
          </w:p>
        </w:tc>
        <w:tc>
          <w:tcPr>
            <w:tcW w:w="888" w:type="dxa"/>
            <w:vAlign w:val="center"/>
          </w:tcPr>
          <w:p w14:paraId="5C2A84E4">
            <w:pPr>
              <w:pStyle w:val="369"/>
              <w:rPr>
                <w:b w:val="0"/>
                <w:bCs/>
                <w:sz w:val="21"/>
                <w:szCs w:val="21"/>
              </w:rPr>
            </w:pPr>
            <w:r>
              <w:rPr>
                <w:rFonts w:hint="eastAsia"/>
                <w:b w:val="0"/>
                <w:bCs/>
                <w:sz w:val="21"/>
                <w:szCs w:val="21"/>
              </w:rPr>
              <w:t>0.959</w:t>
            </w:r>
          </w:p>
        </w:tc>
        <w:tc>
          <w:tcPr>
            <w:tcW w:w="1956" w:type="dxa"/>
            <w:vMerge w:val="restart"/>
            <w:vAlign w:val="center"/>
          </w:tcPr>
          <w:p w14:paraId="78EAF25B">
            <w:pPr>
              <w:pStyle w:val="766"/>
              <w:rPr>
                <w:color w:val="auto"/>
              </w:rPr>
            </w:pPr>
            <w:r>
              <w:rPr>
                <w:rFonts w:hint="eastAsia"/>
                <w:color w:val="auto"/>
              </w:rPr>
              <w:t>生物除臭箱</w:t>
            </w:r>
          </w:p>
        </w:tc>
        <w:tc>
          <w:tcPr>
            <w:tcW w:w="664" w:type="dxa"/>
            <w:vMerge w:val="restart"/>
            <w:vAlign w:val="center"/>
          </w:tcPr>
          <w:p w14:paraId="1A96F1F4">
            <w:pPr>
              <w:pStyle w:val="766"/>
              <w:rPr>
                <w:color w:val="auto"/>
              </w:rPr>
            </w:pPr>
            <w:r>
              <w:rPr>
                <w:rFonts w:hint="eastAsia"/>
                <w:color w:val="auto"/>
              </w:rPr>
              <w:t>50%</w:t>
            </w:r>
          </w:p>
        </w:tc>
        <w:tc>
          <w:tcPr>
            <w:tcW w:w="1001" w:type="dxa"/>
            <w:vAlign w:val="center"/>
          </w:tcPr>
          <w:p w14:paraId="47A6261F">
            <w:pPr>
              <w:pStyle w:val="766"/>
              <w:rPr>
                <w:color w:val="auto"/>
              </w:rPr>
            </w:pPr>
            <w:r>
              <w:rPr>
                <w:rFonts w:hint="eastAsia"/>
                <w:color w:val="auto"/>
              </w:rPr>
              <w:t>5.48</w:t>
            </w:r>
          </w:p>
        </w:tc>
        <w:tc>
          <w:tcPr>
            <w:tcW w:w="877" w:type="dxa"/>
            <w:vAlign w:val="center"/>
          </w:tcPr>
          <w:p w14:paraId="1F37F0D3">
            <w:pPr>
              <w:pStyle w:val="369"/>
              <w:rPr>
                <w:b w:val="0"/>
                <w:bCs/>
                <w:sz w:val="21"/>
                <w:szCs w:val="21"/>
              </w:rPr>
            </w:pPr>
            <w:r>
              <w:rPr>
                <w:rFonts w:hint="eastAsia"/>
                <w:b w:val="0"/>
                <w:bCs/>
                <w:sz w:val="21"/>
                <w:szCs w:val="21"/>
              </w:rPr>
              <w:t>0.055</w:t>
            </w:r>
          </w:p>
        </w:tc>
        <w:tc>
          <w:tcPr>
            <w:tcW w:w="1008" w:type="dxa"/>
            <w:vAlign w:val="center"/>
          </w:tcPr>
          <w:p w14:paraId="49A5FD23">
            <w:pPr>
              <w:pStyle w:val="369"/>
              <w:rPr>
                <w:b w:val="0"/>
                <w:bCs/>
                <w:sz w:val="21"/>
                <w:szCs w:val="21"/>
              </w:rPr>
            </w:pPr>
            <w:r>
              <w:rPr>
                <w:rFonts w:hint="eastAsia"/>
                <w:b w:val="0"/>
                <w:bCs/>
                <w:sz w:val="21"/>
                <w:szCs w:val="21"/>
              </w:rPr>
              <w:t>0.48</w:t>
            </w:r>
          </w:p>
        </w:tc>
        <w:tc>
          <w:tcPr>
            <w:tcW w:w="898" w:type="dxa"/>
            <w:vAlign w:val="center"/>
          </w:tcPr>
          <w:p w14:paraId="1461B032">
            <w:pPr>
              <w:pStyle w:val="766"/>
              <w:rPr>
                <w:color w:val="auto"/>
              </w:rPr>
            </w:pPr>
            <w:r>
              <w:rPr>
                <w:rFonts w:hint="eastAsia"/>
                <w:color w:val="auto"/>
              </w:rPr>
              <w:t>/</w:t>
            </w:r>
          </w:p>
        </w:tc>
        <w:tc>
          <w:tcPr>
            <w:tcW w:w="713" w:type="dxa"/>
            <w:vAlign w:val="center"/>
          </w:tcPr>
          <w:p w14:paraId="2361E00F">
            <w:pPr>
              <w:pStyle w:val="766"/>
              <w:rPr>
                <w:color w:val="auto"/>
              </w:rPr>
            </w:pPr>
            <w:r>
              <w:rPr>
                <w:rFonts w:hint="eastAsia"/>
                <w:color w:val="auto"/>
              </w:rPr>
              <w:t>4.9</w:t>
            </w:r>
          </w:p>
        </w:tc>
        <w:tc>
          <w:tcPr>
            <w:tcW w:w="513" w:type="dxa"/>
            <w:vAlign w:val="center"/>
          </w:tcPr>
          <w:p w14:paraId="35DB41DB">
            <w:pPr>
              <w:pStyle w:val="766"/>
              <w:rPr>
                <w:color w:val="auto"/>
              </w:rPr>
            </w:pPr>
            <w:r>
              <w:rPr>
                <w:color w:val="auto"/>
              </w:rPr>
              <w:t>是</w:t>
            </w:r>
          </w:p>
        </w:tc>
      </w:tr>
      <w:tr w14:paraId="76FD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5772FE06">
            <w:pPr>
              <w:pStyle w:val="766"/>
              <w:rPr>
                <w:color w:val="auto"/>
              </w:rPr>
            </w:pPr>
          </w:p>
        </w:tc>
        <w:tc>
          <w:tcPr>
            <w:tcW w:w="779" w:type="dxa"/>
            <w:vMerge w:val="continue"/>
            <w:vAlign w:val="center"/>
          </w:tcPr>
          <w:p w14:paraId="1B293D82">
            <w:pPr>
              <w:pStyle w:val="766"/>
              <w:rPr>
                <w:color w:val="auto"/>
                <w:spacing w:val="4"/>
              </w:rPr>
            </w:pPr>
          </w:p>
        </w:tc>
        <w:tc>
          <w:tcPr>
            <w:tcW w:w="1236" w:type="dxa"/>
            <w:vMerge w:val="continue"/>
            <w:vAlign w:val="center"/>
          </w:tcPr>
          <w:p w14:paraId="55A2EFFA">
            <w:pPr>
              <w:pStyle w:val="766"/>
              <w:rPr>
                <w:color w:val="auto"/>
              </w:rPr>
            </w:pPr>
          </w:p>
        </w:tc>
        <w:tc>
          <w:tcPr>
            <w:tcW w:w="694" w:type="dxa"/>
            <w:vMerge w:val="continue"/>
            <w:vAlign w:val="center"/>
          </w:tcPr>
          <w:p w14:paraId="14718C8B">
            <w:pPr>
              <w:pStyle w:val="766"/>
              <w:rPr>
                <w:color w:val="auto"/>
              </w:rPr>
            </w:pPr>
          </w:p>
        </w:tc>
        <w:tc>
          <w:tcPr>
            <w:tcW w:w="653" w:type="dxa"/>
            <w:vAlign w:val="center"/>
          </w:tcPr>
          <w:p w14:paraId="42B4E260">
            <w:pPr>
              <w:pStyle w:val="766"/>
              <w:rPr>
                <w:color w:val="auto"/>
              </w:rPr>
            </w:pPr>
            <w:r>
              <w:rPr>
                <w:color w:val="auto"/>
              </w:rPr>
              <w:t>H</w:t>
            </w:r>
            <w:r>
              <w:rPr>
                <w:color w:val="auto"/>
                <w:vertAlign w:val="subscript"/>
              </w:rPr>
              <w:t>2</w:t>
            </w:r>
            <w:r>
              <w:rPr>
                <w:color w:val="auto"/>
              </w:rPr>
              <w:t>S</w:t>
            </w:r>
          </w:p>
        </w:tc>
        <w:tc>
          <w:tcPr>
            <w:tcW w:w="927" w:type="dxa"/>
            <w:vAlign w:val="center"/>
          </w:tcPr>
          <w:p w14:paraId="063EB03C">
            <w:pPr>
              <w:pStyle w:val="766"/>
              <w:rPr>
                <w:color w:val="auto"/>
              </w:rPr>
            </w:pPr>
            <w:r>
              <w:rPr>
                <w:rFonts w:hint="eastAsia"/>
                <w:color w:val="auto"/>
              </w:rPr>
              <w:t>1.09</w:t>
            </w:r>
          </w:p>
        </w:tc>
        <w:tc>
          <w:tcPr>
            <w:tcW w:w="951" w:type="dxa"/>
            <w:vAlign w:val="center"/>
          </w:tcPr>
          <w:p w14:paraId="75502069">
            <w:pPr>
              <w:pStyle w:val="766"/>
              <w:rPr>
                <w:color w:val="auto"/>
              </w:rPr>
            </w:pPr>
            <w:r>
              <w:rPr>
                <w:rFonts w:hint="eastAsia"/>
                <w:color w:val="auto"/>
              </w:rPr>
              <w:t>0.011</w:t>
            </w:r>
          </w:p>
        </w:tc>
        <w:tc>
          <w:tcPr>
            <w:tcW w:w="888" w:type="dxa"/>
            <w:vAlign w:val="center"/>
          </w:tcPr>
          <w:p w14:paraId="519F8052">
            <w:pPr>
              <w:pStyle w:val="369"/>
              <w:rPr>
                <w:b w:val="0"/>
                <w:bCs/>
                <w:sz w:val="21"/>
                <w:szCs w:val="21"/>
              </w:rPr>
            </w:pPr>
            <w:r>
              <w:rPr>
                <w:rFonts w:hint="eastAsia"/>
                <w:b w:val="0"/>
                <w:bCs/>
                <w:sz w:val="21"/>
                <w:szCs w:val="21"/>
              </w:rPr>
              <w:t>0.096</w:t>
            </w:r>
          </w:p>
        </w:tc>
        <w:tc>
          <w:tcPr>
            <w:tcW w:w="1956" w:type="dxa"/>
            <w:vMerge w:val="continue"/>
            <w:vAlign w:val="center"/>
          </w:tcPr>
          <w:p w14:paraId="0FC733E6">
            <w:pPr>
              <w:pStyle w:val="766"/>
              <w:rPr>
                <w:color w:val="auto"/>
              </w:rPr>
            </w:pPr>
          </w:p>
        </w:tc>
        <w:tc>
          <w:tcPr>
            <w:tcW w:w="664" w:type="dxa"/>
            <w:vMerge w:val="continue"/>
            <w:vAlign w:val="center"/>
          </w:tcPr>
          <w:p w14:paraId="18189F44">
            <w:pPr>
              <w:pStyle w:val="766"/>
              <w:rPr>
                <w:color w:val="auto"/>
              </w:rPr>
            </w:pPr>
          </w:p>
        </w:tc>
        <w:tc>
          <w:tcPr>
            <w:tcW w:w="1001" w:type="dxa"/>
            <w:vAlign w:val="center"/>
          </w:tcPr>
          <w:p w14:paraId="59DDCCD9">
            <w:pPr>
              <w:pStyle w:val="766"/>
              <w:rPr>
                <w:color w:val="auto"/>
              </w:rPr>
            </w:pPr>
            <w:r>
              <w:rPr>
                <w:rFonts w:hint="eastAsia"/>
                <w:color w:val="auto"/>
              </w:rPr>
              <w:t>0.55</w:t>
            </w:r>
          </w:p>
        </w:tc>
        <w:tc>
          <w:tcPr>
            <w:tcW w:w="877" w:type="dxa"/>
            <w:vAlign w:val="center"/>
          </w:tcPr>
          <w:p w14:paraId="34572397">
            <w:pPr>
              <w:pStyle w:val="369"/>
              <w:rPr>
                <w:b w:val="0"/>
                <w:bCs/>
                <w:sz w:val="21"/>
                <w:szCs w:val="21"/>
              </w:rPr>
            </w:pPr>
            <w:r>
              <w:rPr>
                <w:rFonts w:hint="eastAsia"/>
                <w:b w:val="0"/>
                <w:bCs/>
                <w:sz w:val="21"/>
                <w:szCs w:val="21"/>
              </w:rPr>
              <w:t>0.0055</w:t>
            </w:r>
          </w:p>
        </w:tc>
        <w:tc>
          <w:tcPr>
            <w:tcW w:w="1008" w:type="dxa"/>
            <w:vAlign w:val="center"/>
          </w:tcPr>
          <w:p w14:paraId="363E9B25">
            <w:pPr>
              <w:pStyle w:val="369"/>
              <w:rPr>
                <w:b w:val="0"/>
                <w:bCs/>
                <w:sz w:val="21"/>
                <w:szCs w:val="21"/>
              </w:rPr>
            </w:pPr>
            <w:r>
              <w:rPr>
                <w:rFonts w:hint="eastAsia"/>
                <w:b w:val="0"/>
                <w:bCs/>
                <w:sz w:val="21"/>
                <w:szCs w:val="21"/>
              </w:rPr>
              <w:t>0.048</w:t>
            </w:r>
          </w:p>
        </w:tc>
        <w:tc>
          <w:tcPr>
            <w:tcW w:w="898" w:type="dxa"/>
            <w:vAlign w:val="center"/>
          </w:tcPr>
          <w:p w14:paraId="1057537A">
            <w:pPr>
              <w:pStyle w:val="766"/>
              <w:rPr>
                <w:color w:val="auto"/>
              </w:rPr>
            </w:pPr>
            <w:r>
              <w:rPr>
                <w:rFonts w:hint="eastAsia"/>
                <w:color w:val="auto"/>
              </w:rPr>
              <w:t>/</w:t>
            </w:r>
          </w:p>
        </w:tc>
        <w:tc>
          <w:tcPr>
            <w:tcW w:w="713" w:type="dxa"/>
            <w:vAlign w:val="center"/>
          </w:tcPr>
          <w:p w14:paraId="39BEB734">
            <w:pPr>
              <w:pStyle w:val="766"/>
              <w:rPr>
                <w:color w:val="auto"/>
              </w:rPr>
            </w:pPr>
            <w:r>
              <w:rPr>
                <w:rFonts w:hint="eastAsia"/>
                <w:color w:val="auto"/>
              </w:rPr>
              <w:t>0.33</w:t>
            </w:r>
          </w:p>
        </w:tc>
        <w:tc>
          <w:tcPr>
            <w:tcW w:w="513" w:type="dxa"/>
            <w:vAlign w:val="center"/>
          </w:tcPr>
          <w:p w14:paraId="5DB87D31">
            <w:pPr>
              <w:pStyle w:val="766"/>
              <w:rPr>
                <w:color w:val="auto"/>
              </w:rPr>
            </w:pPr>
            <w:r>
              <w:rPr>
                <w:color w:val="auto"/>
              </w:rPr>
              <w:t>是</w:t>
            </w:r>
          </w:p>
        </w:tc>
      </w:tr>
      <w:tr w14:paraId="7CC0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6F9EF1B9">
            <w:pPr>
              <w:pStyle w:val="766"/>
              <w:rPr>
                <w:color w:val="auto"/>
              </w:rPr>
            </w:pPr>
          </w:p>
        </w:tc>
        <w:tc>
          <w:tcPr>
            <w:tcW w:w="779" w:type="dxa"/>
            <w:vMerge w:val="continue"/>
            <w:vAlign w:val="center"/>
          </w:tcPr>
          <w:p w14:paraId="73F95D4B">
            <w:pPr>
              <w:pStyle w:val="766"/>
              <w:rPr>
                <w:color w:val="auto"/>
                <w:spacing w:val="4"/>
              </w:rPr>
            </w:pPr>
          </w:p>
        </w:tc>
        <w:tc>
          <w:tcPr>
            <w:tcW w:w="1236" w:type="dxa"/>
            <w:vMerge w:val="continue"/>
            <w:vAlign w:val="center"/>
          </w:tcPr>
          <w:p w14:paraId="73A18385">
            <w:pPr>
              <w:pStyle w:val="766"/>
              <w:rPr>
                <w:color w:val="auto"/>
              </w:rPr>
            </w:pPr>
          </w:p>
        </w:tc>
        <w:tc>
          <w:tcPr>
            <w:tcW w:w="694" w:type="dxa"/>
            <w:vMerge w:val="continue"/>
            <w:vAlign w:val="center"/>
          </w:tcPr>
          <w:p w14:paraId="2E08AD91">
            <w:pPr>
              <w:pStyle w:val="766"/>
              <w:rPr>
                <w:color w:val="auto"/>
              </w:rPr>
            </w:pPr>
          </w:p>
        </w:tc>
        <w:tc>
          <w:tcPr>
            <w:tcW w:w="653" w:type="dxa"/>
            <w:vAlign w:val="center"/>
          </w:tcPr>
          <w:p w14:paraId="59FC7AA5">
            <w:pPr>
              <w:pStyle w:val="766"/>
              <w:rPr>
                <w:color w:val="auto"/>
              </w:rPr>
            </w:pPr>
            <w:r>
              <w:rPr>
                <w:color w:val="auto"/>
              </w:rPr>
              <w:t>臭气浓度</w:t>
            </w:r>
          </w:p>
        </w:tc>
        <w:tc>
          <w:tcPr>
            <w:tcW w:w="927" w:type="dxa"/>
            <w:vAlign w:val="center"/>
          </w:tcPr>
          <w:p w14:paraId="1453CF61">
            <w:pPr>
              <w:pStyle w:val="766"/>
              <w:rPr>
                <w:color w:val="auto"/>
              </w:rPr>
            </w:pPr>
            <w:r>
              <w:rPr>
                <w:color w:val="auto"/>
              </w:rPr>
              <w:t>/</w:t>
            </w:r>
          </w:p>
        </w:tc>
        <w:tc>
          <w:tcPr>
            <w:tcW w:w="951" w:type="dxa"/>
            <w:vAlign w:val="center"/>
          </w:tcPr>
          <w:p w14:paraId="34E73775">
            <w:pPr>
              <w:pStyle w:val="766"/>
              <w:rPr>
                <w:color w:val="auto"/>
              </w:rPr>
            </w:pPr>
            <w:r>
              <w:rPr>
                <w:color w:val="auto"/>
              </w:rPr>
              <w:t>/</w:t>
            </w:r>
          </w:p>
        </w:tc>
        <w:tc>
          <w:tcPr>
            <w:tcW w:w="888" w:type="dxa"/>
            <w:vAlign w:val="center"/>
          </w:tcPr>
          <w:p w14:paraId="72041E44">
            <w:pPr>
              <w:pStyle w:val="766"/>
              <w:rPr>
                <w:color w:val="auto"/>
              </w:rPr>
            </w:pPr>
            <w:r>
              <w:rPr>
                <w:rFonts w:hint="eastAsia"/>
                <w:color w:val="auto"/>
              </w:rPr>
              <w:t>/</w:t>
            </w:r>
          </w:p>
        </w:tc>
        <w:tc>
          <w:tcPr>
            <w:tcW w:w="1956" w:type="dxa"/>
            <w:vMerge w:val="continue"/>
            <w:vAlign w:val="center"/>
          </w:tcPr>
          <w:p w14:paraId="67727597">
            <w:pPr>
              <w:pStyle w:val="766"/>
              <w:rPr>
                <w:color w:val="auto"/>
              </w:rPr>
            </w:pPr>
          </w:p>
        </w:tc>
        <w:tc>
          <w:tcPr>
            <w:tcW w:w="664" w:type="dxa"/>
            <w:vMerge w:val="continue"/>
            <w:vAlign w:val="center"/>
          </w:tcPr>
          <w:p w14:paraId="52F0C6A8">
            <w:pPr>
              <w:pStyle w:val="766"/>
              <w:rPr>
                <w:color w:val="auto"/>
              </w:rPr>
            </w:pPr>
          </w:p>
        </w:tc>
        <w:tc>
          <w:tcPr>
            <w:tcW w:w="1001" w:type="dxa"/>
            <w:vAlign w:val="center"/>
          </w:tcPr>
          <w:p w14:paraId="6BA46AE8">
            <w:pPr>
              <w:pStyle w:val="766"/>
              <w:rPr>
                <w:color w:val="auto"/>
              </w:rPr>
            </w:pPr>
            <w:r>
              <w:rPr>
                <w:color w:val="auto"/>
              </w:rPr>
              <w:t>/</w:t>
            </w:r>
          </w:p>
        </w:tc>
        <w:tc>
          <w:tcPr>
            <w:tcW w:w="877" w:type="dxa"/>
            <w:vAlign w:val="center"/>
          </w:tcPr>
          <w:p w14:paraId="0508FAE0">
            <w:pPr>
              <w:pStyle w:val="766"/>
              <w:rPr>
                <w:color w:val="auto"/>
              </w:rPr>
            </w:pPr>
            <w:r>
              <w:rPr>
                <w:color w:val="auto"/>
              </w:rPr>
              <w:t>/</w:t>
            </w:r>
          </w:p>
        </w:tc>
        <w:tc>
          <w:tcPr>
            <w:tcW w:w="1008" w:type="dxa"/>
            <w:vAlign w:val="center"/>
          </w:tcPr>
          <w:p w14:paraId="0F8B31B3">
            <w:pPr>
              <w:pStyle w:val="766"/>
              <w:rPr>
                <w:color w:val="auto"/>
              </w:rPr>
            </w:pPr>
            <w:r>
              <w:rPr>
                <w:rFonts w:hint="eastAsia"/>
                <w:color w:val="auto"/>
              </w:rPr>
              <w:t>/</w:t>
            </w:r>
          </w:p>
        </w:tc>
        <w:tc>
          <w:tcPr>
            <w:tcW w:w="898" w:type="dxa"/>
            <w:vAlign w:val="center"/>
          </w:tcPr>
          <w:p w14:paraId="6BAED7E9">
            <w:pPr>
              <w:pStyle w:val="766"/>
              <w:rPr>
                <w:color w:val="auto"/>
              </w:rPr>
            </w:pPr>
            <w:r>
              <w:rPr>
                <w:rFonts w:hint="eastAsia"/>
                <w:color w:val="auto"/>
              </w:rPr>
              <w:t>/</w:t>
            </w:r>
          </w:p>
        </w:tc>
        <w:tc>
          <w:tcPr>
            <w:tcW w:w="713" w:type="dxa"/>
            <w:vAlign w:val="center"/>
          </w:tcPr>
          <w:p w14:paraId="73BFC545">
            <w:pPr>
              <w:pStyle w:val="766"/>
              <w:rPr>
                <w:color w:val="auto"/>
              </w:rPr>
            </w:pPr>
            <w:r>
              <w:rPr>
                <w:color w:val="auto"/>
              </w:rPr>
              <w:t>/</w:t>
            </w:r>
          </w:p>
        </w:tc>
        <w:tc>
          <w:tcPr>
            <w:tcW w:w="513" w:type="dxa"/>
            <w:vAlign w:val="center"/>
          </w:tcPr>
          <w:p w14:paraId="10B1B2C9">
            <w:pPr>
              <w:pStyle w:val="766"/>
              <w:rPr>
                <w:color w:val="auto"/>
              </w:rPr>
            </w:pPr>
            <w:r>
              <w:rPr>
                <w:color w:val="auto"/>
              </w:rPr>
              <w:t>是</w:t>
            </w:r>
          </w:p>
        </w:tc>
      </w:tr>
      <w:tr w14:paraId="6291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711941DB">
            <w:pPr>
              <w:pStyle w:val="766"/>
              <w:rPr>
                <w:color w:val="auto"/>
              </w:rPr>
            </w:pPr>
          </w:p>
        </w:tc>
        <w:tc>
          <w:tcPr>
            <w:tcW w:w="779" w:type="dxa"/>
            <w:vMerge w:val="continue"/>
            <w:vAlign w:val="center"/>
          </w:tcPr>
          <w:p w14:paraId="242F4213">
            <w:pPr>
              <w:pStyle w:val="766"/>
              <w:rPr>
                <w:color w:val="auto"/>
                <w:spacing w:val="4"/>
              </w:rPr>
            </w:pPr>
          </w:p>
        </w:tc>
        <w:tc>
          <w:tcPr>
            <w:tcW w:w="1236" w:type="dxa"/>
            <w:vMerge w:val="continue"/>
            <w:vAlign w:val="center"/>
          </w:tcPr>
          <w:p w14:paraId="1D20BFAA">
            <w:pPr>
              <w:pStyle w:val="766"/>
              <w:rPr>
                <w:color w:val="auto"/>
              </w:rPr>
            </w:pPr>
          </w:p>
        </w:tc>
        <w:tc>
          <w:tcPr>
            <w:tcW w:w="694" w:type="dxa"/>
            <w:vMerge w:val="continue"/>
            <w:vAlign w:val="center"/>
          </w:tcPr>
          <w:p w14:paraId="6B177A12">
            <w:pPr>
              <w:pStyle w:val="766"/>
              <w:rPr>
                <w:color w:val="auto"/>
              </w:rPr>
            </w:pPr>
          </w:p>
        </w:tc>
        <w:tc>
          <w:tcPr>
            <w:tcW w:w="653" w:type="dxa"/>
            <w:vAlign w:val="center"/>
          </w:tcPr>
          <w:p w14:paraId="4915A2C5">
            <w:pPr>
              <w:pStyle w:val="766"/>
              <w:rPr>
                <w:color w:val="auto"/>
              </w:rPr>
            </w:pPr>
            <w:r>
              <w:rPr>
                <w:rFonts w:hint="eastAsia"/>
                <w:color w:val="auto"/>
              </w:rPr>
              <w:t>颗粒物</w:t>
            </w:r>
          </w:p>
        </w:tc>
        <w:tc>
          <w:tcPr>
            <w:tcW w:w="927" w:type="dxa"/>
            <w:vAlign w:val="center"/>
          </w:tcPr>
          <w:p w14:paraId="0D3E477A">
            <w:pPr>
              <w:pStyle w:val="766"/>
              <w:rPr>
                <w:color w:val="auto"/>
              </w:rPr>
            </w:pPr>
            <w:r>
              <w:rPr>
                <w:rFonts w:hint="eastAsia"/>
                <w:color w:val="auto"/>
              </w:rPr>
              <w:t>61.99</w:t>
            </w:r>
          </w:p>
        </w:tc>
        <w:tc>
          <w:tcPr>
            <w:tcW w:w="951" w:type="dxa"/>
            <w:vAlign w:val="center"/>
          </w:tcPr>
          <w:p w14:paraId="08F4FEBD">
            <w:pPr>
              <w:pStyle w:val="766"/>
              <w:rPr>
                <w:color w:val="auto"/>
              </w:rPr>
            </w:pPr>
            <w:r>
              <w:rPr>
                <w:rFonts w:hint="eastAsia"/>
                <w:color w:val="auto"/>
              </w:rPr>
              <w:t>0.62</w:t>
            </w:r>
          </w:p>
        </w:tc>
        <w:tc>
          <w:tcPr>
            <w:tcW w:w="888" w:type="dxa"/>
            <w:vAlign w:val="center"/>
          </w:tcPr>
          <w:p w14:paraId="7735F2EF">
            <w:pPr>
              <w:pStyle w:val="766"/>
              <w:rPr>
                <w:color w:val="auto"/>
              </w:rPr>
            </w:pPr>
            <w:r>
              <w:rPr>
                <w:rFonts w:hint="eastAsia"/>
                <w:color w:val="auto"/>
              </w:rPr>
              <w:t>5.43</w:t>
            </w:r>
          </w:p>
        </w:tc>
        <w:tc>
          <w:tcPr>
            <w:tcW w:w="1956" w:type="dxa"/>
            <w:vAlign w:val="center"/>
          </w:tcPr>
          <w:p w14:paraId="498802E3">
            <w:pPr>
              <w:pStyle w:val="766"/>
              <w:rPr>
                <w:color w:val="auto"/>
              </w:rPr>
            </w:pPr>
            <w:r>
              <w:rPr>
                <w:rFonts w:hint="eastAsia"/>
                <w:color w:val="auto"/>
              </w:rPr>
              <w:t>布袋除尘器</w:t>
            </w:r>
          </w:p>
        </w:tc>
        <w:tc>
          <w:tcPr>
            <w:tcW w:w="664" w:type="dxa"/>
            <w:vAlign w:val="center"/>
          </w:tcPr>
          <w:p w14:paraId="318A05AD">
            <w:pPr>
              <w:pStyle w:val="766"/>
              <w:rPr>
                <w:color w:val="auto"/>
              </w:rPr>
            </w:pPr>
            <w:r>
              <w:rPr>
                <w:rFonts w:hint="eastAsia"/>
                <w:color w:val="auto"/>
              </w:rPr>
              <w:t>99%</w:t>
            </w:r>
          </w:p>
        </w:tc>
        <w:tc>
          <w:tcPr>
            <w:tcW w:w="1001" w:type="dxa"/>
            <w:vAlign w:val="center"/>
          </w:tcPr>
          <w:p w14:paraId="6B706D0D">
            <w:pPr>
              <w:pStyle w:val="766"/>
              <w:rPr>
                <w:color w:val="auto"/>
              </w:rPr>
            </w:pPr>
            <w:r>
              <w:rPr>
                <w:rFonts w:hint="eastAsia"/>
                <w:color w:val="auto"/>
              </w:rPr>
              <w:t>1.85</w:t>
            </w:r>
          </w:p>
        </w:tc>
        <w:tc>
          <w:tcPr>
            <w:tcW w:w="877" w:type="dxa"/>
            <w:vAlign w:val="center"/>
          </w:tcPr>
          <w:p w14:paraId="6AB7FC18">
            <w:pPr>
              <w:pStyle w:val="766"/>
              <w:rPr>
                <w:color w:val="auto"/>
              </w:rPr>
            </w:pPr>
            <w:r>
              <w:rPr>
                <w:rFonts w:hint="eastAsia"/>
                <w:color w:val="auto"/>
              </w:rPr>
              <w:t>0.02</w:t>
            </w:r>
          </w:p>
        </w:tc>
        <w:tc>
          <w:tcPr>
            <w:tcW w:w="1008" w:type="dxa"/>
            <w:vAlign w:val="center"/>
          </w:tcPr>
          <w:p w14:paraId="26B03FED">
            <w:pPr>
              <w:pStyle w:val="766"/>
              <w:rPr>
                <w:color w:val="auto"/>
              </w:rPr>
            </w:pPr>
            <w:r>
              <w:rPr>
                <w:rFonts w:hint="eastAsia"/>
                <w:color w:val="auto"/>
              </w:rPr>
              <w:t>0.054</w:t>
            </w:r>
          </w:p>
        </w:tc>
        <w:tc>
          <w:tcPr>
            <w:tcW w:w="898" w:type="dxa"/>
            <w:vAlign w:val="center"/>
          </w:tcPr>
          <w:p w14:paraId="4C146565">
            <w:pPr>
              <w:pStyle w:val="766"/>
              <w:rPr>
                <w:color w:val="auto"/>
              </w:rPr>
            </w:pPr>
            <w:r>
              <w:rPr>
                <w:rFonts w:hint="eastAsia"/>
                <w:color w:val="auto"/>
              </w:rPr>
              <w:t>120</w:t>
            </w:r>
          </w:p>
        </w:tc>
        <w:tc>
          <w:tcPr>
            <w:tcW w:w="713" w:type="dxa"/>
            <w:vAlign w:val="center"/>
          </w:tcPr>
          <w:p w14:paraId="594F5CEC">
            <w:pPr>
              <w:pStyle w:val="766"/>
              <w:rPr>
                <w:color w:val="auto"/>
              </w:rPr>
            </w:pPr>
            <w:r>
              <w:rPr>
                <w:rFonts w:hint="eastAsia"/>
                <w:color w:val="auto"/>
              </w:rPr>
              <w:t>3.5</w:t>
            </w:r>
          </w:p>
        </w:tc>
        <w:tc>
          <w:tcPr>
            <w:tcW w:w="513" w:type="dxa"/>
            <w:vAlign w:val="center"/>
          </w:tcPr>
          <w:p w14:paraId="1D0174F3">
            <w:pPr>
              <w:pStyle w:val="766"/>
              <w:rPr>
                <w:color w:val="auto"/>
              </w:rPr>
            </w:pPr>
            <w:r>
              <w:rPr>
                <w:rFonts w:hint="eastAsia"/>
                <w:color w:val="auto"/>
              </w:rPr>
              <w:t>是</w:t>
            </w:r>
          </w:p>
        </w:tc>
      </w:tr>
      <w:tr w14:paraId="3922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637F9435">
            <w:pPr>
              <w:pStyle w:val="766"/>
              <w:rPr>
                <w:color w:val="auto"/>
              </w:rPr>
            </w:pPr>
          </w:p>
        </w:tc>
        <w:tc>
          <w:tcPr>
            <w:tcW w:w="779" w:type="dxa"/>
            <w:vMerge w:val="restart"/>
            <w:vAlign w:val="center"/>
          </w:tcPr>
          <w:p w14:paraId="6F733D9A">
            <w:pPr>
              <w:pStyle w:val="766"/>
              <w:rPr>
                <w:color w:val="auto"/>
                <w:spacing w:val="4"/>
              </w:rPr>
            </w:pPr>
            <w:r>
              <w:rPr>
                <w:color w:val="auto"/>
                <w:spacing w:val="4"/>
              </w:rPr>
              <w:t>污水处理</w:t>
            </w:r>
            <w:r>
              <w:rPr>
                <w:rFonts w:hint="eastAsia"/>
                <w:color w:val="auto"/>
                <w:spacing w:val="4"/>
              </w:rPr>
              <w:t>站</w:t>
            </w:r>
          </w:p>
        </w:tc>
        <w:tc>
          <w:tcPr>
            <w:tcW w:w="1236" w:type="dxa"/>
            <w:vMerge w:val="restart"/>
            <w:vAlign w:val="center"/>
          </w:tcPr>
          <w:p w14:paraId="04A788D1">
            <w:pPr>
              <w:pStyle w:val="766"/>
              <w:rPr>
                <w:color w:val="auto"/>
              </w:rPr>
            </w:pPr>
            <w:r>
              <w:rPr>
                <w:rFonts w:hint="eastAsia"/>
                <w:color w:val="auto"/>
              </w:rPr>
              <w:t>有组织</w:t>
            </w:r>
          </w:p>
          <w:p w14:paraId="52EF0657">
            <w:pPr>
              <w:pStyle w:val="766"/>
              <w:rPr>
                <w:color w:val="auto"/>
              </w:rPr>
            </w:pPr>
            <w:r>
              <w:rPr>
                <w:rFonts w:hint="eastAsia"/>
                <w:color w:val="auto"/>
              </w:rPr>
              <w:t>（DA007）</w:t>
            </w:r>
          </w:p>
        </w:tc>
        <w:tc>
          <w:tcPr>
            <w:tcW w:w="694" w:type="dxa"/>
            <w:vMerge w:val="restart"/>
            <w:vAlign w:val="center"/>
          </w:tcPr>
          <w:p w14:paraId="1AEBC610">
            <w:pPr>
              <w:pStyle w:val="766"/>
              <w:rPr>
                <w:color w:val="auto"/>
              </w:rPr>
            </w:pPr>
            <w:r>
              <w:rPr>
                <w:color w:val="auto"/>
              </w:rPr>
              <w:t>8760</w:t>
            </w:r>
          </w:p>
        </w:tc>
        <w:tc>
          <w:tcPr>
            <w:tcW w:w="653" w:type="dxa"/>
            <w:vAlign w:val="center"/>
          </w:tcPr>
          <w:p w14:paraId="056DD767">
            <w:pPr>
              <w:pStyle w:val="766"/>
              <w:rPr>
                <w:color w:val="auto"/>
              </w:rPr>
            </w:pPr>
            <w:r>
              <w:rPr>
                <w:color w:val="auto"/>
              </w:rPr>
              <w:t>NH</w:t>
            </w:r>
            <w:r>
              <w:rPr>
                <w:color w:val="auto"/>
                <w:vertAlign w:val="subscript"/>
              </w:rPr>
              <w:t>3</w:t>
            </w:r>
          </w:p>
        </w:tc>
        <w:tc>
          <w:tcPr>
            <w:tcW w:w="927" w:type="dxa"/>
            <w:vAlign w:val="center"/>
          </w:tcPr>
          <w:p w14:paraId="524EAD9C">
            <w:pPr>
              <w:pStyle w:val="766"/>
              <w:rPr>
                <w:color w:val="auto"/>
              </w:rPr>
            </w:pPr>
            <w:r>
              <w:rPr>
                <w:rFonts w:hint="eastAsia"/>
                <w:color w:val="auto"/>
              </w:rPr>
              <w:t>0.62</w:t>
            </w:r>
          </w:p>
        </w:tc>
        <w:tc>
          <w:tcPr>
            <w:tcW w:w="951" w:type="dxa"/>
            <w:vAlign w:val="center"/>
          </w:tcPr>
          <w:p w14:paraId="43199B03">
            <w:pPr>
              <w:pStyle w:val="766"/>
              <w:rPr>
                <w:color w:val="auto"/>
              </w:rPr>
            </w:pPr>
            <w:r>
              <w:rPr>
                <w:rFonts w:hint="eastAsia"/>
                <w:color w:val="auto"/>
              </w:rPr>
              <w:t>0.0062</w:t>
            </w:r>
          </w:p>
        </w:tc>
        <w:tc>
          <w:tcPr>
            <w:tcW w:w="888" w:type="dxa"/>
            <w:vAlign w:val="center"/>
          </w:tcPr>
          <w:p w14:paraId="06B0DB9A">
            <w:pPr>
              <w:pStyle w:val="369"/>
              <w:rPr>
                <w:b w:val="0"/>
                <w:bCs/>
                <w:sz w:val="21"/>
                <w:szCs w:val="21"/>
              </w:rPr>
            </w:pPr>
            <w:r>
              <w:rPr>
                <w:rFonts w:hint="eastAsia"/>
                <w:b w:val="0"/>
                <w:bCs/>
                <w:sz w:val="21"/>
                <w:szCs w:val="21"/>
              </w:rPr>
              <w:t>0.054</w:t>
            </w:r>
          </w:p>
        </w:tc>
        <w:tc>
          <w:tcPr>
            <w:tcW w:w="1956" w:type="dxa"/>
            <w:vMerge w:val="restart"/>
            <w:vAlign w:val="center"/>
          </w:tcPr>
          <w:p w14:paraId="73CEB9FB">
            <w:pPr>
              <w:pStyle w:val="766"/>
              <w:rPr>
                <w:color w:val="auto"/>
              </w:rPr>
            </w:pPr>
            <w:r>
              <w:rPr>
                <w:rFonts w:hint="eastAsia"/>
                <w:color w:val="auto"/>
              </w:rPr>
              <w:t>活性离子氧除臭</w:t>
            </w:r>
          </w:p>
        </w:tc>
        <w:tc>
          <w:tcPr>
            <w:tcW w:w="664" w:type="dxa"/>
            <w:vMerge w:val="restart"/>
            <w:vAlign w:val="center"/>
          </w:tcPr>
          <w:p w14:paraId="0123A56C">
            <w:pPr>
              <w:pStyle w:val="766"/>
              <w:rPr>
                <w:color w:val="auto"/>
              </w:rPr>
            </w:pPr>
            <w:r>
              <w:rPr>
                <w:rFonts w:hint="eastAsia"/>
                <w:color w:val="auto"/>
              </w:rPr>
              <w:t>90%</w:t>
            </w:r>
          </w:p>
        </w:tc>
        <w:tc>
          <w:tcPr>
            <w:tcW w:w="1001" w:type="dxa"/>
            <w:vAlign w:val="center"/>
          </w:tcPr>
          <w:p w14:paraId="390CEA65">
            <w:pPr>
              <w:pStyle w:val="766"/>
              <w:rPr>
                <w:color w:val="auto"/>
              </w:rPr>
            </w:pPr>
            <w:r>
              <w:rPr>
                <w:rFonts w:hint="eastAsia"/>
                <w:color w:val="auto"/>
              </w:rPr>
              <w:t>/</w:t>
            </w:r>
          </w:p>
        </w:tc>
        <w:tc>
          <w:tcPr>
            <w:tcW w:w="877" w:type="dxa"/>
            <w:vAlign w:val="center"/>
          </w:tcPr>
          <w:p w14:paraId="78141DC4">
            <w:pPr>
              <w:pStyle w:val="369"/>
              <w:rPr>
                <w:b w:val="0"/>
                <w:bCs/>
                <w:sz w:val="21"/>
                <w:szCs w:val="21"/>
              </w:rPr>
            </w:pPr>
            <w:r>
              <w:rPr>
                <w:rFonts w:hint="eastAsia"/>
                <w:b w:val="0"/>
                <w:bCs/>
                <w:sz w:val="21"/>
                <w:szCs w:val="21"/>
              </w:rPr>
              <w:t>0.0019</w:t>
            </w:r>
          </w:p>
        </w:tc>
        <w:tc>
          <w:tcPr>
            <w:tcW w:w="1008" w:type="dxa"/>
            <w:vAlign w:val="center"/>
          </w:tcPr>
          <w:p w14:paraId="3EBBF3F2">
            <w:pPr>
              <w:pStyle w:val="369"/>
              <w:rPr>
                <w:b w:val="0"/>
                <w:bCs/>
                <w:sz w:val="21"/>
                <w:szCs w:val="21"/>
              </w:rPr>
            </w:pPr>
            <w:r>
              <w:rPr>
                <w:rFonts w:hint="eastAsia"/>
                <w:b w:val="0"/>
                <w:bCs/>
                <w:sz w:val="21"/>
                <w:szCs w:val="21"/>
              </w:rPr>
              <w:t>0.0513</w:t>
            </w:r>
          </w:p>
        </w:tc>
        <w:tc>
          <w:tcPr>
            <w:tcW w:w="898" w:type="dxa"/>
            <w:vAlign w:val="center"/>
          </w:tcPr>
          <w:p w14:paraId="1258739A">
            <w:pPr>
              <w:pStyle w:val="766"/>
              <w:rPr>
                <w:color w:val="auto"/>
              </w:rPr>
            </w:pPr>
            <w:r>
              <w:rPr>
                <w:rFonts w:hint="eastAsia"/>
                <w:color w:val="auto"/>
              </w:rPr>
              <w:t>/</w:t>
            </w:r>
          </w:p>
        </w:tc>
        <w:tc>
          <w:tcPr>
            <w:tcW w:w="713" w:type="dxa"/>
            <w:vAlign w:val="center"/>
          </w:tcPr>
          <w:p w14:paraId="3C67CAAE">
            <w:pPr>
              <w:pStyle w:val="766"/>
              <w:rPr>
                <w:color w:val="auto"/>
              </w:rPr>
            </w:pPr>
            <w:r>
              <w:rPr>
                <w:rFonts w:hint="eastAsia"/>
                <w:color w:val="auto"/>
              </w:rPr>
              <w:t>4.9</w:t>
            </w:r>
          </w:p>
        </w:tc>
        <w:tc>
          <w:tcPr>
            <w:tcW w:w="513" w:type="dxa"/>
            <w:vAlign w:val="center"/>
          </w:tcPr>
          <w:p w14:paraId="564107A6">
            <w:pPr>
              <w:pStyle w:val="766"/>
              <w:rPr>
                <w:color w:val="auto"/>
              </w:rPr>
            </w:pPr>
            <w:r>
              <w:rPr>
                <w:rFonts w:hint="eastAsia"/>
                <w:color w:val="auto"/>
              </w:rPr>
              <w:t>是</w:t>
            </w:r>
          </w:p>
        </w:tc>
      </w:tr>
      <w:tr w14:paraId="5BC3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4F136190">
            <w:pPr>
              <w:pStyle w:val="766"/>
              <w:rPr>
                <w:color w:val="auto"/>
              </w:rPr>
            </w:pPr>
          </w:p>
        </w:tc>
        <w:tc>
          <w:tcPr>
            <w:tcW w:w="779" w:type="dxa"/>
            <w:vMerge w:val="continue"/>
            <w:vAlign w:val="center"/>
          </w:tcPr>
          <w:p w14:paraId="7DFFFC7B">
            <w:pPr>
              <w:pStyle w:val="766"/>
              <w:rPr>
                <w:color w:val="auto"/>
                <w:spacing w:val="4"/>
              </w:rPr>
            </w:pPr>
          </w:p>
        </w:tc>
        <w:tc>
          <w:tcPr>
            <w:tcW w:w="1236" w:type="dxa"/>
            <w:vMerge w:val="continue"/>
            <w:vAlign w:val="center"/>
          </w:tcPr>
          <w:p w14:paraId="7834B8BF">
            <w:pPr>
              <w:pStyle w:val="766"/>
              <w:rPr>
                <w:color w:val="auto"/>
              </w:rPr>
            </w:pPr>
          </w:p>
        </w:tc>
        <w:tc>
          <w:tcPr>
            <w:tcW w:w="694" w:type="dxa"/>
            <w:vMerge w:val="continue"/>
            <w:vAlign w:val="center"/>
          </w:tcPr>
          <w:p w14:paraId="1E1FA5CE">
            <w:pPr>
              <w:pStyle w:val="766"/>
              <w:rPr>
                <w:color w:val="auto"/>
              </w:rPr>
            </w:pPr>
          </w:p>
        </w:tc>
        <w:tc>
          <w:tcPr>
            <w:tcW w:w="653" w:type="dxa"/>
            <w:vAlign w:val="center"/>
          </w:tcPr>
          <w:p w14:paraId="39DD6C7B">
            <w:pPr>
              <w:pStyle w:val="766"/>
              <w:rPr>
                <w:color w:val="auto"/>
              </w:rPr>
            </w:pPr>
            <w:r>
              <w:rPr>
                <w:color w:val="auto"/>
              </w:rPr>
              <w:t>H</w:t>
            </w:r>
            <w:r>
              <w:rPr>
                <w:color w:val="auto"/>
                <w:vertAlign w:val="subscript"/>
              </w:rPr>
              <w:t>2</w:t>
            </w:r>
            <w:r>
              <w:rPr>
                <w:color w:val="auto"/>
              </w:rPr>
              <w:t>S</w:t>
            </w:r>
          </w:p>
        </w:tc>
        <w:tc>
          <w:tcPr>
            <w:tcW w:w="927" w:type="dxa"/>
            <w:vAlign w:val="center"/>
          </w:tcPr>
          <w:p w14:paraId="502F3031">
            <w:pPr>
              <w:pStyle w:val="766"/>
              <w:rPr>
                <w:color w:val="auto"/>
              </w:rPr>
            </w:pPr>
            <w:r>
              <w:rPr>
                <w:rFonts w:hint="eastAsia"/>
                <w:color w:val="auto"/>
              </w:rPr>
              <w:t>0.023</w:t>
            </w:r>
          </w:p>
        </w:tc>
        <w:tc>
          <w:tcPr>
            <w:tcW w:w="951" w:type="dxa"/>
            <w:vAlign w:val="center"/>
          </w:tcPr>
          <w:p w14:paraId="699B4256">
            <w:pPr>
              <w:pStyle w:val="766"/>
              <w:rPr>
                <w:color w:val="auto"/>
              </w:rPr>
            </w:pPr>
            <w:r>
              <w:rPr>
                <w:rFonts w:hint="eastAsia"/>
                <w:color w:val="auto"/>
              </w:rPr>
              <w:t>0.00023</w:t>
            </w:r>
          </w:p>
        </w:tc>
        <w:tc>
          <w:tcPr>
            <w:tcW w:w="888" w:type="dxa"/>
            <w:vAlign w:val="center"/>
          </w:tcPr>
          <w:p w14:paraId="0A15BFA0">
            <w:pPr>
              <w:pStyle w:val="369"/>
              <w:rPr>
                <w:b w:val="0"/>
                <w:bCs/>
                <w:sz w:val="21"/>
                <w:szCs w:val="21"/>
              </w:rPr>
            </w:pPr>
            <w:r>
              <w:rPr>
                <w:rFonts w:hint="eastAsia"/>
                <w:b w:val="0"/>
                <w:bCs/>
                <w:sz w:val="21"/>
                <w:szCs w:val="21"/>
              </w:rPr>
              <w:t>0.002</w:t>
            </w:r>
          </w:p>
        </w:tc>
        <w:tc>
          <w:tcPr>
            <w:tcW w:w="1956" w:type="dxa"/>
            <w:vMerge w:val="continue"/>
            <w:vAlign w:val="center"/>
          </w:tcPr>
          <w:p w14:paraId="49A2B10F">
            <w:pPr>
              <w:pStyle w:val="766"/>
              <w:rPr>
                <w:color w:val="auto"/>
              </w:rPr>
            </w:pPr>
          </w:p>
        </w:tc>
        <w:tc>
          <w:tcPr>
            <w:tcW w:w="664" w:type="dxa"/>
            <w:vMerge w:val="continue"/>
            <w:vAlign w:val="center"/>
          </w:tcPr>
          <w:p w14:paraId="2AE07AC9">
            <w:pPr>
              <w:pStyle w:val="766"/>
              <w:rPr>
                <w:color w:val="auto"/>
              </w:rPr>
            </w:pPr>
          </w:p>
        </w:tc>
        <w:tc>
          <w:tcPr>
            <w:tcW w:w="1001" w:type="dxa"/>
            <w:vAlign w:val="center"/>
          </w:tcPr>
          <w:p w14:paraId="2ADF77DA">
            <w:pPr>
              <w:pStyle w:val="766"/>
              <w:rPr>
                <w:color w:val="auto"/>
              </w:rPr>
            </w:pPr>
            <w:r>
              <w:rPr>
                <w:rFonts w:hint="eastAsia"/>
                <w:color w:val="auto"/>
              </w:rPr>
              <w:t>/</w:t>
            </w:r>
          </w:p>
        </w:tc>
        <w:tc>
          <w:tcPr>
            <w:tcW w:w="877" w:type="dxa"/>
            <w:vAlign w:val="center"/>
          </w:tcPr>
          <w:p w14:paraId="4B80ABEC">
            <w:pPr>
              <w:pStyle w:val="369"/>
              <w:rPr>
                <w:b w:val="0"/>
                <w:bCs/>
                <w:sz w:val="21"/>
                <w:szCs w:val="21"/>
              </w:rPr>
            </w:pPr>
            <w:r>
              <w:rPr>
                <w:rFonts w:hint="eastAsia"/>
                <w:b w:val="0"/>
                <w:bCs/>
                <w:sz w:val="21"/>
                <w:szCs w:val="21"/>
              </w:rPr>
              <w:t>0.0002</w:t>
            </w:r>
          </w:p>
        </w:tc>
        <w:tc>
          <w:tcPr>
            <w:tcW w:w="1008" w:type="dxa"/>
            <w:vAlign w:val="center"/>
          </w:tcPr>
          <w:p w14:paraId="56A90611">
            <w:pPr>
              <w:pStyle w:val="369"/>
              <w:rPr>
                <w:b w:val="0"/>
                <w:bCs/>
                <w:sz w:val="21"/>
                <w:szCs w:val="21"/>
              </w:rPr>
            </w:pPr>
            <w:r>
              <w:rPr>
                <w:rFonts w:hint="eastAsia"/>
                <w:b w:val="0"/>
                <w:bCs/>
                <w:sz w:val="21"/>
                <w:szCs w:val="21"/>
              </w:rPr>
              <w:t>0.0019</w:t>
            </w:r>
          </w:p>
        </w:tc>
        <w:tc>
          <w:tcPr>
            <w:tcW w:w="898" w:type="dxa"/>
            <w:vAlign w:val="center"/>
          </w:tcPr>
          <w:p w14:paraId="57870232">
            <w:pPr>
              <w:pStyle w:val="766"/>
              <w:rPr>
                <w:color w:val="auto"/>
              </w:rPr>
            </w:pPr>
            <w:r>
              <w:rPr>
                <w:rFonts w:hint="eastAsia"/>
                <w:color w:val="auto"/>
              </w:rPr>
              <w:t>/</w:t>
            </w:r>
          </w:p>
        </w:tc>
        <w:tc>
          <w:tcPr>
            <w:tcW w:w="713" w:type="dxa"/>
            <w:vAlign w:val="center"/>
          </w:tcPr>
          <w:p w14:paraId="2A6F7886">
            <w:pPr>
              <w:pStyle w:val="766"/>
              <w:rPr>
                <w:color w:val="auto"/>
              </w:rPr>
            </w:pPr>
            <w:r>
              <w:rPr>
                <w:rFonts w:hint="eastAsia"/>
                <w:color w:val="auto"/>
              </w:rPr>
              <w:t>0.33</w:t>
            </w:r>
          </w:p>
        </w:tc>
        <w:tc>
          <w:tcPr>
            <w:tcW w:w="513" w:type="dxa"/>
            <w:vAlign w:val="center"/>
          </w:tcPr>
          <w:p w14:paraId="280E9504">
            <w:pPr>
              <w:pStyle w:val="766"/>
              <w:rPr>
                <w:color w:val="auto"/>
              </w:rPr>
            </w:pPr>
            <w:r>
              <w:rPr>
                <w:rFonts w:hint="eastAsia"/>
                <w:color w:val="auto"/>
              </w:rPr>
              <w:t>是</w:t>
            </w:r>
          </w:p>
        </w:tc>
      </w:tr>
      <w:tr w14:paraId="7847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476CBDD2">
            <w:pPr>
              <w:pStyle w:val="766"/>
              <w:rPr>
                <w:color w:val="auto"/>
              </w:rPr>
            </w:pPr>
          </w:p>
        </w:tc>
        <w:tc>
          <w:tcPr>
            <w:tcW w:w="779" w:type="dxa"/>
            <w:vMerge w:val="continue"/>
            <w:vAlign w:val="center"/>
          </w:tcPr>
          <w:p w14:paraId="7D5811B0">
            <w:pPr>
              <w:pStyle w:val="766"/>
              <w:rPr>
                <w:color w:val="auto"/>
                <w:spacing w:val="4"/>
              </w:rPr>
            </w:pPr>
          </w:p>
        </w:tc>
        <w:tc>
          <w:tcPr>
            <w:tcW w:w="1236" w:type="dxa"/>
            <w:vMerge w:val="continue"/>
            <w:vAlign w:val="center"/>
          </w:tcPr>
          <w:p w14:paraId="32F6059B">
            <w:pPr>
              <w:pStyle w:val="766"/>
              <w:rPr>
                <w:color w:val="auto"/>
              </w:rPr>
            </w:pPr>
          </w:p>
        </w:tc>
        <w:tc>
          <w:tcPr>
            <w:tcW w:w="694" w:type="dxa"/>
            <w:vMerge w:val="continue"/>
            <w:vAlign w:val="center"/>
          </w:tcPr>
          <w:p w14:paraId="5184519B">
            <w:pPr>
              <w:pStyle w:val="766"/>
              <w:rPr>
                <w:color w:val="auto"/>
              </w:rPr>
            </w:pPr>
          </w:p>
        </w:tc>
        <w:tc>
          <w:tcPr>
            <w:tcW w:w="653" w:type="dxa"/>
            <w:vAlign w:val="center"/>
          </w:tcPr>
          <w:p w14:paraId="4A34ACCD">
            <w:pPr>
              <w:pStyle w:val="766"/>
              <w:rPr>
                <w:color w:val="auto"/>
              </w:rPr>
            </w:pPr>
            <w:r>
              <w:rPr>
                <w:color w:val="auto"/>
              </w:rPr>
              <w:t>臭气浓度</w:t>
            </w:r>
          </w:p>
        </w:tc>
        <w:tc>
          <w:tcPr>
            <w:tcW w:w="927" w:type="dxa"/>
            <w:vAlign w:val="center"/>
          </w:tcPr>
          <w:p w14:paraId="281EF174">
            <w:pPr>
              <w:pStyle w:val="766"/>
              <w:rPr>
                <w:color w:val="auto"/>
              </w:rPr>
            </w:pPr>
            <w:r>
              <w:rPr>
                <w:rFonts w:hint="eastAsia"/>
                <w:color w:val="auto"/>
              </w:rPr>
              <w:t>/</w:t>
            </w:r>
          </w:p>
        </w:tc>
        <w:tc>
          <w:tcPr>
            <w:tcW w:w="951" w:type="dxa"/>
            <w:vAlign w:val="center"/>
          </w:tcPr>
          <w:p w14:paraId="16C400B3">
            <w:pPr>
              <w:pStyle w:val="766"/>
              <w:rPr>
                <w:color w:val="auto"/>
              </w:rPr>
            </w:pPr>
            <w:r>
              <w:rPr>
                <w:rFonts w:hint="eastAsia"/>
                <w:color w:val="auto"/>
              </w:rPr>
              <w:t>/</w:t>
            </w:r>
          </w:p>
        </w:tc>
        <w:tc>
          <w:tcPr>
            <w:tcW w:w="888" w:type="dxa"/>
            <w:vAlign w:val="center"/>
          </w:tcPr>
          <w:p w14:paraId="0A74572E">
            <w:pPr>
              <w:pStyle w:val="369"/>
              <w:rPr>
                <w:b w:val="0"/>
                <w:bCs/>
                <w:sz w:val="21"/>
                <w:szCs w:val="21"/>
              </w:rPr>
            </w:pPr>
            <w:r>
              <w:rPr>
                <w:rFonts w:hint="eastAsia"/>
                <w:b w:val="0"/>
                <w:bCs/>
                <w:sz w:val="21"/>
                <w:szCs w:val="21"/>
              </w:rPr>
              <w:t>/</w:t>
            </w:r>
          </w:p>
        </w:tc>
        <w:tc>
          <w:tcPr>
            <w:tcW w:w="1956" w:type="dxa"/>
            <w:vMerge w:val="continue"/>
            <w:vAlign w:val="center"/>
          </w:tcPr>
          <w:p w14:paraId="53B2B360">
            <w:pPr>
              <w:pStyle w:val="766"/>
              <w:rPr>
                <w:color w:val="auto"/>
              </w:rPr>
            </w:pPr>
          </w:p>
        </w:tc>
        <w:tc>
          <w:tcPr>
            <w:tcW w:w="664" w:type="dxa"/>
            <w:vMerge w:val="continue"/>
            <w:vAlign w:val="center"/>
          </w:tcPr>
          <w:p w14:paraId="6E06729A">
            <w:pPr>
              <w:pStyle w:val="766"/>
              <w:rPr>
                <w:color w:val="auto"/>
              </w:rPr>
            </w:pPr>
          </w:p>
        </w:tc>
        <w:tc>
          <w:tcPr>
            <w:tcW w:w="1001" w:type="dxa"/>
            <w:vAlign w:val="center"/>
          </w:tcPr>
          <w:p w14:paraId="31C5D3B4">
            <w:pPr>
              <w:pStyle w:val="766"/>
              <w:rPr>
                <w:color w:val="auto"/>
              </w:rPr>
            </w:pPr>
            <w:r>
              <w:rPr>
                <w:rFonts w:hint="eastAsia"/>
                <w:color w:val="auto"/>
              </w:rPr>
              <w:t>/</w:t>
            </w:r>
          </w:p>
        </w:tc>
        <w:tc>
          <w:tcPr>
            <w:tcW w:w="877" w:type="dxa"/>
            <w:vAlign w:val="center"/>
          </w:tcPr>
          <w:p w14:paraId="70751495">
            <w:pPr>
              <w:pStyle w:val="766"/>
              <w:rPr>
                <w:color w:val="auto"/>
              </w:rPr>
            </w:pPr>
            <w:r>
              <w:rPr>
                <w:rFonts w:hint="eastAsia"/>
                <w:color w:val="auto"/>
              </w:rPr>
              <w:t>/</w:t>
            </w:r>
          </w:p>
        </w:tc>
        <w:tc>
          <w:tcPr>
            <w:tcW w:w="1008" w:type="dxa"/>
            <w:vAlign w:val="center"/>
          </w:tcPr>
          <w:p w14:paraId="1B0A434A">
            <w:pPr>
              <w:pStyle w:val="766"/>
              <w:rPr>
                <w:color w:val="auto"/>
              </w:rPr>
            </w:pPr>
            <w:r>
              <w:rPr>
                <w:rFonts w:hint="eastAsia"/>
                <w:color w:val="auto"/>
              </w:rPr>
              <w:t>/</w:t>
            </w:r>
          </w:p>
        </w:tc>
        <w:tc>
          <w:tcPr>
            <w:tcW w:w="898" w:type="dxa"/>
            <w:vAlign w:val="center"/>
          </w:tcPr>
          <w:p w14:paraId="7F377A46">
            <w:pPr>
              <w:pStyle w:val="766"/>
              <w:rPr>
                <w:color w:val="auto"/>
              </w:rPr>
            </w:pPr>
            <w:r>
              <w:rPr>
                <w:rFonts w:hint="eastAsia"/>
                <w:color w:val="auto"/>
              </w:rPr>
              <w:t>/</w:t>
            </w:r>
          </w:p>
        </w:tc>
        <w:tc>
          <w:tcPr>
            <w:tcW w:w="713" w:type="dxa"/>
            <w:vAlign w:val="center"/>
          </w:tcPr>
          <w:p w14:paraId="07E942B6">
            <w:pPr>
              <w:pStyle w:val="766"/>
              <w:rPr>
                <w:color w:val="auto"/>
              </w:rPr>
            </w:pPr>
            <w:r>
              <w:rPr>
                <w:rFonts w:hint="eastAsia"/>
                <w:color w:val="auto"/>
              </w:rPr>
              <w:t>/</w:t>
            </w:r>
          </w:p>
        </w:tc>
        <w:tc>
          <w:tcPr>
            <w:tcW w:w="513" w:type="dxa"/>
            <w:vAlign w:val="center"/>
          </w:tcPr>
          <w:p w14:paraId="022980B7">
            <w:pPr>
              <w:pStyle w:val="766"/>
              <w:rPr>
                <w:color w:val="auto"/>
              </w:rPr>
            </w:pPr>
            <w:r>
              <w:rPr>
                <w:rFonts w:hint="eastAsia"/>
                <w:color w:val="auto"/>
              </w:rPr>
              <w:t>是</w:t>
            </w:r>
          </w:p>
        </w:tc>
      </w:tr>
      <w:tr w14:paraId="36ED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57ED9368">
            <w:pPr>
              <w:pStyle w:val="766"/>
              <w:rPr>
                <w:color w:val="auto"/>
              </w:rPr>
            </w:pPr>
          </w:p>
        </w:tc>
        <w:tc>
          <w:tcPr>
            <w:tcW w:w="779" w:type="dxa"/>
            <w:vMerge w:val="continue"/>
            <w:vAlign w:val="center"/>
          </w:tcPr>
          <w:p w14:paraId="18A5CE21">
            <w:pPr>
              <w:pStyle w:val="766"/>
              <w:rPr>
                <w:color w:val="auto"/>
                <w:spacing w:val="4"/>
              </w:rPr>
            </w:pPr>
          </w:p>
        </w:tc>
        <w:tc>
          <w:tcPr>
            <w:tcW w:w="1236" w:type="dxa"/>
            <w:vMerge w:val="restart"/>
            <w:vAlign w:val="center"/>
          </w:tcPr>
          <w:p w14:paraId="2A27A1B8">
            <w:pPr>
              <w:pStyle w:val="766"/>
              <w:rPr>
                <w:color w:val="auto"/>
              </w:rPr>
            </w:pPr>
            <w:r>
              <w:rPr>
                <w:color w:val="auto"/>
              </w:rPr>
              <w:t>无组织</w:t>
            </w:r>
          </w:p>
        </w:tc>
        <w:tc>
          <w:tcPr>
            <w:tcW w:w="694" w:type="dxa"/>
            <w:vMerge w:val="continue"/>
            <w:vAlign w:val="center"/>
          </w:tcPr>
          <w:p w14:paraId="6E1622EF">
            <w:pPr>
              <w:pStyle w:val="766"/>
              <w:rPr>
                <w:color w:val="auto"/>
              </w:rPr>
            </w:pPr>
          </w:p>
        </w:tc>
        <w:tc>
          <w:tcPr>
            <w:tcW w:w="653" w:type="dxa"/>
            <w:vAlign w:val="center"/>
          </w:tcPr>
          <w:p w14:paraId="5A2F84DB">
            <w:pPr>
              <w:pStyle w:val="766"/>
              <w:rPr>
                <w:color w:val="auto"/>
              </w:rPr>
            </w:pPr>
            <w:r>
              <w:rPr>
                <w:color w:val="auto"/>
              </w:rPr>
              <w:t>NH</w:t>
            </w:r>
            <w:r>
              <w:rPr>
                <w:color w:val="auto"/>
                <w:vertAlign w:val="subscript"/>
              </w:rPr>
              <w:t>3</w:t>
            </w:r>
          </w:p>
        </w:tc>
        <w:tc>
          <w:tcPr>
            <w:tcW w:w="927" w:type="dxa"/>
            <w:vAlign w:val="center"/>
          </w:tcPr>
          <w:p w14:paraId="4AF618CF">
            <w:pPr>
              <w:pStyle w:val="766"/>
              <w:rPr>
                <w:color w:val="auto"/>
              </w:rPr>
            </w:pPr>
            <w:r>
              <w:rPr>
                <w:rFonts w:hint="eastAsia"/>
                <w:color w:val="auto"/>
              </w:rPr>
              <w:t>0</w:t>
            </w:r>
            <w:r>
              <w:rPr>
                <w:color w:val="auto"/>
              </w:rPr>
              <w:t>.0003</w:t>
            </w:r>
          </w:p>
        </w:tc>
        <w:tc>
          <w:tcPr>
            <w:tcW w:w="951" w:type="dxa"/>
            <w:vAlign w:val="center"/>
          </w:tcPr>
          <w:p w14:paraId="3D7858EA">
            <w:pPr>
              <w:pStyle w:val="766"/>
              <w:rPr>
                <w:color w:val="auto"/>
              </w:rPr>
            </w:pPr>
            <w:r>
              <w:rPr>
                <w:rFonts w:hint="eastAsia"/>
                <w:color w:val="auto"/>
              </w:rPr>
              <w:t>0</w:t>
            </w:r>
            <w:r>
              <w:rPr>
                <w:color w:val="auto"/>
              </w:rPr>
              <w:t>.0003</w:t>
            </w:r>
          </w:p>
        </w:tc>
        <w:tc>
          <w:tcPr>
            <w:tcW w:w="888" w:type="dxa"/>
            <w:vAlign w:val="center"/>
          </w:tcPr>
          <w:p w14:paraId="3339FCAE">
            <w:pPr>
              <w:pStyle w:val="766"/>
              <w:rPr>
                <w:color w:val="auto"/>
              </w:rPr>
            </w:pPr>
            <w:r>
              <w:rPr>
                <w:rFonts w:hint="eastAsia"/>
                <w:color w:val="auto"/>
              </w:rPr>
              <w:t>0</w:t>
            </w:r>
            <w:r>
              <w:rPr>
                <w:color w:val="auto"/>
              </w:rPr>
              <w:t>.0027</w:t>
            </w:r>
          </w:p>
        </w:tc>
        <w:tc>
          <w:tcPr>
            <w:tcW w:w="1956" w:type="dxa"/>
            <w:vMerge w:val="restart"/>
            <w:vAlign w:val="center"/>
          </w:tcPr>
          <w:p w14:paraId="4E1E8F7D">
            <w:pPr>
              <w:pStyle w:val="766"/>
              <w:rPr>
                <w:color w:val="auto"/>
              </w:rPr>
            </w:pPr>
            <w:r>
              <w:rPr>
                <w:rFonts w:hint="eastAsia"/>
                <w:color w:val="auto"/>
              </w:rPr>
              <w:t>/</w:t>
            </w:r>
          </w:p>
        </w:tc>
        <w:tc>
          <w:tcPr>
            <w:tcW w:w="664" w:type="dxa"/>
            <w:vMerge w:val="restart"/>
            <w:vAlign w:val="center"/>
          </w:tcPr>
          <w:p w14:paraId="1F14DE85">
            <w:pPr>
              <w:pStyle w:val="766"/>
              <w:rPr>
                <w:color w:val="auto"/>
              </w:rPr>
            </w:pPr>
            <w:r>
              <w:rPr>
                <w:rFonts w:hint="eastAsia"/>
                <w:color w:val="auto"/>
              </w:rPr>
              <w:t>/</w:t>
            </w:r>
          </w:p>
        </w:tc>
        <w:tc>
          <w:tcPr>
            <w:tcW w:w="1001" w:type="dxa"/>
            <w:vAlign w:val="center"/>
          </w:tcPr>
          <w:p w14:paraId="105F3FE1">
            <w:pPr>
              <w:pStyle w:val="766"/>
              <w:rPr>
                <w:color w:val="auto"/>
              </w:rPr>
            </w:pPr>
            <w:r>
              <w:rPr>
                <w:rFonts w:hint="eastAsia"/>
                <w:color w:val="auto"/>
              </w:rPr>
              <w:t>0</w:t>
            </w:r>
            <w:r>
              <w:rPr>
                <w:color w:val="auto"/>
              </w:rPr>
              <w:t>.0003</w:t>
            </w:r>
          </w:p>
        </w:tc>
        <w:tc>
          <w:tcPr>
            <w:tcW w:w="877" w:type="dxa"/>
            <w:vAlign w:val="center"/>
          </w:tcPr>
          <w:p w14:paraId="2DBA5A45">
            <w:pPr>
              <w:pStyle w:val="766"/>
              <w:rPr>
                <w:color w:val="auto"/>
              </w:rPr>
            </w:pPr>
            <w:r>
              <w:rPr>
                <w:rFonts w:hint="eastAsia"/>
                <w:color w:val="auto"/>
              </w:rPr>
              <w:t>/</w:t>
            </w:r>
          </w:p>
        </w:tc>
        <w:tc>
          <w:tcPr>
            <w:tcW w:w="1008" w:type="dxa"/>
            <w:vAlign w:val="center"/>
          </w:tcPr>
          <w:p w14:paraId="3084F6AA">
            <w:pPr>
              <w:pStyle w:val="766"/>
              <w:rPr>
                <w:color w:val="auto"/>
              </w:rPr>
            </w:pPr>
            <w:r>
              <w:rPr>
                <w:rFonts w:hint="eastAsia"/>
                <w:color w:val="auto"/>
              </w:rPr>
              <w:t>0</w:t>
            </w:r>
            <w:r>
              <w:rPr>
                <w:color w:val="auto"/>
              </w:rPr>
              <w:t>.0027</w:t>
            </w:r>
          </w:p>
        </w:tc>
        <w:tc>
          <w:tcPr>
            <w:tcW w:w="898" w:type="dxa"/>
            <w:vAlign w:val="center"/>
          </w:tcPr>
          <w:p w14:paraId="0343DE5E">
            <w:pPr>
              <w:pStyle w:val="766"/>
              <w:rPr>
                <w:color w:val="auto"/>
              </w:rPr>
            </w:pPr>
            <w:r>
              <w:rPr>
                <w:color w:val="auto"/>
              </w:rPr>
              <w:t>1.5</w:t>
            </w:r>
          </w:p>
        </w:tc>
        <w:tc>
          <w:tcPr>
            <w:tcW w:w="713" w:type="dxa"/>
            <w:vAlign w:val="center"/>
          </w:tcPr>
          <w:p w14:paraId="5DC83E52">
            <w:pPr>
              <w:pStyle w:val="766"/>
              <w:rPr>
                <w:color w:val="auto"/>
              </w:rPr>
            </w:pPr>
            <w:r>
              <w:rPr>
                <w:color w:val="auto"/>
              </w:rPr>
              <w:t>/</w:t>
            </w:r>
          </w:p>
        </w:tc>
        <w:tc>
          <w:tcPr>
            <w:tcW w:w="513" w:type="dxa"/>
            <w:vAlign w:val="center"/>
          </w:tcPr>
          <w:p w14:paraId="6B023E61">
            <w:pPr>
              <w:pStyle w:val="766"/>
              <w:rPr>
                <w:color w:val="auto"/>
              </w:rPr>
            </w:pPr>
            <w:r>
              <w:rPr>
                <w:color w:val="auto"/>
              </w:rPr>
              <w:t>是</w:t>
            </w:r>
          </w:p>
        </w:tc>
      </w:tr>
      <w:tr w14:paraId="124C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455" w:type="dxa"/>
            <w:vMerge w:val="continue"/>
            <w:vAlign w:val="center"/>
          </w:tcPr>
          <w:p w14:paraId="325D4F94">
            <w:pPr>
              <w:pStyle w:val="766"/>
              <w:rPr>
                <w:color w:val="auto"/>
              </w:rPr>
            </w:pPr>
          </w:p>
        </w:tc>
        <w:tc>
          <w:tcPr>
            <w:tcW w:w="779" w:type="dxa"/>
            <w:vMerge w:val="continue"/>
            <w:vAlign w:val="center"/>
          </w:tcPr>
          <w:p w14:paraId="7305300B">
            <w:pPr>
              <w:pStyle w:val="766"/>
              <w:rPr>
                <w:color w:val="auto"/>
                <w:spacing w:val="4"/>
              </w:rPr>
            </w:pPr>
          </w:p>
        </w:tc>
        <w:tc>
          <w:tcPr>
            <w:tcW w:w="1236" w:type="dxa"/>
            <w:vMerge w:val="continue"/>
            <w:vAlign w:val="center"/>
          </w:tcPr>
          <w:p w14:paraId="6F60AE3C">
            <w:pPr>
              <w:pStyle w:val="766"/>
              <w:rPr>
                <w:color w:val="auto"/>
              </w:rPr>
            </w:pPr>
          </w:p>
        </w:tc>
        <w:tc>
          <w:tcPr>
            <w:tcW w:w="694" w:type="dxa"/>
            <w:vMerge w:val="continue"/>
            <w:vAlign w:val="center"/>
          </w:tcPr>
          <w:p w14:paraId="561DAA5F">
            <w:pPr>
              <w:pStyle w:val="766"/>
              <w:rPr>
                <w:color w:val="auto"/>
              </w:rPr>
            </w:pPr>
          </w:p>
        </w:tc>
        <w:tc>
          <w:tcPr>
            <w:tcW w:w="653" w:type="dxa"/>
            <w:vAlign w:val="center"/>
          </w:tcPr>
          <w:p w14:paraId="305CA93D">
            <w:pPr>
              <w:pStyle w:val="766"/>
              <w:rPr>
                <w:color w:val="auto"/>
              </w:rPr>
            </w:pPr>
            <w:r>
              <w:rPr>
                <w:color w:val="auto"/>
              </w:rPr>
              <w:t>H</w:t>
            </w:r>
            <w:r>
              <w:rPr>
                <w:color w:val="auto"/>
                <w:vertAlign w:val="subscript"/>
              </w:rPr>
              <w:t>2</w:t>
            </w:r>
            <w:r>
              <w:rPr>
                <w:color w:val="auto"/>
              </w:rPr>
              <w:t>S</w:t>
            </w:r>
          </w:p>
        </w:tc>
        <w:tc>
          <w:tcPr>
            <w:tcW w:w="927" w:type="dxa"/>
            <w:vAlign w:val="center"/>
          </w:tcPr>
          <w:p w14:paraId="6606E1B7">
            <w:pPr>
              <w:pStyle w:val="766"/>
              <w:rPr>
                <w:color w:val="auto"/>
              </w:rPr>
            </w:pPr>
            <w:r>
              <w:rPr>
                <w:rFonts w:hint="eastAsia"/>
                <w:color w:val="auto"/>
              </w:rPr>
              <w:t>0</w:t>
            </w:r>
            <w:r>
              <w:rPr>
                <w:color w:val="auto"/>
              </w:rPr>
              <w:t>.00001</w:t>
            </w:r>
          </w:p>
        </w:tc>
        <w:tc>
          <w:tcPr>
            <w:tcW w:w="951" w:type="dxa"/>
            <w:vAlign w:val="center"/>
          </w:tcPr>
          <w:p w14:paraId="317522A9">
            <w:pPr>
              <w:pStyle w:val="766"/>
              <w:rPr>
                <w:color w:val="auto"/>
              </w:rPr>
            </w:pPr>
            <w:r>
              <w:rPr>
                <w:rFonts w:hint="eastAsia"/>
                <w:color w:val="auto"/>
              </w:rPr>
              <w:t>0</w:t>
            </w:r>
            <w:r>
              <w:rPr>
                <w:color w:val="auto"/>
              </w:rPr>
              <w:t>.00001</w:t>
            </w:r>
          </w:p>
        </w:tc>
        <w:tc>
          <w:tcPr>
            <w:tcW w:w="888" w:type="dxa"/>
            <w:vAlign w:val="center"/>
          </w:tcPr>
          <w:p w14:paraId="1065D634">
            <w:pPr>
              <w:pStyle w:val="766"/>
              <w:rPr>
                <w:color w:val="auto"/>
              </w:rPr>
            </w:pPr>
            <w:r>
              <w:rPr>
                <w:rFonts w:hint="eastAsia"/>
                <w:color w:val="auto"/>
              </w:rPr>
              <w:t>0</w:t>
            </w:r>
            <w:r>
              <w:rPr>
                <w:color w:val="auto"/>
              </w:rPr>
              <w:t>.0001</w:t>
            </w:r>
          </w:p>
        </w:tc>
        <w:tc>
          <w:tcPr>
            <w:tcW w:w="1956" w:type="dxa"/>
            <w:vMerge w:val="continue"/>
            <w:vAlign w:val="center"/>
          </w:tcPr>
          <w:p w14:paraId="7FC458E0">
            <w:pPr>
              <w:pStyle w:val="766"/>
              <w:rPr>
                <w:color w:val="auto"/>
              </w:rPr>
            </w:pPr>
          </w:p>
        </w:tc>
        <w:tc>
          <w:tcPr>
            <w:tcW w:w="664" w:type="dxa"/>
            <w:vMerge w:val="continue"/>
            <w:vAlign w:val="center"/>
          </w:tcPr>
          <w:p w14:paraId="0FE42FAA">
            <w:pPr>
              <w:pStyle w:val="766"/>
              <w:rPr>
                <w:color w:val="auto"/>
              </w:rPr>
            </w:pPr>
          </w:p>
        </w:tc>
        <w:tc>
          <w:tcPr>
            <w:tcW w:w="1001" w:type="dxa"/>
            <w:vAlign w:val="center"/>
          </w:tcPr>
          <w:p w14:paraId="3C6BEB9B">
            <w:pPr>
              <w:pStyle w:val="766"/>
              <w:rPr>
                <w:color w:val="auto"/>
              </w:rPr>
            </w:pPr>
            <w:r>
              <w:rPr>
                <w:rFonts w:hint="eastAsia"/>
                <w:color w:val="auto"/>
              </w:rPr>
              <w:t>0</w:t>
            </w:r>
            <w:r>
              <w:rPr>
                <w:color w:val="auto"/>
              </w:rPr>
              <w:t>.00001</w:t>
            </w:r>
          </w:p>
        </w:tc>
        <w:tc>
          <w:tcPr>
            <w:tcW w:w="877" w:type="dxa"/>
            <w:vAlign w:val="center"/>
          </w:tcPr>
          <w:p w14:paraId="651D8BA4">
            <w:pPr>
              <w:pStyle w:val="766"/>
              <w:rPr>
                <w:color w:val="auto"/>
              </w:rPr>
            </w:pPr>
            <w:r>
              <w:rPr>
                <w:rFonts w:hint="eastAsia"/>
                <w:color w:val="auto"/>
              </w:rPr>
              <w:t>/</w:t>
            </w:r>
          </w:p>
        </w:tc>
        <w:tc>
          <w:tcPr>
            <w:tcW w:w="1008" w:type="dxa"/>
            <w:vAlign w:val="center"/>
          </w:tcPr>
          <w:p w14:paraId="2658FDE3">
            <w:pPr>
              <w:pStyle w:val="766"/>
              <w:rPr>
                <w:color w:val="auto"/>
              </w:rPr>
            </w:pPr>
            <w:r>
              <w:rPr>
                <w:rFonts w:hint="eastAsia"/>
                <w:color w:val="auto"/>
              </w:rPr>
              <w:t>0</w:t>
            </w:r>
            <w:r>
              <w:rPr>
                <w:color w:val="auto"/>
              </w:rPr>
              <w:t>.0001</w:t>
            </w:r>
          </w:p>
        </w:tc>
        <w:tc>
          <w:tcPr>
            <w:tcW w:w="898" w:type="dxa"/>
            <w:vAlign w:val="center"/>
          </w:tcPr>
          <w:p w14:paraId="2E846596">
            <w:pPr>
              <w:pStyle w:val="766"/>
              <w:rPr>
                <w:color w:val="auto"/>
              </w:rPr>
            </w:pPr>
            <w:r>
              <w:rPr>
                <w:color w:val="auto"/>
              </w:rPr>
              <w:t>0.06</w:t>
            </w:r>
          </w:p>
        </w:tc>
        <w:tc>
          <w:tcPr>
            <w:tcW w:w="713" w:type="dxa"/>
            <w:vAlign w:val="center"/>
          </w:tcPr>
          <w:p w14:paraId="70D8EF7B">
            <w:pPr>
              <w:pStyle w:val="766"/>
              <w:rPr>
                <w:color w:val="auto"/>
              </w:rPr>
            </w:pPr>
            <w:r>
              <w:rPr>
                <w:color w:val="auto"/>
              </w:rPr>
              <w:t>/</w:t>
            </w:r>
          </w:p>
        </w:tc>
        <w:tc>
          <w:tcPr>
            <w:tcW w:w="513" w:type="dxa"/>
            <w:vAlign w:val="center"/>
          </w:tcPr>
          <w:p w14:paraId="5E4DC69E">
            <w:pPr>
              <w:pStyle w:val="766"/>
              <w:rPr>
                <w:color w:val="auto"/>
              </w:rPr>
            </w:pPr>
            <w:r>
              <w:rPr>
                <w:color w:val="auto"/>
              </w:rPr>
              <w:t>是</w:t>
            </w:r>
          </w:p>
        </w:tc>
      </w:tr>
      <w:tr w14:paraId="5171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6803536F">
            <w:pPr>
              <w:pStyle w:val="766"/>
              <w:rPr>
                <w:color w:val="auto"/>
              </w:rPr>
            </w:pPr>
          </w:p>
        </w:tc>
        <w:tc>
          <w:tcPr>
            <w:tcW w:w="779" w:type="dxa"/>
            <w:vMerge w:val="continue"/>
            <w:vAlign w:val="center"/>
          </w:tcPr>
          <w:p w14:paraId="0DBB250A">
            <w:pPr>
              <w:pStyle w:val="766"/>
              <w:rPr>
                <w:color w:val="auto"/>
                <w:spacing w:val="4"/>
              </w:rPr>
            </w:pPr>
          </w:p>
        </w:tc>
        <w:tc>
          <w:tcPr>
            <w:tcW w:w="1236" w:type="dxa"/>
            <w:vMerge w:val="continue"/>
            <w:vAlign w:val="center"/>
          </w:tcPr>
          <w:p w14:paraId="6FE363D6">
            <w:pPr>
              <w:pStyle w:val="766"/>
              <w:rPr>
                <w:color w:val="auto"/>
              </w:rPr>
            </w:pPr>
          </w:p>
        </w:tc>
        <w:tc>
          <w:tcPr>
            <w:tcW w:w="694" w:type="dxa"/>
            <w:vMerge w:val="continue"/>
            <w:vAlign w:val="center"/>
          </w:tcPr>
          <w:p w14:paraId="0DC15CD0">
            <w:pPr>
              <w:pStyle w:val="766"/>
              <w:rPr>
                <w:color w:val="auto"/>
              </w:rPr>
            </w:pPr>
          </w:p>
        </w:tc>
        <w:tc>
          <w:tcPr>
            <w:tcW w:w="653" w:type="dxa"/>
            <w:vAlign w:val="center"/>
          </w:tcPr>
          <w:p w14:paraId="44D2E875">
            <w:pPr>
              <w:pStyle w:val="766"/>
              <w:rPr>
                <w:color w:val="auto"/>
              </w:rPr>
            </w:pPr>
            <w:r>
              <w:rPr>
                <w:color w:val="auto"/>
              </w:rPr>
              <w:t>臭气浓度</w:t>
            </w:r>
          </w:p>
        </w:tc>
        <w:tc>
          <w:tcPr>
            <w:tcW w:w="927" w:type="dxa"/>
            <w:vAlign w:val="center"/>
          </w:tcPr>
          <w:p w14:paraId="0812843B">
            <w:pPr>
              <w:pStyle w:val="766"/>
              <w:rPr>
                <w:color w:val="auto"/>
              </w:rPr>
            </w:pPr>
            <w:r>
              <w:rPr>
                <w:color w:val="auto"/>
              </w:rPr>
              <w:t>/</w:t>
            </w:r>
          </w:p>
        </w:tc>
        <w:tc>
          <w:tcPr>
            <w:tcW w:w="951" w:type="dxa"/>
            <w:vAlign w:val="center"/>
          </w:tcPr>
          <w:p w14:paraId="731EEF70">
            <w:pPr>
              <w:pStyle w:val="766"/>
              <w:rPr>
                <w:color w:val="auto"/>
              </w:rPr>
            </w:pPr>
            <w:r>
              <w:rPr>
                <w:color w:val="auto"/>
              </w:rPr>
              <w:t>/</w:t>
            </w:r>
          </w:p>
        </w:tc>
        <w:tc>
          <w:tcPr>
            <w:tcW w:w="888" w:type="dxa"/>
            <w:vAlign w:val="center"/>
          </w:tcPr>
          <w:p w14:paraId="7A240AB3">
            <w:pPr>
              <w:pStyle w:val="766"/>
              <w:rPr>
                <w:color w:val="auto"/>
              </w:rPr>
            </w:pPr>
            <w:r>
              <w:rPr>
                <w:color w:val="auto"/>
              </w:rPr>
              <w:t>90（无量纲）</w:t>
            </w:r>
          </w:p>
        </w:tc>
        <w:tc>
          <w:tcPr>
            <w:tcW w:w="1956" w:type="dxa"/>
            <w:vMerge w:val="continue"/>
            <w:vAlign w:val="center"/>
          </w:tcPr>
          <w:p w14:paraId="0A721342">
            <w:pPr>
              <w:pStyle w:val="766"/>
              <w:rPr>
                <w:color w:val="auto"/>
              </w:rPr>
            </w:pPr>
          </w:p>
        </w:tc>
        <w:tc>
          <w:tcPr>
            <w:tcW w:w="664" w:type="dxa"/>
            <w:vMerge w:val="continue"/>
            <w:vAlign w:val="center"/>
          </w:tcPr>
          <w:p w14:paraId="475B858C">
            <w:pPr>
              <w:pStyle w:val="766"/>
              <w:rPr>
                <w:color w:val="auto"/>
              </w:rPr>
            </w:pPr>
          </w:p>
        </w:tc>
        <w:tc>
          <w:tcPr>
            <w:tcW w:w="1001" w:type="dxa"/>
            <w:vAlign w:val="center"/>
          </w:tcPr>
          <w:p w14:paraId="7274CA25">
            <w:pPr>
              <w:pStyle w:val="766"/>
              <w:rPr>
                <w:color w:val="auto"/>
              </w:rPr>
            </w:pPr>
            <w:r>
              <w:rPr>
                <w:color w:val="auto"/>
              </w:rPr>
              <w:t>/</w:t>
            </w:r>
          </w:p>
        </w:tc>
        <w:tc>
          <w:tcPr>
            <w:tcW w:w="877" w:type="dxa"/>
            <w:vAlign w:val="center"/>
          </w:tcPr>
          <w:p w14:paraId="7FFEE1F2">
            <w:pPr>
              <w:pStyle w:val="766"/>
              <w:rPr>
                <w:color w:val="auto"/>
              </w:rPr>
            </w:pPr>
            <w:r>
              <w:rPr>
                <w:color w:val="auto"/>
              </w:rPr>
              <w:t>/</w:t>
            </w:r>
          </w:p>
        </w:tc>
        <w:tc>
          <w:tcPr>
            <w:tcW w:w="1008" w:type="dxa"/>
            <w:vAlign w:val="center"/>
          </w:tcPr>
          <w:p w14:paraId="12C8031B">
            <w:pPr>
              <w:pStyle w:val="766"/>
              <w:rPr>
                <w:color w:val="auto"/>
              </w:rPr>
            </w:pPr>
            <w:r>
              <w:rPr>
                <w:color w:val="auto"/>
              </w:rPr>
              <w:t>＜30（无量纲）</w:t>
            </w:r>
          </w:p>
        </w:tc>
        <w:tc>
          <w:tcPr>
            <w:tcW w:w="898" w:type="dxa"/>
            <w:vAlign w:val="center"/>
          </w:tcPr>
          <w:p w14:paraId="0638F119">
            <w:pPr>
              <w:pStyle w:val="766"/>
              <w:rPr>
                <w:color w:val="auto"/>
              </w:rPr>
            </w:pPr>
            <w:r>
              <w:rPr>
                <w:color w:val="auto"/>
              </w:rPr>
              <w:t>70（无量纲）</w:t>
            </w:r>
          </w:p>
        </w:tc>
        <w:tc>
          <w:tcPr>
            <w:tcW w:w="713" w:type="dxa"/>
            <w:vAlign w:val="center"/>
          </w:tcPr>
          <w:p w14:paraId="543EC680">
            <w:pPr>
              <w:pStyle w:val="766"/>
              <w:rPr>
                <w:color w:val="auto"/>
              </w:rPr>
            </w:pPr>
            <w:r>
              <w:rPr>
                <w:color w:val="auto"/>
              </w:rPr>
              <w:t>/</w:t>
            </w:r>
          </w:p>
        </w:tc>
        <w:tc>
          <w:tcPr>
            <w:tcW w:w="513" w:type="dxa"/>
            <w:vAlign w:val="center"/>
          </w:tcPr>
          <w:p w14:paraId="3D981537">
            <w:pPr>
              <w:pStyle w:val="766"/>
              <w:rPr>
                <w:color w:val="auto"/>
              </w:rPr>
            </w:pPr>
            <w:r>
              <w:rPr>
                <w:color w:val="auto"/>
              </w:rPr>
              <w:t>是</w:t>
            </w:r>
          </w:p>
        </w:tc>
      </w:tr>
      <w:tr w14:paraId="14BD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0951D077">
            <w:pPr>
              <w:pStyle w:val="766"/>
              <w:rPr>
                <w:color w:val="auto"/>
              </w:rPr>
            </w:pPr>
          </w:p>
        </w:tc>
        <w:tc>
          <w:tcPr>
            <w:tcW w:w="779" w:type="dxa"/>
            <w:vAlign w:val="center"/>
          </w:tcPr>
          <w:p w14:paraId="7FABABFE">
            <w:pPr>
              <w:pStyle w:val="766"/>
              <w:rPr>
                <w:color w:val="auto"/>
                <w:spacing w:val="4"/>
              </w:rPr>
            </w:pPr>
            <w:r>
              <w:rPr>
                <w:color w:val="auto"/>
                <w:spacing w:val="4"/>
              </w:rPr>
              <w:t>饲料加工车间</w:t>
            </w:r>
          </w:p>
        </w:tc>
        <w:tc>
          <w:tcPr>
            <w:tcW w:w="1236" w:type="dxa"/>
            <w:vAlign w:val="center"/>
          </w:tcPr>
          <w:p w14:paraId="70A8E346">
            <w:pPr>
              <w:pStyle w:val="766"/>
              <w:rPr>
                <w:color w:val="auto"/>
              </w:rPr>
            </w:pPr>
            <w:r>
              <w:rPr>
                <w:color w:val="auto"/>
              </w:rPr>
              <w:t>有组织（DA001）</w:t>
            </w:r>
          </w:p>
        </w:tc>
        <w:tc>
          <w:tcPr>
            <w:tcW w:w="694" w:type="dxa"/>
            <w:vAlign w:val="center"/>
          </w:tcPr>
          <w:p w14:paraId="4DFB8323">
            <w:pPr>
              <w:pStyle w:val="766"/>
              <w:rPr>
                <w:color w:val="auto"/>
              </w:rPr>
            </w:pPr>
            <w:r>
              <w:rPr>
                <w:color w:val="auto"/>
              </w:rPr>
              <w:t>2400</w:t>
            </w:r>
          </w:p>
        </w:tc>
        <w:tc>
          <w:tcPr>
            <w:tcW w:w="653" w:type="dxa"/>
            <w:vAlign w:val="center"/>
          </w:tcPr>
          <w:p w14:paraId="2258F5D2">
            <w:pPr>
              <w:pStyle w:val="766"/>
              <w:rPr>
                <w:color w:val="auto"/>
              </w:rPr>
            </w:pPr>
            <w:r>
              <w:rPr>
                <w:color w:val="auto"/>
              </w:rPr>
              <w:t>颗粒物</w:t>
            </w:r>
          </w:p>
        </w:tc>
        <w:tc>
          <w:tcPr>
            <w:tcW w:w="927" w:type="dxa"/>
            <w:vAlign w:val="center"/>
          </w:tcPr>
          <w:p w14:paraId="60CE11AC">
            <w:pPr>
              <w:pStyle w:val="766"/>
              <w:rPr>
                <w:color w:val="auto"/>
              </w:rPr>
            </w:pPr>
            <w:r>
              <w:rPr>
                <w:rFonts w:hint="eastAsia"/>
                <w:color w:val="auto"/>
              </w:rPr>
              <w:t>2</w:t>
            </w:r>
            <w:r>
              <w:rPr>
                <w:color w:val="auto"/>
              </w:rPr>
              <w:t>33.5</w:t>
            </w:r>
          </w:p>
        </w:tc>
        <w:tc>
          <w:tcPr>
            <w:tcW w:w="951" w:type="dxa"/>
            <w:vAlign w:val="center"/>
          </w:tcPr>
          <w:p w14:paraId="43B52DC7">
            <w:pPr>
              <w:pStyle w:val="766"/>
              <w:rPr>
                <w:color w:val="auto"/>
              </w:rPr>
            </w:pPr>
            <w:r>
              <w:rPr>
                <w:rFonts w:hint="eastAsia"/>
                <w:color w:val="auto"/>
              </w:rPr>
              <w:t>0</w:t>
            </w:r>
            <w:r>
              <w:rPr>
                <w:color w:val="auto"/>
              </w:rPr>
              <w:t>.934</w:t>
            </w:r>
          </w:p>
        </w:tc>
        <w:tc>
          <w:tcPr>
            <w:tcW w:w="888" w:type="dxa"/>
            <w:vAlign w:val="center"/>
          </w:tcPr>
          <w:p w14:paraId="79DAD955">
            <w:pPr>
              <w:pStyle w:val="766"/>
              <w:rPr>
                <w:color w:val="auto"/>
              </w:rPr>
            </w:pPr>
            <w:r>
              <w:rPr>
                <w:rFonts w:hint="eastAsia"/>
                <w:color w:val="auto"/>
              </w:rPr>
              <w:t>2</w:t>
            </w:r>
            <w:r>
              <w:rPr>
                <w:color w:val="auto"/>
              </w:rPr>
              <w:t>.242</w:t>
            </w:r>
          </w:p>
        </w:tc>
        <w:tc>
          <w:tcPr>
            <w:tcW w:w="1956" w:type="dxa"/>
            <w:vAlign w:val="center"/>
          </w:tcPr>
          <w:p w14:paraId="7655880B">
            <w:pPr>
              <w:pStyle w:val="766"/>
              <w:rPr>
                <w:color w:val="auto"/>
              </w:rPr>
            </w:pPr>
            <w:r>
              <w:rPr>
                <w:color w:val="auto"/>
              </w:rPr>
              <w:t>集气罩+布袋除尘+15m高排气筒</w:t>
            </w:r>
          </w:p>
        </w:tc>
        <w:tc>
          <w:tcPr>
            <w:tcW w:w="664" w:type="dxa"/>
            <w:vAlign w:val="center"/>
          </w:tcPr>
          <w:p w14:paraId="3D807C05">
            <w:pPr>
              <w:pStyle w:val="766"/>
              <w:rPr>
                <w:color w:val="auto"/>
              </w:rPr>
            </w:pPr>
            <w:r>
              <w:rPr>
                <w:color w:val="auto"/>
              </w:rPr>
              <w:t>99%</w:t>
            </w:r>
          </w:p>
        </w:tc>
        <w:tc>
          <w:tcPr>
            <w:tcW w:w="1001" w:type="dxa"/>
            <w:vAlign w:val="center"/>
          </w:tcPr>
          <w:p w14:paraId="56D689DE">
            <w:pPr>
              <w:pStyle w:val="766"/>
              <w:rPr>
                <w:color w:val="auto"/>
              </w:rPr>
            </w:pPr>
            <w:r>
              <w:rPr>
                <w:rFonts w:hint="eastAsia"/>
                <w:color w:val="auto"/>
              </w:rPr>
              <w:t>2</w:t>
            </w:r>
            <w:r>
              <w:rPr>
                <w:color w:val="auto"/>
              </w:rPr>
              <w:t>.34</w:t>
            </w:r>
          </w:p>
        </w:tc>
        <w:tc>
          <w:tcPr>
            <w:tcW w:w="877" w:type="dxa"/>
            <w:vAlign w:val="center"/>
          </w:tcPr>
          <w:p w14:paraId="390F08A2">
            <w:pPr>
              <w:pStyle w:val="766"/>
              <w:rPr>
                <w:color w:val="auto"/>
              </w:rPr>
            </w:pPr>
            <w:r>
              <w:rPr>
                <w:rFonts w:hint="eastAsia"/>
                <w:color w:val="auto"/>
              </w:rPr>
              <w:t>0</w:t>
            </w:r>
            <w:r>
              <w:rPr>
                <w:color w:val="auto"/>
              </w:rPr>
              <w:t>.00934</w:t>
            </w:r>
          </w:p>
        </w:tc>
        <w:tc>
          <w:tcPr>
            <w:tcW w:w="1008" w:type="dxa"/>
            <w:vAlign w:val="center"/>
          </w:tcPr>
          <w:p w14:paraId="5D7DB42F">
            <w:pPr>
              <w:pStyle w:val="766"/>
              <w:rPr>
                <w:color w:val="auto"/>
              </w:rPr>
            </w:pPr>
            <w:r>
              <w:rPr>
                <w:rFonts w:hint="eastAsia"/>
                <w:color w:val="auto"/>
              </w:rPr>
              <w:t>0</w:t>
            </w:r>
            <w:r>
              <w:rPr>
                <w:color w:val="auto"/>
              </w:rPr>
              <w:t>.0224</w:t>
            </w:r>
          </w:p>
        </w:tc>
        <w:tc>
          <w:tcPr>
            <w:tcW w:w="898" w:type="dxa"/>
            <w:vAlign w:val="center"/>
          </w:tcPr>
          <w:p w14:paraId="6D9ECC25">
            <w:pPr>
              <w:pStyle w:val="766"/>
              <w:rPr>
                <w:color w:val="auto"/>
              </w:rPr>
            </w:pPr>
            <w:r>
              <w:rPr>
                <w:color w:val="auto"/>
              </w:rPr>
              <w:t>120</w:t>
            </w:r>
          </w:p>
        </w:tc>
        <w:tc>
          <w:tcPr>
            <w:tcW w:w="713" w:type="dxa"/>
            <w:vAlign w:val="center"/>
          </w:tcPr>
          <w:p w14:paraId="63F70BC3">
            <w:pPr>
              <w:pStyle w:val="766"/>
              <w:rPr>
                <w:color w:val="auto"/>
              </w:rPr>
            </w:pPr>
            <w:r>
              <w:rPr>
                <w:color w:val="auto"/>
              </w:rPr>
              <w:t>3.5</w:t>
            </w:r>
          </w:p>
        </w:tc>
        <w:tc>
          <w:tcPr>
            <w:tcW w:w="513" w:type="dxa"/>
            <w:vAlign w:val="center"/>
          </w:tcPr>
          <w:p w14:paraId="68CA8C5A">
            <w:pPr>
              <w:pStyle w:val="766"/>
              <w:rPr>
                <w:color w:val="auto"/>
              </w:rPr>
            </w:pPr>
            <w:r>
              <w:rPr>
                <w:color w:val="auto"/>
              </w:rPr>
              <w:t>是</w:t>
            </w:r>
          </w:p>
        </w:tc>
      </w:tr>
      <w:tr w14:paraId="35E6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66E8F8D6">
            <w:pPr>
              <w:pStyle w:val="766"/>
              <w:rPr>
                <w:color w:val="auto"/>
              </w:rPr>
            </w:pPr>
          </w:p>
        </w:tc>
        <w:tc>
          <w:tcPr>
            <w:tcW w:w="779" w:type="dxa"/>
            <w:vMerge w:val="restart"/>
            <w:vAlign w:val="center"/>
          </w:tcPr>
          <w:p w14:paraId="1E4F5F4B">
            <w:pPr>
              <w:pStyle w:val="766"/>
              <w:rPr>
                <w:color w:val="auto"/>
                <w:spacing w:val="4"/>
              </w:rPr>
            </w:pPr>
            <w:r>
              <w:rPr>
                <w:rFonts w:hint="eastAsia"/>
                <w:color w:val="auto"/>
                <w:spacing w:val="4"/>
              </w:rPr>
              <w:t>燃气</w:t>
            </w:r>
            <w:r>
              <w:rPr>
                <w:color w:val="auto"/>
                <w:spacing w:val="4"/>
              </w:rPr>
              <w:t>锅炉</w:t>
            </w:r>
            <w:r>
              <w:rPr>
                <w:rFonts w:hint="eastAsia"/>
                <w:color w:val="auto"/>
                <w:spacing w:val="4"/>
              </w:rPr>
              <w:t>（两用一备，以DA004、DA005表示）</w:t>
            </w:r>
          </w:p>
        </w:tc>
        <w:tc>
          <w:tcPr>
            <w:tcW w:w="1236" w:type="dxa"/>
            <w:vMerge w:val="restart"/>
            <w:vAlign w:val="center"/>
          </w:tcPr>
          <w:p w14:paraId="67A7CC4E">
            <w:pPr>
              <w:pStyle w:val="766"/>
              <w:rPr>
                <w:color w:val="auto"/>
              </w:rPr>
            </w:pPr>
            <w:r>
              <w:rPr>
                <w:color w:val="auto"/>
              </w:rPr>
              <w:t>有组织（DA00</w:t>
            </w:r>
            <w:r>
              <w:rPr>
                <w:rFonts w:hint="eastAsia"/>
                <w:color w:val="auto"/>
              </w:rPr>
              <w:t>4</w:t>
            </w:r>
            <w:r>
              <w:rPr>
                <w:color w:val="auto"/>
              </w:rPr>
              <w:t>）</w:t>
            </w:r>
          </w:p>
        </w:tc>
        <w:tc>
          <w:tcPr>
            <w:tcW w:w="694" w:type="dxa"/>
            <w:vMerge w:val="restart"/>
            <w:vAlign w:val="center"/>
          </w:tcPr>
          <w:p w14:paraId="076CA3B1">
            <w:pPr>
              <w:pStyle w:val="766"/>
              <w:rPr>
                <w:color w:val="auto"/>
              </w:rPr>
            </w:pPr>
            <w:r>
              <w:rPr>
                <w:color w:val="auto"/>
              </w:rPr>
              <w:t>1920</w:t>
            </w:r>
          </w:p>
        </w:tc>
        <w:tc>
          <w:tcPr>
            <w:tcW w:w="653" w:type="dxa"/>
            <w:vAlign w:val="center"/>
          </w:tcPr>
          <w:p w14:paraId="31E67E24">
            <w:pPr>
              <w:pStyle w:val="766"/>
              <w:rPr>
                <w:color w:val="auto"/>
              </w:rPr>
            </w:pPr>
            <w:r>
              <w:rPr>
                <w:color w:val="auto"/>
              </w:rPr>
              <w:t>颗粒物</w:t>
            </w:r>
          </w:p>
        </w:tc>
        <w:tc>
          <w:tcPr>
            <w:tcW w:w="927" w:type="dxa"/>
            <w:vAlign w:val="center"/>
          </w:tcPr>
          <w:p w14:paraId="0A43E523">
            <w:pPr>
              <w:pStyle w:val="766"/>
              <w:rPr>
                <w:color w:val="auto"/>
              </w:rPr>
            </w:pPr>
            <w:r>
              <w:rPr>
                <w:rFonts w:hint="eastAsia"/>
                <w:color w:val="auto"/>
                <w:szCs w:val="24"/>
              </w:rPr>
              <w:t>10.14</w:t>
            </w:r>
          </w:p>
        </w:tc>
        <w:tc>
          <w:tcPr>
            <w:tcW w:w="951" w:type="dxa"/>
            <w:vAlign w:val="center"/>
          </w:tcPr>
          <w:p w14:paraId="6C53812D">
            <w:pPr>
              <w:pStyle w:val="766"/>
              <w:rPr>
                <w:color w:val="auto"/>
              </w:rPr>
            </w:pPr>
            <w:r>
              <w:rPr>
                <w:rFonts w:hint="eastAsia"/>
                <w:color w:val="auto"/>
                <w:szCs w:val="24"/>
              </w:rPr>
              <w:t>0.019</w:t>
            </w:r>
          </w:p>
        </w:tc>
        <w:tc>
          <w:tcPr>
            <w:tcW w:w="888" w:type="dxa"/>
            <w:vAlign w:val="center"/>
          </w:tcPr>
          <w:p w14:paraId="0C81817C">
            <w:pPr>
              <w:pStyle w:val="766"/>
              <w:rPr>
                <w:color w:val="auto"/>
              </w:rPr>
            </w:pPr>
            <w:r>
              <w:rPr>
                <w:rFonts w:hint="eastAsia"/>
                <w:color w:val="auto"/>
              </w:rPr>
              <w:t>0.036</w:t>
            </w:r>
          </w:p>
        </w:tc>
        <w:tc>
          <w:tcPr>
            <w:tcW w:w="1956" w:type="dxa"/>
            <w:vAlign w:val="center"/>
          </w:tcPr>
          <w:p w14:paraId="15BAA3B8">
            <w:pPr>
              <w:pStyle w:val="766"/>
              <w:rPr>
                <w:color w:val="auto"/>
              </w:rPr>
            </w:pPr>
            <w:r>
              <w:rPr>
                <w:rFonts w:hint="eastAsia"/>
                <w:color w:val="auto"/>
              </w:rPr>
              <w:t>/</w:t>
            </w:r>
          </w:p>
        </w:tc>
        <w:tc>
          <w:tcPr>
            <w:tcW w:w="664" w:type="dxa"/>
            <w:vAlign w:val="center"/>
          </w:tcPr>
          <w:p w14:paraId="7808CAC5">
            <w:pPr>
              <w:pStyle w:val="766"/>
              <w:rPr>
                <w:color w:val="auto"/>
              </w:rPr>
            </w:pPr>
            <w:r>
              <w:rPr>
                <w:rFonts w:hint="eastAsia"/>
                <w:color w:val="auto"/>
              </w:rPr>
              <w:t>/</w:t>
            </w:r>
          </w:p>
        </w:tc>
        <w:tc>
          <w:tcPr>
            <w:tcW w:w="1001" w:type="dxa"/>
            <w:vAlign w:val="center"/>
          </w:tcPr>
          <w:p w14:paraId="5F14444C">
            <w:pPr>
              <w:pStyle w:val="766"/>
              <w:rPr>
                <w:color w:val="auto"/>
              </w:rPr>
            </w:pPr>
            <w:r>
              <w:rPr>
                <w:rFonts w:hint="eastAsia"/>
                <w:color w:val="auto"/>
                <w:szCs w:val="24"/>
              </w:rPr>
              <w:t>10.14</w:t>
            </w:r>
          </w:p>
        </w:tc>
        <w:tc>
          <w:tcPr>
            <w:tcW w:w="877" w:type="dxa"/>
            <w:vAlign w:val="center"/>
          </w:tcPr>
          <w:p w14:paraId="2196F94D">
            <w:pPr>
              <w:pStyle w:val="766"/>
              <w:rPr>
                <w:color w:val="auto"/>
              </w:rPr>
            </w:pPr>
            <w:r>
              <w:rPr>
                <w:rFonts w:hint="eastAsia"/>
                <w:color w:val="auto"/>
                <w:szCs w:val="24"/>
              </w:rPr>
              <w:t>0.019</w:t>
            </w:r>
          </w:p>
        </w:tc>
        <w:tc>
          <w:tcPr>
            <w:tcW w:w="1008" w:type="dxa"/>
            <w:vAlign w:val="center"/>
          </w:tcPr>
          <w:p w14:paraId="0621BD8A">
            <w:pPr>
              <w:pStyle w:val="766"/>
              <w:rPr>
                <w:color w:val="auto"/>
              </w:rPr>
            </w:pPr>
            <w:r>
              <w:rPr>
                <w:rFonts w:hint="eastAsia"/>
                <w:color w:val="auto"/>
              </w:rPr>
              <w:t>0.036</w:t>
            </w:r>
          </w:p>
        </w:tc>
        <w:tc>
          <w:tcPr>
            <w:tcW w:w="898" w:type="dxa"/>
            <w:vAlign w:val="center"/>
          </w:tcPr>
          <w:p w14:paraId="74C9E013">
            <w:pPr>
              <w:pStyle w:val="766"/>
              <w:rPr>
                <w:color w:val="auto"/>
              </w:rPr>
            </w:pPr>
            <w:r>
              <w:rPr>
                <w:color w:val="auto"/>
              </w:rPr>
              <w:t>20</w:t>
            </w:r>
          </w:p>
        </w:tc>
        <w:tc>
          <w:tcPr>
            <w:tcW w:w="713" w:type="dxa"/>
            <w:vAlign w:val="center"/>
          </w:tcPr>
          <w:p w14:paraId="26346900">
            <w:pPr>
              <w:pStyle w:val="766"/>
              <w:rPr>
                <w:color w:val="auto"/>
              </w:rPr>
            </w:pPr>
            <w:r>
              <w:rPr>
                <w:color w:val="auto"/>
              </w:rPr>
              <w:t>/</w:t>
            </w:r>
          </w:p>
        </w:tc>
        <w:tc>
          <w:tcPr>
            <w:tcW w:w="513" w:type="dxa"/>
            <w:vAlign w:val="center"/>
          </w:tcPr>
          <w:p w14:paraId="791F4F83">
            <w:pPr>
              <w:pStyle w:val="766"/>
              <w:rPr>
                <w:color w:val="auto"/>
              </w:rPr>
            </w:pPr>
            <w:r>
              <w:rPr>
                <w:color w:val="auto"/>
              </w:rPr>
              <w:t>是</w:t>
            </w:r>
          </w:p>
        </w:tc>
      </w:tr>
      <w:tr w14:paraId="2B4F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6DA058E1">
            <w:pPr>
              <w:pStyle w:val="766"/>
              <w:rPr>
                <w:color w:val="auto"/>
              </w:rPr>
            </w:pPr>
          </w:p>
        </w:tc>
        <w:tc>
          <w:tcPr>
            <w:tcW w:w="779" w:type="dxa"/>
            <w:vMerge w:val="continue"/>
            <w:vAlign w:val="center"/>
          </w:tcPr>
          <w:p w14:paraId="248DF78F">
            <w:pPr>
              <w:pStyle w:val="766"/>
              <w:rPr>
                <w:color w:val="auto"/>
                <w:spacing w:val="4"/>
              </w:rPr>
            </w:pPr>
          </w:p>
        </w:tc>
        <w:tc>
          <w:tcPr>
            <w:tcW w:w="1236" w:type="dxa"/>
            <w:vMerge w:val="continue"/>
            <w:vAlign w:val="center"/>
          </w:tcPr>
          <w:p w14:paraId="52FD7994">
            <w:pPr>
              <w:pStyle w:val="766"/>
              <w:rPr>
                <w:color w:val="auto"/>
              </w:rPr>
            </w:pPr>
          </w:p>
        </w:tc>
        <w:tc>
          <w:tcPr>
            <w:tcW w:w="694" w:type="dxa"/>
            <w:vMerge w:val="continue"/>
            <w:vAlign w:val="center"/>
          </w:tcPr>
          <w:p w14:paraId="1FFCECD9">
            <w:pPr>
              <w:pStyle w:val="766"/>
              <w:rPr>
                <w:color w:val="auto"/>
              </w:rPr>
            </w:pPr>
          </w:p>
        </w:tc>
        <w:tc>
          <w:tcPr>
            <w:tcW w:w="653" w:type="dxa"/>
            <w:vAlign w:val="center"/>
          </w:tcPr>
          <w:p w14:paraId="0AEFB3E1">
            <w:pPr>
              <w:pStyle w:val="766"/>
              <w:rPr>
                <w:color w:val="auto"/>
              </w:rPr>
            </w:pPr>
            <w:r>
              <w:rPr>
                <w:color w:val="auto"/>
              </w:rPr>
              <w:t>SO</w:t>
            </w:r>
            <w:r>
              <w:rPr>
                <w:color w:val="auto"/>
                <w:vertAlign w:val="subscript"/>
              </w:rPr>
              <w:t>2</w:t>
            </w:r>
          </w:p>
        </w:tc>
        <w:tc>
          <w:tcPr>
            <w:tcW w:w="927" w:type="dxa"/>
            <w:vAlign w:val="center"/>
          </w:tcPr>
          <w:p w14:paraId="5A948AD0">
            <w:pPr>
              <w:pStyle w:val="766"/>
              <w:rPr>
                <w:color w:val="auto"/>
                <w:szCs w:val="24"/>
              </w:rPr>
            </w:pPr>
            <w:r>
              <w:rPr>
                <w:rFonts w:hint="eastAsia"/>
                <w:color w:val="auto"/>
                <w:szCs w:val="24"/>
              </w:rPr>
              <w:t>0</w:t>
            </w:r>
          </w:p>
        </w:tc>
        <w:tc>
          <w:tcPr>
            <w:tcW w:w="951" w:type="dxa"/>
            <w:vAlign w:val="center"/>
          </w:tcPr>
          <w:p w14:paraId="621AACA7">
            <w:pPr>
              <w:pStyle w:val="766"/>
              <w:rPr>
                <w:color w:val="auto"/>
                <w:szCs w:val="24"/>
              </w:rPr>
            </w:pPr>
            <w:r>
              <w:rPr>
                <w:rFonts w:hint="eastAsia"/>
                <w:color w:val="auto"/>
                <w:szCs w:val="24"/>
              </w:rPr>
              <w:t>0</w:t>
            </w:r>
          </w:p>
        </w:tc>
        <w:tc>
          <w:tcPr>
            <w:tcW w:w="888" w:type="dxa"/>
            <w:vAlign w:val="center"/>
          </w:tcPr>
          <w:p w14:paraId="3E50DF53">
            <w:pPr>
              <w:pStyle w:val="766"/>
              <w:rPr>
                <w:color w:val="auto"/>
              </w:rPr>
            </w:pPr>
            <w:r>
              <w:rPr>
                <w:rFonts w:hint="eastAsia"/>
                <w:color w:val="auto"/>
              </w:rPr>
              <w:t>0</w:t>
            </w:r>
          </w:p>
        </w:tc>
        <w:tc>
          <w:tcPr>
            <w:tcW w:w="1956" w:type="dxa"/>
            <w:vAlign w:val="center"/>
          </w:tcPr>
          <w:p w14:paraId="28FB72F9">
            <w:pPr>
              <w:pStyle w:val="766"/>
              <w:rPr>
                <w:color w:val="auto"/>
              </w:rPr>
            </w:pPr>
            <w:r>
              <w:rPr>
                <w:rFonts w:hint="eastAsia"/>
                <w:color w:val="auto"/>
              </w:rPr>
              <w:t>/</w:t>
            </w:r>
          </w:p>
        </w:tc>
        <w:tc>
          <w:tcPr>
            <w:tcW w:w="664" w:type="dxa"/>
            <w:vAlign w:val="center"/>
          </w:tcPr>
          <w:p w14:paraId="36FB2783">
            <w:pPr>
              <w:pStyle w:val="766"/>
              <w:rPr>
                <w:color w:val="auto"/>
              </w:rPr>
            </w:pPr>
            <w:r>
              <w:rPr>
                <w:rFonts w:hint="eastAsia"/>
                <w:color w:val="auto"/>
              </w:rPr>
              <w:t>/</w:t>
            </w:r>
          </w:p>
        </w:tc>
        <w:tc>
          <w:tcPr>
            <w:tcW w:w="1001" w:type="dxa"/>
            <w:vAlign w:val="center"/>
          </w:tcPr>
          <w:p w14:paraId="0D8442AC">
            <w:pPr>
              <w:pStyle w:val="766"/>
              <w:rPr>
                <w:color w:val="auto"/>
                <w:szCs w:val="24"/>
              </w:rPr>
            </w:pPr>
            <w:r>
              <w:rPr>
                <w:rFonts w:hint="eastAsia"/>
                <w:color w:val="auto"/>
                <w:szCs w:val="24"/>
              </w:rPr>
              <w:t>0</w:t>
            </w:r>
          </w:p>
        </w:tc>
        <w:tc>
          <w:tcPr>
            <w:tcW w:w="877" w:type="dxa"/>
            <w:vAlign w:val="center"/>
          </w:tcPr>
          <w:p w14:paraId="29FD9FFE">
            <w:pPr>
              <w:pStyle w:val="766"/>
              <w:rPr>
                <w:color w:val="auto"/>
                <w:szCs w:val="24"/>
              </w:rPr>
            </w:pPr>
            <w:r>
              <w:rPr>
                <w:rFonts w:hint="eastAsia"/>
                <w:color w:val="auto"/>
                <w:szCs w:val="24"/>
              </w:rPr>
              <w:t>0</w:t>
            </w:r>
          </w:p>
        </w:tc>
        <w:tc>
          <w:tcPr>
            <w:tcW w:w="1008" w:type="dxa"/>
            <w:vAlign w:val="center"/>
          </w:tcPr>
          <w:p w14:paraId="4FB6DE55">
            <w:pPr>
              <w:pStyle w:val="766"/>
              <w:rPr>
                <w:color w:val="auto"/>
              </w:rPr>
            </w:pPr>
            <w:r>
              <w:rPr>
                <w:rFonts w:hint="eastAsia"/>
                <w:color w:val="auto"/>
              </w:rPr>
              <w:t>0</w:t>
            </w:r>
          </w:p>
        </w:tc>
        <w:tc>
          <w:tcPr>
            <w:tcW w:w="898" w:type="dxa"/>
            <w:vAlign w:val="center"/>
          </w:tcPr>
          <w:p w14:paraId="3AC89B64">
            <w:pPr>
              <w:pStyle w:val="766"/>
              <w:rPr>
                <w:color w:val="auto"/>
              </w:rPr>
            </w:pPr>
            <w:r>
              <w:rPr>
                <w:color w:val="auto"/>
              </w:rPr>
              <w:t>50</w:t>
            </w:r>
          </w:p>
        </w:tc>
        <w:tc>
          <w:tcPr>
            <w:tcW w:w="713" w:type="dxa"/>
            <w:vAlign w:val="center"/>
          </w:tcPr>
          <w:p w14:paraId="24935AA1">
            <w:pPr>
              <w:pStyle w:val="766"/>
              <w:rPr>
                <w:color w:val="auto"/>
              </w:rPr>
            </w:pPr>
            <w:r>
              <w:rPr>
                <w:color w:val="auto"/>
              </w:rPr>
              <w:t>/</w:t>
            </w:r>
          </w:p>
        </w:tc>
        <w:tc>
          <w:tcPr>
            <w:tcW w:w="513" w:type="dxa"/>
            <w:vAlign w:val="center"/>
          </w:tcPr>
          <w:p w14:paraId="7EF0996B">
            <w:pPr>
              <w:pStyle w:val="766"/>
              <w:rPr>
                <w:color w:val="auto"/>
              </w:rPr>
            </w:pPr>
            <w:r>
              <w:rPr>
                <w:color w:val="auto"/>
              </w:rPr>
              <w:t>是</w:t>
            </w:r>
          </w:p>
        </w:tc>
      </w:tr>
      <w:tr w14:paraId="590C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455" w:type="dxa"/>
            <w:vMerge w:val="continue"/>
            <w:vAlign w:val="center"/>
          </w:tcPr>
          <w:p w14:paraId="46FE87FE">
            <w:pPr>
              <w:pStyle w:val="766"/>
              <w:rPr>
                <w:color w:val="auto"/>
              </w:rPr>
            </w:pPr>
          </w:p>
        </w:tc>
        <w:tc>
          <w:tcPr>
            <w:tcW w:w="779" w:type="dxa"/>
            <w:vMerge w:val="continue"/>
            <w:vAlign w:val="center"/>
          </w:tcPr>
          <w:p w14:paraId="7332ED9B">
            <w:pPr>
              <w:pStyle w:val="766"/>
              <w:rPr>
                <w:color w:val="auto"/>
                <w:spacing w:val="4"/>
              </w:rPr>
            </w:pPr>
          </w:p>
        </w:tc>
        <w:tc>
          <w:tcPr>
            <w:tcW w:w="1236" w:type="dxa"/>
            <w:vMerge w:val="continue"/>
            <w:vAlign w:val="center"/>
          </w:tcPr>
          <w:p w14:paraId="207070B7">
            <w:pPr>
              <w:pStyle w:val="766"/>
              <w:rPr>
                <w:color w:val="auto"/>
              </w:rPr>
            </w:pPr>
          </w:p>
        </w:tc>
        <w:tc>
          <w:tcPr>
            <w:tcW w:w="694" w:type="dxa"/>
            <w:vMerge w:val="continue"/>
            <w:vAlign w:val="center"/>
          </w:tcPr>
          <w:p w14:paraId="0CF9E356">
            <w:pPr>
              <w:pStyle w:val="766"/>
              <w:rPr>
                <w:color w:val="auto"/>
              </w:rPr>
            </w:pPr>
          </w:p>
        </w:tc>
        <w:tc>
          <w:tcPr>
            <w:tcW w:w="653" w:type="dxa"/>
            <w:vAlign w:val="center"/>
          </w:tcPr>
          <w:p w14:paraId="71964A6F">
            <w:pPr>
              <w:pStyle w:val="766"/>
              <w:rPr>
                <w:color w:val="auto"/>
              </w:rPr>
            </w:pPr>
            <w:r>
              <w:rPr>
                <w:color w:val="auto"/>
              </w:rPr>
              <w:t>NO</w:t>
            </w:r>
            <w:r>
              <w:rPr>
                <w:color w:val="auto"/>
                <w:vertAlign w:val="subscript"/>
              </w:rPr>
              <w:t>x</w:t>
            </w:r>
          </w:p>
        </w:tc>
        <w:tc>
          <w:tcPr>
            <w:tcW w:w="927" w:type="dxa"/>
            <w:vAlign w:val="center"/>
          </w:tcPr>
          <w:p w14:paraId="6BDAD651">
            <w:pPr>
              <w:pStyle w:val="766"/>
              <w:rPr>
                <w:color w:val="auto"/>
                <w:szCs w:val="24"/>
              </w:rPr>
            </w:pPr>
            <w:r>
              <w:rPr>
                <w:rFonts w:hint="eastAsia"/>
                <w:color w:val="auto"/>
                <w:szCs w:val="24"/>
              </w:rPr>
              <w:t>100</w:t>
            </w:r>
          </w:p>
        </w:tc>
        <w:tc>
          <w:tcPr>
            <w:tcW w:w="951" w:type="dxa"/>
            <w:vAlign w:val="center"/>
          </w:tcPr>
          <w:p w14:paraId="548A4F01">
            <w:pPr>
              <w:pStyle w:val="766"/>
              <w:rPr>
                <w:color w:val="auto"/>
                <w:szCs w:val="24"/>
              </w:rPr>
            </w:pPr>
            <w:r>
              <w:rPr>
                <w:color w:val="auto"/>
                <w:szCs w:val="24"/>
              </w:rPr>
              <w:t>0.</w:t>
            </w:r>
            <w:r>
              <w:rPr>
                <w:rFonts w:hint="eastAsia"/>
                <w:color w:val="auto"/>
                <w:szCs w:val="24"/>
              </w:rPr>
              <w:t>19</w:t>
            </w:r>
          </w:p>
        </w:tc>
        <w:tc>
          <w:tcPr>
            <w:tcW w:w="888" w:type="dxa"/>
            <w:vAlign w:val="center"/>
          </w:tcPr>
          <w:p w14:paraId="0D842740">
            <w:pPr>
              <w:pStyle w:val="766"/>
              <w:rPr>
                <w:color w:val="auto"/>
                <w:szCs w:val="24"/>
              </w:rPr>
            </w:pPr>
            <w:r>
              <w:rPr>
                <w:rFonts w:hint="eastAsia"/>
                <w:color w:val="auto"/>
                <w:szCs w:val="24"/>
              </w:rPr>
              <w:t>0.357</w:t>
            </w:r>
          </w:p>
        </w:tc>
        <w:tc>
          <w:tcPr>
            <w:tcW w:w="1956" w:type="dxa"/>
            <w:vAlign w:val="center"/>
          </w:tcPr>
          <w:p w14:paraId="75F3CDBB">
            <w:pPr>
              <w:pStyle w:val="766"/>
              <w:rPr>
                <w:color w:val="auto"/>
              </w:rPr>
            </w:pPr>
            <w:r>
              <w:rPr>
                <w:color w:val="auto"/>
              </w:rPr>
              <w:t>低氮燃烧</w:t>
            </w:r>
          </w:p>
        </w:tc>
        <w:tc>
          <w:tcPr>
            <w:tcW w:w="664" w:type="dxa"/>
            <w:vAlign w:val="center"/>
          </w:tcPr>
          <w:p w14:paraId="536C12E8">
            <w:pPr>
              <w:pStyle w:val="766"/>
              <w:rPr>
                <w:color w:val="auto"/>
              </w:rPr>
            </w:pPr>
            <w:r>
              <w:rPr>
                <w:rFonts w:hint="eastAsia"/>
                <w:color w:val="auto"/>
              </w:rPr>
              <w:t>0</w:t>
            </w:r>
          </w:p>
        </w:tc>
        <w:tc>
          <w:tcPr>
            <w:tcW w:w="1001" w:type="dxa"/>
            <w:vAlign w:val="center"/>
          </w:tcPr>
          <w:p w14:paraId="23145088">
            <w:pPr>
              <w:pStyle w:val="766"/>
              <w:rPr>
                <w:color w:val="auto"/>
                <w:szCs w:val="24"/>
              </w:rPr>
            </w:pPr>
            <w:r>
              <w:rPr>
                <w:rFonts w:hint="eastAsia"/>
                <w:color w:val="auto"/>
                <w:szCs w:val="24"/>
              </w:rPr>
              <w:t>100</w:t>
            </w:r>
          </w:p>
        </w:tc>
        <w:tc>
          <w:tcPr>
            <w:tcW w:w="877" w:type="dxa"/>
            <w:vAlign w:val="center"/>
          </w:tcPr>
          <w:p w14:paraId="5250F021">
            <w:pPr>
              <w:pStyle w:val="766"/>
              <w:rPr>
                <w:color w:val="auto"/>
                <w:szCs w:val="24"/>
              </w:rPr>
            </w:pPr>
            <w:r>
              <w:rPr>
                <w:color w:val="auto"/>
                <w:szCs w:val="24"/>
              </w:rPr>
              <w:t>0.</w:t>
            </w:r>
            <w:r>
              <w:rPr>
                <w:rFonts w:hint="eastAsia"/>
                <w:color w:val="auto"/>
                <w:szCs w:val="24"/>
              </w:rPr>
              <w:t>19</w:t>
            </w:r>
          </w:p>
        </w:tc>
        <w:tc>
          <w:tcPr>
            <w:tcW w:w="1008" w:type="dxa"/>
            <w:vAlign w:val="center"/>
          </w:tcPr>
          <w:p w14:paraId="26D4A88E">
            <w:pPr>
              <w:pStyle w:val="766"/>
              <w:rPr>
                <w:color w:val="auto"/>
                <w:szCs w:val="24"/>
              </w:rPr>
            </w:pPr>
            <w:r>
              <w:rPr>
                <w:rFonts w:hint="eastAsia"/>
                <w:color w:val="auto"/>
                <w:szCs w:val="24"/>
              </w:rPr>
              <w:t>0.357</w:t>
            </w:r>
          </w:p>
        </w:tc>
        <w:tc>
          <w:tcPr>
            <w:tcW w:w="898" w:type="dxa"/>
            <w:vAlign w:val="center"/>
          </w:tcPr>
          <w:p w14:paraId="38E5BD91">
            <w:pPr>
              <w:pStyle w:val="766"/>
              <w:rPr>
                <w:color w:val="auto"/>
              </w:rPr>
            </w:pPr>
            <w:r>
              <w:rPr>
                <w:color w:val="auto"/>
              </w:rPr>
              <w:t>150</w:t>
            </w:r>
          </w:p>
        </w:tc>
        <w:tc>
          <w:tcPr>
            <w:tcW w:w="713" w:type="dxa"/>
            <w:vAlign w:val="center"/>
          </w:tcPr>
          <w:p w14:paraId="07BD20DB">
            <w:pPr>
              <w:pStyle w:val="766"/>
              <w:rPr>
                <w:color w:val="auto"/>
              </w:rPr>
            </w:pPr>
            <w:r>
              <w:rPr>
                <w:color w:val="auto"/>
              </w:rPr>
              <w:t>/</w:t>
            </w:r>
          </w:p>
        </w:tc>
        <w:tc>
          <w:tcPr>
            <w:tcW w:w="513" w:type="dxa"/>
            <w:vAlign w:val="center"/>
          </w:tcPr>
          <w:p w14:paraId="6544BB27">
            <w:pPr>
              <w:pStyle w:val="766"/>
              <w:rPr>
                <w:color w:val="auto"/>
              </w:rPr>
            </w:pPr>
            <w:r>
              <w:rPr>
                <w:color w:val="auto"/>
              </w:rPr>
              <w:t>是</w:t>
            </w:r>
          </w:p>
        </w:tc>
      </w:tr>
      <w:tr w14:paraId="424D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475C6217">
            <w:pPr>
              <w:pStyle w:val="766"/>
              <w:rPr>
                <w:color w:val="auto"/>
              </w:rPr>
            </w:pPr>
          </w:p>
        </w:tc>
        <w:tc>
          <w:tcPr>
            <w:tcW w:w="779" w:type="dxa"/>
            <w:vMerge w:val="continue"/>
            <w:vAlign w:val="center"/>
          </w:tcPr>
          <w:p w14:paraId="1E142A30">
            <w:pPr>
              <w:pStyle w:val="766"/>
              <w:rPr>
                <w:color w:val="auto"/>
                <w:spacing w:val="4"/>
              </w:rPr>
            </w:pPr>
          </w:p>
        </w:tc>
        <w:tc>
          <w:tcPr>
            <w:tcW w:w="1236" w:type="dxa"/>
            <w:vMerge w:val="restart"/>
            <w:vAlign w:val="center"/>
          </w:tcPr>
          <w:p w14:paraId="60F92587">
            <w:pPr>
              <w:pStyle w:val="766"/>
              <w:rPr>
                <w:color w:val="auto"/>
              </w:rPr>
            </w:pPr>
            <w:r>
              <w:rPr>
                <w:color w:val="auto"/>
              </w:rPr>
              <w:t>有组织（DA00</w:t>
            </w:r>
            <w:r>
              <w:rPr>
                <w:rFonts w:hint="eastAsia"/>
                <w:color w:val="auto"/>
              </w:rPr>
              <w:t>5</w:t>
            </w:r>
            <w:r>
              <w:rPr>
                <w:color w:val="auto"/>
              </w:rPr>
              <w:t>）</w:t>
            </w:r>
          </w:p>
        </w:tc>
        <w:tc>
          <w:tcPr>
            <w:tcW w:w="694" w:type="dxa"/>
            <w:vMerge w:val="continue"/>
            <w:vAlign w:val="center"/>
          </w:tcPr>
          <w:p w14:paraId="0B583FD1">
            <w:pPr>
              <w:pStyle w:val="766"/>
              <w:rPr>
                <w:color w:val="auto"/>
              </w:rPr>
            </w:pPr>
          </w:p>
        </w:tc>
        <w:tc>
          <w:tcPr>
            <w:tcW w:w="653" w:type="dxa"/>
            <w:vAlign w:val="center"/>
          </w:tcPr>
          <w:p w14:paraId="77D6BB07">
            <w:pPr>
              <w:pStyle w:val="766"/>
              <w:rPr>
                <w:color w:val="auto"/>
              </w:rPr>
            </w:pPr>
            <w:r>
              <w:rPr>
                <w:color w:val="auto"/>
              </w:rPr>
              <w:t>颗粒物</w:t>
            </w:r>
          </w:p>
        </w:tc>
        <w:tc>
          <w:tcPr>
            <w:tcW w:w="927" w:type="dxa"/>
            <w:vAlign w:val="center"/>
          </w:tcPr>
          <w:p w14:paraId="7CA011CE">
            <w:pPr>
              <w:pStyle w:val="766"/>
              <w:rPr>
                <w:color w:val="auto"/>
              </w:rPr>
            </w:pPr>
            <w:r>
              <w:rPr>
                <w:rFonts w:hint="eastAsia"/>
                <w:color w:val="auto"/>
                <w:szCs w:val="24"/>
              </w:rPr>
              <w:t>10.14</w:t>
            </w:r>
          </w:p>
        </w:tc>
        <w:tc>
          <w:tcPr>
            <w:tcW w:w="951" w:type="dxa"/>
            <w:vAlign w:val="center"/>
          </w:tcPr>
          <w:p w14:paraId="7B666ECB">
            <w:pPr>
              <w:pStyle w:val="766"/>
              <w:rPr>
                <w:color w:val="auto"/>
              </w:rPr>
            </w:pPr>
            <w:r>
              <w:rPr>
                <w:rFonts w:hint="eastAsia"/>
                <w:color w:val="auto"/>
                <w:szCs w:val="24"/>
              </w:rPr>
              <w:t>0.019</w:t>
            </w:r>
          </w:p>
        </w:tc>
        <w:tc>
          <w:tcPr>
            <w:tcW w:w="888" w:type="dxa"/>
            <w:vAlign w:val="center"/>
          </w:tcPr>
          <w:p w14:paraId="46482DE7">
            <w:pPr>
              <w:pStyle w:val="766"/>
              <w:rPr>
                <w:color w:val="auto"/>
              </w:rPr>
            </w:pPr>
            <w:r>
              <w:rPr>
                <w:rFonts w:hint="eastAsia"/>
                <w:color w:val="auto"/>
              </w:rPr>
              <w:t>0.036</w:t>
            </w:r>
          </w:p>
        </w:tc>
        <w:tc>
          <w:tcPr>
            <w:tcW w:w="1956" w:type="dxa"/>
            <w:vAlign w:val="center"/>
          </w:tcPr>
          <w:p w14:paraId="083E5FB8">
            <w:pPr>
              <w:pStyle w:val="766"/>
              <w:rPr>
                <w:color w:val="auto"/>
              </w:rPr>
            </w:pPr>
            <w:r>
              <w:rPr>
                <w:rFonts w:hint="eastAsia"/>
                <w:color w:val="auto"/>
              </w:rPr>
              <w:t>/</w:t>
            </w:r>
          </w:p>
        </w:tc>
        <w:tc>
          <w:tcPr>
            <w:tcW w:w="664" w:type="dxa"/>
            <w:vAlign w:val="center"/>
          </w:tcPr>
          <w:p w14:paraId="3F051BD3">
            <w:pPr>
              <w:pStyle w:val="766"/>
              <w:rPr>
                <w:color w:val="auto"/>
              </w:rPr>
            </w:pPr>
            <w:r>
              <w:rPr>
                <w:rFonts w:hint="eastAsia"/>
                <w:color w:val="auto"/>
              </w:rPr>
              <w:t>/</w:t>
            </w:r>
          </w:p>
        </w:tc>
        <w:tc>
          <w:tcPr>
            <w:tcW w:w="1001" w:type="dxa"/>
            <w:vAlign w:val="center"/>
          </w:tcPr>
          <w:p w14:paraId="00A2A8D4">
            <w:pPr>
              <w:pStyle w:val="766"/>
              <w:rPr>
                <w:color w:val="auto"/>
              </w:rPr>
            </w:pPr>
            <w:r>
              <w:rPr>
                <w:rFonts w:hint="eastAsia"/>
                <w:color w:val="auto"/>
                <w:szCs w:val="24"/>
              </w:rPr>
              <w:t>10.14</w:t>
            </w:r>
          </w:p>
        </w:tc>
        <w:tc>
          <w:tcPr>
            <w:tcW w:w="877" w:type="dxa"/>
            <w:vAlign w:val="center"/>
          </w:tcPr>
          <w:p w14:paraId="483D3719">
            <w:pPr>
              <w:pStyle w:val="766"/>
              <w:rPr>
                <w:color w:val="auto"/>
              </w:rPr>
            </w:pPr>
            <w:r>
              <w:rPr>
                <w:rFonts w:hint="eastAsia"/>
                <w:color w:val="auto"/>
                <w:szCs w:val="24"/>
              </w:rPr>
              <w:t>0.019</w:t>
            </w:r>
          </w:p>
        </w:tc>
        <w:tc>
          <w:tcPr>
            <w:tcW w:w="1008" w:type="dxa"/>
            <w:vAlign w:val="center"/>
          </w:tcPr>
          <w:p w14:paraId="04C013F1">
            <w:pPr>
              <w:pStyle w:val="766"/>
              <w:rPr>
                <w:color w:val="auto"/>
              </w:rPr>
            </w:pPr>
            <w:r>
              <w:rPr>
                <w:rFonts w:hint="eastAsia"/>
                <w:color w:val="auto"/>
              </w:rPr>
              <w:t>0.036</w:t>
            </w:r>
          </w:p>
        </w:tc>
        <w:tc>
          <w:tcPr>
            <w:tcW w:w="898" w:type="dxa"/>
            <w:vAlign w:val="center"/>
          </w:tcPr>
          <w:p w14:paraId="16091867">
            <w:pPr>
              <w:pStyle w:val="766"/>
              <w:rPr>
                <w:color w:val="auto"/>
              </w:rPr>
            </w:pPr>
            <w:r>
              <w:rPr>
                <w:color w:val="auto"/>
              </w:rPr>
              <w:t>20</w:t>
            </w:r>
          </w:p>
        </w:tc>
        <w:tc>
          <w:tcPr>
            <w:tcW w:w="713" w:type="dxa"/>
            <w:vAlign w:val="center"/>
          </w:tcPr>
          <w:p w14:paraId="771B4AD0">
            <w:pPr>
              <w:pStyle w:val="766"/>
              <w:rPr>
                <w:color w:val="auto"/>
              </w:rPr>
            </w:pPr>
            <w:r>
              <w:rPr>
                <w:color w:val="auto"/>
              </w:rPr>
              <w:t>/</w:t>
            </w:r>
          </w:p>
        </w:tc>
        <w:tc>
          <w:tcPr>
            <w:tcW w:w="513" w:type="dxa"/>
            <w:vAlign w:val="center"/>
          </w:tcPr>
          <w:p w14:paraId="127EB5E9">
            <w:pPr>
              <w:pStyle w:val="766"/>
              <w:rPr>
                <w:color w:val="auto"/>
              </w:rPr>
            </w:pPr>
            <w:r>
              <w:rPr>
                <w:color w:val="auto"/>
              </w:rPr>
              <w:t>是</w:t>
            </w:r>
          </w:p>
        </w:tc>
      </w:tr>
      <w:tr w14:paraId="7B19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37AE906B">
            <w:pPr>
              <w:pStyle w:val="766"/>
              <w:rPr>
                <w:color w:val="auto"/>
              </w:rPr>
            </w:pPr>
          </w:p>
        </w:tc>
        <w:tc>
          <w:tcPr>
            <w:tcW w:w="779" w:type="dxa"/>
            <w:vMerge w:val="continue"/>
            <w:vAlign w:val="center"/>
          </w:tcPr>
          <w:p w14:paraId="31589EF1">
            <w:pPr>
              <w:pStyle w:val="766"/>
              <w:rPr>
                <w:color w:val="auto"/>
                <w:spacing w:val="4"/>
              </w:rPr>
            </w:pPr>
          </w:p>
        </w:tc>
        <w:tc>
          <w:tcPr>
            <w:tcW w:w="1236" w:type="dxa"/>
            <w:vMerge w:val="continue"/>
            <w:vAlign w:val="center"/>
          </w:tcPr>
          <w:p w14:paraId="14CAAB38">
            <w:pPr>
              <w:pStyle w:val="766"/>
              <w:rPr>
                <w:color w:val="auto"/>
              </w:rPr>
            </w:pPr>
          </w:p>
        </w:tc>
        <w:tc>
          <w:tcPr>
            <w:tcW w:w="694" w:type="dxa"/>
            <w:vMerge w:val="continue"/>
            <w:vAlign w:val="center"/>
          </w:tcPr>
          <w:p w14:paraId="11FB9255">
            <w:pPr>
              <w:pStyle w:val="766"/>
              <w:rPr>
                <w:color w:val="auto"/>
              </w:rPr>
            </w:pPr>
          </w:p>
        </w:tc>
        <w:tc>
          <w:tcPr>
            <w:tcW w:w="653" w:type="dxa"/>
            <w:vAlign w:val="center"/>
          </w:tcPr>
          <w:p w14:paraId="16F50EF7">
            <w:pPr>
              <w:pStyle w:val="766"/>
              <w:rPr>
                <w:color w:val="auto"/>
              </w:rPr>
            </w:pPr>
            <w:r>
              <w:rPr>
                <w:color w:val="auto"/>
              </w:rPr>
              <w:t>SO</w:t>
            </w:r>
            <w:r>
              <w:rPr>
                <w:color w:val="auto"/>
                <w:vertAlign w:val="subscript"/>
              </w:rPr>
              <w:t>2</w:t>
            </w:r>
          </w:p>
        </w:tc>
        <w:tc>
          <w:tcPr>
            <w:tcW w:w="927" w:type="dxa"/>
            <w:vAlign w:val="center"/>
          </w:tcPr>
          <w:p w14:paraId="16E3E239">
            <w:pPr>
              <w:pStyle w:val="766"/>
              <w:rPr>
                <w:color w:val="auto"/>
                <w:szCs w:val="24"/>
              </w:rPr>
            </w:pPr>
            <w:r>
              <w:rPr>
                <w:rFonts w:hint="eastAsia"/>
                <w:color w:val="auto"/>
                <w:szCs w:val="24"/>
              </w:rPr>
              <w:t>0</w:t>
            </w:r>
          </w:p>
        </w:tc>
        <w:tc>
          <w:tcPr>
            <w:tcW w:w="951" w:type="dxa"/>
            <w:vAlign w:val="center"/>
          </w:tcPr>
          <w:p w14:paraId="25D44B44">
            <w:pPr>
              <w:pStyle w:val="766"/>
              <w:rPr>
                <w:color w:val="auto"/>
                <w:szCs w:val="24"/>
              </w:rPr>
            </w:pPr>
            <w:r>
              <w:rPr>
                <w:rFonts w:hint="eastAsia"/>
                <w:color w:val="auto"/>
                <w:szCs w:val="24"/>
              </w:rPr>
              <w:t>0</w:t>
            </w:r>
          </w:p>
        </w:tc>
        <w:tc>
          <w:tcPr>
            <w:tcW w:w="888" w:type="dxa"/>
            <w:vAlign w:val="center"/>
          </w:tcPr>
          <w:p w14:paraId="449392E7">
            <w:pPr>
              <w:pStyle w:val="766"/>
              <w:rPr>
                <w:color w:val="auto"/>
              </w:rPr>
            </w:pPr>
            <w:r>
              <w:rPr>
                <w:rFonts w:hint="eastAsia"/>
                <w:color w:val="auto"/>
              </w:rPr>
              <w:t>0</w:t>
            </w:r>
          </w:p>
        </w:tc>
        <w:tc>
          <w:tcPr>
            <w:tcW w:w="1956" w:type="dxa"/>
            <w:vAlign w:val="center"/>
          </w:tcPr>
          <w:p w14:paraId="5BEEA623">
            <w:pPr>
              <w:pStyle w:val="766"/>
              <w:rPr>
                <w:color w:val="auto"/>
              </w:rPr>
            </w:pPr>
            <w:r>
              <w:rPr>
                <w:rFonts w:hint="eastAsia"/>
                <w:color w:val="auto"/>
              </w:rPr>
              <w:t>/</w:t>
            </w:r>
          </w:p>
        </w:tc>
        <w:tc>
          <w:tcPr>
            <w:tcW w:w="664" w:type="dxa"/>
            <w:vAlign w:val="center"/>
          </w:tcPr>
          <w:p w14:paraId="46D7A67F">
            <w:pPr>
              <w:pStyle w:val="766"/>
              <w:rPr>
                <w:color w:val="auto"/>
              </w:rPr>
            </w:pPr>
            <w:r>
              <w:rPr>
                <w:rFonts w:hint="eastAsia"/>
                <w:color w:val="auto"/>
              </w:rPr>
              <w:t>/</w:t>
            </w:r>
          </w:p>
        </w:tc>
        <w:tc>
          <w:tcPr>
            <w:tcW w:w="1001" w:type="dxa"/>
            <w:vAlign w:val="center"/>
          </w:tcPr>
          <w:p w14:paraId="5B581E11">
            <w:pPr>
              <w:pStyle w:val="766"/>
              <w:rPr>
                <w:color w:val="auto"/>
                <w:szCs w:val="24"/>
              </w:rPr>
            </w:pPr>
            <w:r>
              <w:rPr>
                <w:rFonts w:hint="eastAsia"/>
                <w:color w:val="auto"/>
                <w:szCs w:val="24"/>
              </w:rPr>
              <w:t>0</w:t>
            </w:r>
          </w:p>
        </w:tc>
        <w:tc>
          <w:tcPr>
            <w:tcW w:w="877" w:type="dxa"/>
            <w:vAlign w:val="center"/>
          </w:tcPr>
          <w:p w14:paraId="0758C18A">
            <w:pPr>
              <w:pStyle w:val="766"/>
              <w:rPr>
                <w:color w:val="auto"/>
                <w:szCs w:val="24"/>
              </w:rPr>
            </w:pPr>
            <w:r>
              <w:rPr>
                <w:rFonts w:hint="eastAsia"/>
                <w:color w:val="auto"/>
                <w:szCs w:val="24"/>
              </w:rPr>
              <w:t>0</w:t>
            </w:r>
          </w:p>
        </w:tc>
        <w:tc>
          <w:tcPr>
            <w:tcW w:w="1008" w:type="dxa"/>
            <w:vAlign w:val="center"/>
          </w:tcPr>
          <w:p w14:paraId="413F9BD5">
            <w:pPr>
              <w:pStyle w:val="766"/>
              <w:rPr>
                <w:color w:val="auto"/>
              </w:rPr>
            </w:pPr>
            <w:r>
              <w:rPr>
                <w:rFonts w:hint="eastAsia"/>
                <w:color w:val="auto"/>
              </w:rPr>
              <w:t>0</w:t>
            </w:r>
          </w:p>
        </w:tc>
        <w:tc>
          <w:tcPr>
            <w:tcW w:w="898" w:type="dxa"/>
            <w:vAlign w:val="center"/>
          </w:tcPr>
          <w:p w14:paraId="62AFA7A1">
            <w:pPr>
              <w:pStyle w:val="766"/>
              <w:rPr>
                <w:color w:val="auto"/>
              </w:rPr>
            </w:pPr>
            <w:r>
              <w:rPr>
                <w:color w:val="auto"/>
              </w:rPr>
              <w:t>50</w:t>
            </w:r>
          </w:p>
        </w:tc>
        <w:tc>
          <w:tcPr>
            <w:tcW w:w="713" w:type="dxa"/>
            <w:vAlign w:val="center"/>
          </w:tcPr>
          <w:p w14:paraId="183B1BBC">
            <w:pPr>
              <w:pStyle w:val="766"/>
              <w:rPr>
                <w:color w:val="auto"/>
              </w:rPr>
            </w:pPr>
            <w:r>
              <w:rPr>
                <w:color w:val="auto"/>
              </w:rPr>
              <w:t>/</w:t>
            </w:r>
          </w:p>
        </w:tc>
        <w:tc>
          <w:tcPr>
            <w:tcW w:w="513" w:type="dxa"/>
            <w:vAlign w:val="center"/>
          </w:tcPr>
          <w:p w14:paraId="1E3B465F">
            <w:pPr>
              <w:pStyle w:val="766"/>
              <w:rPr>
                <w:color w:val="auto"/>
              </w:rPr>
            </w:pPr>
            <w:r>
              <w:rPr>
                <w:color w:val="auto"/>
              </w:rPr>
              <w:t>是</w:t>
            </w:r>
          </w:p>
        </w:tc>
      </w:tr>
      <w:tr w14:paraId="2D01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19985DF7">
            <w:pPr>
              <w:pStyle w:val="766"/>
              <w:rPr>
                <w:color w:val="auto"/>
              </w:rPr>
            </w:pPr>
          </w:p>
        </w:tc>
        <w:tc>
          <w:tcPr>
            <w:tcW w:w="779" w:type="dxa"/>
            <w:vMerge w:val="continue"/>
            <w:vAlign w:val="center"/>
          </w:tcPr>
          <w:p w14:paraId="47312432">
            <w:pPr>
              <w:pStyle w:val="766"/>
              <w:rPr>
                <w:color w:val="auto"/>
                <w:spacing w:val="4"/>
              </w:rPr>
            </w:pPr>
          </w:p>
        </w:tc>
        <w:tc>
          <w:tcPr>
            <w:tcW w:w="1236" w:type="dxa"/>
            <w:vMerge w:val="continue"/>
            <w:vAlign w:val="center"/>
          </w:tcPr>
          <w:p w14:paraId="3DB24F63">
            <w:pPr>
              <w:pStyle w:val="766"/>
              <w:rPr>
                <w:color w:val="auto"/>
              </w:rPr>
            </w:pPr>
          </w:p>
        </w:tc>
        <w:tc>
          <w:tcPr>
            <w:tcW w:w="694" w:type="dxa"/>
            <w:vMerge w:val="continue"/>
            <w:vAlign w:val="center"/>
          </w:tcPr>
          <w:p w14:paraId="7563826C">
            <w:pPr>
              <w:pStyle w:val="766"/>
              <w:rPr>
                <w:color w:val="auto"/>
              </w:rPr>
            </w:pPr>
          </w:p>
        </w:tc>
        <w:tc>
          <w:tcPr>
            <w:tcW w:w="653" w:type="dxa"/>
            <w:vAlign w:val="center"/>
          </w:tcPr>
          <w:p w14:paraId="5BD76FC0">
            <w:pPr>
              <w:pStyle w:val="766"/>
              <w:rPr>
                <w:color w:val="auto"/>
              </w:rPr>
            </w:pPr>
            <w:r>
              <w:rPr>
                <w:color w:val="auto"/>
              </w:rPr>
              <w:t>NO</w:t>
            </w:r>
            <w:r>
              <w:rPr>
                <w:color w:val="auto"/>
                <w:vertAlign w:val="subscript"/>
              </w:rPr>
              <w:t>x</w:t>
            </w:r>
          </w:p>
        </w:tc>
        <w:tc>
          <w:tcPr>
            <w:tcW w:w="927" w:type="dxa"/>
            <w:vAlign w:val="center"/>
          </w:tcPr>
          <w:p w14:paraId="1E1946BA">
            <w:pPr>
              <w:pStyle w:val="766"/>
              <w:rPr>
                <w:color w:val="auto"/>
                <w:szCs w:val="24"/>
              </w:rPr>
            </w:pPr>
            <w:r>
              <w:rPr>
                <w:rFonts w:hint="eastAsia"/>
                <w:color w:val="auto"/>
                <w:szCs w:val="24"/>
              </w:rPr>
              <w:t>100</w:t>
            </w:r>
          </w:p>
        </w:tc>
        <w:tc>
          <w:tcPr>
            <w:tcW w:w="951" w:type="dxa"/>
            <w:vAlign w:val="center"/>
          </w:tcPr>
          <w:p w14:paraId="73DF336D">
            <w:pPr>
              <w:pStyle w:val="766"/>
              <w:rPr>
                <w:color w:val="auto"/>
                <w:szCs w:val="24"/>
              </w:rPr>
            </w:pPr>
            <w:r>
              <w:rPr>
                <w:color w:val="auto"/>
                <w:szCs w:val="24"/>
              </w:rPr>
              <w:t>0.</w:t>
            </w:r>
            <w:r>
              <w:rPr>
                <w:rFonts w:hint="eastAsia"/>
                <w:color w:val="auto"/>
                <w:szCs w:val="24"/>
              </w:rPr>
              <w:t>19</w:t>
            </w:r>
          </w:p>
        </w:tc>
        <w:tc>
          <w:tcPr>
            <w:tcW w:w="888" w:type="dxa"/>
            <w:vAlign w:val="center"/>
          </w:tcPr>
          <w:p w14:paraId="51114CA2">
            <w:pPr>
              <w:pStyle w:val="766"/>
              <w:rPr>
                <w:color w:val="auto"/>
                <w:szCs w:val="24"/>
              </w:rPr>
            </w:pPr>
            <w:r>
              <w:rPr>
                <w:rFonts w:hint="eastAsia"/>
                <w:color w:val="auto"/>
                <w:szCs w:val="24"/>
              </w:rPr>
              <w:t>0.357</w:t>
            </w:r>
          </w:p>
        </w:tc>
        <w:tc>
          <w:tcPr>
            <w:tcW w:w="1956" w:type="dxa"/>
            <w:vAlign w:val="center"/>
          </w:tcPr>
          <w:p w14:paraId="3C06AABA">
            <w:pPr>
              <w:pStyle w:val="766"/>
              <w:rPr>
                <w:color w:val="auto"/>
              </w:rPr>
            </w:pPr>
            <w:r>
              <w:rPr>
                <w:color w:val="auto"/>
              </w:rPr>
              <w:t>低氮燃烧</w:t>
            </w:r>
          </w:p>
        </w:tc>
        <w:tc>
          <w:tcPr>
            <w:tcW w:w="664" w:type="dxa"/>
            <w:vAlign w:val="center"/>
          </w:tcPr>
          <w:p w14:paraId="42309980">
            <w:pPr>
              <w:pStyle w:val="766"/>
              <w:rPr>
                <w:color w:val="auto"/>
              </w:rPr>
            </w:pPr>
            <w:r>
              <w:rPr>
                <w:rFonts w:hint="eastAsia"/>
                <w:color w:val="auto"/>
              </w:rPr>
              <w:t>0</w:t>
            </w:r>
          </w:p>
        </w:tc>
        <w:tc>
          <w:tcPr>
            <w:tcW w:w="1001" w:type="dxa"/>
            <w:vAlign w:val="center"/>
          </w:tcPr>
          <w:p w14:paraId="5E0D6652">
            <w:pPr>
              <w:pStyle w:val="766"/>
              <w:rPr>
                <w:color w:val="auto"/>
                <w:szCs w:val="24"/>
              </w:rPr>
            </w:pPr>
            <w:r>
              <w:rPr>
                <w:rFonts w:hint="eastAsia"/>
                <w:color w:val="auto"/>
                <w:szCs w:val="24"/>
              </w:rPr>
              <w:t>100</w:t>
            </w:r>
          </w:p>
        </w:tc>
        <w:tc>
          <w:tcPr>
            <w:tcW w:w="877" w:type="dxa"/>
            <w:vAlign w:val="center"/>
          </w:tcPr>
          <w:p w14:paraId="2921DA20">
            <w:pPr>
              <w:pStyle w:val="766"/>
              <w:rPr>
                <w:color w:val="auto"/>
                <w:szCs w:val="24"/>
              </w:rPr>
            </w:pPr>
            <w:r>
              <w:rPr>
                <w:color w:val="auto"/>
                <w:szCs w:val="24"/>
              </w:rPr>
              <w:t>0.</w:t>
            </w:r>
            <w:r>
              <w:rPr>
                <w:rFonts w:hint="eastAsia"/>
                <w:color w:val="auto"/>
                <w:szCs w:val="24"/>
              </w:rPr>
              <w:t>19</w:t>
            </w:r>
          </w:p>
        </w:tc>
        <w:tc>
          <w:tcPr>
            <w:tcW w:w="1008" w:type="dxa"/>
            <w:vAlign w:val="center"/>
          </w:tcPr>
          <w:p w14:paraId="6BC05A1D">
            <w:pPr>
              <w:pStyle w:val="766"/>
              <w:rPr>
                <w:color w:val="auto"/>
                <w:szCs w:val="24"/>
              </w:rPr>
            </w:pPr>
            <w:r>
              <w:rPr>
                <w:rFonts w:hint="eastAsia"/>
                <w:color w:val="auto"/>
                <w:szCs w:val="24"/>
              </w:rPr>
              <w:t>0.357</w:t>
            </w:r>
          </w:p>
        </w:tc>
        <w:tc>
          <w:tcPr>
            <w:tcW w:w="898" w:type="dxa"/>
            <w:vAlign w:val="center"/>
          </w:tcPr>
          <w:p w14:paraId="0E11895D">
            <w:pPr>
              <w:pStyle w:val="766"/>
              <w:rPr>
                <w:color w:val="auto"/>
              </w:rPr>
            </w:pPr>
            <w:r>
              <w:rPr>
                <w:color w:val="auto"/>
              </w:rPr>
              <w:t>150</w:t>
            </w:r>
          </w:p>
        </w:tc>
        <w:tc>
          <w:tcPr>
            <w:tcW w:w="713" w:type="dxa"/>
            <w:vAlign w:val="center"/>
          </w:tcPr>
          <w:p w14:paraId="22B00266">
            <w:pPr>
              <w:pStyle w:val="766"/>
              <w:rPr>
                <w:color w:val="auto"/>
              </w:rPr>
            </w:pPr>
            <w:r>
              <w:rPr>
                <w:color w:val="auto"/>
              </w:rPr>
              <w:t>/</w:t>
            </w:r>
          </w:p>
        </w:tc>
        <w:tc>
          <w:tcPr>
            <w:tcW w:w="513" w:type="dxa"/>
            <w:vAlign w:val="center"/>
          </w:tcPr>
          <w:p w14:paraId="0487DBC0">
            <w:pPr>
              <w:pStyle w:val="766"/>
              <w:rPr>
                <w:color w:val="auto"/>
              </w:rPr>
            </w:pPr>
            <w:r>
              <w:rPr>
                <w:color w:val="auto"/>
              </w:rPr>
              <w:t>是</w:t>
            </w:r>
          </w:p>
        </w:tc>
      </w:tr>
      <w:tr w14:paraId="5EE8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5" w:type="dxa"/>
            <w:vMerge w:val="continue"/>
            <w:vAlign w:val="center"/>
          </w:tcPr>
          <w:p w14:paraId="174616DC">
            <w:pPr>
              <w:pStyle w:val="766"/>
              <w:rPr>
                <w:color w:val="auto"/>
              </w:rPr>
            </w:pPr>
          </w:p>
        </w:tc>
        <w:tc>
          <w:tcPr>
            <w:tcW w:w="779" w:type="dxa"/>
            <w:vAlign w:val="center"/>
          </w:tcPr>
          <w:p w14:paraId="56DD593B">
            <w:pPr>
              <w:pStyle w:val="766"/>
              <w:rPr>
                <w:color w:val="auto"/>
                <w:spacing w:val="4"/>
              </w:rPr>
            </w:pPr>
            <w:r>
              <w:rPr>
                <w:color w:val="auto"/>
                <w:spacing w:val="4"/>
              </w:rPr>
              <w:t>食堂</w:t>
            </w:r>
          </w:p>
        </w:tc>
        <w:tc>
          <w:tcPr>
            <w:tcW w:w="1236" w:type="dxa"/>
            <w:vAlign w:val="center"/>
          </w:tcPr>
          <w:p w14:paraId="527F5162">
            <w:pPr>
              <w:pStyle w:val="766"/>
              <w:rPr>
                <w:color w:val="auto"/>
              </w:rPr>
            </w:pPr>
            <w:r>
              <w:rPr>
                <w:color w:val="auto"/>
              </w:rPr>
              <w:t>专用排气道（DA003）</w:t>
            </w:r>
          </w:p>
        </w:tc>
        <w:tc>
          <w:tcPr>
            <w:tcW w:w="694" w:type="dxa"/>
            <w:vAlign w:val="center"/>
          </w:tcPr>
          <w:p w14:paraId="312B7F0D">
            <w:pPr>
              <w:pStyle w:val="766"/>
              <w:rPr>
                <w:color w:val="auto"/>
              </w:rPr>
            </w:pPr>
            <w:r>
              <w:rPr>
                <w:color w:val="auto"/>
              </w:rPr>
              <w:t>2190</w:t>
            </w:r>
          </w:p>
        </w:tc>
        <w:tc>
          <w:tcPr>
            <w:tcW w:w="653" w:type="dxa"/>
            <w:vAlign w:val="center"/>
          </w:tcPr>
          <w:p w14:paraId="3146E6B9">
            <w:pPr>
              <w:pStyle w:val="766"/>
              <w:rPr>
                <w:color w:val="auto"/>
              </w:rPr>
            </w:pPr>
            <w:r>
              <w:rPr>
                <w:color w:val="auto"/>
              </w:rPr>
              <w:t>油烟</w:t>
            </w:r>
          </w:p>
        </w:tc>
        <w:tc>
          <w:tcPr>
            <w:tcW w:w="927" w:type="dxa"/>
            <w:vAlign w:val="center"/>
          </w:tcPr>
          <w:p w14:paraId="6A5D0733">
            <w:pPr>
              <w:pStyle w:val="766"/>
              <w:rPr>
                <w:color w:val="auto"/>
              </w:rPr>
            </w:pPr>
            <w:r>
              <w:rPr>
                <w:color w:val="auto"/>
              </w:rPr>
              <w:t>2.1</w:t>
            </w:r>
          </w:p>
        </w:tc>
        <w:tc>
          <w:tcPr>
            <w:tcW w:w="951" w:type="dxa"/>
            <w:vAlign w:val="center"/>
          </w:tcPr>
          <w:p w14:paraId="3AF1049F">
            <w:pPr>
              <w:pStyle w:val="766"/>
              <w:rPr>
                <w:color w:val="auto"/>
              </w:rPr>
            </w:pPr>
            <w:r>
              <w:rPr>
                <w:color w:val="auto"/>
              </w:rPr>
              <w:t>0.021</w:t>
            </w:r>
          </w:p>
        </w:tc>
        <w:tc>
          <w:tcPr>
            <w:tcW w:w="888" w:type="dxa"/>
            <w:vAlign w:val="center"/>
          </w:tcPr>
          <w:p w14:paraId="48E8A4D9">
            <w:pPr>
              <w:pStyle w:val="766"/>
              <w:rPr>
                <w:color w:val="auto"/>
              </w:rPr>
            </w:pPr>
            <w:r>
              <w:rPr>
                <w:color w:val="auto"/>
              </w:rPr>
              <w:t>0.045</w:t>
            </w:r>
          </w:p>
        </w:tc>
        <w:tc>
          <w:tcPr>
            <w:tcW w:w="1956" w:type="dxa"/>
            <w:vAlign w:val="center"/>
          </w:tcPr>
          <w:p w14:paraId="164F863D">
            <w:pPr>
              <w:pStyle w:val="766"/>
              <w:rPr>
                <w:color w:val="auto"/>
              </w:rPr>
            </w:pPr>
            <w:r>
              <w:rPr>
                <w:color w:val="auto"/>
              </w:rPr>
              <w:t>油烟净化器</w:t>
            </w:r>
          </w:p>
        </w:tc>
        <w:tc>
          <w:tcPr>
            <w:tcW w:w="664" w:type="dxa"/>
            <w:vAlign w:val="center"/>
          </w:tcPr>
          <w:p w14:paraId="52F11753">
            <w:pPr>
              <w:pStyle w:val="766"/>
              <w:rPr>
                <w:color w:val="auto"/>
              </w:rPr>
            </w:pPr>
            <w:r>
              <w:rPr>
                <w:color w:val="auto"/>
              </w:rPr>
              <w:t>75</w:t>
            </w:r>
          </w:p>
        </w:tc>
        <w:tc>
          <w:tcPr>
            <w:tcW w:w="1001" w:type="dxa"/>
            <w:vAlign w:val="center"/>
          </w:tcPr>
          <w:p w14:paraId="1D289609">
            <w:pPr>
              <w:pStyle w:val="766"/>
              <w:rPr>
                <w:color w:val="auto"/>
              </w:rPr>
            </w:pPr>
            <w:r>
              <w:rPr>
                <w:color w:val="auto"/>
              </w:rPr>
              <w:t>0.53</w:t>
            </w:r>
          </w:p>
        </w:tc>
        <w:tc>
          <w:tcPr>
            <w:tcW w:w="877" w:type="dxa"/>
            <w:vAlign w:val="center"/>
          </w:tcPr>
          <w:p w14:paraId="33F95AFA">
            <w:pPr>
              <w:pStyle w:val="766"/>
              <w:rPr>
                <w:color w:val="auto"/>
              </w:rPr>
            </w:pPr>
            <w:r>
              <w:rPr>
                <w:color w:val="auto"/>
              </w:rPr>
              <w:t>0.00525</w:t>
            </w:r>
          </w:p>
        </w:tc>
        <w:tc>
          <w:tcPr>
            <w:tcW w:w="1008" w:type="dxa"/>
            <w:vAlign w:val="center"/>
          </w:tcPr>
          <w:p w14:paraId="73EBDB07">
            <w:pPr>
              <w:pStyle w:val="766"/>
              <w:rPr>
                <w:color w:val="auto"/>
              </w:rPr>
            </w:pPr>
            <w:r>
              <w:rPr>
                <w:color w:val="auto"/>
              </w:rPr>
              <w:t>0.01125</w:t>
            </w:r>
          </w:p>
        </w:tc>
        <w:tc>
          <w:tcPr>
            <w:tcW w:w="898" w:type="dxa"/>
            <w:vAlign w:val="center"/>
          </w:tcPr>
          <w:p w14:paraId="35820305">
            <w:pPr>
              <w:pStyle w:val="766"/>
              <w:rPr>
                <w:color w:val="auto"/>
              </w:rPr>
            </w:pPr>
            <w:r>
              <w:rPr>
                <w:color w:val="auto"/>
              </w:rPr>
              <w:t>2.0</w:t>
            </w:r>
          </w:p>
        </w:tc>
        <w:tc>
          <w:tcPr>
            <w:tcW w:w="713" w:type="dxa"/>
            <w:vAlign w:val="center"/>
          </w:tcPr>
          <w:p w14:paraId="554ECCF8">
            <w:pPr>
              <w:pStyle w:val="766"/>
              <w:rPr>
                <w:color w:val="auto"/>
              </w:rPr>
            </w:pPr>
            <w:r>
              <w:rPr>
                <w:color w:val="auto"/>
              </w:rPr>
              <w:t>/</w:t>
            </w:r>
          </w:p>
        </w:tc>
        <w:tc>
          <w:tcPr>
            <w:tcW w:w="513" w:type="dxa"/>
            <w:vAlign w:val="center"/>
          </w:tcPr>
          <w:p w14:paraId="00513DE9">
            <w:pPr>
              <w:pStyle w:val="766"/>
              <w:rPr>
                <w:color w:val="auto"/>
              </w:rPr>
            </w:pPr>
            <w:r>
              <w:rPr>
                <w:color w:val="auto"/>
              </w:rPr>
              <w:t>是</w:t>
            </w:r>
          </w:p>
        </w:tc>
      </w:tr>
    </w:tbl>
    <w:p w14:paraId="0AAD19E0">
      <w:pPr>
        <w:pStyle w:val="369"/>
      </w:pPr>
    </w:p>
    <w:p w14:paraId="0D0B1978">
      <w:pPr>
        <w:pStyle w:val="369"/>
      </w:pPr>
    </w:p>
    <w:p w14:paraId="358112DC">
      <w:pPr>
        <w:pStyle w:val="104"/>
      </w:pPr>
    </w:p>
    <w:p w14:paraId="4507A1F1">
      <w:pPr>
        <w:pStyle w:val="104"/>
        <w:sectPr>
          <w:pgSz w:w="16840" w:h="11907" w:orient="landscape"/>
          <w:pgMar w:top="1418" w:right="1418" w:bottom="1418" w:left="1418" w:header="964" w:footer="964" w:gutter="0"/>
          <w:cols w:space="720" w:num="1"/>
          <w:docGrid w:linePitch="326" w:charSpace="0"/>
        </w:sectPr>
      </w:pPr>
    </w:p>
    <w:p w14:paraId="5E8AFCB6">
      <w:pPr>
        <w:pStyle w:val="757"/>
      </w:pPr>
      <w:r>
        <w:t>3.3.2.2水污染源分析</w:t>
      </w:r>
    </w:p>
    <w:p w14:paraId="0406A63C">
      <w:pPr>
        <w:pStyle w:val="104"/>
        <w:jc w:val="both"/>
      </w:pPr>
      <w:r>
        <w:t>本项目年产生废水量为</w:t>
      </w:r>
      <w:r>
        <w:rPr>
          <w:rFonts w:hint="eastAsia"/>
        </w:rPr>
        <w:t>19963</w:t>
      </w:r>
      <w:r>
        <w:t>m</w:t>
      </w:r>
      <w:r>
        <w:rPr>
          <w:vertAlign w:val="superscript"/>
        </w:rPr>
        <w:t>3</w:t>
      </w:r>
      <w:r>
        <w:t>/a，主要包括鸡舍冲洗废水、生活污水、软</w:t>
      </w:r>
      <w:r>
        <w:rPr>
          <w:rFonts w:hint="eastAsia"/>
        </w:rPr>
        <w:t>化</w:t>
      </w:r>
      <w:r>
        <w:t>水制备废水</w:t>
      </w:r>
      <w:r>
        <w:rPr>
          <w:rFonts w:hint="eastAsia"/>
        </w:rPr>
        <w:t>、堆肥渗滤液</w:t>
      </w:r>
      <w:r>
        <w:t>。其中鸡舍冲洗废水</w:t>
      </w:r>
      <w:r>
        <w:rPr>
          <w:rFonts w:hint="eastAsia"/>
        </w:rPr>
        <w:t>1215</w:t>
      </w:r>
      <w:r>
        <w:t>m</w:t>
      </w:r>
      <w:r>
        <w:rPr>
          <w:vertAlign w:val="superscript"/>
        </w:rPr>
        <w:t>3</w:t>
      </w:r>
      <w:r>
        <w:t>/a，</w:t>
      </w:r>
      <w:r>
        <w:rPr>
          <w:rFonts w:hint="eastAsia"/>
        </w:rPr>
        <w:t>其中青年鸡舍单次冲洗废水产生量为31.5m</w:t>
      </w:r>
      <w:r>
        <w:rPr>
          <w:rFonts w:hint="eastAsia"/>
          <w:vertAlign w:val="superscript"/>
        </w:rPr>
        <w:t>3</w:t>
      </w:r>
      <w:r>
        <w:rPr>
          <w:rFonts w:hint="eastAsia"/>
        </w:rPr>
        <w:t>/次，每年冲洗3次，蛋鸡舍单次冲洗废水产生量为72m</w:t>
      </w:r>
      <w:r>
        <w:rPr>
          <w:rFonts w:hint="eastAsia"/>
          <w:vertAlign w:val="superscript"/>
        </w:rPr>
        <w:t>3</w:t>
      </w:r>
      <w:r>
        <w:rPr>
          <w:rFonts w:hint="eastAsia"/>
        </w:rPr>
        <w:t>/次，每年冲洗1次；</w:t>
      </w:r>
      <w:r>
        <w:t>生活污水1314m</w:t>
      </w:r>
      <w:r>
        <w:rPr>
          <w:vertAlign w:val="superscript"/>
        </w:rPr>
        <w:t>3</w:t>
      </w:r>
      <w:r>
        <w:t>/a</w:t>
      </w:r>
      <w:r>
        <w:rPr>
          <w:rFonts w:hint="eastAsia"/>
        </w:rPr>
        <w:t>；软化水</w:t>
      </w:r>
      <w:r>
        <w:t>制备废水38</w:t>
      </w:r>
      <w:r>
        <w:rPr>
          <w:rFonts w:hint="eastAsia"/>
        </w:rPr>
        <w:t>5</w:t>
      </w:r>
      <w:r>
        <w:t>m</w:t>
      </w:r>
      <w:r>
        <w:rPr>
          <w:vertAlign w:val="superscript"/>
        </w:rPr>
        <w:t>3</w:t>
      </w:r>
      <w:r>
        <w:t>/a</w:t>
      </w:r>
      <w:r>
        <w:rPr>
          <w:rFonts w:hint="eastAsia"/>
        </w:rPr>
        <w:t>，渗滤液由鸡粪堆肥过程产生，鸡粪中含水量为26229</w:t>
      </w:r>
      <w:r>
        <w:t>t</w:t>
      </w:r>
      <w:r>
        <w:rPr>
          <w:rFonts w:hint="eastAsia"/>
        </w:rPr>
        <w:t>/a，有机肥含水率约35%，剩余部分以渗滤液形式排出，堆肥渗滤液17049</w:t>
      </w:r>
      <w:r>
        <w:t>m</w:t>
      </w:r>
      <w:r>
        <w:rPr>
          <w:vertAlign w:val="superscript"/>
        </w:rPr>
        <w:t>3</w:t>
      </w:r>
      <w:r>
        <w:t>/a。鸡舍冲洗废水、生活污水、软</w:t>
      </w:r>
      <w:r>
        <w:rPr>
          <w:rFonts w:hint="eastAsia"/>
        </w:rPr>
        <w:t>化</w:t>
      </w:r>
      <w:r>
        <w:t>水制备废水</w:t>
      </w:r>
      <w:r>
        <w:rPr>
          <w:rFonts w:hint="eastAsia"/>
        </w:rPr>
        <w:t>、堆肥渗滤液混合后进入本项目污水处理站处理</w:t>
      </w:r>
      <w:r>
        <w:t>，处理达</w:t>
      </w:r>
      <w:r>
        <w:rPr>
          <w:rFonts w:hint="eastAsia"/>
        </w:rPr>
        <w:t>到</w:t>
      </w:r>
      <w:r>
        <w:t>《城市污水再生利用城市杂用水水质》（GB/T 18920-2020）</w:t>
      </w:r>
      <w:r>
        <w:rPr>
          <w:rFonts w:hint="eastAsia"/>
        </w:rPr>
        <w:t>中城市绿化限值</w:t>
      </w:r>
      <w:r>
        <w:t>标</w:t>
      </w:r>
      <w:r>
        <w:rPr>
          <w:rFonts w:hint="eastAsia"/>
        </w:rPr>
        <w:t>准</w:t>
      </w:r>
      <w:r>
        <w:t>后</w:t>
      </w:r>
      <w:r>
        <w:rPr>
          <w:rFonts w:hint="eastAsia"/>
        </w:rPr>
        <w:t>暂存于储水池（10759m</w:t>
      </w:r>
      <w:r>
        <w:rPr>
          <w:rFonts w:hint="eastAsia"/>
          <w:vertAlign w:val="superscript"/>
        </w:rPr>
        <w:t>3</w:t>
      </w:r>
      <w:r>
        <w:rPr>
          <w:rFonts w:hint="eastAsia"/>
        </w:rPr>
        <w:t>）内</w:t>
      </w:r>
      <w:r>
        <w:t>冬储夏灌用于厂区绿化</w:t>
      </w:r>
      <w:r>
        <w:rPr>
          <w:rFonts w:hint="eastAsia"/>
        </w:rPr>
        <w:t>和洒水抑尘。</w:t>
      </w:r>
    </w:p>
    <w:p w14:paraId="0E5F2822">
      <w:pPr>
        <w:pStyle w:val="104"/>
        <w:jc w:val="both"/>
      </w:pPr>
      <w:r>
        <w:t>为防止初期雨水造成水体环境污染，本项目</w:t>
      </w:r>
      <w:r>
        <w:rPr>
          <w:rFonts w:hint="eastAsia"/>
        </w:rPr>
        <w:t>储水池兼做雨水收集池对</w:t>
      </w:r>
      <w:r>
        <w:t>初期雨水</w:t>
      </w:r>
      <w:r>
        <w:rPr>
          <w:rFonts w:hint="eastAsia"/>
        </w:rPr>
        <w:t>进行收集，最终用于厂区绿化或洒水抑尘</w:t>
      </w:r>
      <w:r>
        <w:t>。</w:t>
      </w:r>
    </w:p>
    <w:p w14:paraId="47BF1405">
      <w:pPr>
        <w:pStyle w:val="104"/>
        <w:jc w:val="both"/>
      </w:pPr>
      <w:r>
        <w:t>本项目采用包头市暴雨强度公式，公式如下：</w:t>
      </w:r>
    </w:p>
    <w:p w14:paraId="0BCAEBFB">
      <w:pPr>
        <w:pStyle w:val="104"/>
        <w:jc w:val="both"/>
      </w:pPr>
      <m:oMathPara>
        <m:oMath>
          <m:r>
            <m:rPr>
              <m:sty m:val="p"/>
            </m:rPr>
            <w:rPr>
              <w:rFonts w:hint="eastAsia" w:ascii="Cambria Math" w:hAnsi="Cambria Math"/>
            </w:rPr>
            <m:t>q</m:t>
          </m:r>
          <m:r>
            <m:rPr>
              <m:sty m:val="p"/>
            </m:rPr>
            <w:rPr>
              <w:rFonts w:ascii="Cambria Math" w:hAnsi="Cambria Math"/>
            </w:rPr>
            <m:t>=</m:t>
          </m:r>
          <m:f>
            <m:fPr>
              <m:ctrlPr>
                <w:rPr>
                  <w:rFonts w:ascii="Cambria Math" w:hAnsi="Cambria Math"/>
                </w:rPr>
              </m:ctrlPr>
            </m:fPr>
            <m:num>
              <m:r>
                <m:rPr>
                  <m:sty m:val="p"/>
                </m:rPr>
                <w:rPr>
                  <w:rFonts w:ascii="Cambria Math" w:hAnsi="Cambria Math"/>
                </w:rPr>
                <m:t>9.96×</m:t>
              </m:r>
              <m:d>
                <m:dPr>
                  <m:ctrlPr>
                    <w:rPr>
                      <w:rFonts w:ascii="Cambria Math" w:hAnsi="Cambria Math"/>
                    </w:rPr>
                  </m:ctrlPr>
                </m:dPr>
                <m:e>
                  <m:r>
                    <m:rPr>
                      <m:sty m:val="p"/>
                    </m:rPr>
                    <w:rPr>
                      <w:rFonts w:ascii="Cambria Math" w:hAnsi="Cambria Math"/>
                    </w:rPr>
                    <m:t>1+0.985</m:t>
                  </m:r>
                  <m:r>
                    <m:rPr>
                      <m:sty m:val="p"/>
                    </m:rPr>
                    <w:rPr>
                      <w:rFonts w:hint="eastAsia" w:ascii="Cambria Math" w:hAnsi="Cambria Math"/>
                    </w:rPr>
                    <m:t>lgp</m:t>
                  </m:r>
                  <m:ctrlPr>
                    <w:rPr>
                      <w:rFonts w:ascii="Cambria Math" w:hAnsi="Cambria Math"/>
                    </w:rPr>
                  </m:ctrlPr>
                </m:e>
              </m:d>
              <m:ctrlPr>
                <w:rPr>
                  <w:rFonts w:ascii="Cambria Math" w:hAnsi="Cambria Math"/>
                </w:rPr>
              </m:ctrlPr>
            </m:num>
            <m:den>
              <m:sSup>
                <m:sSupPr>
                  <m:ctrlPr>
                    <w:rPr>
                      <w:rFonts w:ascii="Cambria Math" w:hAnsi="Cambria Math"/>
                    </w:rPr>
                  </m:ctrlPr>
                </m:sSupPr>
                <m:e>
                  <m:d>
                    <m:dPr>
                      <m:ctrlPr>
                        <w:rPr>
                          <w:rFonts w:ascii="Cambria Math" w:hAnsi="Cambria Math"/>
                        </w:rPr>
                      </m:ctrlPr>
                    </m:dPr>
                    <m:e>
                      <m:r>
                        <m:rPr>
                          <m:sty m:val="p"/>
                        </m:rPr>
                        <w:rPr>
                          <w:rFonts w:hint="eastAsia" w:ascii="Cambria Math" w:hAnsi="Cambria Math"/>
                        </w:rPr>
                        <m:t>t</m:t>
                      </m:r>
                      <m:r>
                        <m:rPr>
                          <m:sty m:val="p"/>
                        </m:rPr>
                        <w:rPr>
                          <w:rFonts w:ascii="Cambria Math" w:hAnsi="Cambria Math"/>
                        </w:rPr>
                        <m:t>+5.4</m:t>
                      </m:r>
                      <m:ctrlPr>
                        <w:rPr>
                          <w:rFonts w:ascii="Cambria Math" w:hAnsi="Cambria Math"/>
                        </w:rPr>
                      </m:ctrlPr>
                    </m:e>
                  </m:d>
                  <m:ctrlPr>
                    <w:rPr>
                      <w:rFonts w:ascii="Cambria Math" w:hAnsi="Cambria Math"/>
                    </w:rPr>
                  </m:ctrlPr>
                </m:e>
                <m:sup>
                  <m:r>
                    <m:rPr>
                      <m:sty m:val="p"/>
                    </m:rPr>
                    <w:rPr>
                      <w:rFonts w:ascii="Cambria Math" w:hAnsi="Cambria Math"/>
                    </w:rPr>
                    <m:t>0.85</m:t>
                  </m:r>
                  <m:ctrlPr>
                    <w:rPr>
                      <w:rFonts w:ascii="Cambria Math" w:hAnsi="Cambria Math"/>
                    </w:rPr>
                  </m:ctrlPr>
                </m:sup>
              </m:sSup>
              <m:ctrlPr>
                <w:rPr>
                  <w:rFonts w:ascii="Cambria Math" w:hAnsi="Cambria Math"/>
                </w:rPr>
              </m:ctrlPr>
            </m:den>
          </m:f>
        </m:oMath>
      </m:oMathPara>
    </w:p>
    <w:p w14:paraId="6A02CBA3">
      <w:pPr>
        <w:pStyle w:val="104"/>
        <w:jc w:val="both"/>
      </w:pPr>
      <w:r>
        <w:t>式中：q——降雨强度，单位L/(s·hm²)；</w:t>
      </w:r>
    </w:p>
    <w:p w14:paraId="6380C8E9">
      <w:pPr>
        <w:pStyle w:val="104"/>
        <w:ind w:firstLine="1200" w:firstLineChars="500"/>
        <w:jc w:val="both"/>
      </w:pPr>
      <w:r>
        <w:t>p——设计降雨的重现期，单位a（本项目设计取2年）；</w:t>
      </w:r>
    </w:p>
    <w:p w14:paraId="00C36CEC">
      <w:pPr>
        <w:pStyle w:val="104"/>
        <w:ind w:firstLine="1200" w:firstLineChars="500"/>
        <w:jc w:val="both"/>
      </w:pPr>
      <w:r>
        <w:t>t——汇流时间，单位min（本项目设计t=15min）；</w:t>
      </w:r>
    </w:p>
    <w:p w14:paraId="6FDE131B">
      <w:pPr>
        <w:pStyle w:val="104"/>
        <w:jc w:val="both"/>
      </w:pPr>
      <w:r>
        <w:t>雨水设计流量，公式如下：</w:t>
      </w:r>
    </w:p>
    <w:p w14:paraId="2B962DDB">
      <w:pPr>
        <w:pStyle w:val="104"/>
        <w:jc w:val="both"/>
      </w:pPr>
      <m:oMathPara>
        <m:oMath>
          <m:r>
            <m:rPr>
              <m:sty m:val="p"/>
            </m:rPr>
            <w:rPr>
              <w:rFonts w:ascii="Cambria Math" w:hAnsi="Cambria Math"/>
            </w:rPr>
            <m:t>Q=q×t×F×Ψ</m:t>
          </m:r>
        </m:oMath>
      </m:oMathPara>
    </w:p>
    <w:p w14:paraId="0375D192">
      <w:pPr>
        <w:pStyle w:val="104"/>
        <w:jc w:val="both"/>
      </w:pPr>
      <w:r>
        <w:t>式中：Q——雨水设计流量，单位L；</w:t>
      </w:r>
    </w:p>
    <w:p w14:paraId="603FD555">
      <w:pPr>
        <w:pStyle w:val="104"/>
        <w:ind w:firstLine="1200" w:firstLineChars="500"/>
        <w:jc w:val="both"/>
      </w:pPr>
      <w:r>
        <w:t>t——汇流时间，单位min；</w:t>
      </w:r>
    </w:p>
    <w:p w14:paraId="18F88A8E">
      <w:pPr>
        <w:pStyle w:val="104"/>
        <w:ind w:firstLine="1200" w:firstLineChars="500"/>
        <w:jc w:val="both"/>
      </w:pPr>
      <w:r>
        <w:t>q——降雨强度，单位L/(s·hm²)；</w:t>
      </w:r>
    </w:p>
    <w:p w14:paraId="32F9A3FC">
      <w:pPr>
        <w:pStyle w:val="104"/>
        <w:ind w:firstLine="1200" w:firstLineChars="500"/>
        <w:jc w:val="both"/>
      </w:pPr>
      <w:r>
        <w:t>F——汇水面积，单位hm²；</w:t>
      </w:r>
    </w:p>
    <w:p w14:paraId="72A19D2D">
      <w:pPr>
        <w:pStyle w:val="104"/>
        <w:ind w:firstLine="1200" w:firstLineChars="500"/>
        <w:jc w:val="both"/>
      </w:pPr>
      <w:r>
        <w:t>Ψ——径流系数，取0.85；</w:t>
      </w:r>
    </w:p>
    <w:p w14:paraId="2B6248B4">
      <w:pPr>
        <w:pStyle w:val="104"/>
        <w:jc w:val="both"/>
      </w:pPr>
      <w:r>
        <w:t>项目汇水面积约为</w:t>
      </w:r>
      <w:r>
        <w:rPr>
          <w:rFonts w:hint="eastAsia"/>
        </w:rPr>
        <w:t>280200m</w:t>
      </w:r>
      <w:r>
        <w:rPr>
          <w:rFonts w:hint="eastAsia"/>
          <w:vertAlign w:val="superscript"/>
        </w:rPr>
        <w:t>2</w:t>
      </w:r>
      <w:r>
        <w:t>，以暴雨汇流时间为15min，2年一遇的暴雨强度约为2L/(s·hm²)，初期雨水约为</w:t>
      </w:r>
      <w:r>
        <w:rPr>
          <w:rFonts w:hint="eastAsia"/>
        </w:rPr>
        <w:t>57.6</w:t>
      </w:r>
      <w:r>
        <w:t>m³，本项目</w:t>
      </w:r>
      <w:r>
        <w:rPr>
          <w:rFonts w:hint="eastAsia"/>
        </w:rPr>
        <w:t>利用雨水收集池对初期雨水进行收集，容积200m</w:t>
      </w:r>
      <w:r>
        <w:rPr>
          <w:rFonts w:hint="eastAsia"/>
          <w:vertAlign w:val="superscript"/>
        </w:rPr>
        <w:t>3</w:t>
      </w:r>
      <w:r>
        <w:rPr>
          <w:rFonts w:hint="eastAsia"/>
        </w:rPr>
        <w:t>，</w:t>
      </w:r>
      <w:r>
        <w:t>可以满足项目区初期雨水的收集要求。</w:t>
      </w:r>
      <w:r>
        <w:rPr>
          <w:rFonts w:hint="eastAsia"/>
        </w:rPr>
        <w:t>初期雨水经雨水收集池沉淀后回用于厂区绿化或洒水降尘。</w:t>
      </w:r>
    </w:p>
    <w:p w14:paraId="1FE08661">
      <w:pPr>
        <w:pStyle w:val="104"/>
        <w:jc w:val="both"/>
      </w:pPr>
      <w:r>
        <w:t>参考《畜禽养殖业污染治理技术规范》可知鸡舍冲洗废水产生浓度为COD：6060mg/L、氨氮：261mg/L、总磷：31.4mg/L。</w:t>
      </w:r>
      <w:r>
        <w:rPr>
          <w:rFonts w:hint="eastAsia"/>
        </w:rPr>
        <w:t>根据本项目污水处理站设备设计单位（江苏渊普环保）设计材料，本项目废水混合后原水水质见下表。</w:t>
      </w:r>
    </w:p>
    <w:p w14:paraId="3DC177CA">
      <w:pPr>
        <w:pStyle w:val="104"/>
        <w:spacing w:line="240" w:lineRule="auto"/>
        <w:ind w:firstLine="0" w:firstLineChars="0"/>
        <w:jc w:val="center"/>
      </w:pPr>
      <w:r>
        <w:rPr>
          <w:rFonts w:hint="eastAsia"/>
          <w:b/>
          <w:bCs/>
        </w:rPr>
        <w:t>表3.3-12 污水处理站进水水质指标</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385"/>
        <w:gridCol w:w="1406"/>
        <w:gridCol w:w="1161"/>
        <w:gridCol w:w="1656"/>
        <w:gridCol w:w="1212"/>
        <w:gridCol w:w="1188"/>
        <w:gridCol w:w="588"/>
      </w:tblGrid>
      <w:tr w14:paraId="66DF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417F8F93">
            <w:pPr>
              <w:spacing w:line="240" w:lineRule="auto"/>
              <w:ind w:firstLine="0" w:firstLineChars="0"/>
              <w:jc w:val="center"/>
              <w:rPr>
                <w:sz w:val="21"/>
                <w:szCs w:val="21"/>
              </w:rPr>
            </w:pPr>
            <w:r>
              <w:rPr>
                <w:sz w:val="21"/>
                <w:szCs w:val="21"/>
              </w:rPr>
              <w:t>水质指标</w:t>
            </w:r>
          </w:p>
        </w:tc>
        <w:tc>
          <w:tcPr>
            <w:tcW w:w="1385" w:type="dxa"/>
            <w:vAlign w:val="center"/>
          </w:tcPr>
          <w:p w14:paraId="416C9A7F">
            <w:pPr>
              <w:spacing w:line="240" w:lineRule="auto"/>
              <w:ind w:firstLine="0" w:firstLineChars="0"/>
              <w:jc w:val="center"/>
              <w:rPr>
                <w:sz w:val="21"/>
                <w:szCs w:val="21"/>
              </w:rPr>
            </w:pPr>
            <w:r>
              <w:rPr>
                <w:sz w:val="21"/>
                <w:szCs w:val="21"/>
              </w:rPr>
              <w:t>COD（mg/L）</w:t>
            </w:r>
          </w:p>
        </w:tc>
        <w:tc>
          <w:tcPr>
            <w:tcW w:w="1406" w:type="dxa"/>
            <w:vAlign w:val="center"/>
          </w:tcPr>
          <w:p w14:paraId="118430EF">
            <w:pPr>
              <w:spacing w:line="240" w:lineRule="auto"/>
              <w:ind w:firstLine="0" w:firstLineChars="0"/>
              <w:jc w:val="center"/>
              <w:rPr>
                <w:sz w:val="21"/>
                <w:szCs w:val="21"/>
              </w:rPr>
            </w:pPr>
            <w:r>
              <w:rPr>
                <w:sz w:val="21"/>
                <w:szCs w:val="21"/>
              </w:rPr>
              <w:t>BOD</w:t>
            </w:r>
            <w:r>
              <w:rPr>
                <w:sz w:val="21"/>
                <w:szCs w:val="21"/>
                <w:vertAlign w:val="subscript"/>
              </w:rPr>
              <w:t>5</w:t>
            </w:r>
            <w:r>
              <w:rPr>
                <w:sz w:val="21"/>
                <w:szCs w:val="21"/>
              </w:rPr>
              <w:t>（mg/L）</w:t>
            </w:r>
          </w:p>
        </w:tc>
        <w:tc>
          <w:tcPr>
            <w:tcW w:w="1161" w:type="dxa"/>
            <w:vAlign w:val="center"/>
          </w:tcPr>
          <w:p w14:paraId="329EC9F4">
            <w:pPr>
              <w:spacing w:line="240" w:lineRule="auto"/>
              <w:ind w:firstLine="0" w:firstLineChars="0"/>
              <w:jc w:val="center"/>
              <w:rPr>
                <w:sz w:val="21"/>
                <w:szCs w:val="21"/>
              </w:rPr>
            </w:pPr>
            <w:r>
              <w:rPr>
                <w:rFonts w:hint="eastAsia"/>
                <w:sz w:val="21"/>
                <w:szCs w:val="21"/>
              </w:rPr>
              <w:t>SS</w:t>
            </w:r>
            <w:r>
              <w:rPr>
                <w:sz w:val="21"/>
                <w:szCs w:val="21"/>
              </w:rPr>
              <w:t>（mg/L）</w:t>
            </w:r>
          </w:p>
        </w:tc>
        <w:tc>
          <w:tcPr>
            <w:tcW w:w="1656" w:type="dxa"/>
            <w:vAlign w:val="center"/>
          </w:tcPr>
          <w:p w14:paraId="0E3CB6AF">
            <w:pPr>
              <w:spacing w:line="240" w:lineRule="auto"/>
              <w:ind w:firstLine="0" w:firstLineChars="0"/>
              <w:jc w:val="center"/>
              <w:rPr>
                <w:sz w:val="21"/>
                <w:szCs w:val="21"/>
              </w:rPr>
            </w:pPr>
            <w:r>
              <w:rPr>
                <w:sz w:val="21"/>
                <w:szCs w:val="21"/>
              </w:rPr>
              <w:t>NH</w:t>
            </w:r>
            <w:r>
              <w:rPr>
                <w:sz w:val="21"/>
                <w:szCs w:val="21"/>
                <w:vertAlign w:val="subscript"/>
              </w:rPr>
              <w:t>3</w:t>
            </w:r>
            <w:r>
              <w:rPr>
                <w:sz w:val="21"/>
                <w:szCs w:val="21"/>
              </w:rPr>
              <w:t>-N（mg/L）</w:t>
            </w:r>
          </w:p>
        </w:tc>
        <w:tc>
          <w:tcPr>
            <w:tcW w:w="1212" w:type="dxa"/>
            <w:vAlign w:val="center"/>
          </w:tcPr>
          <w:p w14:paraId="1BC99662">
            <w:pPr>
              <w:spacing w:line="240" w:lineRule="auto"/>
              <w:ind w:firstLine="0" w:firstLineChars="0"/>
              <w:jc w:val="center"/>
              <w:rPr>
                <w:sz w:val="21"/>
                <w:szCs w:val="21"/>
              </w:rPr>
            </w:pPr>
            <w:r>
              <w:rPr>
                <w:rFonts w:hint="eastAsia"/>
                <w:sz w:val="21"/>
                <w:szCs w:val="21"/>
              </w:rPr>
              <w:t>TN</w:t>
            </w:r>
            <w:r>
              <w:rPr>
                <w:sz w:val="21"/>
                <w:szCs w:val="21"/>
              </w:rPr>
              <w:t>（mg/L）</w:t>
            </w:r>
          </w:p>
        </w:tc>
        <w:tc>
          <w:tcPr>
            <w:tcW w:w="1188" w:type="dxa"/>
            <w:vAlign w:val="center"/>
          </w:tcPr>
          <w:p w14:paraId="6D1F2C85">
            <w:pPr>
              <w:spacing w:line="240" w:lineRule="auto"/>
              <w:ind w:firstLine="0" w:firstLineChars="0"/>
              <w:jc w:val="center"/>
              <w:rPr>
                <w:sz w:val="21"/>
                <w:szCs w:val="21"/>
              </w:rPr>
            </w:pPr>
            <w:r>
              <w:rPr>
                <w:rFonts w:hint="eastAsia"/>
                <w:sz w:val="21"/>
                <w:szCs w:val="21"/>
              </w:rPr>
              <w:t>TP</w:t>
            </w:r>
            <w:r>
              <w:rPr>
                <w:sz w:val="21"/>
                <w:szCs w:val="21"/>
              </w:rPr>
              <w:t>（mg/L）</w:t>
            </w:r>
          </w:p>
        </w:tc>
        <w:tc>
          <w:tcPr>
            <w:tcW w:w="588" w:type="dxa"/>
            <w:vAlign w:val="center"/>
          </w:tcPr>
          <w:p w14:paraId="7919910A">
            <w:pPr>
              <w:spacing w:line="240" w:lineRule="auto"/>
              <w:ind w:firstLine="0" w:firstLineChars="0"/>
              <w:jc w:val="center"/>
              <w:rPr>
                <w:sz w:val="21"/>
                <w:szCs w:val="21"/>
              </w:rPr>
            </w:pPr>
            <w:r>
              <w:rPr>
                <w:sz w:val="21"/>
                <w:szCs w:val="21"/>
              </w:rPr>
              <w:t>pH</w:t>
            </w:r>
          </w:p>
        </w:tc>
      </w:tr>
      <w:tr w14:paraId="7EE7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2A011A55">
            <w:pPr>
              <w:spacing w:line="240" w:lineRule="auto"/>
              <w:ind w:firstLine="0" w:firstLineChars="0"/>
              <w:jc w:val="center"/>
              <w:rPr>
                <w:sz w:val="21"/>
                <w:szCs w:val="21"/>
              </w:rPr>
            </w:pPr>
            <w:r>
              <w:rPr>
                <w:sz w:val="21"/>
                <w:szCs w:val="21"/>
              </w:rPr>
              <w:t>浓度</w:t>
            </w:r>
          </w:p>
        </w:tc>
        <w:tc>
          <w:tcPr>
            <w:tcW w:w="1385" w:type="dxa"/>
            <w:vAlign w:val="center"/>
          </w:tcPr>
          <w:p w14:paraId="02C9E889">
            <w:pPr>
              <w:spacing w:line="240" w:lineRule="auto"/>
              <w:ind w:firstLine="0" w:firstLineChars="0"/>
              <w:jc w:val="center"/>
              <w:rPr>
                <w:sz w:val="21"/>
                <w:szCs w:val="21"/>
              </w:rPr>
            </w:pPr>
            <w:r>
              <w:rPr>
                <w:sz w:val="21"/>
                <w:szCs w:val="21"/>
              </w:rPr>
              <w:t>2</w:t>
            </w:r>
            <w:r>
              <w:rPr>
                <w:rFonts w:hint="eastAsia"/>
                <w:sz w:val="21"/>
                <w:szCs w:val="21"/>
              </w:rPr>
              <w:t>0</w:t>
            </w:r>
            <w:r>
              <w:rPr>
                <w:sz w:val="21"/>
                <w:szCs w:val="21"/>
              </w:rPr>
              <w:t>00</w:t>
            </w:r>
          </w:p>
        </w:tc>
        <w:tc>
          <w:tcPr>
            <w:tcW w:w="1406" w:type="dxa"/>
            <w:vAlign w:val="center"/>
          </w:tcPr>
          <w:p w14:paraId="3B557B81">
            <w:pPr>
              <w:spacing w:line="240" w:lineRule="auto"/>
              <w:ind w:firstLine="0" w:firstLineChars="0"/>
              <w:jc w:val="center"/>
              <w:rPr>
                <w:sz w:val="21"/>
                <w:szCs w:val="21"/>
              </w:rPr>
            </w:pPr>
            <w:r>
              <w:rPr>
                <w:rFonts w:hint="eastAsia"/>
                <w:sz w:val="21"/>
                <w:szCs w:val="21"/>
              </w:rPr>
              <w:t>1000</w:t>
            </w:r>
          </w:p>
        </w:tc>
        <w:tc>
          <w:tcPr>
            <w:tcW w:w="1161" w:type="dxa"/>
            <w:vAlign w:val="center"/>
          </w:tcPr>
          <w:p w14:paraId="2540052C">
            <w:pPr>
              <w:spacing w:line="240" w:lineRule="auto"/>
              <w:ind w:firstLine="0" w:firstLineChars="0"/>
              <w:jc w:val="center"/>
              <w:rPr>
                <w:sz w:val="21"/>
                <w:szCs w:val="21"/>
              </w:rPr>
            </w:pPr>
            <w:r>
              <w:rPr>
                <w:rFonts w:hint="eastAsia"/>
                <w:sz w:val="21"/>
                <w:szCs w:val="21"/>
              </w:rPr>
              <w:t>400</w:t>
            </w:r>
          </w:p>
        </w:tc>
        <w:tc>
          <w:tcPr>
            <w:tcW w:w="1656" w:type="dxa"/>
            <w:vAlign w:val="center"/>
          </w:tcPr>
          <w:p w14:paraId="06F59EB8">
            <w:pPr>
              <w:spacing w:line="240" w:lineRule="auto"/>
              <w:ind w:firstLine="0" w:firstLineChars="0"/>
              <w:jc w:val="center"/>
              <w:rPr>
                <w:sz w:val="21"/>
                <w:szCs w:val="21"/>
              </w:rPr>
            </w:pPr>
            <w:r>
              <w:rPr>
                <w:rFonts w:hint="eastAsia"/>
                <w:sz w:val="21"/>
                <w:szCs w:val="21"/>
              </w:rPr>
              <w:t>180</w:t>
            </w:r>
          </w:p>
        </w:tc>
        <w:tc>
          <w:tcPr>
            <w:tcW w:w="1212" w:type="dxa"/>
            <w:vAlign w:val="center"/>
          </w:tcPr>
          <w:p w14:paraId="1DA69562">
            <w:pPr>
              <w:spacing w:line="240" w:lineRule="auto"/>
              <w:ind w:firstLine="0" w:firstLineChars="0"/>
              <w:jc w:val="center"/>
              <w:rPr>
                <w:sz w:val="21"/>
                <w:szCs w:val="21"/>
              </w:rPr>
            </w:pPr>
            <w:r>
              <w:rPr>
                <w:rFonts w:hint="eastAsia"/>
                <w:sz w:val="21"/>
                <w:szCs w:val="21"/>
              </w:rPr>
              <w:t>350</w:t>
            </w:r>
          </w:p>
        </w:tc>
        <w:tc>
          <w:tcPr>
            <w:tcW w:w="1188" w:type="dxa"/>
            <w:vAlign w:val="center"/>
          </w:tcPr>
          <w:p w14:paraId="1DE6EA81">
            <w:pPr>
              <w:spacing w:line="240" w:lineRule="auto"/>
              <w:ind w:firstLine="0" w:firstLineChars="0"/>
              <w:jc w:val="center"/>
              <w:rPr>
                <w:sz w:val="21"/>
                <w:szCs w:val="21"/>
              </w:rPr>
            </w:pPr>
            <w:r>
              <w:rPr>
                <w:rFonts w:hint="eastAsia"/>
                <w:sz w:val="21"/>
                <w:szCs w:val="21"/>
              </w:rPr>
              <w:t>20</w:t>
            </w:r>
          </w:p>
        </w:tc>
        <w:tc>
          <w:tcPr>
            <w:tcW w:w="588" w:type="dxa"/>
            <w:vAlign w:val="center"/>
          </w:tcPr>
          <w:p w14:paraId="64D74B41">
            <w:pPr>
              <w:spacing w:line="240" w:lineRule="auto"/>
              <w:ind w:firstLine="0" w:firstLineChars="0"/>
              <w:jc w:val="center"/>
              <w:rPr>
                <w:sz w:val="21"/>
                <w:szCs w:val="21"/>
              </w:rPr>
            </w:pPr>
            <w:r>
              <w:rPr>
                <w:sz w:val="21"/>
                <w:szCs w:val="21"/>
              </w:rPr>
              <w:t>6.5</w:t>
            </w:r>
          </w:p>
        </w:tc>
      </w:tr>
    </w:tbl>
    <w:p w14:paraId="67DE9480">
      <w:pPr>
        <w:pStyle w:val="104"/>
        <w:jc w:val="both"/>
      </w:pPr>
      <w:r>
        <w:rPr>
          <w:rFonts w:hint="eastAsia"/>
        </w:rPr>
        <w:t>本项目污水产生量为19963m</w:t>
      </w:r>
      <w:r>
        <w:rPr>
          <w:rFonts w:hint="eastAsia"/>
          <w:vertAlign w:val="superscript"/>
        </w:rPr>
        <w:t>3</w:t>
      </w:r>
      <w:r>
        <w:rPr>
          <w:rFonts w:hint="eastAsia"/>
        </w:rPr>
        <w:t>/a，未预见数量按30%计算，则本项目综合污水量为25952m</w:t>
      </w:r>
      <w:r>
        <w:rPr>
          <w:rFonts w:hint="eastAsia"/>
          <w:vertAlign w:val="superscript"/>
        </w:rPr>
        <w:t>3</w:t>
      </w:r>
      <w:r>
        <w:rPr>
          <w:rFonts w:hint="eastAsia"/>
        </w:rPr>
        <w:t>/a，本项目污水处理站每年检修2次，实际运行时间300d，污水处理站实际进水量约90m</w:t>
      </w:r>
      <w:r>
        <w:rPr>
          <w:rFonts w:hint="eastAsia"/>
          <w:vertAlign w:val="superscript"/>
        </w:rPr>
        <w:t>3</w:t>
      </w:r>
      <w:r>
        <w:rPr>
          <w:rFonts w:hint="eastAsia"/>
        </w:rPr>
        <w:t>/d，根据污水设备设计单位提供意见本项目污水处理设备最佳运行负荷为60%~80%，本次以60%计算，则本</w:t>
      </w:r>
      <w:r>
        <w:t>项目</w:t>
      </w:r>
      <w:r>
        <w:rPr>
          <w:rFonts w:hint="eastAsia"/>
        </w:rPr>
        <w:t>需</w:t>
      </w:r>
      <w:r>
        <w:t>建设处理规模为150t/d的废水处理站</w:t>
      </w:r>
      <w:r>
        <w:rPr>
          <w:rFonts w:hint="eastAsia"/>
        </w:rPr>
        <w:t>。</w:t>
      </w:r>
    </w:p>
    <w:p w14:paraId="29975802">
      <w:pPr>
        <w:ind w:firstLine="480"/>
      </w:pPr>
      <w:r>
        <w:rPr>
          <w:rFonts w:hint="eastAsia"/>
        </w:rPr>
        <w:t>本项目污水处理站</w:t>
      </w:r>
      <w:r>
        <w:t>工艺为</w:t>
      </w:r>
      <w:r>
        <w:rPr>
          <w:rFonts w:hint="eastAsia"/>
        </w:rPr>
        <w:t>“调节池+预处理（格栅+澄清+沉淀）+CSTR（连续搅拌反应器系统）+AOO（一级厌氧、一级好氧、二级好氧）+加药除磷”。</w:t>
      </w:r>
    </w:p>
    <w:p w14:paraId="129C8143">
      <w:pPr>
        <w:pStyle w:val="12"/>
      </w:pPr>
      <w:r>
        <w:t>3.3.2.3噪声污染源分析</w:t>
      </w:r>
    </w:p>
    <w:p w14:paraId="0B5874BA">
      <w:pPr>
        <w:pStyle w:val="104"/>
      </w:pPr>
      <w:r>
        <w:t>该项目噪声源主要为鸡舍鸡叫、</w:t>
      </w:r>
      <w:r>
        <w:rPr>
          <w:rFonts w:hint="eastAsia"/>
        </w:rPr>
        <w:t>清粪机、拋翻机、全自动装箱机、</w:t>
      </w:r>
      <w:r>
        <w:t>破碎机、混料机、</w:t>
      </w:r>
      <w:r>
        <w:rPr>
          <w:rFonts w:hint="eastAsia"/>
        </w:rPr>
        <w:t>筛分机、烘干机、制粒机、包装机、</w:t>
      </w:r>
      <w:r>
        <w:t>水泵、风机</w:t>
      </w:r>
      <w:r>
        <w:rPr>
          <w:rFonts w:hint="eastAsia"/>
        </w:rPr>
        <w:t>、叉车</w:t>
      </w:r>
      <w:r>
        <w:t>等，噪声声级范围为60-</w:t>
      </w:r>
      <w:r>
        <w:rPr>
          <w:rFonts w:hint="eastAsia"/>
        </w:rPr>
        <w:t>85</w:t>
      </w:r>
      <w:r>
        <w:t>dB（A），噪声排放情况见表3.3-1</w:t>
      </w:r>
      <w:r>
        <w:rPr>
          <w:rFonts w:hint="eastAsia"/>
        </w:rPr>
        <w:t>3</w:t>
      </w:r>
      <w:r>
        <w:t>。</w:t>
      </w:r>
    </w:p>
    <w:p w14:paraId="4BB90191">
      <w:pPr>
        <w:pStyle w:val="369"/>
      </w:pPr>
      <w:r>
        <w:t>表3.3-1</w:t>
      </w:r>
      <w:r>
        <w:rPr>
          <w:rFonts w:hint="eastAsia"/>
        </w:rPr>
        <w:t>3</w:t>
      </w:r>
      <w:r>
        <w:t xml:space="preserve">  </w:t>
      </w:r>
      <w:r>
        <w:rPr>
          <w:rFonts w:hint="eastAsia"/>
        </w:rPr>
        <w:t>项目噪声源强调查</w:t>
      </w:r>
      <w:r>
        <w:t>一览表</w:t>
      </w:r>
    </w:p>
    <w:p w14:paraId="645590A2">
      <w:pPr>
        <w:widowControl w:val="0"/>
        <w:kinsoku w:val="0"/>
        <w:overflowPunct w:val="0"/>
        <w:autoSpaceDE w:val="0"/>
        <w:autoSpaceDN w:val="0"/>
        <w:adjustRightInd w:val="0"/>
        <w:spacing w:before="3" w:line="240" w:lineRule="auto"/>
        <w:ind w:firstLine="0" w:firstLineChars="0"/>
        <w:rPr>
          <w:kern w:val="0"/>
          <w:sz w:val="5"/>
          <w:szCs w:val="5"/>
        </w:rPr>
      </w:pPr>
      <w:bookmarkStart w:id="214" w:name="bookmark1"/>
      <w:bookmarkEnd w:id="214"/>
      <w:bookmarkStart w:id="215" w:name="5.3.4固废"/>
      <w:bookmarkEnd w:id="215"/>
      <w:bookmarkStart w:id="216" w:name="5.3.4.1扩建项目固体废物"/>
      <w:bookmarkEnd w:id="216"/>
    </w:p>
    <w:tbl>
      <w:tblPr>
        <w:tblStyle w:val="82"/>
        <w:tblW w:w="50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55"/>
        <w:gridCol w:w="1578"/>
        <w:gridCol w:w="950"/>
        <w:gridCol w:w="3143"/>
        <w:gridCol w:w="1578"/>
        <w:gridCol w:w="641"/>
      </w:tblGrid>
      <w:tr w14:paraId="14F0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Align w:val="center"/>
          </w:tcPr>
          <w:p w14:paraId="69304271">
            <w:pPr>
              <w:pStyle w:val="766"/>
              <w:rPr>
                <w:color w:val="auto"/>
                <w:szCs w:val="24"/>
              </w:rPr>
            </w:pPr>
            <w:bookmarkStart w:id="217" w:name="5.3.3噪声"/>
            <w:bookmarkEnd w:id="217"/>
            <w:bookmarkStart w:id="218" w:name="bookmark0"/>
            <w:bookmarkEnd w:id="218"/>
            <w:r>
              <w:rPr>
                <w:color w:val="auto"/>
              </w:rPr>
              <w:t>噪声来源</w:t>
            </w:r>
          </w:p>
        </w:tc>
        <w:tc>
          <w:tcPr>
            <w:tcW w:w="862" w:type="pct"/>
            <w:vAlign w:val="center"/>
          </w:tcPr>
          <w:p w14:paraId="6B6C41EE">
            <w:pPr>
              <w:pStyle w:val="766"/>
              <w:rPr>
                <w:color w:val="auto"/>
                <w:szCs w:val="24"/>
              </w:rPr>
            </w:pPr>
            <w:r>
              <w:rPr>
                <w:color w:val="auto"/>
              </w:rPr>
              <w:t>主要声源</w:t>
            </w:r>
          </w:p>
        </w:tc>
        <w:tc>
          <w:tcPr>
            <w:tcW w:w="519" w:type="pct"/>
            <w:vAlign w:val="center"/>
          </w:tcPr>
          <w:p w14:paraId="01D67883">
            <w:pPr>
              <w:pStyle w:val="766"/>
              <w:rPr>
                <w:color w:val="auto"/>
              </w:rPr>
            </w:pPr>
            <w:r>
              <w:rPr>
                <w:color w:val="auto"/>
              </w:rPr>
              <w:t>声压级</w:t>
            </w:r>
          </w:p>
          <w:p w14:paraId="29DDC515">
            <w:pPr>
              <w:pStyle w:val="766"/>
              <w:rPr>
                <w:color w:val="auto"/>
                <w:szCs w:val="24"/>
              </w:rPr>
            </w:pPr>
            <w:r>
              <w:rPr>
                <w:color w:val="auto"/>
              </w:rPr>
              <w:t>dB(A)</w:t>
            </w:r>
          </w:p>
        </w:tc>
        <w:tc>
          <w:tcPr>
            <w:tcW w:w="1717" w:type="pct"/>
            <w:vAlign w:val="center"/>
          </w:tcPr>
          <w:p w14:paraId="53AAD403">
            <w:pPr>
              <w:pStyle w:val="766"/>
              <w:rPr>
                <w:color w:val="auto"/>
                <w:szCs w:val="24"/>
              </w:rPr>
            </w:pPr>
            <w:r>
              <w:rPr>
                <w:color w:val="auto"/>
              </w:rPr>
              <w:t>治理措施</w:t>
            </w:r>
          </w:p>
        </w:tc>
        <w:tc>
          <w:tcPr>
            <w:tcW w:w="862" w:type="pct"/>
            <w:vAlign w:val="center"/>
          </w:tcPr>
          <w:p w14:paraId="2D0B5938">
            <w:pPr>
              <w:pStyle w:val="766"/>
              <w:rPr>
                <w:color w:val="auto"/>
              </w:rPr>
            </w:pPr>
            <w:r>
              <w:rPr>
                <w:color w:val="auto"/>
              </w:rPr>
              <w:t>治理后声级</w:t>
            </w:r>
          </w:p>
          <w:p w14:paraId="194A26EB">
            <w:pPr>
              <w:pStyle w:val="766"/>
              <w:rPr>
                <w:color w:val="auto"/>
                <w:szCs w:val="24"/>
              </w:rPr>
            </w:pPr>
            <w:r>
              <w:rPr>
                <w:color w:val="auto"/>
              </w:rPr>
              <w:t>dB(A)</w:t>
            </w:r>
          </w:p>
        </w:tc>
        <w:tc>
          <w:tcPr>
            <w:tcW w:w="350" w:type="pct"/>
            <w:vAlign w:val="center"/>
          </w:tcPr>
          <w:p w14:paraId="347391B8">
            <w:pPr>
              <w:pStyle w:val="766"/>
              <w:rPr>
                <w:color w:val="auto"/>
                <w:szCs w:val="24"/>
              </w:rPr>
            </w:pPr>
            <w:r>
              <w:rPr>
                <w:color w:val="auto"/>
              </w:rPr>
              <w:t>台数</w:t>
            </w:r>
          </w:p>
        </w:tc>
      </w:tr>
      <w:tr w14:paraId="4FF9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restart"/>
            <w:vAlign w:val="center"/>
          </w:tcPr>
          <w:p w14:paraId="11189769">
            <w:pPr>
              <w:pStyle w:val="766"/>
              <w:rPr>
                <w:color w:val="auto"/>
              </w:rPr>
            </w:pPr>
            <w:r>
              <w:rPr>
                <w:color w:val="auto"/>
              </w:rPr>
              <w:t>鸡舍</w:t>
            </w:r>
          </w:p>
        </w:tc>
        <w:tc>
          <w:tcPr>
            <w:tcW w:w="862" w:type="pct"/>
            <w:vAlign w:val="center"/>
          </w:tcPr>
          <w:p w14:paraId="1CA74EA3">
            <w:pPr>
              <w:pStyle w:val="766"/>
              <w:rPr>
                <w:color w:val="auto"/>
              </w:rPr>
            </w:pPr>
            <w:r>
              <w:rPr>
                <w:color w:val="auto"/>
              </w:rPr>
              <w:t>鸡群叫声</w:t>
            </w:r>
          </w:p>
        </w:tc>
        <w:tc>
          <w:tcPr>
            <w:tcW w:w="519" w:type="pct"/>
            <w:vAlign w:val="center"/>
          </w:tcPr>
          <w:p w14:paraId="05CBB9D9">
            <w:pPr>
              <w:pStyle w:val="766"/>
              <w:rPr>
                <w:color w:val="auto"/>
                <w:szCs w:val="24"/>
              </w:rPr>
            </w:pPr>
            <w:r>
              <w:rPr>
                <w:color w:val="auto"/>
              </w:rPr>
              <w:t>6</w:t>
            </w:r>
            <w:r>
              <w:rPr>
                <w:rFonts w:hint="eastAsia"/>
                <w:color w:val="auto"/>
              </w:rPr>
              <w:t>0</w:t>
            </w:r>
          </w:p>
        </w:tc>
        <w:tc>
          <w:tcPr>
            <w:tcW w:w="1717" w:type="pct"/>
            <w:vAlign w:val="center"/>
          </w:tcPr>
          <w:p w14:paraId="053BAF27">
            <w:pPr>
              <w:pStyle w:val="766"/>
              <w:rPr>
                <w:color w:val="auto"/>
                <w:szCs w:val="24"/>
              </w:rPr>
            </w:pPr>
            <w:r>
              <w:rPr>
                <w:rFonts w:hint="eastAsia"/>
                <w:color w:val="auto"/>
                <w:shd w:val="clear" w:color="auto" w:fill="FFFFFF"/>
              </w:rPr>
              <w:t>厂房</w:t>
            </w:r>
            <w:r>
              <w:rPr>
                <w:color w:val="auto"/>
                <w:shd w:val="clear" w:color="auto" w:fill="FFFFFF"/>
              </w:rPr>
              <w:t>隔声</w:t>
            </w:r>
          </w:p>
        </w:tc>
        <w:tc>
          <w:tcPr>
            <w:tcW w:w="862" w:type="pct"/>
            <w:vAlign w:val="center"/>
          </w:tcPr>
          <w:p w14:paraId="6ED16CFB">
            <w:pPr>
              <w:pStyle w:val="766"/>
              <w:rPr>
                <w:color w:val="auto"/>
                <w:szCs w:val="24"/>
              </w:rPr>
            </w:pPr>
            <w:r>
              <w:rPr>
                <w:color w:val="auto"/>
              </w:rPr>
              <w:t>&lt;</w:t>
            </w:r>
            <w:r>
              <w:rPr>
                <w:rFonts w:hint="eastAsia"/>
                <w:color w:val="auto"/>
              </w:rPr>
              <w:t>40</w:t>
            </w:r>
          </w:p>
        </w:tc>
        <w:tc>
          <w:tcPr>
            <w:tcW w:w="350" w:type="pct"/>
            <w:vAlign w:val="center"/>
          </w:tcPr>
          <w:p w14:paraId="1449A490">
            <w:pPr>
              <w:pStyle w:val="766"/>
              <w:rPr>
                <w:color w:val="auto"/>
                <w:szCs w:val="24"/>
              </w:rPr>
            </w:pPr>
            <w:r>
              <w:rPr>
                <w:color w:val="auto"/>
                <w:w w:val="95"/>
              </w:rPr>
              <w:t>/</w:t>
            </w:r>
          </w:p>
        </w:tc>
      </w:tr>
      <w:tr w14:paraId="45C4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7C16AA13">
            <w:pPr>
              <w:pStyle w:val="766"/>
              <w:rPr>
                <w:color w:val="auto"/>
              </w:rPr>
            </w:pPr>
          </w:p>
        </w:tc>
        <w:tc>
          <w:tcPr>
            <w:tcW w:w="862" w:type="pct"/>
            <w:vAlign w:val="center"/>
          </w:tcPr>
          <w:p w14:paraId="485B47CA">
            <w:pPr>
              <w:pStyle w:val="766"/>
              <w:rPr>
                <w:color w:val="auto"/>
              </w:rPr>
            </w:pPr>
            <w:r>
              <w:rPr>
                <w:rFonts w:hint="eastAsia"/>
                <w:color w:val="auto"/>
              </w:rPr>
              <w:t>清粪机</w:t>
            </w:r>
          </w:p>
        </w:tc>
        <w:tc>
          <w:tcPr>
            <w:tcW w:w="519" w:type="pct"/>
            <w:vAlign w:val="center"/>
          </w:tcPr>
          <w:p w14:paraId="37EE262F">
            <w:pPr>
              <w:pStyle w:val="766"/>
              <w:rPr>
                <w:color w:val="auto"/>
              </w:rPr>
            </w:pPr>
            <w:r>
              <w:rPr>
                <w:rFonts w:hint="eastAsia"/>
                <w:color w:val="auto"/>
              </w:rPr>
              <w:t>60</w:t>
            </w:r>
          </w:p>
        </w:tc>
        <w:tc>
          <w:tcPr>
            <w:tcW w:w="1717" w:type="pct"/>
            <w:vAlign w:val="center"/>
          </w:tcPr>
          <w:p w14:paraId="61B5E7F1">
            <w:pPr>
              <w:pStyle w:val="766"/>
              <w:rPr>
                <w:color w:val="auto"/>
                <w:shd w:val="clear" w:color="auto" w:fill="FFFFFF"/>
              </w:rPr>
            </w:pPr>
            <w:r>
              <w:rPr>
                <w:rFonts w:hint="eastAsia"/>
                <w:color w:val="auto"/>
                <w:shd w:val="clear" w:color="auto" w:fill="FFFFFF"/>
              </w:rPr>
              <w:t>低噪设备、厂房隔声</w:t>
            </w:r>
          </w:p>
        </w:tc>
        <w:tc>
          <w:tcPr>
            <w:tcW w:w="862" w:type="pct"/>
            <w:vAlign w:val="center"/>
          </w:tcPr>
          <w:p w14:paraId="59AFA711">
            <w:pPr>
              <w:pStyle w:val="766"/>
              <w:rPr>
                <w:color w:val="auto"/>
              </w:rPr>
            </w:pPr>
            <w:r>
              <w:rPr>
                <w:color w:val="auto"/>
              </w:rPr>
              <w:t>&lt;</w:t>
            </w:r>
            <w:r>
              <w:rPr>
                <w:rFonts w:hint="eastAsia"/>
                <w:color w:val="auto"/>
              </w:rPr>
              <w:t>40</w:t>
            </w:r>
          </w:p>
        </w:tc>
        <w:tc>
          <w:tcPr>
            <w:tcW w:w="350" w:type="pct"/>
            <w:vAlign w:val="center"/>
          </w:tcPr>
          <w:p w14:paraId="3DEB2F1F">
            <w:pPr>
              <w:pStyle w:val="766"/>
              <w:rPr>
                <w:color w:val="auto"/>
                <w:w w:val="95"/>
              </w:rPr>
            </w:pPr>
            <w:r>
              <w:rPr>
                <w:rFonts w:hint="eastAsia"/>
                <w:color w:val="auto"/>
                <w:w w:val="95"/>
              </w:rPr>
              <w:t>15</w:t>
            </w:r>
          </w:p>
        </w:tc>
      </w:tr>
      <w:tr w14:paraId="5608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restart"/>
            <w:vAlign w:val="center"/>
          </w:tcPr>
          <w:p w14:paraId="425E8154">
            <w:pPr>
              <w:pStyle w:val="766"/>
              <w:rPr>
                <w:color w:val="auto"/>
              </w:rPr>
            </w:pPr>
            <w:r>
              <w:rPr>
                <w:color w:val="auto"/>
              </w:rPr>
              <w:t>饲料加工</w:t>
            </w:r>
            <w:r>
              <w:rPr>
                <w:rFonts w:hint="eastAsia"/>
                <w:color w:val="auto"/>
              </w:rPr>
              <w:t>车间</w:t>
            </w:r>
          </w:p>
        </w:tc>
        <w:tc>
          <w:tcPr>
            <w:tcW w:w="862" w:type="pct"/>
            <w:vAlign w:val="center"/>
          </w:tcPr>
          <w:p w14:paraId="151F1B1B">
            <w:pPr>
              <w:pStyle w:val="766"/>
              <w:rPr>
                <w:color w:val="auto"/>
              </w:rPr>
            </w:pPr>
            <w:r>
              <w:rPr>
                <w:color w:val="auto"/>
              </w:rPr>
              <w:t>破碎机</w:t>
            </w:r>
          </w:p>
        </w:tc>
        <w:tc>
          <w:tcPr>
            <w:tcW w:w="519" w:type="pct"/>
            <w:vAlign w:val="center"/>
          </w:tcPr>
          <w:p w14:paraId="73C2C881">
            <w:pPr>
              <w:pStyle w:val="766"/>
              <w:rPr>
                <w:color w:val="auto"/>
                <w:szCs w:val="24"/>
              </w:rPr>
            </w:pPr>
            <w:r>
              <w:rPr>
                <w:color w:val="auto"/>
              </w:rPr>
              <w:t>85</w:t>
            </w:r>
          </w:p>
        </w:tc>
        <w:tc>
          <w:tcPr>
            <w:tcW w:w="1717" w:type="pct"/>
            <w:vAlign w:val="center"/>
          </w:tcPr>
          <w:p w14:paraId="28A296CF">
            <w:pPr>
              <w:pStyle w:val="766"/>
              <w:rPr>
                <w:color w:val="auto"/>
                <w:szCs w:val="24"/>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3F15FB0C">
            <w:pPr>
              <w:pStyle w:val="766"/>
              <w:rPr>
                <w:color w:val="auto"/>
                <w:szCs w:val="24"/>
              </w:rPr>
            </w:pPr>
            <w:r>
              <w:rPr>
                <w:color w:val="auto"/>
              </w:rPr>
              <w:t>&lt;</w:t>
            </w:r>
            <w:r>
              <w:rPr>
                <w:rFonts w:hint="eastAsia"/>
                <w:color w:val="auto"/>
              </w:rPr>
              <w:t>60</w:t>
            </w:r>
          </w:p>
        </w:tc>
        <w:tc>
          <w:tcPr>
            <w:tcW w:w="350" w:type="pct"/>
            <w:vAlign w:val="center"/>
          </w:tcPr>
          <w:p w14:paraId="465D678C">
            <w:pPr>
              <w:pStyle w:val="766"/>
              <w:rPr>
                <w:color w:val="auto"/>
                <w:szCs w:val="24"/>
              </w:rPr>
            </w:pPr>
            <w:r>
              <w:rPr>
                <w:color w:val="auto"/>
                <w:w w:val="95"/>
              </w:rPr>
              <w:t>1</w:t>
            </w:r>
          </w:p>
        </w:tc>
      </w:tr>
      <w:tr w14:paraId="3ED7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76042CFB">
            <w:pPr>
              <w:pStyle w:val="766"/>
              <w:rPr>
                <w:color w:val="auto"/>
              </w:rPr>
            </w:pPr>
          </w:p>
        </w:tc>
        <w:tc>
          <w:tcPr>
            <w:tcW w:w="862" w:type="pct"/>
            <w:vAlign w:val="center"/>
          </w:tcPr>
          <w:p w14:paraId="14577192">
            <w:pPr>
              <w:pStyle w:val="766"/>
              <w:rPr>
                <w:color w:val="auto"/>
              </w:rPr>
            </w:pPr>
            <w:r>
              <w:rPr>
                <w:color w:val="auto"/>
              </w:rPr>
              <w:t>混料机</w:t>
            </w:r>
          </w:p>
        </w:tc>
        <w:tc>
          <w:tcPr>
            <w:tcW w:w="519" w:type="pct"/>
            <w:vAlign w:val="center"/>
          </w:tcPr>
          <w:p w14:paraId="6DA1ED95">
            <w:pPr>
              <w:pStyle w:val="766"/>
              <w:rPr>
                <w:color w:val="auto"/>
                <w:szCs w:val="24"/>
              </w:rPr>
            </w:pPr>
            <w:r>
              <w:rPr>
                <w:rFonts w:hint="eastAsia"/>
                <w:color w:val="auto"/>
              </w:rPr>
              <w:t>75</w:t>
            </w:r>
          </w:p>
        </w:tc>
        <w:tc>
          <w:tcPr>
            <w:tcW w:w="1717" w:type="pct"/>
            <w:vAlign w:val="center"/>
          </w:tcPr>
          <w:p w14:paraId="363BC197">
            <w:pPr>
              <w:pStyle w:val="766"/>
              <w:rPr>
                <w:color w:val="auto"/>
                <w:szCs w:val="24"/>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3300B776">
            <w:pPr>
              <w:pStyle w:val="766"/>
              <w:rPr>
                <w:color w:val="auto"/>
                <w:szCs w:val="24"/>
              </w:rPr>
            </w:pPr>
            <w:r>
              <w:rPr>
                <w:color w:val="auto"/>
              </w:rPr>
              <w:t>&lt;</w:t>
            </w:r>
            <w:r>
              <w:rPr>
                <w:rFonts w:hint="eastAsia"/>
                <w:color w:val="auto"/>
              </w:rPr>
              <w:t>55</w:t>
            </w:r>
          </w:p>
        </w:tc>
        <w:tc>
          <w:tcPr>
            <w:tcW w:w="350" w:type="pct"/>
            <w:vAlign w:val="center"/>
          </w:tcPr>
          <w:p w14:paraId="3DA116CF">
            <w:pPr>
              <w:pStyle w:val="766"/>
              <w:rPr>
                <w:color w:val="auto"/>
                <w:szCs w:val="24"/>
              </w:rPr>
            </w:pPr>
            <w:r>
              <w:rPr>
                <w:color w:val="auto"/>
                <w:w w:val="95"/>
              </w:rPr>
              <w:t>1</w:t>
            </w:r>
          </w:p>
        </w:tc>
      </w:tr>
      <w:tr w14:paraId="7FDB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restart"/>
            <w:vAlign w:val="center"/>
          </w:tcPr>
          <w:p w14:paraId="0DB4E193">
            <w:pPr>
              <w:pStyle w:val="766"/>
              <w:rPr>
                <w:color w:val="auto"/>
              </w:rPr>
            </w:pPr>
            <w:r>
              <w:rPr>
                <w:rFonts w:hint="eastAsia"/>
                <w:color w:val="auto"/>
              </w:rPr>
              <w:t>有机肥加工车间</w:t>
            </w:r>
          </w:p>
        </w:tc>
        <w:tc>
          <w:tcPr>
            <w:tcW w:w="862" w:type="pct"/>
            <w:vAlign w:val="center"/>
          </w:tcPr>
          <w:p w14:paraId="7B41DC2C">
            <w:pPr>
              <w:pStyle w:val="766"/>
              <w:rPr>
                <w:color w:val="auto"/>
              </w:rPr>
            </w:pPr>
            <w:r>
              <w:rPr>
                <w:rFonts w:hint="eastAsia"/>
                <w:color w:val="auto"/>
              </w:rPr>
              <w:t>拋翻机</w:t>
            </w:r>
          </w:p>
        </w:tc>
        <w:tc>
          <w:tcPr>
            <w:tcW w:w="519" w:type="pct"/>
            <w:vAlign w:val="center"/>
          </w:tcPr>
          <w:p w14:paraId="66496CAA">
            <w:pPr>
              <w:pStyle w:val="766"/>
              <w:rPr>
                <w:color w:val="auto"/>
              </w:rPr>
            </w:pPr>
            <w:r>
              <w:rPr>
                <w:rFonts w:hint="eastAsia"/>
                <w:color w:val="auto"/>
              </w:rPr>
              <w:t>70</w:t>
            </w:r>
          </w:p>
        </w:tc>
        <w:tc>
          <w:tcPr>
            <w:tcW w:w="1717" w:type="pct"/>
            <w:vAlign w:val="center"/>
          </w:tcPr>
          <w:p w14:paraId="074A64EE">
            <w:pPr>
              <w:pStyle w:val="766"/>
              <w:rPr>
                <w:color w:val="auto"/>
                <w:shd w:val="clear" w:color="auto" w:fill="FFFFFF"/>
              </w:rPr>
            </w:pPr>
            <w:r>
              <w:rPr>
                <w:rFonts w:hint="eastAsia"/>
                <w:color w:val="auto"/>
                <w:shd w:val="clear" w:color="auto" w:fill="FFFFFF"/>
              </w:rPr>
              <w:t>低噪声设备、厂房隔声</w:t>
            </w:r>
          </w:p>
        </w:tc>
        <w:tc>
          <w:tcPr>
            <w:tcW w:w="862" w:type="pct"/>
            <w:vAlign w:val="center"/>
          </w:tcPr>
          <w:p w14:paraId="18C42A52">
            <w:pPr>
              <w:pStyle w:val="766"/>
              <w:rPr>
                <w:color w:val="auto"/>
              </w:rPr>
            </w:pPr>
            <w:r>
              <w:rPr>
                <w:rFonts w:hint="eastAsia"/>
                <w:color w:val="auto"/>
              </w:rPr>
              <w:t>＜50</w:t>
            </w:r>
          </w:p>
        </w:tc>
        <w:tc>
          <w:tcPr>
            <w:tcW w:w="350" w:type="pct"/>
            <w:vAlign w:val="center"/>
          </w:tcPr>
          <w:p w14:paraId="1FE28430">
            <w:pPr>
              <w:pStyle w:val="766"/>
              <w:rPr>
                <w:color w:val="auto"/>
                <w:w w:val="95"/>
              </w:rPr>
            </w:pPr>
            <w:r>
              <w:rPr>
                <w:rFonts w:hint="eastAsia"/>
                <w:color w:val="auto"/>
                <w:w w:val="95"/>
              </w:rPr>
              <w:t>1</w:t>
            </w:r>
          </w:p>
        </w:tc>
      </w:tr>
      <w:tr w14:paraId="476E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070A91F5">
            <w:pPr>
              <w:pStyle w:val="766"/>
              <w:rPr>
                <w:color w:val="auto"/>
              </w:rPr>
            </w:pPr>
          </w:p>
        </w:tc>
        <w:tc>
          <w:tcPr>
            <w:tcW w:w="862" w:type="pct"/>
            <w:vAlign w:val="center"/>
          </w:tcPr>
          <w:p w14:paraId="351EA941">
            <w:pPr>
              <w:pStyle w:val="766"/>
              <w:rPr>
                <w:color w:val="auto"/>
              </w:rPr>
            </w:pPr>
            <w:r>
              <w:rPr>
                <w:rFonts w:hint="eastAsia"/>
                <w:color w:val="auto"/>
              </w:rPr>
              <w:t>破碎机</w:t>
            </w:r>
          </w:p>
        </w:tc>
        <w:tc>
          <w:tcPr>
            <w:tcW w:w="519" w:type="pct"/>
            <w:vAlign w:val="center"/>
          </w:tcPr>
          <w:p w14:paraId="61A962CC">
            <w:pPr>
              <w:pStyle w:val="766"/>
              <w:rPr>
                <w:color w:val="auto"/>
              </w:rPr>
            </w:pPr>
            <w:r>
              <w:rPr>
                <w:rFonts w:hint="eastAsia"/>
                <w:color w:val="auto"/>
              </w:rPr>
              <w:t>85</w:t>
            </w:r>
          </w:p>
        </w:tc>
        <w:tc>
          <w:tcPr>
            <w:tcW w:w="1717" w:type="pct"/>
            <w:vAlign w:val="center"/>
          </w:tcPr>
          <w:p w14:paraId="4BBC5C86">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3F9DD0B8">
            <w:pPr>
              <w:pStyle w:val="766"/>
              <w:rPr>
                <w:color w:val="auto"/>
              </w:rPr>
            </w:pPr>
            <w:r>
              <w:rPr>
                <w:color w:val="auto"/>
              </w:rPr>
              <w:t>&lt;</w:t>
            </w:r>
            <w:r>
              <w:rPr>
                <w:rFonts w:hint="eastAsia"/>
                <w:color w:val="auto"/>
              </w:rPr>
              <w:t>60</w:t>
            </w:r>
          </w:p>
        </w:tc>
        <w:tc>
          <w:tcPr>
            <w:tcW w:w="350" w:type="pct"/>
            <w:vAlign w:val="center"/>
          </w:tcPr>
          <w:p w14:paraId="1A666052">
            <w:pPr>
              <w:pStyle w:val="766"/>
              <w:rPr>
                <w:color w:val="auto"/>
                <w:w w:val="95"/>
              </w:rPr>
            </w:pPr>
            <w:r>
              <w:rPr>
                <w:rFonts w:hint="eastAsia"/>
                <w:color w:val="auto"/>
                <w:w w:val="95"/>
              </w:rPr>
              <w:t>2</w:t>
            </w:r>
          </w:p>
        </w:tc>
      </w:tr>
      <w:tr w14:paraId="6AA4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5DA6C5A0">
            <w:pPr>
              <w:pStyle w:val="766"/>
              <w:rPr>
                <w:color w:val="auto"/>
              </w:rPr>
            </w:pPr>
          </w:p>
        </w:tc>
        <w:tc>
          <w:tcPr>
            <w:tcW w:w="862" w:type="pct"/>
            <w:vAlign w:val="center"/>
          </w:tcPr>
          <w:p w14:paraId="5EF51DB4">
            <w:pPr>
              <w:pStyle w:val="766"/>
              <w:rPr>
                <w:color w:val="auto"/>
              </w:rPr>
            </w:pPr>
            <w:r>
              <w:rPr>
                <w:rFonts w:hint="eastAsia"/>
                <w:color w:val="auto"/>
              </w:rPr>
              <w:t>混料机</w:t>
            </w:r>
          </w:p>
        </w:tc>
        <w:tc>
          <w:tcPr>
            <w:tcW w:w="519" w:type="pct"/>
            <w:vAlign w:val="center"/>
          </w:tcPr>
          <w:p w14:paraId="79D656D1">
            <w:pPr>
              <w:pStyle w:val="766"/>
              <w:rPr>
                <w:color w:val="auto"/>
              </w:rPr>
            </w:pPr>
            <w:r>
              <w:rPr>
                <w:rFonts w:hint="eastAsia"/>
                <w:color w:val="auto"/>
              </w:rPr>
              <w:t>75</w:t>
            </w:r>
          </w:p>
        </w:tc>
        <w:tc>
          <w:tcPr>
            <w:tcW w:w="1717" w:type="pct"/>
            <w:vAlign w:val="center"/>
          </w:tcPr>
          <w:p w14:paraId="36B10C04">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5B77C264">
            <w:pPr>
              <w:pStyle w:val="766"/>
              <w:rPr>
                <w:color w:val="auto"/>
              </w:rPr>
            </w:pPr>
            <w:r>
              <w:rPr>
                <w:rFonts w:hint="eastAsia"/>
                <w:color w:val="auto"/>
              </w:rPr>
              <w:t>＜55</w:t>
            </w:r>
          </w:p>
        </w:tc>
        <w:tc>
          <w:tcPr>
            <w:tcW w:w="350" w:type="pct"/>
            <w:vAlign w:val="center"/>
          </w:tcPr>
          <w:p w14:paraId="1338099D">
            <w:pPr>
              <w:pStyle w:val="766"/>
              <w:rPr>
                <w:color w:val="auto"/>
                <w:w w:val="95"/>
              </w:rPr>
            </w:pPr>
            <w:r>
              <w:rPr>
                <w:rFonts w:hint="eastAsia"/>
                <w:color w:val="auto"/>
                <w:w w:val="95"/>
              </w:rPr>
              <w:t>1</w:t>
            </w:r>
          </w:p>
        </w:tc>
      </w:tr>
      <w:tr w14:paraId="28BD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47823E82">
            <w:pPr>
              <w:pStyle w:val="766"/>
              <w:rPr>
                <w:color w:val="auto"/>
              </w:rPr>
            </w:pPr>
          </w:p>
        </w:tc>
        <w:tc>
          <w:tcPr>
            <w:tcW w:w="862" w:type="pct"/>
            <w:vAlign w:val="center"/>
          </w:tcPr>
          <w:p w14:paraId="27216DEF">
            <w:pPr>
              <w:pStyle w:val="766"/>
              <w:rPr>
                <w:color w:val="auto"/>
              </w:rPr>
            </w:pPr>
            <w:r>
              <w:rPr>
                <w:rFonts w:hint="eastAsia"/>
                <w:color w:val="auto"/>
              </w:rPr>
              <w:t>筛分机</w:t>
            </w:r>
          </w:p>
        </w:tc>
        <w:tc>
          <w:tcPr>
            <w:tcW w:w="519" w:type="pct"/>
            <w:vAlign w:val="center"/>
          </w:tcPr>
          <w:p w14:paraId="1AB41125">
            <w:pPr>
              <w:pStyle w:val="766"/>
              <w:rPr>
                <w:color w:val="auto"/>
              </w:rPr>
            </w:pPr>
            <w:r>
              <w:rPr>
                <w:rFonts w:hint="eastAsia"/>
                <w:color w:val="auto"/>
              </w:rPr>
              <w:t>75</w:t>
            </w:r>
          </w:p>
        </w:tc>
        <w:tc>
          <w:tcPr>
            <w:tcW w:w="1717" w:type="pct"/>
            <w:vAlign w:val="center"/>
          </w:tcPr>
          <w:p w14:paraId="2415FD27">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004AFD59">
            <w:pPr>
              <w:pStyle w:val="766"/>
              <w:rPr>
                <w:color w:val="auto"/>
              </w:rPr>
            </w:pPr>
            <w:r>
              <w:rPr>
                <w:rFonts w:hint="eastAsia"/>
                <w:color w:val="auto"/>
              </w:rPr>
              <w:t>＜55</w:t>
            </w:r>
          </w:p>
        </w:tc>
        <w:tc>
          <w:tcPr>
            <w:tcW w:w="350" w:type="pct"/>
            <w:vAlign w:val="center"/>
          </w:tcPr>
          <w:p w14:paraId="2EFDF5B6">
            <w:pPr>
              <w:pStyle w:val="766"/>
              <w:rPr>
                <w:color w:val="auto"/>
                <w:w w:val="95"/>
              </w:rPr>
            </w:pPr>
            <w:r>
              <w:rPr>
                <w:rFonts w:hint="eastAsia"/>
                <w:color w:val="auto"/>
                <w:w w:val="95"/>
              </w:rPr>
              <w:t>1</w:t>
            </w:r>
          </w:p>
        </w:tc>
      </w:tr>
      <w:tr w14:paraId="15D5A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5750C163">
            <w:pPr>
              <w:pStyle w:val="766"/>
              <w:rPr>
                <w:color w:val="auto"/>
              </w:rPr>
            </w:pPr>
          </w:p>
        </w:tc>
        <w:tc>
          <w:tcPr>
            <w:tcW w:w="862" w:type="pct"/>
            <w:vAlign w:val="center"/>
          </w:tcPr>
          <w:p w14:paraId="4E815C3E">
            <w:pPr>
              <w:pStyle w:val="766"/>
              <w:rPr>
                <w:color w:val="auto"/>
              </w:rPr>
            </w:pPr>
            <w:r>
              <w:rPr>
                <w:rFonts w:hint="eastAsia"/>
                <w:color w:val="auto"/>
              </w:rPr>
              <w:t>烘干机</w:t>
            </w:r>
          </w:p>
        </w:tc>
        <w:tc>
          <w:tcPr>
            <w:tcW w:w="519" w:type="pct"/>
            <w:vAlign w:val="center"/>
          </w:tcPr>
          <w:p w14:paraId="08D87B43">
            <w:pPr>
              <w:pStyle w:val="766"/>
              <w:rPr>
                <w:color w:val="auto"/>
              </w:rPr>
            </w:pPr>
            <w:r>
              <w:rPr>
                <w:rFonts w:hint="eastAsia"/>
                <w:color w:val="auto"/>
              </w:rPr>
              <w:t>75</w:t>
            </w:r>
          </w:p>
        </w:tc>
        <w:tc>
          <w:tcPr>
            <w:tcW w:w="1717" w:type="pct"/>
            <w:vAlign w:val="center"/>
          </w:tcPr>
          <w:p w14:paraId="1E438FCE">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2B7B3CD9">
            <w:pPr>
              <w:pStyle w:val="766"/>
              <w:rPr>
                <w:color w:val="auto"/>
              </w:rPr>
            </w:pPr>
            <w:r>
              <w:rPr>
                <w:rFonts w:hint="eastAsia"/>
                <w:color w:val="auto"/>
              </w:rPr>
              <w:t>＜55</w:t>
            </w:r>
          </w:p>
        </w:tc>
        <w:tc>
          <w:tcPr>
            <w:tcW w:w="350" w:type="pct"/>
            <w:vAlign w:val="center"/>
          </w:tcPr>
          <w:p w14:paraId="1B27660B">
            <w:pPr>
              <w:pStyle w:val="766"/>
              <w:rPr>
                <w:color w:val="auto"/>
                <w:w w:val="95"/>
              </w:rPr>
            </w:pPr>
            <w:r>
              <w:rPr>
                <w:rFonts w:hint="eastAsia"/>
                <w:color w:val="auto"/>
                <w:w w:val="95"/>
              </w:rPr>
              <w:t>1</w:t>
            </w:r>
          </w:p>
        </w:tc>
      </w:tr>
      <w:tr w14:paraId="6F90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47B4F11A">
            <w:pPr>
              <w:pStyle w:val="766"/>
              <w:rPr>
                <w:color w:val="auto"/>
              </w:rPr>
            </w:pPr>
          </w:p>
        </w:tc>
        <w:tc>
          <w:tcPr>
            <w:tcW w:w="862" w:type="pct"/>
            <w:vAlign w:val="center"/>
          </w:tcPr>
          <w:p w14:paraId="653E7758">
            <w:pPr>
              <w:pStyle w:val="766"/>
              <w:rPr>
                <w:color w:val="auto"/>
              </w:rPr>
            </w:pPr>
            <w:r>
              <w:rPr>
                <w:rFonts w:hint="eastAsia"/>
                <w:color w:val="auto"/>
              </w:rPr>
              <w:t>制粒机</w:t>
            </w:r>
          </w:p>
        </w:tc>
        <w:tc>
          <w:tcPr>
            <w:tcW w:w="519" w:type="pct"/>
            <w:vAlign w:val="center"/>
          </w:tcPr>
          <w:p w14:paraId="4FFC4041">
            <w:pPr>
              <w:pStyle w:val="766"/>
              <w:rPr>
                <w:color w:val="auto"/>
              </w:rPr>
            </w:pPr>
            <w:r>
              <w:rPr>
                <w:rFonts w:hint="eastAsia"/>
                <w:color w:val="auto"/>
              </w:rPr>
              <w:t>70</w:t>
            </w:r>
          </w:p>
        </w:tc>
        <w:tc>
          <w:tcPr>
            <w:tcW w:w="1717" w:type="pct"/>
            <w:vAlign w:val="center"/>
          </w:tcPr>
          <w:p w14:paraId="26E0A334">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5C959B27">
            <w:pPr>
              <w:pStyle w:val="766"/>
              <w:rPr>
                <w:color w:val="auto"/>
              </w:rPr>
            </w:pPr>
            <w:r>
              <w:rPr>
                <w:rFonts w:hint="eastAsia"/>
                <w:color w:val="auto"/>
              </w:rPr>
              <w:t>＜50</w:t>
            </w:r>
          </w:p>
        </w:tc>
        <w:tc>
          <w:tcPr>
            <w:tcW w:w="350" w:type="pct"/>
            <w:vAlign w:val="center"/>
          </w:tcPr>
          <w:p w14:paraId="379D082B">
            <w:pPr>
              <w:pStyle w:val="766"/>
              <w:rPr>
                <w:color w:val="auto"/>
                <w:w w:val="95"/>
              </w:rPr>
            </w:pPr>
            <w:r>
              <w:rPr>
                <w:rFonts w:hint="eastAsia"/>
                <w:color w:val="auto"/>
                <w:w w:val="95"/>
              </w:rPr>
              <w:t>1</w:t>
            </w:r>
          </w:p>
        </w:tc>
      </w:tr>
      <w:tr w14:paraId="598D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17345487">
            <w:pPr>
              <w:pStyle w:val="766"/>
              <w:rPr>
                <w:color w:val="auto"/>
              </w:rPr>
            </w:pPr>
          </w:p>
        </w:tc>
        <w:tc>
          <w:tcPr>
            <w:tcW w:w="862" w:type="pct"/>
            <w:vAlign w:val="center"/>
          </w:tcPr>
          <w:p w14:paraId="5E795C20">
            <w:pPr>
              <w:pStyle w:val="766"/>
              <w:rPr>
                <w:color w:val="auto"/>
              </w:rPr>
            </w:pPr>
            <w:r>
              <w:rPr>
                <w:rFonts w:hint="eastAsia"/>
                <w:color w:val="auto"/>
              </w:rPr>
              <w:t>包装机</w:t>
            </w:r>
          </w:p>
        </w:tc>
        <w:tc>
          <w:tcPr>
            <w:tcW w:w="519" w:type="pct"/>
            <w:vAlign w:val="center"/>
          </w:tcPr>
          <w:p w14:paraId="6BB82019">
            <w:pPr>
              <w:pStyle w:val="766"/>
              <w:rPr>
                <w:color w:val="auto"/>
              </w:rPr>
            </w:pPr>
            <w:r>
              <w:rPr>
                <w:rFonts w:hint="eastAsia"/>
                <w:color w:val="auto"/>
              </w:rPr>
              <w:t>65</w:t>
            </w:r>
          </w:p>
        </w:tc>
        <w:tc>
          <w:tcPr>
            <w:tcW w:w="1717" w:type="pct"/>
            <w:vAlign w:val="center"/>
          </w:tcPr>
          <w:p w14:paraId="5D64ACD8">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74E384B7">
            <w:pPr>
              <w:pStyle w:val="766"/>
              <w:rPr>
                <w:color w:val="auto"/>
              </w:rPr>
            </w:pPr>
            <w:r>
              <w:rPr>
                <w:rFonts w:hint="eastAsia"/>
                <w:color w:val="auto"/>
              </w:rPr>
              <w:t>＜45</w:t>
            </w:r>
          </w:p>
        </w:tc>
        <w:tc>
          <w:tcPr>
            <w:tcW w:w="350" w:type="pct"/>
            <w:vAlign w:val="center"/>
          </w:tcPr>
          <w:p w14:paraId="0AA5DFB8">
            <w:pPr>
              <w:pStyle w:val="766"/>
              <w:rPr>
                <w:color w:val="auto"/>
                <w:w w:val="95"/>
              </w:rPr>
            </w:pPr>
            <w:r>
              <w:rPr>
                <w:rFonts w:hint="eastAsia"/>
                <w:color w:val="auto"/>
                <w:w w:val="95"/>
              </w:rPr>
              <w:t>1</w:t>
            </w:r>
          </w:p>
        </w:tc>
      </w:tr>
      <w:tr w14:paraId="0FC2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restart"/>
            <w:vAlign w:val="center"/>
          </w:tcPr>
          <w:p w14:paraId="4962123C">
            <w:pPr>
              <w:pStyle w:val="766"/>
              <w:rPr>
                <w:color w:val="auto"/>
              </w:rPr>
            </w:pPr>
            <w:r>
              <w:rPr>
                <w:rFonts w:hint="eastAsia"/>
                <w:color w:val="auto"/>
              </w:rPr>
              <w:t>蛋品加工中心</w:t>
            </w:r>
          </w:p>
        </w:tc>
        <w:tc>
          <w:tcPr>
            <w:tcW w:w="862" w:type="pct"/>
            <w:vAlign w:val="center"/>
          </w:tcPr>
          <w:p w14:paraId="03BE63B7">
            <w:pPr>
              <w:pStyle w:val="766"/>
              <w:rPr>
                <w:color w:val="auto"/>
              </w:rPr>
            </w:pPr>
            <w:r>
              <w:rPr>
                <w:rFonts w:hint="eastAsia"/>
                <w:color w:val="auto"/>
              </w:rPr>
              <w:t>自动装箱机</w:t>
            </w:r>
          </w:p>
        </w:tc>
        <w:tc>
          <w:tcPr>
            <w:tcW w:w="519" w:type="pct"/>
            <w:vAlign w:val="center"/>
          </w:tcPr>
          <w:p w14:paraId="1E41DC0E">
            <w:pPr>
              <w:pStyle w:val="766"/>
              <w:rPr>
                <w:color w:val="auto"/>
              </w:rPr>
            </w:pPr>
            <w:r>
              <w:rPr>
                <w:rFonts w:hint="eastAsia"/>
                <w:color w:val="auto"/>
              </w:rPr>
              <w:t>70</w:t>
            </w:r>
          </w:p>
        </w:tc>
        <w:tc>
          <w:tcPr>
            <w:tcW w:w="1717" w:type="pct"/>
            <w:vAlign w:val="center"/>
          </w:tcPr>
          <w:p w14:paraId="01799B4B">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26705B43">
            <w:pPr>
              <w:pStyle w:val="766"/>
              <w:rPr>
                <w:color w:val="auto"/>
              </w:rPr>
            </w:pPr>
            <w:r>
              <w:rPr>
                <w:rFonts w:hint="eastAsia"/>
                <w:color w:val="auto"/>
              </w:rPr>
              <w:t>＜50</w:t>
            </w:r>
          </w:p>
        </w:tc>
        <w:tc>
          <w:tcPr>
            <w:tcW w:w="350" w:type="pct"/>
            <w:vAlign w:val="center"/>
          </w:tcPr>
          <w:p w14:paraId="4222CFC0">
            <w:pPr>
              <w:pStyle w:val="766"/>
              <w:rPr>
                <w:color w:val="auto"/>
                <w:w w:val="95"/>
              </w:rPr>
            </w:pPr>
            <w:r>
              <w:rPr>
                <w:rFonts w:hint="eastAsia"/>
                <w:color w:val="auto"/>
                <w:w w:val="95"/>
              </w:rPr>
              <w:t>1</w:t>
            </w:r>
          </w:p>
        </w:tc>
      </w:tr>
      <w:tr w14:paraId="18A0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Merge w:val="continue"/>
            <w:vAlign w:val="center"/>
          </w:tcPr>
          <w:p w14:paraId="5F6B09A0">
            <w:pPr>
              <w:pStyle w:val="766"/>
              <w:rPr>
                <w:color w:val="auto"/>
              </w:rPr>
            </w:pPr>
          </w:p>
        </w:tc>
        <w:tc>
          <w:tcPr>
            <w:tcW w:w="862" w:type="pct"/>
            <w:vAlign w:val="center"/>
          </w:tcPr>
          <w:p w14:paraId="739CFC8A">
            <w:pPr>
              <w:pStyle w:val="766"/>
              <w:rPr>
                <w:color w:val="auto"/>
              </w:rPr>
            </w:pPr>
            <w:r>
              <w:rPr>
                <w:rFonts w:hint="eastAsia"/>
                <w:color w:val="auto"/>
              </w:rPr>
              <w:t>车车</w:t>
            </w:r>
          </w:p>
        </w:tc>
        <w:tc>
          <w:tcPr>
            <w:tcW w:w="519" w:type="pct"/>
            <w:vAlign w:val="center"/>
          </w:tcPr>
          <w:p w14:paraId="6E7F33AD">
            <w:pPr>
              <w:pStyle w:val="766"/>
              <w:rPr>
                <w:color w:val="auto"/>
              </w:rPr>
            </w:pPr>
            <w:r>
              <w:rPr>
                <w:rFonts w:hint="eastAsia"/>
                <w:color w:val="auto"/>
              </w:rPr>
              <w:t>60</w:t>
            </w:r>
          </w:p>
        </w:tc>
        <w:tc>
          <w:tcPr>
            <w:tcW w:w="1717" w:type="pct"/>
            <w:vAlign w:val="center"/>
          </w:tcPr>
          <w:p w14:paraId="49AC0A95">
            <w:pPr>
              <w:pStyle w:val="766"/>
              <w:rPr>
                <w:color w:val="auto"/>
                <w:shd w:val="clear" w:color="auto" w:fill="FFFFFF"/>
              </w:rPr>
            </w:pPr>
            <w:r>
              <w:rPr>
                <w:rFonts w:hint="eastAsia"/>
                <w:color w:val="auto"/>
                <w:shd w:val="clear" w:color="auto" w:fill="FFFFFF"/>
              </w:rPr>
              <w:t>选用低噪声设备、限速行驶、禁止鸣笛</w:t>
            </w:r>
          </w:p>
        </w:tc>
        <w:tc>
          <w:tcPr>
            <w:tcW w:w="862" w:type="pct"/>
            <w:vAlign w:val="center"/>
          </w:tcPr>
          <w:p w14:paraId="07E7E9AB">
            <w:pPr>
              <w:pStyle w:val="766"/>
              <w:rPr>
                <w:color w:val="auto"/>
              </w:rPr>
            </w:pPr>
            <w:r>
              <w:rPr>
                <w:rFonts w:hint="eastAsia"/>
                <w:color w:val="auto"/>
              </w:rPr>
              <w:t>＜40</w:t>
            </w:r>
          </w:p>
        </w:tc>
        <w:tc>
          <w:tcPr>
            <w:tcW w:w="350" w:type="pct"/>
            <w:vAlign w:val="center"/>
          </w:tcPr>
          <w:p w14:paraId="0DD11538">
            <w:pPr>
              <w:pStyle w:val="766"/>
              <w:rPr>
                <w:color w:val="auto"/>
                <w:w w:val="95"/>
              </w:rPr>
            </w:pPr>
            <w:r>
              <w:rPr>
                <w:rFonts w:hint="eastAsia"/>
                <w:color w:val="auto"/>
                <w:w w:val="95"/>
              </w:rPr>
              <w:t>2</w:t>
            </w:r>
          </w:p>
        </w:tc>
      </w:tr>
      <w:tr w14:paraId="1528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Align w:val="center"/>
          </w:tcPr>
          <w:p w14:paraId="34DFE740">
            <w:pPr>
              <w:pStyle w:val="766"/>
              <w:rPr>
                <w:color w:val="auto"/>
              </w:rPr>
            </w:pPr>
            <w:r>
              <w:rPr>
                <w:color w:val="auto"/>
              </w:rPr>
              <w:t>泵房</w:t>
            </w:r>
          </w:p>
        </w:tc>
        <w:tc>
          <w:tcPr>
            <w:tcW w:w="862" w:type="pct"/>
            <w:vAlign w:val="center"/>
          </w:tcPr>
          <w:p w14:paraId="24F1F853">
            <w:pPr>
              <w:pStyle w:val="766"/>
              <w:rPr>
                <w:color w:val="auto"/>
              </w:rPr>
            </w:pPr>
            <w:r>
              <w:rPr>
                <w:color w:val="auto"/>
              </w:rPr>
              <w:t>水泵</w:t>
            </w:r>
          </w:p>
        </w:tc>
        <w:tc>
          <w:tcPr>
            <w:tcW w:w="519" w:type="pct"/>
            <w:vAlign w:val="center"/>
          </w:tcPr>
          <w:p w14:paraId="5EDE9E17">
            <w:pPr>
              <w:pStyle w:val="766"/>
              <w:rPr>
                <w:color w:val="auto"/>
                <w:szCs w:val="24"/>
              </w:rPr>
            </w:pPr>
            <w:r>
              <w:rPr>
                <w:color w:val="auto"/>
              </w:rPr>
              <w:t>8</w:t>
            </w:r>
            <w:r>
              <w:rPr>
                <w:rFonts w:hint="eastAsia"/>
                <w:color w:val="auto"/>
              </w:rPr>
              <w:t>5</w:t>
            </w:r>
          </w:p>
        </w:tc>
        <w:tc>
          <w:tcPr>
            <w:tcW w:w="1717" w:type="pct"/>
            <w:vAlign w:val="center"/>
          </w:tcPr>
          <w:p w14:paraId="1A98E483">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862" w:type="pct"/>
            <w:vAlign w:val="center"/>
          </w:tcPr>
          <w:p w14:paraId="548E94B3">
            <w:pPr>
              <w:pStyle w:val="766"/>
              <w:rPr>
                <w:color w:val="auto"/>
                <w:szCs w:val="24"/>
              </w:rPr>
            </w:pPr>
            <w:r>
              <w:rPr>
                <w:color w:val="auto"/>
              </w:rPr>
              <w:t>&lt;</w:t>
            </w:r>
            <w:r>
              <w:rPr>
                <w:rFonts w:hint="eastAsia"/>
                <w:color w:val="auto"/>
              </w:rPr>
              <w:t>60</w:t>
            </w:r>
          </w:p>
        </w:tc>
        <w:tc>
          <w:tcPr>
            <w:tcW w:w="350" w:type="pct"/>
            <w:vAlign w:val="center"/>
          </w:tcPr>
          <w:p w14:paraId="7EDCC852">
            <w:pPr>
              <w:pStyle w:val="766"/>
              <w:rPr>
                <w:color w:val="auto"/>
                <w:szCs w:val="24"/>
              </w:rPr>
            </w:pPr>
            <w:r>
              <w:rPr>
                <w:color w:val="auto"/>
                <w:w w:val="95"/>
              </w:rPr>
              <w:t>1</w:t>
            </w:r>
          </w:p>
        </w:tc>
      </w:tr>
      <w:tr w14:paraId="2093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86" w:type="pct"/>
            <w:vAlign w:val="center"/>
          </w:tcPr>
          <w:p w14:paraId="46C22101">
            <w:pPr>
              <w:pStyle w:val="766"/>
              <w:rPr>
                <w:color w:val="auto"/>
              </w:rPr>
            </w:pPr>
            <w:r>
              <w:rPr>
                <w:color w:val="auto"/>
              </w:rPr>
              <w:t>废气处理</w:t>
            </w:r>
          </w:p>
        </w:tc>
        <w:tc>
          <w:tcPr>
            <w:tcW w:w="862" w:type="pct"/>
            <w:vAlign w:val="center"/>
          </w:tcPr>
          <w:p w14:paraId="79E5E187">
            <w:pPr>
              <w:pStyle w:val="766"/>
              <w:rPr>
                <w:color w:val="auto"/>
              </w:rPr>
            </w:pPr>
            <w:r>
              <w:rPr>
                <w:color w:val="auto"/>
              </w:rPr>
              <w:t>风机</w:t>
            </w:r>
          </w:p>
        </w:tc>
        <w:tc>
          <w:tcPr>
            <w:tcW w:w="519" w:type="pct"/>
            <w:vAlign w:val="center"/>
          </w:tcPr>
          <w:p w14:paraId="4ACC0BBD">
            <w:pPr>
              <w:pStyle w:val="766"/>
              <w:rPr>
                <w:color w:val="auto"/>
              </w:rPr>
            </w:pPr>
            <w:r>
              <w:rPr>
                <w:color w:val="auto"/>
              </w:rPr>
              <w:t>8</w:t>
            </w:r>
            <w:r>
              <w:rPr>
                <w:rFonts w:hint="eastAsia"/>
                <w:color w:val="auto"/>
              </w:rPr>
              <w:t>5</w:t>
            </w:r>
          </w:p>
        </w:tc>
        <w:tc>
          <w:tcPr>
            <w:tcW w:w="1717" w:type="pct"/>
            <w:vAlign w:val="center"/>
          </w:tcPr>
          <w:p w14:paraId="6EFA9E42">
            <w:pPr>
              <w:pStyle w:val="766"/>
              <w:rPr>
                <w:color w:val="auto"/>
              </w:rPr>
            </w:pPr>
            <w:r>
              <w:rPr>
                <w:color w:val="auto"/>
                <w:shd w:val="clear" w:color="auto" w:fill="FFFFFF"/>
              </w:rPr>
              <w:t>选低噪声设备，</w:t>
            </w:r>
            <w:r>
              <w:rPr>
                <w:rFonts w:hint="eastAsia"/>
                <w:color w:val="auto"/>
                <w:shd w:val="clear" w:color="auto" w:fill="FFFFFF"/>
              </w:rPr>
              <w:t>消声器、基础减振、厂房</w:t>
            </w:r>
            <w:r>
              <w:rPr>
                <w:color w:val="auto"/>
                <w:shd w:val="clear" w:color="auto" w:fill="FFFFFF"/>
              </w:rPr>
              <w:t>隔声</w:t>
            </w:r>
          </w:p>
        </w:tc>
        <w:tc>
          <w:tcPr>
            <w:tcW w:w="862" w:type="pct"/>
            <w:vAlign w:val="center"/>
          </w:tcPr>
          <w:p w14:paraId="0961A67F">
            <w:pPr>
              <w:pStyle w:val="766"/>
              <w:rPr>
                <w:color w:val="auto"/>
                <w:szCs w:val="24"/>
              </w:rPr>
            </w:pPr>
            <w:r>
              <w:rPr>
                <w:color w:val="auto"/>
              </w:rPr>
              <w:t>&lt;</w:t>
            </w:r>
            <w:r>
              <w:rPr>
                <w:rFonts w:hint="eastAsia"/>
                <w:color w:val="auto"/>
              </w:rPr>
              <w:t>6</w:t>
            </w:r>
            <w:r>
              <w:rPr>
                <w:color w:val="auto"/>
              </w:rPr>
              <w:t>0</w:t>
            </w:r>
          </w:p>
        </w:tc>
        <w:tc>
          <w:tcPr>
            <w:tcW w:w="350" w:type="pct"/>
            <w:vAlign w:val="center"/>
          </w:tcPr>
          <w:p w14:paraId="21F380D3">
            <w:pPr>
              <w:pStyle w:val="766"/>
              <w:rPr>
                <w:color w:val="auto"/>
                <w:szCs w:val="24"/>
              </w:rPr>
            </w:pPr>
            <w:r>
              <w:rPr>
                <w:color w:val="auto"/>
                <w:w w:val="95"/>
              </w:rPr>
              <w:t>1</w:t>
            </w:r>
          </w:p>
        </w:tc>
      </w:tr>
    </w:tbl>
    <w:p w14:paraId="09630F49">
      <w:pPr>
        <w:ind w:firstLine="480"/>
      </w:pPr>
      <w:r>
        <w:t>为减轻本项目噪声对周围环境的影响，本项目拟优先选用低噪声设备，</w:t>
      </w:r>
      <w:r>
        <w:rPr>
          <w:rFonts w:hint="eastAsia"/>
        </w:rPr>
        <w:t>设备全部安装在厂房车间内，设备安装时采用基础减振，风机安装消声器等措施</w:t>
      </w:r>
      <w:r>
        <w:t>同时加强作业机械管理，采取控制车辆行驶速度，加强场内车辆管理，禁止鸣笛，减小噪声排放。经采取上述治理措施后，场界噪声能够满足《工业企业厂界环境噪声排放标准》（GB12348-2008）2类标准要求</w:t>
      </w:r>
      <w:r>
        <w:rPr>
          <w:rFonts w:hint="eastAsia"/>
        </w:rPr>
        <w:t>。</w:t>
      </w:r>
    </w:p>
    <w:p w14:paraId="2F53BA2B">
      <w:pPr>
        <w:pStyle w:val="757"/>
      </w:pPr>
      <w:r>
        <w:t>3.3.2.4固体废</w:t>
      </w:r>
      <w:r>
        <w:rPr>
          <w:rStyle w:val="111"/>
          <w:b/>
          <w:bCs w:val="0"/>
        </w:rPr>
        <w:t>物</w:t>
      </w:r>
      <w:r>
        <w:t>污染源源强核算</w:t>
      </w:r>
    </w:p>
    <w:p w14:paraId="2DF5322F">
      <w:pPr>
        <w:ind w:firstLine="480"/>
      </w:pPr>
      <w:r>
        <w:t>（1）</w:t>
      </w:r>
      <w:r>
        <w:rPr>
          <w:rFonts w:hint="eastAsia"/>
        </w:rPr>
        <w:t>诊疗废弃物</w:t>
      </w:r>
    </w:p>
    <w:p w14:paraId="7B280D8A">
      <w:pPr>
        <w:tabs>
          <w:tab w:val="left" w:pos="3240"/>
        </w:tabs>
        <w:ind w:firstLine="480"/>
      </w:pPr>
      <w:r>
        <w:t>本项目</w:t>
      </w:r>
      <w:r>
        <w:rPr>
          <w:rFonts w:hint="eastAsia"/>
        </w:rPr>
        <w:t>诊疗废弃物</w:t>
      </w:r>
      <w:r>
        <w:t>主要成份为鸡雏防疫过程中会产生的废药瓶、一次性注射器等，根据《国家危险废物名录（2021年版）》规定，本项目</w:t>
      </w:r>
      <w:r>
        <w:rPr>
          <w:rFonts w:hint="eastAsia"/>
        </w:rPr>
        <w:t>诊疗废弃物参照</w:t>
      </w:r>
      <w:r>
        <w:t>医疗废物</w:t>
      </w:r>
      <w:r>
        <w:rPr>
          <w:rFonts w:hint="eastAsia"/>
        </w:rPr>
        <w:t>管理</w:t>
      </w:r>
      <w:r>
        <w:t>，放置在诊疗废弃物暂存间，根据企业提供资料，</w:t>
      </w:r>
      <w:r>
        <w:rPr>
          <w:rFonts w:hint="eastAsia"/>
        </w:rPr>
        <w:t>诊疗废弃物</w:t>
      </w:r>
      <w:r>
        <w:t>产生量为0.05t/a。</w:t>
      </w:r>
    </w:p>
    <w:p w14:paraId="5832A48E">
      <w:pPr>
        <w:ind w:firstLine="480"/>
      </w:pPr>
      <w:r>
        <w:t>（2）鸡粪、鸡毛、饲料残渣</w:t>
      </w:r>
    </w:p>
    <w:p w14:paraId="7A7DBB81">
      <w:pPr>
        <w:ind w:firstLine="480"/>
      </w:pPr>
      <w:r>
        <w:t>根据企业提供资料，本项目鸡舍产生的鸡粪、鸡羽毛、饲料残渣</w:t>
      </w:r>
      <w:r>
        <w:rPr>
          <w:rFonts w:hint="eastAsia"/>
        </w:rPr>
        <w:t>收集后进入有机肥车间发酵制造有机肥料</w:t>
      </w:r>
      <w:r>
        <w:t>。每天产生32.55t/d，全年产生11880.75t/d。</w:t>
      </w:r>
    </w:p>
    <w:p w14:paraId="0337CBA8">
      <w:pPr>
        <w:ind w:firstLine="480"/>
      </w:pPr>
      <w:r>
        <w:t>（3）病死鸡</w:t>
      </w:r>
      <w:r>
        <w:rPr>
          <w:rFonts w:hint="eastAsia"/>
        </w:rPr>
        <w:t>、解剖鸡</w:t>
      </w:r>
    </w:p>
    <w:p w14:paraId="651702D2">
      <w:pPr>
        <w:ind w:firstLine="480"/>
        <w:rPr>
          <w:bCs/>
        </w:rPr>
      </w:pPr>
      <w:r>
        <w:t>畜禽养殖场通过采取科学化管理与养殖方法，鸡苗的死亡率较低。根据《规模化畜禽养殖场环境影响评价与实例研究》（农业环境科学学报，2007(26）：313-318)文献中，一般情况下规模化养鸡场病死鸡控制在0.1％-0.2％，按最大取值，病死鸡控制在0.2％左右，则年病死鸡为1800只，根据《畜禽养殖业产污系数与排污系数手册》中东北区饲养蛋鸡参考体重为2.0kg只计算，约为3.6t。病死鸡</w:t>
      </w:r>
      <w:r>
        <w:rPr>
          <w:rFonts w:hint="eastAsia"/>
        </w:rPr>
        <w:t>死后选取部分解剖研究病因，病死鸡及解剖鸡按照医疗废物管理，放置在冷柜</w:t>
      </w:r>
      <w:r>
        <w:t>，委托有资质单位处置</w:t>
      </w:r>
      <w:r>
        <w:rPr>
          <w:bCs/>
        </w:rPr>
        <w:t>。</w:t>
      </w:r>
    </w:p>
    <w:p w14:paraId="4B01C1FB">
      <w:pPr>
        <w:ind w:firstLine="480"/>
      </w:pPr>
      <w:r>
        <w:rPr>
          <w:rFonts w:hint="eastAsia"/>
        </w:rPr>
        <w:t>（4）污泥</w:t>
      </w:r>
    </w:p>
    <w:p w14:paraId="12E77F22">
      <w:pPr>
        <w:ind w:firstLine="480"/>
      </w:pPr>
      <w:r>
        <w:rPr>
          <w:rFonts w:hint="eastAsia"/>
        </w:rPr>
        <w:t>本项目污水处理站会有污泥产生，污水处理站产生的污泥送至有机肥生产车间进行发酵制肥，根据污水处理站设计资料，污泥产量约为污水处理站处理量的1.85%，本项目污水处理站进水量约2.7万m</w:t>
      </w:r>
      <w:r>
        <w:rPr>
          <w:rFonts w:hint="eastAsia"/>
          <w:vertAlign w:val="superscript"/>
        </w:rPr>
        <w:t>3</w:t>
      </w:r>
      <w:r>
        <w:rPr>
          <w:rFonts w:hint="eastAsia"/>
        </w:rPr>
        <w:t>/a，则污泥产生量约5</w:t>
      </w:r>
      <w:r>
        <w:t>00</w:t>
      </w:r>
      <w:r>
        <w:rPr>
          <w:rFonts w:hint="eastAsia"/>
        </w:rPr>
        <w:t>t/a。</w:t>
      </w:r>
    </w:p>
    <w:p w14:paraId="5283046B">
      <w:pPr>
        <w:ind w:firstLine="480"/>
      </w:pPr>
      <w:r>
        <w:t>（5）不合格蛋</w:t>
      </w:r>
    </w:p>
    <w:p w14:paraId="430D4039">
      <w:pPr>
        <w:pStyle w:val="104"/>
      </w:pPr>
      <w:r>
        <w:rPr>
          <w:rFonts w:hint="eastAsia"/>
        </w:rPr>
        <w:t>根据《养鸡课堂》，蛋鸡养殖过程</w:t>
      </w:r>
      <w:r>
        <w:t>不合格蛋产生率约为0.1‰，本项目年产鸡蛋</w:t>
      </w:r>
      <w:r>
        <w:rPr>
          <w:szCs w:val="24"/>
        </w:rPr>
        <w:t>18000t</w:t>
      </w:r>
      <w:r>
        <w:t>，则</w:t>
      </w:r>
      <w:r>
        <w:rPr>
          <w:rFonts w:hint="eastAsia"/>
        </w:rPr>
        <w:t>不合格</w:t>
      </w:r>
      <w:r>
        <w:t>蛋产生量为1.8t/a，产生的</w:t>
      </w:r>
      <w:r>
        <w:rPr>
          <w:rFonts w:hint="eastAsia"/>
        </w:rPr>
        <w:t>不合格</w:t>
      </w:r>
      <w:r>
        <w:t>蛋收集后</w:t>
      </w:r>
      <w:r>
        <w:rPr>
          <w:rFonts w:hint="eastAsia"/>
        </w:rPr>
        <w:t>进入有机肥加工车间发酵堆肥处理</w:t>
      </w:r>
      <w:r>
        <w:t>。</w:t>
      </w:r>
    </w:p>
    <w:p w14:paraId="12BBEC13">
      <w:pPr>
        <w:ind w:firstLine="480"/>
      </w:pPr>
      <w:r>
        <w:t>（6）废离子交换树脂</w:t>
      </w:r>
    </w:p>
    <w:p w14:paraId="2DAC2748">
      <w:pPr>
        <w:ind w:firstLine="480"/>
      </w:pPr>
      <w:r>
        <w:t>锅炉软化水制备设备使用离子交换树脂进行</w:t>
      </w:r>
      <w:r>
        <w:rPr>
          <w:rFonts w:hint="eastAsia"/>
        </w:rPr>
        <w:t>软化水</w:t>
      </w:r>
      <w:r>
        <w:t>制备，离子交换树脂在使用一段时间之后需要进行更换，会产生废离子交换树脂，项目配备的软化水制备设备中树脂含量约为92kg，使用寿命约为5年，因此本项目软化水制备设备废离子交换树脂产生总量为0.092t/5a。</w:t>
      </w:r>
    </w:p>
    <w:p w14:paraId="4D6D309C">
      <w:pPr>
        <w:pStyle w:val="104"/>
      </w:pPr>
      <w:r>
        <w:t>（7）本项目饲料加工车间</w:t>
      </w:r>
      <w:r>
        <w:rPr>
          <w:rFonts w:hint="eastAsia"/>
        </w:rPr>
        <w:t>和有机肥加工车间</w:t>
      </w:r>
      <w:r>
        <w:t>产生除尘灰</w:t>
      </w:r>
      <w:r>
        <w:rPr>
          <w:rFonts w:hint="eastAsia"/>
        </w:rPr>
        <w:t>7.56</w:t>
      </w:r>
      <w:r>
        <w:t>t/a</w:t>
      </w:r>
      <w:r>
        <w:rPr>
          <w:rFonts w:hint="eastAsia"/>
        </w:rPr>
        <w:t>，</w:t>
      </w:r>
      <w:r>
        <w:t>全部回收利用。</w:t>
      </w:r>
    </w:p>
    <w:p w14:paraId="265FCB34">
      <w:pPr>
        <w:ind w:firstLine="480"/>
      </w:pPr>
      <w:r>
        <w:t>（8）职工生活垃圾量按人均产生量为0.5kg/d·人，本项目新增职工50人，则生活垃圾的产生量为9.125t/a。</w:t>
      </w:r>
    </w:p>
    <w:p w14:paraId="5525F564">
      <w:pPr>
        <w:ind w:firstLine="480"/>
      </w:pPr>
      <w:r>
        <w:t>本项目一般固体废物应按照国家《一般工业固体废物贮存和填埋污染控制标准》(GB18599-2020)的要求设置贮存场所，严禁乱堆乱放和随便倾倒，一般固废在运输过程中要防止散落地面，一般固废暂存间建设要求如下：</w:t>
      </w:r>
    </w:p>
    <w:p w14:paraId="01995B6E">
      <w:pPr>
        <w:ind w:firstLine="480"/>
      </w:pPr>
      <w:r>
        <w:rPr>
          <w:rFonts w:hint="eastAsia" w:ascii="宋体" w:hAnsi="宋体" w:cs="宋体"/>
        </w:rPr>
        <w:t>①</w:t>
      </w:r>
      <w:r>
        <w:t>不得露天堆放。</w:t>
      </w:r>
    </w:p>
    <w:p w14:paraId="38FC6F7F">
      <w:pPr>
        <w:ind w:firstLine="480"/>
      </w:pPr>
      <w:r>
        <w:rPr>
          <w:rFonts w:hint="eastAsia" w:ascii="宋体" w:hAnsi="宋体" w:cs="宋体"/>
        </w:rPr>
        <w:t>②</w:t>
      </w:r>
      <w:r>
        <w:t>产生工业固体废物的单位终止的，应当在终止前对工业固体废物的贮存、处置的设施、场所采取污染防治措施，并对未处置的工业固体废物作出妥善处置，防止污染环境。</w:t>
      </w:r>
    </w:p>
    <w:p w14:paraId="37503E3D">
      <w:pPr>
        <w:ind w:firstLine="480"/>
      </w:pPr>
      <w:r>
        <w:rPr>
          <w:rFonts w:hint="eastAsia" w:ascii="宋体" w:hAnsi="宋体" w:cs="宋体"/>
        </w:rPr>
        <w:t>③</w:t>
      </w:r>
      <w:r>
        <w:t>张贴一般固废贮存场所标牌。</w:t>
      </w:r>
    </w:p>
    <w:p w14:paraId="4BC808F0">
      <w:pPr>
        <w:ind w:firstLine="480"/>
      </w:pPr>
      <w:r>
        <w:rPr>
          <w:rFonts w:hint="eastAsia" w:ascii="宋体" w:hAnsi="宋体" w:cs="宋体"/>
        </w:rPr>
        <w:t>④</w:t>
      </w:r>
      <w:r>
        <w:t>对暂时不利用或者不能利用的，应当按照国务院生态环境等主管部门的规定建设贮存设施、场所，安全分类存放，或者采取无害化处置措施。贮存工业固体废物应当采取符合国家环境保护标准的防护措施。</w:t>
      </w:r>
    </w:p>
    <w:p w14:paraId="7E2A545E">
      <w:pPr>
        <w:pStyle w:val="369"/>
      </w:pPr>
      <w:r>
        <w:t>表3.3-1</w:t>
      </w:r>
      <w:r>
        <w:rPr>
          <w:rFonts w:hint="eastAsia"/>
        </w:rPr>
        <w:t>4</w:t>
      </w:r>
      <w:r>
        <w:t xml:space="preserve">  本项目一般固体废物一览表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544"/>
        <w:gridCol w:w="1185"/>
        <w:gridCol w:w="1011"/>
        <w:gridCol w:w="1399"/>
        <w:gridCol w:w="2742"/>
      </w:tblGrid>
      <w:tr w14:paraId="7086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7" w:type="pct"/>
            <w:vAlign w:val="center"/>
          </w:tcPr>
          <w:p w14:paraId="2D0B7E10">
            <w:pPr>
              <w:pStyle w:val="766"/>
              <w:rPr>
                <w:color w:val="auto"/>
              </w:rPr>
            </w:pPr>
            <w:r>
              <w:rPr>
                <w:color w:val="auto"/>
              </w:rPr>
              <w:t>名称</w:t>
            </w:r>
          </w:p>
        </w:tc>
        <w:tc>
          <w:tcPr>
            <w:tcW w:w="831" w:type="pct"/>
            <w:vAlign w:val="center"/>
          </w:tcPr>
          <w:p w14:paraId="6BA939A3">
            <w:pPr>
              <w:pStyle w:val="766"/>
              <w:rPr>
                <w:color w:val="auto"/>
              </w:rPr>
            </w:pPr>
            <w:r>
              <w:rPr>
                <w:color w:val="auto"/>
              </w:rPr>
              <w:t>产生环节</w:t>
            </w:r>
          </w:p>
        </w:tc>
        <w:tc>
          <w:tcPr>
            <w:tcW w:w="638" w:type="pct"/>
            <w:vAlign w:val="center"/>
          </w:tcPr>
          <w:p w14:paraId="06A87DD1">
            <w:pPr>
              <w:pStyle w:val="766"/>
              <w:rPr>
                <w:color w:val="auto"/>
              </w:rPr>
            </w:pPr>
            <w:r>
              <w:rPr>
                <w:color w:val="auto"/>
              </w:rPr>
              <w:t>性质</w:t>
            </w:r>
          </w:p>
        </w:tc>
        <w:tc>
          <w:tcPr>
            <w:tcW w:w="544" w:type="pct"/>
            <w:vAlign w:val="center"/>
          </w:tcPr>
          <w:p w14:paraId="50CFB2BB">
            <w:pPr>
              <w:pStyle w:val="766"/>
              <w:rPr>
                <w:color w:val="auto"/>
              </w:rPr>
            </w:pPr>
            <w:r>
              <w:rPr>
                <w:color w:val="auto"/>
              </w:rPr>
              <w:t>形态</w:t>
            </w:r>
          </w:p>
        </w:tc>
        <w:tc>
          <w:tcPr>
            <w:tcW w:w="753" w:type="pct"/>
            <w:vAlign w:val="center"/>
          </w:tcPr>
          <w:p w14:paraId="61BB91D0">
            <w:pPr>
              <w:pStyle w:val="766"/>
              <w:rPr>
                <w:color w:val="auto"/>
              </w:rPr>
            </w:pPr>
            <w:r>
              <w:rPr>
                <w:color w:val="auto"/>
              </w:rPr>
              <w:t>产生量（t/a）</w:t>
            </w:r>
          </w:p>
        </w:tc>
        <w:tc>
          <w:tcPr>
            <w:tcW w:w="1476" w:type="pct"/>
            <w:vAlign w:val="center"/>
          </w:tcPr>
          <w:p w14:paraId="4D2FC7D6">
            <w:pPr>
              <w:pStyle w:val="766"/>
              <w:rPr>
                <w:color w:val="auto"/>
              </w:rPr>
            </w:pPr>
            <w:r>
              <w:rPr>
                <w:color w:val="auto"/>
              </w:rPr>
              <w:t>处理处置方法</w:t>
            </w:r>
          </w:p>
        </w:tc>
      </w:tr>
      <w:tr w14:paraId="7793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757" w:type="pct"/>
            <w:vAlign w:val="center"/>
          </w:tcPr>
          <w:p w14:paraId="16D12BB3">
            <w:pPr>
              <w:pStyle w:val="766"/>
              <w:rPr>
                <w:color w:val="auto"/>
              </w:rPr>
            </w:pPr>
            <w:r>
              <w:rPr>
                <w:color w:val="auto"/>
              </w:rPr>
              <w:t>鸡粪、掉落羽毛、饲料残渣</w:t>
            </w:r>
          </w:p>
        </w:tc>
        <w:tc>
          <w:tcPr>
            <w:tcW w:w="831" w:type="pct"/>
            <w:vAlign w:val="center"/>
          </w:tcPr>
          <w:p w14:paraId="6A47D6F9">
            <w:pPr>
              <w:pStyle w:val="766"/>
              <w:rPr>
                <w:color w:val="auto"/>
              </w:rPr>
            </w:pPr>
            <w:r>
              <w:rPr>
                <w:color w:val="auto"/>
              </w:rPr>
              <w:t>养殖</w:t>
            </w:r>
          </w:p>
        </w:tc>
        <w:tc>
          <w:tcPr>
            <w:tcW w:w="638" w:type="pct"/>
            <w:vMerge w:val="restart"/>
            <w:vAlign w:val="center"/>
          </w:tcPr>
          <w:p w14:paraId="316E208A">
            <w:pPr>
              <w:pStyle w:val="766"/>
              <w:rPr>
                <w:color w:val="auto"/>
              </w:rPr>
            </w:pPr>
            <w:r>
              <w:rPr>
                <w:color w:val="auto"/>
              </w:rPr>
              <w:t>一般固废</w:t>
            </w:r>
          </w:p>
        </w:tc>
        <w:tc>
          <w:tcPr>
            <w:tcW w:w="544" w:type="pct"/>
            <w:vAlign w:val="center"/>
          </w:tcPr>
          <w:p w14:paraId="09152177">
            <w:pPr>
              <w:pStyle w:val="766"/>
              <w:rPr>
                <w:color w:val="auto"/>
              </w:rPr>
            </w:pPr>
            <w:r>
              <w:rPr>
                <w:color w:val="auto"/>
              </w:rPr>
              <w:t>固态</w:t>
            </w:r>
          </w:p>
        </w:tc>
        <w:tc>
          <w:tcPr>
            <w:tcW w:w="753" w:type="pct"/>
            <w:vAlign w:val="center"/>
          </w:tcPr>
          <w:p w14:paraId="4C736F80">
            <w:pPr>
              <w:pStyle w:val="766"/>
              <w:rPr>
                <w:color w:val="auto"/>
              </w:rPr>
            </w:pPr>
            <w:r>
              <w:rPr>
                <w:color w:val="auto"/>
              </w:rPr>
              <w:t>11880.75</w:t>
            </w:r>
          </w:p>
        </w:tc>
        <w:tc>
          <w:tcPr>
            <w:tcW w:w="1476" w:type="pct"/>
            <w:vAlign w:val="center"/>
          </w:tcPr>
          <w:p w14:paraId="239E941A">
            <w:pPr>
              <w:pStyle w:val="766"/>
              <w:rPr>
                <w:color w:val="auto"/>
              </w:rPr>
            </w:pPr>
            <w:r>
              <w:rPr>
                <w:color w:val="auto"/>
              </w:rPr>
              <w:t>送入厂区</w:t>
            </w:r>
            <w:r>
              <w:rPr>
                <w:rFonts w:hint="eastAsia"/>
                <w:color w:val="auto"/>
              </w:rPr>
              <w:t>有机肥制造车间</w:t>
            </w:r>
            <w:r>
              <w:rPr>
                <w:color w:val="auto"/>
              </w:rPr>
              <w:t>；</w:t>
            </w:r>
          </w:p>
        </w:tc>
      </w:tr>
      <w:tr w14:paraId="1CFD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757" w:type="pct"/>
            <w:vAlign w:val="center"/>
          </w:tcPr>
          <w:p w14:paraId="4BE757C2">
            <w:pPr>
              <w:pStyle w:val="766"/>
              <w:rPr>
                <w:color w:val="auto"/>
              </w:rPr>
            </w:pPr>
            <w:r>
              <w:rPr>
                <w:color w:val="auto"/>
              </w:rPr>
              <w:t>病死鸡</w:t>
            </w:r>
            <w:r>
              <w:rPr>
                <w:rFonts w:hint="eastAsia"/>
                <w:color w:val="auto"/>
              </w:rPr>
              <w:t>、解剖鸡</w:t>
            </w:r>
          </w:p>
        </w:tc>
        <w:tc>
          <w:tcPr>
            <w:tcW w:w="831" w:type="pct"/>
            <w:vAlign w:val="center"/>
          </w:tcPr>
          <w:p w14:paraId="57804CE1">
            <w:pPr>
              <w:pStyle w:val="766"/>
              <w:rPr>
                <w:color w:val="auto"/>
                <w:szCs w:val="22"/>
              </w:rPr>
            </w:pPr>
            <w:r>
              <w:rPr>
                <w:color w:val="auto"/>
                <w:szCs w:val="22"/>
              </w:rPr>
              <w:t>养殖</w:t>
            </w:r>
          </w:p>
        </w:tc>
        <w:tc>
          <w:tcPr>
            <w:tcW w:w="638" w:type="pct"/>
            <w:vMerge w:val="continue"/>
            <w:vAlign w:val="center"/>
          </w:tcPr>
          <w:p w14:paraId="0D7A3055">
            <w:pPr>
              <w:pStyle w:val="766"/>
              <w:rPr>
                <w:color w:val="auto"/>
              </w:rPr>
            </w:pPr>
          </w:p>
        </w:tc>
        <w:tc>
          <w:tcPr>
            <w:tcW w:w="544" w:type="pct"/>
            <w:vAlign w:val="center"/>
          </w:tcPr>
          <w:p w14:paraId="57A31F53">
            <w:pPr>
              <w:pStyle w:val="766"/>
              <w:rPr>
                <w:color w:val="auto"/>
              </w:rPr>
            </w:pPr>
            <w:r>
              <w:rPr>
                <w:color w:val="auto"/>
              </w:rPr>
              <w:t>固态</w:t>
            </w:r>
          </w:p>
        </w:tc>
        <w:tc>
          <w:tcPr>
            <w:tcW w:w="753" w:type="pct"/>
            <w:vAlign w:val="center"/>
          </w:tcPr>
          <w:p w14:paraId="601392EC">
            <w:pPr>
              <w:pStyle w:val="766"/>
              <w:rPr>
                <w:color w:val="auto"/>
              </w:rPr>
            </w:pPr>
            <w:r>
              <w:rPr>
                <w:color w:val="auto"/>
              </w:rPr>
              <w:t>3.6</w:t>
            </w:r>
          </w:p>
        </w:tc>
        <w:tc>
          <w:tcPr>
            <w:tcW w:w="1476" w:type="pct"/>
            <w:vAlign w:val="center"/>
          </w:tcPr>
          <w:p w14:paraId="672DB7C1">
            <w:pPr>
              <w:pStyle w:val="766"/>
              <w:rPr>
                <w:color w:val="auto"/>
              </w:rPr>
            </w:pPr>
            <w:r>
              <w:rPr>
                <w:color w:val="auto"/>
              </w:rPr>
              <w:t>按照医疗废物管理，</w:t>
            </w:r>
            <w:r>
              <w:rPr>
                <w:rFonts w:hint="eastAsia"/>
                <w:color w:val="auto"/>
              </w:rPr>
              <w:t>暂存</w:t>
            </w:r>
            <w:r>
              <w:rPr>
                <w:color w:val="auto"/>
              </w:rPr>
              <w:t>在</w:t>
            </w:r>
            <w:r>
              <w:rPr>
                <w:rFonts w:hint="eastAsia"/>
                <w:color w:val="auto"/>
              </w:rPr>
              <w:t>冷柜</w:t>
            </w:r>
            <w:r>
              <w:rPr>
                <w:color w:val="auto"/>
              </w:rPr>
              <w:t>，</w:t>
            </w:r>
            <w:r>
              <w:rPr>
                <w:rFonts w:hint="eastAsia"/>
                <w:color w:val="auto"/>
              </w:rPr>
              <w:t>最终</w:t>
            </w:r>
            <w:r>
              <w:rPr>
                <w:color w:val="auto"/>
              </w:rPr>
              <w:t>委托有资质单位</w:t>
            </w:r>
            <w:r>
              <w:rPr>
                <w:rFonts w:hint="eastAsia"/>
                <w:color w:val="auto"/>
              </w:rPr>
              <w:t>拉运</w:t>
            </w:r>
            <w:r>
              <w:rPr>
                <w:color w:val="auto"/>
              </w:rPr>
              <w:t>处置；</w:t>
            </w:r>
          </w:p>
        </w:tc>
      </w:tr>
      <w:tr w14:paraId="18F3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7" w:type="pct"/>
            <w:vAlign w:val="center"/>
          </w:tcPr>
          <w:p w14:paraId="08ADDBEA">
            <w:pPr>
              <w:pStyle w:val="766"/>
              <w:rPr>
                <w:color w:val="auto"/>
              </w:rPr>
            </w:pPr>
            <w:r>
              <w:rPr>
                <w:color w:val="auto"/>
              </w:rPr>
              <w:t>不合格蛋</w:t>
            </w:r>
          </w:p>
        </w:tc>
        <w:tc>
          <w:tcPr>
            <w:tcW w:w="831" w:type="pct"/>
            <w:vAlign w:val="center"/>
          </w:tcPr>
          <w:p w14:paraId="4326CD2F">
            <w:pPr>
              <w:pStyle w:val="766"/>
              <w:rPr>
                <w:color w:val="auto"/>
              </w:rPr>
            </w:pPr>
            <w:r>
              <w:rPr>
                <w:color w:val="auto"/>
              </w:rPr>
              <w:t>养殖</w:t>
            </w:r>
          </w:p>
        </w:tc>
        <w:tc>
          <w:tcPr>
            <w:tcW w:w="638" w:type="pct"/>
            <w:vMerge w:val="continue"/>
            <w:vAlign w:val="center"/>
          </w:tcPr>
          <w:p w14:paraId="6CCEFFC0">
            <w:pPr>
              <w:pStyle w:val="766"/>
              <w:rPr>
                <w:color w:val="auto"/>
              </w:rPr>
            </w:pPr>
          </w:p>
        </w:tc>
        <w:tc>
          <w:tcPr>
            <w:tcW w:w="544" w:type="pct"/>
            <w:vAlign w:val="center"/>
          </w:tcPr>
          <w:p w14:paraId="65DCA5A2">
            <w:pPr>
              <w:pStyle w:val="766"/>
              <w:rPr>
                <w:color w:val="auto"/>
              </w:rPr>
            </w:pPr>
            <w:r>
              <w:rPr>
                <w:color w:val="auto"/>
              </w:rPr>
              <w:t>固态</w:t>
            </w:r>
          </w:p>
        </w:tc>
        <w:tc>
          <w:tcPr>
            <w:tcW w:w="753" w:type="pct"/>
            <w:vAlign w:val="center"/>
          </w:tcPr>
          <w:p w14:paraId="2591368D">
            <w:pPr>
              <w:pStyle w:val="766"/>
              <w:rPr>
                <w:color w:val="auto"/>
              </w:rPr>
            </w:pPr>
            <w:r>
              <w:rPr>
                <w:color w:val="auto"/>
              </w:rPr>
              <w:t>1.8</w:t>
            </w:r>
          </w:p>
        </w:tc>
        <w:tc>
          <w:tcPr>
            <w:tcW w:w="1476" w:type="pct"/>
            <w:vAlign w:val="center"/>
          </w:tcPr>
          <w:p w14:paraId="3A0AFC05">
            <w:pPr>
              <w:pStyle w:val="766"/>
              <w:rPr>
                <w:color w:val="auto"/>
              </w:rPr>
            </w:pPr>
            <w:r>
              <w:rPr>
                <w:color w:val="auto"/>
              </w:rPr>
              <w:t>收集</w:t>
            </w:r>
            <w:r>
              <w:rPr>
                <w:rFonts w:hint="eastAsia"/>
                <w:color w:val="auto"/>
              </w:rPr>
              <w:t>送入有机肥制造车间</w:t>
            </w:r>
          </w:p>
        </w:tc>
      </w:tr>
      <w:tr w14:paraId="6679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7" w:type="pct"/>
            <w:vAlign w:val="center"/>
          </w:tcPr>
          <w:p w14:paraId="235CDF15">
            <w:pPr>
              <w:pStyle w:val="766"/>
              <w:rPr>
                <w:color w:val="auto"/>
              </w:rPr>
            </w:pPr>
            <w:r>
              <w:rPr>
                <w:color w:val="auto"/>
              </w:rPr>
              <w:t>废离子交换树脂</w:t>
            </w:r>
          </w:p>
        </w:tc>
        <w:tc>
          <w:tcPr>
            <w:tcW w:w="831" w:type="pct"/>
            <w:vAlign w:val="center"/>
          </w:tcPr>
          <w:p w14:paraId="1F21D070">
            <w:pPr>
              <w:pStyle w:val="766"/>
              <w:rPr>
                <w:color w:val="auto"/>
              </w:rPr>
            </w:pPr>
            <w:r>
              <w:rPr>
                <w:rFonts w:hint="eastAsia"/>
                <w:color w:val="auto"/>
              </w:rPr>
              <w:t>软化水</w:t>
            </w:r>
            <w:r>
              <w:rPr>
                <w:color w:val="auto"/>
              </w:rPr>
              <w:t>制备</w:t>
            </w:r>
          </w:p>
        </w:tc>
        <w:tc>
          <w:tcPr>
            <w:tcW w:w="638" w:type="pct"/>
            <w:vMerge w:val="continue"/>
            <w:vAlign w:val="center"/>
          </w:tcPr>
          <w:p w14:paraId="78108940">
            <w:pPr>
              <w:pStyle w:val="766"/>
              <w:rPr>
                <w:color w:val="auto"/>
              </w:rPr>
            </w:pPr>
          </w:p>
        </w:tc>
        <w:tc>
          <w:tcPr>
            <w:tcW w:w="544" w:type="pct"/>
            <w:vAlign w:val="center"/>
          </w:tcPr>
          <w:p w14:paraId="2077E0D1">
            <w:pPr>
              <w:pStyle w:val="766"/>
              <w:rPr>
                <w:color w:val="auto"/>
              </w:rPr>
            </w:pPr>
            <w:r>
              <w:rPr>
                <w:color w:val="auto"/>
              </w:rPr>
              <w:t>固态</w:t>
            </w:r>
          </w:p>
        </w:tc>
        <w:tc>
          <w:tcPr>
            <w:tcW w:w="753" w:type="pct"/>
            <w:vAlign w:val="center"/>
          </w:tcPr>
          <w:p w14:paraId="51BDDDEC">
            <w:pPr>
              <w:pStyle w:val="766"/>
              <w:rPr>
                <w:color w:val="auto"/>
              </w:rPr>
            </w:pPr>
            <w:r>
              <w:rPr>
                <w:color w:val="auto"/>
              </w:rPr>
              <w:t>0.092t/5a</w:t>
            </w:r>
          </w:p>
        </w:tc>
        <w:tc>
          <w:tcPr>
            <w:tcW w:w="1476" w:type="pct"/>
            <w:vAlign w:val="center"/>
          </w:tcPr>
          <w:p w14:paraId="28CE0DD4">
            <w:pPr>
              <w:pStyle w:val="766"/>
              <w:rPr>
                <w:color w:val="auto"/>
              </w:rPr>
            </w:pPr>
            <w:r>
              <w:rPr>
                <w:color w:val="auto"/>
              </w:rPr>
              <w:t>由厂家进行更换处理</w:t>
            </w:r>
          </w:p>
        </w:tc>
      </w:tr>
      <w:tr w14:paraId="2591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7" w:type="pct"/>
            <w:vAlign w:val="center"/>
          </w:tcPr>
          <w:p w14:paraId="5AC0BCAB">
            <w:pPr>
              <w:pStyle w:val="766"/>
              <w:rPr>
                <w:color w:val="auto"/>
              </w:rPr>
            </w:pPr>
            <w:r>
              <w:rPr>
                <w:color w:val="auto"/>
              </w:rPr>
              <w:t>除尘灰</w:t>
            </w:r>
          </w:p>
        </w:tc>
        <w:tc>
          <w:tcPr>
            <w:tcW w:w="831" w:type="pct"/>
            <w:vAlign w:val="center"/>
          </w:tcPr>
          <w:p w14:paraId="71A28F4A">
            <w:pPr>
              <w:pStyle w:val="766"/>
              <w:rPr>
                <w:color w:val="auto"/>
              </w:rPr>
            </w:pPr>
            <w:r>
              <w:rPr>
                <w:color w:val="auto"/>
              </w:rPr>
              <w:t>饲料加工</w:t>
            </w:r>
            <w:r>
              <w:rPr>
                <w:rFonts w:hint="eastAsia"/>
                <w:color w:val="auto"/>
              </w:rPr>
              <w:t>、有机肥加工</w:t>
            </w:r>
          </w:p>
        </w:tc>
        <w:tc>
          <w:tcPr>
            <w:tcW w:w="638" w:type="pct"/>
            <w:vMerge w:val="continue"/>
            <w:vAlign w:val="center"/>
          </w:tcPr>
          <w:p w14:paraId="2015F7B8">
            <w:pPr>
              <w:pStyle w:val="766"/>
              <w:rPr>
                <w:color w:val="auto"/>
              </w:rPr>
            </w:pPr>
          </w:p>
        </w:tc>
        <w:tc>
          <w:tcPr>
            <w:tcW w:w="544" w:type="pct"/>
            <w:vAlign w:val="center"/>
          </w:tcPr>
          <w:p w14:paraId="61B6D764">
            <w:pPr>
              <w:pStyle w:val="766"/>
              <w:rPr>
                <w:color w:val="auto"/>
              </w:rPr>
            </w:pPr>
            <w:r>
              <w:rPr>
                <w:color w:val="auto"/>
              </w:rPr>
              <w:t>固态</w:t>
            </w:r>
          </w:p>
        </w:tc>
        <w:tc>
          <w:tcPr>
            <w:tcW w:w="753" w:type="pct"/>
            <w:vAlign w:val="center"/>
          </w:tcPr>
          <w:p w14:paraId="666F18EC">
            <w:pPr>
              <w:pStyle w:val="766"/>
              <w:rPr>
                <w:color w:val="auto"/>
              </w:rPr>
            </w:pPr>
            <w:r>
              <w:rPr>
                <w:rFonts w:hint="eastAsia"/>
                <w:color w:val="auto"/>
              </w:rPr>
              <w:t>7.56</w:t>
            </w:r>
          </w:p>
        </w:tc>
        <w:tc>
          <w:tcPr>
            <w:tcW w:w="1476" w:type="pct"/>
            <w:vAlign w:val="center"/>
          </w:tcPr>
          <w:p w14:paraId="127B2861">
            <w:pPr>
              <w:pStyle w:val="766"/>
              <w:rPr>
                <w:color w:val="auto"/>
              </w:rPr>
            </w:pPr>
            <w:r>
              <w:rPr>
                <w:color w:val="auto"/>
              </w:rPr>
              <w:t>回收利用</w:t>
            </w:r>
          </w:p>
        </w:tc>
      </w:tr>
      <w:tr w14:paraId="3F80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7" w:type="pct"/>
            <w:vAlign w:val="center"/>
          </w:tcPr>
          <w:p w14:paraId="213B09A5">
            <w:pPr>
              <w:pStyle w:val="766"/>
              <w:rPr>
                <w:color w:val="auto"/>
              </w:rPr>
            </w:pPr>
            <w:r>
              <w:rPr>
                <w:rFonts w:hint="eastAsia"/>
                <w:color w:val="auto"/>
              </w:rPr>
              <w:t>污泥</w:t>
            </w:r>
          </w:p>
        </w:tc>
        <w:tc>
          <w:tcPr>
            <w:tcW w:w="831" w:type="pct"/>
            <w:vAlign w:val="center"/>
          </w:tcPr>
          <w:p w14:paraId="78686941">
            <w:pPr>
              <w:pStyle w:val="766"/>
              <w:rPr>
                <w:color w:val="auto"/>
              </w:rPr>
            </w:pPr>
            <w:r>
              <w:rPr>
                <w:rFonts w:hint="eastAsia"/>
                <w:color w:val="auto"/>
              </w:rPr>
              <w:t>水处理</w:t>
            </w:r>
          </w:p>
        </w:tc>
        <w:tc>
          <w:tcPr>
            <w:tcW w:w="638" w:type="pct"/>
            <w:vMerge w:val="continue"/>
            <w:vAlign w:val="center"/>
          </w:tcPr>
          <w:p w14:paraId="2E4286E0">
            <w:pPr>
              <w:pStyle w:val="766"/>
              <w:rPr>
                <w:color w:val="auto"/>
              </w:rPr>
            </w:pPr>
          </w:p>
        </w:tc>
        <w:tc>
          <w:tcPr>
            <w:tcW w:w="544" w:type="pct"/>
            <w:vAlign w:val="center"/>
          </w:tcPr>
          <w:p w14:paraId="4BEA6055">
            <w:pPr>
              <w:pStyle w:val="766"/>
              <w:rPr>
                <w:color w:val="auto"/>
              </w:rPr>
            </w:pPr>
            <w:r>
              <w:rPr>
                <w:color w:val="auto"/>
              </w:rPr>
              <w:t>固态</w:t>
            </w:r>
          </w:p>
        </w:tc>
        <w:tc>
          <w:tcPr>
            <w:tcW w:w="753" w:type="pct"/>
            <w:vAlign w:val="center"/>
          </w:tcPr>
          <w:p w14:paraId="37FB1BA1">
            <w:pPr>
              <w:pStyle w:val="766"/>
              <w:rPr>
                <w:color w:val="auto"/>
              </w:rPr>
            </w:pPr>
            <w:r>
              <w:rPr>
                <w:rFonts w:hint="eastAsia"/>
                <w:color w:val="auto"/>
              </w:rPr>
              <w:t>5</w:t>
            </w:r>
            <w:r>
              <w:rPr>
                <w:color w:val="auto"/>
              </w:rPr>
              <w:t>00</w:t>
            </w:r>
          </w:p>
        </w:tc>
        <w:tc>
          <w:tcPr>
            <w:tcW w:w="1476" w:type="pct"/>
            <w:vAlign w:val="center"/>
          </w:tcPr>
          <w:p w14:paraId="2B26DDCF">
            <w:pPr>
              <w:pStyle w:val="766"/>
              <w:rPr>
                <w:color w:val="auto"/>
              </w:rPr>
            </w:pPr>
            <w:r>
              <w:rPr>
                <w:color w:val="auto"/>
              </w:rPr>
              <w:t>送入厂区</w:t>
            </w:r>
            <w:r>
              <w:rPr>
                <w:rFonts w:hint="eastAsia"/>
                <w:color w:val="auto"/>
              </w:rPr>
              <w:t>有机肥制造车间</w:t>
            </w:r>
          </w:p>
        </w:tc>
      </w:tr>
      <w:tr w14:paraId="71DF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7" w:type="pct"/>
            <w:vAlign w:val="center"/>
          </w:tcPr>
          <w:p w14:paraId="5F2ECF3E">
            <w:pPr>
              <w:pStyle w:val="766"/>
              <w:rPr>
                <w:color w:val="auto"/>
              </w:rPr>
            </w:pPr>
            <w:r>
              <w:rPr>
                <w:color w:val="auto"/>
              </w:rPr>
              <w:t>生活垃圾</w:t>
            </w:r>
          </w:p>
        </w:tc>
        <w:tc>
          <w:tcPr>
            <w:tcW w:w="831" w:type="pct"/>
            <w:vAlign w:val="center"/>
          </w:tcPr>
          <w:p w14:paraId="54DEC711">
            <w:pPr>
              <w:pStyle w:val="766"/>
              <w:rPr>
                <w:color w:val="auto"/>
                <w:szCs w:val="22"/>
              </w:rPr>
            </w:pPr>
            <w:r>
              <w:rPr>
                <w:color w:val="auto"/>
                <w:szCs w:val="22"/>
              </w:rPr>
              <w:t>职工生活</w:t>
            </w:r>
          </w:p>
        </w:tc>
        <w:tc>
          <w:tcPr>
            <w:tcW w:w="638" w:type="pct"/>
            <w:vMerge w:val="continue"/>
            <w:vAlign w:val="center"/>
          </w:tcPr>
          <w:p w14:paraId="559BB023">
            <w:pPr>
              <w:pStyle w:val="766"/>
              <w:rPr>
                <w:color w:val="auto"/>
              </w:rPr>
            </w:pPr>
          </w:p>
        </w:tc>
        <w:tc>
          <w:tcPr>
            <w:tcW w:w="544" w:type="pct"/>
            <w:vAlign w:val="center"/>
          </w:tcPr>
          <w:p w14:paraId="23F6DDEA">
            <w:pPr>
              <w:pStyle w:val="766"/>
              <w:rPr>
                <w:color w:val="auto"/>
              </w:rPr>
            </w:pPr>
            <w:r>
              <w:rPr>
                <w:color w:val="auto"/>
              </w:rPr>
              <w:t>固态</w:t>
            </w:r>
          </w:p>
        </w:tc>
        <w:tc>
          <w:tcPr>
            <w:tcW w:w="753" w:type="pct"/>
            <w:vAlign w:val="center"/>
          </w:tcPr>
          <w:p w14:paraId="15837025">
            <w:pPr>
              <w:pStyle w:val="766"/>
              <w:rPr>
                <w:color w:val="auto"/>
              </w:rPr>
            </w:pPr>
            <w:r>
              <w:rPr>
                <w:color w:val="auto"/>
              </w:rPr>
              <w:t>9.125</w:t>
            </w:r>
          </w:p>
        </w:tc>
        <w:tc>
          <w:tcPr>
            <w:tcW w:w="1476" w:type="pct"/>
            <w:vAlign w:val="center"/>
          </w:tcPr>
          <w:p w14:paraId="3757A403">
            <w:pPr>
              <w:pStyle w:val="766"/>
              <w:rPr>
                <w:color w:val="auto"/>
              </w:rPr>
            </w:pPr>
            <w:r>
              <w:rPr>
                <w:color w:val="auto"/>
              </w:rPr>
              <w:t>收集暂存于垃圾箱内，定期送至附近垃圾点</w:t>
            </w:r>
          </w:p>
        </w:tc>
      </w:tr>
    </w:tbl>
    <w:p w14:paraId="60602DDA">
      <w:pPr>
        <w:ind w:firstLine="480"/>
      </w:pPr>
      <w:r>
        <w:t>医疗废物应按照《危险废物收集、贮存 运输技术规范》（HJ 2025- 2012）、《危险废物贮存污染控制标准》（GB 18597-2023）和《医疗废物集中处置技术规范》等文件中有关规定做好相应的收集、贮存和运输工作，具体如下：</w:t>
      </w:r>
    </w:p>
    <w:p w14:paraId="1D51CD9B">
      <w:pPr>
        <w:ind w:firstLine="480"/>
      </w:pPr>
      <w:r>
        <w:rPr>
          <w:rFonts w:hint="eastAsia" w:ascii="宋体" w:hAnsi="宋体" w:cs="宋体"/>
        </w:rPr>
        <w:t>①</w:t>
      </w:r>
      <w:r>
        <w:t>应根据医疗废物特性制定收集计划和详细操作规程，收集和转运过程中应采取相应的安全防护和污染防治措施，包括作业人员的个人防护和医疗废物的防爆、防火、防中毒、防感染等其他防止污染环境的措施，同时还要根据医疗废物的种类、数量、危险特性、物理形态等因素确定其包装形式；</w:t>
      </w:r>
    </w:p>
    <w:p w14:paraId="2975FC38">
      <w:pPr>
        <w:ind w:firstLine="480"/>
      </w:pPr>
      <w:r>
        <w:rPr>
          <w:rFonts w:hint="eastAsia" w:ascii="宋体" w:hAnsi="宋体" w:cs="宋体"/>
        </w:rPr>
        <w:t>②</w:t>
      </w:r>
      <w:r>
        <w:t>应设置医疗废物贮存设施，贮存处地面及裙角应做好耐腐蚀硬化、防渗漏处理，且表面无裂隙，建筑材料必须与医疗废物相容；应使用符合标准的容器盛装医疗废物，容器材质和硬度等均需满足相应的要求，容器上须粘贴医疗废物标签；不相容的医疗废物必须分开存放并设有隔离间隔断等；</w:t>
      </w:r>
    </w:p>
    <w:p w14:paraId="42A28ECE">
      <w:pPr>
        <w:ind w:firstLine="480"/>
      </w:pPr>
      <w:r>
        <w:rPr>
          <w:rFonts w:hint="eastAsia" w:ascii="宋体" w:hAnsi="宋体" w:cs="宋体"/>
        </w:rPr>
        <w:t>③</w:t>
      </w:r>
      <w:r>
        <w:t>医疗废物运输应由持有医疗废物经营许可的单位按照其许可证的经营范围组织实施，承担医疗废物运输的单位应获得交通运输部门颁发的危险货物运输资质。各类交通方式运输应按照《道路危险货物运输管理规定》（中华人民共和国交通运输部令2013年第2号）、《铁路危险货物运输安全监督管理规定》（中华人民共和国交通运输部令2022年24号）和《水路危险货物运输规则》（中华人民共和国交通部令2000年第9号）规定执行，还应在医疗废物包装上按照《危险废物贮存污染控制标准》(GB18597-2023)和《危险废物识别标志设置技术规范》(HJ1276-2022)设置标志，在运输车辆或集装箱上分别设置车辆标志和悬挂标志。</w:t>
      </w:r>
    </w:p>
    <w:p w14:paraId="59CC2945">
      <w:pPr>
        <w:ind w:firstLine="480"/>
      </w:pPr>
      <w:r>
        <w:rPr>
          <w:rFonts w:hint="eastAsia" w:ascii="宋体" w:hAnsi="宋体" w:cs="宋体"/>
        </w:rPr>
        <w:t>④</w:t>
      </w:r>
      <w:r>
        <w:t>应按GB15562.2和卫生、</w:t>
      </w:r>
      <w:r>
        <w:rPr>
          <w:rFonts w:hint="eastAsia"/>
          <w:lang w:val="en-US" w:eastAsia="zh-CN"/>
        </w:rPr>
        <w:t>生态环境</w:t>
      </w:r>
      <w:r>
        <w:t>部门制定的专用医疗废物警示标识要求，在医疗废物暂存间外的明显处同时设置医疗废物的警示标识。</w:t>
      </w:r>
    </w:p>
    <w:p w14:paraId="09057241">
      <w:pPr>
        <w:ind w:firstLine="480"/>
      </w:pPr>
      <w:r>
        <w:rPr>
          <w:rFonts w:hint="eastAsia" w:ascii="宋体" w:hAnsi="宋体" w:cs="宋体"/>
        </w:rPr>
        <w:t>⑤</w:t>
      </w:r>
      <w:r>
        <w:t xml:space="preserve">必须与生活管理区、养殖区隔开，方便医疗废物的装卸、装卸人员及运送车辆的出入； </w:t>
      </w:r>
    </w:p>
    <w:p w14:paraId="3CAFF845">
      <w:pPr>
        <w:ind w:firstLine="480"/>
      </w:pPr>
      <w:r>
        <w:rPr>
          <w:rFonts w:hint="eastAsia" w:ascii="宋体" w:hAnsi="宋体" w:cs="宋体"/>
        </w:rPr>
        <w:t>⑥</w:t>
      </w:r>
      <w:r>
        <w:t>确实不能做到日产日清，且当地最高气温高于25℃时，应将医疗废物低温暂时贮存，暂时贮存温度应低于20℃，时间最长不超过48小时。</w:t>
      </w:r>
    </w:p>
    <w:p w14:paraId="216255F0">
      <w:pPr>
        <w:pStyle w:val="369"/>
      </w:pPr>
      <w:r>
        <w:t>表3.3-1</w:t>
      </w:r>
      <w:r>
        <w:rPr>
          <w:rFonts w:hint="eastAsia"/>
        </w:rPr>
        <w:t>5</w:t>
      </w:r>
      <w:r>
        <w:t xml:space="preserve">    本项目危险废物一览表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544"/>
        <w:gridCol w:w="1185"/>
        <w:gridCol w:w="1011"/>
        <w:gridCol w:w="1399"/>
        <w:gridCol w:w="2742"/>
      </w:tblGrid>
      <w:tr w14:paraId="3646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57" w:type="pct"/>
            <w:vAlign w:val="center"/>
          </w:tcPr>
          <w:p w14:paraId="4F20D6D9">
            <w:pPr>
              <w:pStyle w:val="766"/>
              <w:rPr>
                <w:color w:val="auto"/>
              </w:rPr>
            </w:pPr>
            <w:r>
              <w:rPr>
                <w:color w:val="auto"/>
              </w:rPr>
              <w:t>名称</w:t>
            </w:r>
          </w:p>
        </w:tc>
        <w:tc>
          <w:tcPr>
            <w:tcW w:w="831" w:type="pct"/>
            <w:vAlign w:val="center"/>
          </w:tcPr>
          <w:p w14:paraId="53E83DF9">
            <w:pPr>
              <w:pStyle w:val="766"/>
              <w:rPr>
                <w:color w:val="auto"/>
              </w:rPr>
            </w:pPr>
            <w:r>
              <w:rPr>
                <w:color w:val="auto"/>
              </w:rPr>
              <w:t>产生环节</w:t>
            </w:r>
          </w:p>
        </w:tc>
        <w:tc>
          <w:tcPr>
            <w:tcW w:w="638" w:type="pct"/>
            <w:vAlign w:val="center"/>
          </w:tcPr>
          <w:p w14:paraId="09548C9C">
            <w:pPr>
              <w:pStyle w:val="766"/>
              <w:rPr>
                <w:color w:val="auto"/>
              </w:rPr>
            </w:pPr>
            <w:r>
              <w:rPr>
                <w:color w:val="auto"/>
              </w:rPr>
              <w:t>性质</w:t>
            </w:r>
          </w:p>
        </w:tc>
        <w:tc>
          <w:tcPr>
            <w:tcW w:w="544" w:type="pct"/>
            <w:vAlign w:val="center"/>
          </w:tcPr>
          <w:p w14:paraId="69D7DB86">
            <w:pPr>
              <w:pStyle w:val="766"/>
              <w:rPr>
                <w:color w:val="auto"/>
              </w:rPr>
            </w:pPr>
            <w:r>
              <w:rPr>
                <w:color w:val="auto"/>
              </w:rPr>
              <w:t>形态</w:t>
            </w:r>
          </w:p>
        </w:tc>
        <w:tc>
          <w:tcPr>
            <w:tcW w:w="753" w:type="pct"/>
            <w:vAlign w:val="center"/>
          </w:tcPr>
          <w:p w14:paraId="5CB469FB">
            <w:pPr>
              <w:pStyle w:val="766"/>
              <w:rPr>
                <w:color w:val="auto"/>
              </w:rPr>
            </w:pPr>
            <w:r>
              <w:rPr>
                <w:color w:val="auto"/>
              </w:rPr>
              <w:t>产生量（t/a）</w:t>
            </w:r>
          </w:p>
        </w:tc>
        <w:tc>
          <w:tcPr>
            <w:tcW w:w="1476" w:type="pct"/>
            <w:vAlign w:val="center"/>
          </w:tcPr>
          <w:p w14:paraId="19B7BA2B">
            <w:pPr>
              <w:pStyle w:val="766"/>
              <w:rPr>
                <w:color w:val="auto"/>
              </w:rPr>
            </w:pPr>
            <w:r>
              <w:rPr>
                <w:color w:val="auto"/>
              </w:rPr>
              <w:t>处理处置方法</w:t>
            </w:r>
          </w:p>
        </w:tc>
      </w:tr>
      <w:tr w14:paraId="0D48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57" w:type="pct"/>
            <w:vAlign w:val="center"/>
          </w:tcPr>
          <w:p w14:paraId="3BFA9889">
            <w:pPr>
              <w:pStyle w:val="766"/>
              <w:rPr>
                <w:color w:val="auto"/>
              </w:rPr>
            </w:pPr>
            <w:r>
              <w:rPr>
                <w:rFonts w:hint="eastAsia"/>
                <w:color w:val="auto"/>
              </w:rPr>
              <w:t>诊疗废弃物</w:t>
            </w:r>
          </w:p>
        </w:tc>
        <w:tc>
          <w:tcPr>
            <w:tcW w:w="831" w:type="pct"/>
            <w:vAlign w:val="center"/>
          </w:tcPr>
          <w:p w14:paraId="3E63E996">
            <w:pPr>
              <w:pStyle w:val="766"/>
              <w:rPr>
                <w:color w:val="auto"/>
              </w:rPr>
            </w:pPr>
            <w:r>
              <w:rPr>
                <w:color w:val="auto"/>
              </w:rPr>
              <w:t>防疫治疗</w:t>
            </w:r>
          </w:p>
        </w:tc>
        <w:tc>
          <w:tcPr>
            <w:tcW w:w="638" w:type="pct"/>
            <w:vAlign w:val="center"/>
          </w:tcPr>
          <w:p w14:paraId="7F32BADE">
            <w:pPr>
              <w:pStyle w:val="766"/>
              <w:rPr>
                <w:color w:val="auto"/>
              </w:rPr>
            </w:pPr>
            <w:r>
              <w:rPr>
                <w:color w:val="auto"/>
              </w:rPr>
              <w:t>危险废物</w:t>
            </w:r>
          </w:p>
        </w:tc>
        <w:tc>
          <w:tcPr>
            <w:tcW w:w="544" w:type="pct"/>
            <w:vAlign w:val="center"/>
          </w:tcPr>
          <w:p w14:paraId="35066C02">
            <w:pPr>
              <w:pStyle w:val="766"/>
              <w:rPr>
                <w:color w:val="auto"/>
              </w:rPr>
            </w:pPr>
            <w:r>
              <w:rPr>
                <w:color w:val="auto"/>
              </w:rPr>
              <w:t>固态</w:t>
            </w:r>
          </w:p>
        </w:tc>
        <w:tc>
          <w:tcPr>
            <w:tcW w:w="753" w:type="pct"/>
            <w:vAlign w:val="center"/>
          </w:tcPr>
          <w:p w14:paraId="00AB296F">
            <w:pPr>
              <w:pStyle w:val="766"/>
              <w:rPr>
                <w:color w:val="auto"/>
              </w:rPr>
            </w:pPr>
            <w:r>
              <w:rPr>
                <w:color w:val="auto"/>
              </w:rPr>
              <w:t>0.05</w:t>
            </w:r>
          </w:p>
        </w:tc>
        <w:tc>
          <w:tcPr>
            <w:tcW w:w="1476" w:type="pct"/>
            <w:vAlign w:val="center"/>
          </w:tcPr>
          <w:p w14:paraId="2F2AA6F3">
            <w:pPr>
              <w:pStyle w:val="766"/>
              <w:rPr>
                <w:color w:val="auto"/>
              </w:rPr>
            </w:pPr>
            <w:r>
              <w:rPr>
                <w:color w:val="auto"/>
              </w:rPr>
              <w:t>密封胶袋内，由防疫人带走，不能及时带走的在厂区内</w:t>
            </w:r>
            <w:r>
              <w:rPr>
                <w:rFonts w:hint="eastAsia"/>
                <w:color w:val="auto"/>
              </w:rPr>
              <w:t>诊疗</w:t>
            </w:r>
            <w:r>
              <w:rPr>
                <w:color w:val="auto"/>
              </w:rPr>
              <w:t>废物暂存间暂存</w:t>
            </w:r>
          </w:p>
        </w:tc>
      </w:tr>
    </w:tbl>
    <w:p w14:paraId="210D8865">
      <w:pPr>
        <w:pStyle w:val="774"/>
        <w:ind w:firstLine="480"/>
        <w:rPr>
          <w:rFonts w:ascii="Times New Roman" w:hAnsi="Times New Roman" w:cs="Times New Roman"/>
          <w:color w:val="auto"/>
        </w:rPr>
        <w:sectPr>
          <w:pgSz w:w="11907" w:h="16840"/>
          <w:pgMar w:top="1418" w:right="1418" w:bottom="1418" w:left="1418" w:header="964" w:footer="964" w:gutter="0"/>
          <w:cols w:space="720" w:num="1"/>
          <w:docGrid w:linePitch="312" w:charSpace="0"/>
        </w:sectPr>
      </w:pPr>
    </w:p>
    <w:p w14:paraId="2CB90613">
      <w:pPr>
        <w:pStyle w:val="12"/>
      </w:pPr>
      <w:r>
        <w:t>3.3.2.5项目污染物预测排放情况汇总</w:t>
      </w:r>
    </w:p>
    <w:p w14:paraId="6093F4CD">
      <w:pPr>
        <w:ind w:firstLine="480"/>
      </w:pPr>
      <w:r>
        <w:t>本项目污染物排放情况汇总，见下表。</w:t>
      </w:r>
    </w:p>
    <w:p w14:paraId="62D20627">
      <w:pPr>
        <w:adjustRightInd w:val="0"/>
        <w:snapToGrid w:val="0"/>
        <w:spacing w:line="240" w:lineRule="auto"/>
        <w:ind w:firstLine="0" w:firstLineChars="0"/>
        <w:jc w:val="center"/>
        <w:rPr>
          <w:b/>
          <w:bCs/>
        </w:rPr>
      </w:pPr>
      <w:r>
        <w:rPr>
          <w:b/>
          <w:bCs/>
        </w:rPr>
        <w:t>表3.3-1</w:t>
      </w:r>
      <w:r>
        <w:rPr>
          <w:rFonts w:hint="eastAsia"/>
          <w:b/>
          <w:bCs/>
        </w:rPr>
        <w:t>6</w:t>
      </w:r>
      <w:r>
        <w:rPr>
          <w:b/>
          <w:bCs/>
        </w:rPr>
        <w:t xml:space="preserve">  项目污染物排放情况一览表</w:t>
      </w:r>
    </w:p>
    <w:tbl>
      <w:tblPr>
        <w:tblStyle w:val="83"/>
        <w:tblpPr w:leftFromText="180" w:rightFromText="180" w:vertAnchor="text" w:horzAnchor="page" w:tblpX="1435" w:tblpY="303"/>
        <w:tblOverlap w:val="never"/>
        <w:tblW w:w="91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
        <w:gridCol w:w="721"/>
        <w:gridCol w:w="362"/>
        <w:gridCol w:w="431"/>
        <w:gridCol w:w="719"/>
        <w:gridCol w:w="825"/>
        <w:gridCol w:w="338"/>
        <w:gridCol w:w="500"/>
        <w:gridCol w:w="966"/>
        <w:gridCol w:w="1068"/>
        <w:gridCol w:w="816"/>
        <w:gridCol w:w="962"/>
        <w:gridCol w:w="1102"/>
      </w:tblGrid>
      <w:tr w14:paraId="3CBA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387" w:type="dxa"/>
            <w:vMerge w:val="restart"/>
            <w:vAlign w:val="center"/>
          </w:tcPr>
          <w:p w14:paraId="366B3033">
            <w:pPr>
              <w:pStyle w:val="369"/>
              <w:adjustRightInd w:val="0"/>
              <w:snapToGrid w:val="0"/>
              <w:rPr>
                <w:b w:val="0"/>
                <w:bCs/>
                <w:sz w:val="21"/>
                <w:szCs w:val="21"/>
              </w:rPr>
            </w:pPr>
            <w:r>
              <w:rPr>
                <w:rFonts w:hint="eastAsia"/>
                <w:b w:val="0"/>
                <w:bCs/>
                <w:sz w:val="21"/>
                <w:szCs w:val="21"/>
              </w:rPr>
              <w:t>项目</w:t>
            </w:r>
          </w:p>
        </w:tc>
        <w:tc>
          <w:tcPr>
            <w:tcW w:w="721" w:type="dxa"/>
            <w:vMerge w:val="restart"/>
            <w:vAlign w:val="center"/>
          </w:tcPr>
          <w:p w14:paraId="2FFD9FDC">
            <w:pPr>
              <w:pStyle w:val="369"/>
              <w:adjustRightInd w:val="0"/>
              <w:snapToGrid w:val="0"/>
              <w:rPr>
                <w:b w:val="0"/>
                <w:bCs/>
                <w:sz w:val="21"/>
                <w:szCs w:val="21"/>
              </w:rPr>
            </w:pPr>
            <w:r>
              <w:rPr>
                <w:rFonts w:hint="eastAsia"/>
                <w:b w:val="0"/>
                <w:bCs/>
                <w:sz w:val="21"/>
                <w:szCs w:val="21"/>
              </w:rPr>
              <w:t>污染源</w:t>
            </w:r>
          </w:p>
        </w:tc>
        <w:tc>
          <w:tcPr>
            <w:tcW w:w="793" w:type="dxa"/>
            <w:gridSpan w:val="2"/>
            <w:vMerge w:val="restart"/>
            <w:vAlign w:val="center"/>
          </w:tcPr>
          <w:p w14:paraId="00762D8C">
            <w:pPr>
              <w:pStyle w:val="369"/>
              <w:adjustRightInd w:val="0"/>
              <w:snapToGrid w:val="0"/>
              <w:rPr>
                <w:b w:val="0"/>
                <w:bCs/>
                <w:sz w:val="21"/>
                <w:szCs w:val="21"/>
              </w:rPr>
            </w:pPr>
            <w:r>
              <w:rPr>
                <w:rFonts w:hint="eastAsia"/>
                <w:b w:val="0"/>
                <w:bCs/>
                <w:sz w:val="21"/>
                <w:szCs w:val="21"/>
              </w:rPr>
              <w:t>排放方式</w:t>
            </w:r>
          </w:p>
        </w:tc>
        <w:tc>
          <w:tcPr>
            <w:tcW w:w="719" w:type="dxa"/>
            <w:vMerge w:val="restart"/>
            <w:vAlign w:val="center"/>
          </w:tcPr>
          <w:p w14:paraId="30B0FD25">
            <w:pPr>
              <w:pStyle w:val="369"/>
              <w:adjustRightInd w:val="0"/>
              <w:snapToGrid w:val="0"/>
              <w:rPr>
                <w:b w:val="0"/>
                <w:bCs/>
                <w:sz w:val="21"/>
                <w:szCs w:val="21"/>
              </w:rPr>
            </w:pPr>
            <w:r>
              <w:rPr>
                <w:rFonts w:hint="eastAsia"/>
                <w:b w:val="0"/>
                <w:bCs/>
                <w:sz w:val="21"/>
                <w:szCs w:val="21"/>
              </w:rPr>
              <w:t>污染物</w:t>
            </w:r>
          </w:p>
        </w:tc>
        <w:tc>
          <w:tcPr>
            <w:tcW w:w="825" w:type="dxa"/>
            <w:vMerge w:val="restart"/>
            <w:vAlign w:val="center"/>
          </w:tcPr>
          <w:p w14:paraId="382EBD7D">
            <w:pPr>
              <w:pStyle w:val="369"/>
              <w:adjustRightInd w:val="0"/>
              <w:snapToGrid w:val="0"/>
              <w:rPr>
                <w:b w:val="0"/>
                <w:bCs/>
                <w:sz w:val="21"/>
                <w:szCs w:val="21"/>
              </w:rPr>
            </w:pPr>
            <w:r>
              <w:rPr>
                <w:rFonts w:hint="eastAsia"/>
                <w:b w:val="0"/>
                <w:bCs/>
                <w:sz w:val="21"/>
                <w:szCs w:val="21"/>
              </w:rPr>
              <w:t>产生量(t/a)</w:t>
            </w:r>
          </w:p>
        </w:tc>
        <w:tc>
          <w:tcPr>
            <w:tcW w:w="2872" w:type="dxa"/>
            <w:gridSpan w:val="4"/>
            <w:vAlign w:val="center"/>
          </w:tcPr>
          <w:p w14:paraId="48BCCFAF">
            <w:pPr>
              <w:pStyle w:val="369"/>
              <w:adjustRightInd w:val="0"/>
              <w:snapToGrid w:val="0"/>
              <w:rPr>
                <w:b w:val="0"/>
                <w:bCs/>
                <w:sz w:val="21"/>
                <w:szCs w:val="21"/>
              </w:rPr>
            </w:pPr>
            <w:r>
              <w:rPr>
                <w:rFonts w:hint="eastAsia"/>
                <w:b w:val="0"/>
                <w:bCs/>
                <w:sz w:val="21"/>
                <w:szCs w:val="21"/>
              </w:rPr>
              <w:t>正常工况</w:t>
            </w:r>
          </w:p>
        </w:tc>
        <w:tc>
          <w:tcPr>
            <w:tcW w:w="2880" w:type="dxa"/>
            <w:gridSpan w:val="3"/>
            <w:vAlign w:val="center"/>
          </w:tcPr>
          <w:p w14:paraId="47F12E1C">
            <w:pPr>
              <w:pStyle w:val="369"/>
              <w:adjustRightInd w:val="0"/>
              <w:snapToGrid w:val="0"/>
              <w:rPr>
                <w:b w:val="0"/>
                <w:bCs/>
                <w:sz w:val="21"/>
                <w:szCs w:val="21"/>
              </w:rPr>
            </w:pPr>
            <w:r>
              <w:rPr>
                <w:rFonts w:hint="eastAsia"/>
                <w:b w:val="0"/>
                <w:bCs/>
                <w:sz w:val="21"/>
                <w:szCs w:val="21"/>
              </w:rPr>
              <w:t>非正常工况</w:t>
            </w:r>
          </w:p>
        </w:tc>
      </w:tr>
      <w:tr w14:paraId="22B0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87" w:type="dxa"/>
            <w:vMerge w:val="continue"/>
            <w:vAlign w:val="center"/>
          </w:tcPr>
          <w:p w14:paraId="4AFF7DC7">
            <w:pPr>
              <w:pStyle w:val="369"/>
              <w:adjustRightInd w:val="0"/>
              <w:snapToGrid w:val="0"/>
              <w:rPr>
                <w:b w:val="0"/>
                <w:bCs/>
                <w:sz w:val="21"/>
                <w:szCs w:val="21"/>
              </w:rPr>
            </w:pPr>
          </w:p>
        </w:tc>
        <w:tc>
          <w:tcPr>
            <w:tcW w:w="721" w:type="dxa"/>
            <w:vMerge w:val="continue"/>
            <w:vAlign w:val="center"/>
          </w:tcPr>
          <w:p w14:paraId="60C94AEA">
            <w:pPr>
              <w:pStyle w:val="369"/>
              <w:adjustRightInd w:val="0"/>
              <w:snapToGrid w:val="0"/>
              <w:rPr>
                <w:b w:val="0"/>
                <w:bCs/>
                <w:sz w:val="21"/>
                <w:szCs w:val="21"/>
              </w:rPr>
            </w:pPr>
          </w:p>
        </w:tc>
        <w:tc>
          <w:tcPr>
            <w:tcW w:w="793" w:type="dxa"/>
            <w:gridSpan w:val="2"/>
            <w:vMerge w:val="continue"/>
            <w:vAlign w:val="center"/>
          </w:tcPr>
          <w:p w14:paraId="2B92C63B">
            <w:pPr>
              <w:pStyle w:val="369"/>
              <w:adjustRightInd w:val="0"/>
              <w:snapToGrid w:val="0"/>
              <w:rPr>
                <w:b w:val="0"/>
                <w:bCs/>
                <w:sz w:val="21"/>
                <w:szCs w:val="21"/>
              </w:rPr>
            </w:pPr>
          </w:p>
        </w:tc>
        <w:tc>
          <w:tcPr>
            <w:tcW w:w="719" w:type="dxa"/>
            <w:vMerge w:val="continue"/>
            <w:vAlign w:val="center"/>
          </w:tcPr>
          <w:p w14:paraId="0EDCC643">
            <w:pPr>
              <w:pStyle w:val="369"/>
              <w:adjustRightInd w:val="0"/>
              <w:snapToGrid w:val="0"/>
              <w:rPr>
                <w:b w:val="0"/>
                <w:bCs/>
                <w:sz w:val="21"/>
                <w:szCs w:val="21"/>
              </w:rPr>
            </w:pPr>
          </w:p>
        </w:tc>
        <w:tc>
          <w:tcPr>
            <w:tcW w:w="825" w:type="dxa"/>
            <w:vMerge w:val="continue"/>
            <w:vAlign w:val="center"/>
          </w:tcPr>
          <w:p w14:paraId="1FC0946B">
            <w:pPr>
              <w:pStyle w:val="369"/>
              <w:adjustRightInd w:val="0"/>
              <w:snapToGrid w:val="0"/>
              <w:rPr>
                <w:b w:val="0"/>
                <w:bCs/>
                <w:sz w:val="21"/>
                <w:szCs w:val="21"/>
              </w:rPr>
            </w:pPr>
          </w:p>
        </w:tc>
        <w:tc>
          <w:tcPr>
            <w:tcW w:w="838" w:type="dxa"/>
            <w:gridSpan w:val="2"/>
            <w:vAlign w:val="center"/>
          </w:tcPr>
          <w:p w14:paraId="7FADDBCB">
            <w:pPr>
              <w:pStyle w:val="369"/>
              <w:adjustRightInd w:val="0"/>
              <w:snapToGrid w:val="0"/>
              <w:rPr>
                <w:b w:val="0"/>
                <w:bCs/>
                <w:sz w:val="21"/>
                <w:szCs w:val="21"/>
              </w:rPr>
            </w:pPr>
            <w:r>
              <w:rPr>
                <w:rFonts w:hint="eastAsia"/>
                <w:b w:val="0"/>
                <w:bCs/>
                <w:sz w:val="21"/>
                <w:szCs w:val="21"/>
              </w:rPr>
              <w:t>排放量(t/a)</w:t>
            </w:r>
          </w:p>
        </w:tc>
        <w:tc>
          <w:tcPr>
            <w:tcW w:w="966" w:type="dxa"/>
            <w:vAlign w:val="center"/>
          </w:tcPr>
          <w:p w14:paraId="18010FFF">
            <w:pPr>
              <w:pStyle w:val="369"/>
              <w:adjustRightInd w:val="0"/>
              <w:snapToGrid w:val="0"/>
              <w:rPr>
                <w:b w:val="0"/>
                <w:bCs/>
                <w:sz w:val="21"/>
                <w:szCs w:val="21"/>
              </w:rPr>
            </w:pPr>
            <w:r>
              <w:rPr>
                <w:rFonts w:hint="eastAsia"/>
                <w:b w:val="0"/>
                <w:bCs/>
                <w:sz w:val="21"/>
                <w:szCs w:val="21"/>
              </w:rPr>
              <w:t>排放速率(kg/h)</w:t>
            </w:r>
          </w:p>
        </w:tc>
        <w:tc>
          <w:tcPr>
            <w:tcW w:w="1068" w:type="dxa"/>
            <w:vAlign w:val="center"/>
          </w:tcPr>
          <w:p w14:paraId="71DB804F">
            <w:pPr>
              <w:pStyle w:val="369"/>
              <w:adjustRightInd w:val="0"/>
              <w:snapToGrid w:val="0"/>
              <w:rPr>
                <w:b w:val="0"/>
                <w:bCs/>
                <w:sz w:val="21"/>
                <w:szCs w:val="21"/>
              </w:rPr>
            </w:pPr>
            <w:r>
              <w:rPr>
                <w:rFonts w:hint="eastAsia"/>
                <w:b w:val="0"/>
                <w:bCs/>
                <w:sz w:val="21"/>
                <w:szCs w:val="21"/>
              </w:rPr>
              <w:t>排放浓度(mg/m</w:t>
            </w:r>
            <w:r>
              <w:rPr>
                <w:rFonts w:hint="eastAsia"/>
                <w:b w:val="0"/>
                <w:bCs/>
                <w:sz w:val="21"/>
                <w:szCs w:val="21"/>
                <w:vertAlign w:val="superscript"/>
              </w:rPr>
              <w:t>3</w:t>
            </w:r>
            <w:r>
              <w:rPr>
                <w:rFonts w:hint="eastAsia"/>
                <w:b w:val="0"/>
                <w:bCs/>
                <w:sz w:val="21"/>
                <w:szCs w:val="21"/>
              </w:rPr>
              <w:t>)</w:t>
            </w:r>
          </w:p>
        </w:tc>
        <w:tc>
          <w:tcPr>
            <w:tcW w:w="816" w:type="dxa"/>
            <w:vAlign w:val="center"/>
          </w:tcPr>
          <w:p w14:paraId="7BD473B5">
            <w:pPr>
              <w:pStyle w:val="369"/>
              <w:adjustRightInd w:val="0"/>
              <w:snapToGrid w:val="0"/>
              <w:rPr>
                <w:b w:val="0"/>
                <w:bCs/>
                <w:sz w:val="21"/>
                <w:szCs w:val="21"/>
              </w:rPr>
            </w:pPr>
            <w:r>
              <w:rPr>
                <w:rFonts w:hint="eastAsia"/>
                <w:b w:val="0"/>
                <w:bCs/>
                <w:sz w:val="21"/>
                <w:szCs w:val="21"/>
              </w:rPr>
              <w:t>排放量(t/a)</w:t>
            </w:r>
          </w:p>
        </w:tc>
        <w:tc>
          <w:tcPr>
            <w:tcW w:w="962" w:type="dxa"/>
            <w:vAlign w:val="center"/>
          </w:tcPr>
          <w:p w14:paraId="4E05E753">
            <w:pPr>
              <w:pStyle w:val="369"/>
              <w:adjustRightInd w:val="0"/>
              <w:snapToGrid w:val="0"/>
              <w:rPr>
                <w:b w:val="0"/>
                <w:bCs/>
                <w:sz w:val="21"/>
                <w:szCs w:val="21"/>
              </w:rPr>
            </w:pPr>
            <w:r>
              <w:rPr>
                <w:rFonts w:hint="eastAsia"/>
                <w:b w:val="0"/>
                <w:bCs/>
                <w:sz w:val="21"/>
                <w:szCs w:val="21"/>
              </w:rPr>
              <w:t>排放速率(kg/h)</w:t>
            </w:r>
          </w:p>
        </w:tc>
        <w:tc>
          <w:tcPr>
            <w:tcW w:w="1102" w:type="dxa"/>
            <w:vAlign w:val="center"/>
          </w:tcPr>
          <w:p w14:paraId="441C7B9F">
            <w:pPr>
              <w:pStyle w:val="369"/>
              <w:adjustRightInd w:val="0"/>
              <w:snapToGrid w:val="0"/>
              <w:rPr>
                <w:b w:val="0"/>
                <w:bCs/>
                <w:sz w:val="21"/>
                <w:szCs w:val="21"/>
              </w:rPr>
            </w:pPr>
            <w:r>
              <w:rPr>
                <w:rFonts w:hint="eastAsia"/>
                <w:b w:val="0"/>
                <w:bCs/>
                <w:sz w:val="21"/>
                <w:szCs w:val="21"/>
              </w:rPr>
              <w:t>排放浓度(mg/m</w:t>
            </w:r>
            <w:r>
              <w:rPr>
                <w:rFonts w:hint="eastAsia"/>
                <w:b w:val="0"/>
                <w:bCs/>
                <w:sz w:val="21"/>
                <w:szCs w:val="21"/>
                <w:vertAlign w:val="superscript"/>
              </w:rPr>
              <w:t>3</w:t>
            </w:r>
            <w:r>
              <w:rPr>
                <w:rFonts w:hint="eastAsia"/>
                <w:b w:val="0"/>
                <w:bCs/>
                <w:sz w:val="21"/>
                <w:szCs w:val="21"/>
              </w:rPr>
              <w:t>)</w:t>
            </w:r>
          </w:p>
        </w:tc>
      </w:tr>
      <w:tr w14:paraId="69E1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87" w:type="dxa"/>
            <w:vMerge w:val="restart"/>
            <w:vAlign w:val="center"/>
          </w:tcPr>
          <w:p w14:paraId="3253EC70">
            <w:pPr>
              <w:pStyle w:val="369"/>
              <w:adjustRightInd w:val="0"/>
              <w:snapToGrid w:val="0"/>
              <w:rPr>
                <w:b w:val="0"/>
                <w:bCs/>
                <w:sz w:val="21"/>
                <w:szCs w:val="21"/>
              </w:rPr>
            </w:pPr>
            <w:r>
              <w:rPr>
                <w:rFonts w:hint="eastAsia"/>
                <w:b w:val="0"/>
                <w:bCs/>
                <w:sz w:val="21"/>
                <w:szCs w:val="21"/>
              </w:rPr>
              <w:t>废气</w:t>
            </w:r>
          </w:p>
        </w:tc>
        <w:tc>
          <w:tcPr>
            <w:tcW w:w="721" w:type="dxa"/>
            <w:vMerge w:val="restart"/>
            <w:vAlign w:val="center"/>
          </w:tcPr>
          <w:p w14:paraId="2EF526AA">
            <w:pPr>
              <w:pStyle w:val="766"/>
              <w:adjustRightInd w:val="0"/>
              <w:rPr>
                <w:bCs/>
                <w:color w:val="auto"/>
                <w:spacing w:val="4"/>
              </w:rPr>
            </w:pPr>
            <w:r>
              <w:rPr>
                <w:bCs/>
                <w:color w:val="auto"/>
                <w:spacing w:val="4"/>
              </w:rPr>
              <w:t>鸡舍</w:t>
            </w:r>
          </w:p>
        </w:tc>
        <w:tc>
          <w:tcPr>
            <w:tcW w:w="793" w:type="dxa"/>
            <w:gridSpan w:val="2"/>
            <w:vMerge w:val="restart"/>
            <w:vAlign w:val="center"/>
          </w:tcPr>
          <w:p w14:paraId="63C4071D">
            <w:pPr>
              <w:pStyle w:val="369"/>
              <w:adjustRightInd w:val="0"/>
              <w:snapToGrid w:val="0"/>
              <w:rPr>
                <w:b w:val="0"/>
                <w:bCs/>
                <w:sz w:val="21"/>
                <w:szCs w:val="21"/>
              </w:rPr>
            </w:pPr>
            <w:r>
              <w:rPr>
                <w:rFonts w:hint="eastAsia"/>
                <w:b w:val="0"/>
                <w:bCs/>
                <w:sz w:val="21"/>
                <w:szCs w:val="21"/>
              </w:rPr>
              <w:t>无组织</w:t>
            </w:r>
          </w:p>
        </w:tc>
        <w:tc>
          <w:tcPr>
            <w:tcW w:w="719" w:type="dxa"/>
            <w:vAlign w:val="center"/>
          </w:tcPr>
          <w:p w14:paraId="597CBDC8">
            <w:pPr>
              <w:pStyle w:val="766"/>
              <w:adjustRightInd w:val="0"/>
              <w:rPr>
                <w:color w:val="auto"/>
              </w:rPr>
            </w:pPr>
            <w:r>
              <w:rPr>
                <w:color w:val="auto"/>
              </w:rPr>
              <w:t>NH</w:t>
            </w:r>
            <w:r>
              <w:rPr>
                <w:color w:val="auto"/>
                <w:vertAlign w:val="subscript"/>
              </w:rPr>
              <w:t>3</w:t>
            </w:r>
          </w:p>
        </w:tc>
        <w:tc>
          <w:tcPr>
            <w:tcW w:w="825" w:type="dxa"/>
            <w:vAlign w:val="center"/>
          </w:tcPr>
          <w:p w14:paraId="17D6C5AF">
            <w:pPr>
              <w:pStyle w:val="766"/>
              <w:adjustRightInd w:val="0"/>
              <w:rPr>
                <w:color w:val="auto"/>
              </w:rPr>
            </w:pPr>
            <w:r>
              <w:rPr>
                <w:rFonts w:hint="eastAsia"/>
                <w:color w:val="auto"/>
              </w:rPr>
              <w:t>269</w:t>
            </w:r>
          </w:p>
        </w:tc>
        <w:tc>
          <w:tcPr>
            <w:tcW w:w="838" w:type="dxa"/>
            <w:gridSpan w:val="2"/>
            <w:vAlign w:val="center"/>
          </w:tcPr>
          <w:p w14:paraId="419F2746">
            <w:pPr>
              <w:pStyle w:val="766"/>
              <w:adjustRightInd w:val="0"/>
              <w:rPr>
                <w:color w:val="auto"/>
              </w:rPr>
            </w:pPr>
            <w:r>
              <w:rPr>
                <w:rFonts w:hint="eastAsia"/>
                <w:color w:val="auto"/>
              </w:rPr>
              <w:t>53.8</w:t>
            </w:r>
          </w:p>
        </w:tc>
        <w:tc>
          <w:tcPr>
            <w:tcW w:w="966" w:type="dxa"/>
            <w:vAlign w:val="center"/>
          </w:tcPr>
          <w:p w14:paraId="33FB99A4">
            <w:pPr>
              <w:pStyle w:val="766"/>
              <w:adjustRightInd w:val="0"/>
              <w:rPr>
                <w:color w:val="auto"/>
              </w:rPr>
            </w:pPr>
            <w:r>
              <w:rPr>
                <w:rFonts w:hint="eastAsia"/>
                <w:color w:val="auto"/>
              </w:rPr>
              <w:t>6.14</w:t>
            </w:r>
          </w:p>
        </w:tc>
        <w:tc>
          <w:tcPr>
            <w:tcW w:w="1068" w:type="dxa"/>
            <w:vAlign w:val="center"/>
          </w:tcPr>
          <w:p w14:paraId="00D05C0E">
            <w:pPr>
              <w:pStyle w:val="766"/>
              <w:adjustRightInd w:val="0"/>
              <w:rPr>
                <w:color w:val="auto"/>
              </w:rPr>
            </w:pPr>
            <w:r>
              <w:rPr>
                <w:rFonts w:hint="eastAsia"/>
                <w:color w:val="auto"/>
              </w:rPr>
              <w:t>1.02</w:t>
            </w:r>
          </w:p>
        </w:tc>
        <w:tc>
          <w:tcPr>
            <w:tcW w:w="816" w:type="dxa"/>
            <w:vAlign w:val="center"/>
          </w:tcPr>
          <w:p w14:paraId="09ECA9FA">
            <w:pPr>
              <w:pStyle w:val="766"/>
              <w:adjustRightInd w:val="0"/>
              <w:rPr>
                <w:color w:val="auto"/>
              </w:rPr>
            </w:pPr>
            <w:r>
              <w:rPr>
                <w:rFonts w:hint="eastAsia"/>
                <w:color w:val="auto"/>
              </w:rPr>
              <w:t>269</w:t>
            </w:r>
          </w:p>
        </w:tc>
        <w:tc>
          <w:tcPr>
            <w:tcW w:w="962" w:type="dxa"/>
            <w:vAlign w:val="center"/>
          </w:tcPr>
          <w:p w14:paraId="1E3A5499">
            <w:pPr>
              <w:pStyle w:val="766"/>
              <w:rPr>
                <w:color w:val="auto"/>
              </w:rPr>
            </w:pPr>
            <w:r>
              <w:rPr>
                <w:rFonts w:hint="eastAsia"/>
                <w:color w:val="auto"/>
              </w:rPr>
              <w:t>30.71</w:t>
            </w:r>
          </w:p>
        </w:tc>
        <w:tc>
          <w:tcPr>
            <w:tcW w:w="1102" w:type="dxa"/>
            <w:vAlign w:val="center"/>
          </w:tcPr>
          <w:p w14:paraId="47534CE2">
            <w:pPr>
              <w:pStyle w:val="766"/>
              <w:rPr>
                <w:color w:val="auto"/>
              </w:rPr>
            </w:pPr>
            <w:r>
              <w:rPr>
                <w:rFonts w:hint="eastAsia"/>
                <w:color w:val="auto"/>
              </w:rPr>
              <w:t>1.275</w:t>
            </w:r>
          </w:p>
        </w:tc>
      </w:tr>
      <w:tr w14:paraId="43B5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790B3026">
            <w:pPr>
              <w:pStyle w:val="369"/>
              <w:adjustRightInd w:val="0"/>
              <w:snapToGrid w:val="0"/>
              <w:rPr>
                <w:b w:val="0"/>
                <w:bCs/>
                <w:sz w:val="21"/>
                <w:szCs w:val="21"/>
              </w:rPr>
            </w:pPr>
          </w:p>
        </w:tc>
        <w:tc>
          <w:tcPr>
            <w:tcW w:w="721" w:type="dxa"/>
            <w:vMerge w:val="continue"/>
            <w:vAlign w:val="center"/>
          </w:tcPr>
          <w:p w14:paraId="197C680F">
            <w:pPr>
              <w:pStyle w:val="369"/>
              <w:adjustRightInd w:val="0"/>
              <w:snapToGrid w:val="0"/>
              <w:rPr>
                <w:b w:val="0"/>
                <w:bCs/>
                <w:sz w:val="21"/>
                <w:szCs w:val="21"/>
              </w:rPr>
            </w:pPr>
          </w:p>
        </w:tc>
        <w:tc>
          <w:tcPr>
            <w:tcW w:w="793" w:type="dxa"/>
            <w:gridSpan w:val="2"/>
            <w:vMerge w:val="continue"/>
            <w:vAlign w:val="center"/>
          </w:tcPr>
          <w:p w14:paraId="6BE301CC">
            <w:pPr>
              <w:pStyle w:val="369"/>
              <w:adjustRightInd w:val="0"/>
              <w:snapToGrid w:val="0"/>
              <w:rPr>
                <w:b w:val="0"/>
                <w:bCs/>
                <w:sz w:val="21"/>
                <w:szCs w:val="21"/>
              </w:rPr>
            </w:pPr>
          </w:p>
        </w:tc>
        <w:tc>
          <w:tcPr>
            <w:tcW w:w="719" w:type="dxa"/>
            <w:vAlign w:val="center"/>
          </w:tcPr>
          <w:p w14:paraId="295CFF0F">
            <w:pPr>
              <w:pStyle w:val="766"/>
              <w:adjustRightInd w:val="0"/>
              <w:rPr>
                <w:color w:val="auto"/>
              </w:rPr>
            </w:pPr>
            <w:r>
              <w:rPr>
                <w:color w:val="auto"/>
              </w:rPr>
              <w:t>H</w:t>
            </w:r>
            <w:r>
              <w:rPr>
                <w:color w:val="auto"/>
                <w:vertAlign w:val="subscript"/>
              </w:rPr>
              <w:t>2</w:t>
            </w:r>
            <w:r>
              <w:rPr>
                <w:color w:val="auto"/>
              </w:rPr>
              <w:t>S</w:t>
            </w:r>
          </w:p>
        </w:tc>
        <w:tc>
          <w:tcPr>
            <w:tcW w:w="825" w:type="dxa"/>
            <w:vAlign w:val="center"/>
          </w:tcPr>
          <w:p w14:paraId="6C083E9D">
            <w:pPr>
              <w:pStyle w:val="766"/>
              <w:adjustRightInd w:val="0"/>
              <w:rPr>
                <w:color w:val="auto"/>
              </w:rPr>
            </w:pPr>
            <w:r>
              <w:rPr>
                <w:rFonts w:hint="eastAsia"/>
                <w:color w:val="auto"/>
              </w:rPr>
              <w:t>13.45</w:t>
            </w:r>
          </w:p>
        </w:tc>
        <w:tc>
          <w:tcPr>
            <w:tcW w:w="838" w:type="dxa"/>
            <w:gridSpan w:val="2"/>
            <w:vAlign w:val="center"/>
          </w:tcPr>
          <w:p w14:paraId="1095196A">
            <w:pPr>
              <w:pStyle w:val="766"/>
              <w:adjustRightInd w:val="0"/>
              <w:rPr>
                <w:color w:val="auto"/>
              </w:rPr>
            </w:pPr>
            <w:r>
              <w:rPr>
                <w:rFonts w:hint="eastAsia"/>
                <w:color w:val="auto"/>
              </w:rPr>
              <w:t>2.69</w:t>
            </w:r>
          </w:p>
        </w:tc>
        <w:tc>
          <w:tcPr>
            <w:tcW w:w="966" w:type="dxa"/>
            <w:vAlign w:val="center"/>
          </w:tcPr>
          <w:p w14:paraId="3E745DD6">
            <w:pPr>
              <w:pStyle w:val="766"/>
              <w:adjustRightInd w:val="0"/>
              <w:rPr>
                <w:color w:val="auto"/>
              </w:rPr>
            </w:pPr>
            <w:r>
              <w:rPr>
                <w:rFonts w:hint="eastAsia"/>
                <w:color w:val="auto"/>
              </w:rPr>
              <w:t>0.31</w:t>
            </w:r>
          </w:p>
        </w:tc>
        <w:tc>
          <w:tcPr>
            <w:tcW w:w="1068" w:type="dxa"/>
            <w:vAlign w:val="center"/>
          </w:tcPr>
          <w:p w14:paraId="037B9E91">
            <w:pPr>
              <w:pStyle w:val="766"/>
              <w:adjustRightInd w:val="0"/>
              <w:rPr>
                <w:color w:val="auto"/>
              </w:rPr>
            </w:pPr>
            <w:r>
              <w:rPr>
                <w:rFonts w:hint="eastAsia"/>
                <w:color w:val="auto"/>
              </w:rPr>
              <w:t>0.051</w:t>
            </w:r>
          </w:p>
        </w:tc>
        <w:tc>
          <w:tcPr>
            <w:tcW w:w="816" w:type="dxa"/>
            <w:vAlign w:val="center"/>
          </w:tcPr>
          <w:p w14:paraId="77C34826">
            <w:pPr>
              <w:pStyle w:val="766"/>
              <w:adjustRightInd w:val="0"/>
              <w:rPr>
                <w:color w:val="auto"/>
              </w:rPr>
            </w:pPr>
            <w:r>
              <w:rPr>
                <w:rFonts w:hint="eastAsia"/>
                <w:color w:val="auto"/>
              </w:rPr>
              <w:t>13.45</w:t>
            </w:r>
          </w:p>
        </w:tc>
        <w:tc>
          <w:tcPr>
            <w:tcW w:w="962" w:type="dxa"/>
            <w:vAlign w:val="center"/>
          </w:tcPr>
          <w:p w14:paraId="7485EFA4">
            <w:pPr>
              <w:pStyle w:val="766"/>
              <w:rPr>
                <w:color w:val="auto"/>
              </w:rPr>
            </w:pPr>
            <w:r>
              <w:rPr>
                <w:rFonts w:hint="eastAsia"/>
                <w:color w:val="auto"/>
              </w:rPr>
              <w:t>1.54</w:t>
            </w:r>
          </w:p>
        </w:tc>
        <w:tc>
          <w:tcPr>
            <w:tcW w:w="1102" w:type="dxa"/>
            <w:vAlign w:val="center"/>
          </w:tcPr>
          <w:p w14:paraId="086CF5E6">
            <w:pPr>
              <w:pStyle w:val="766"/>
              <w:rPr>
                <w:color w:val="auto"/>
              </w:rPr>
            </w:pPr>
            <w:r>
              <w:rPr>
                <w:rFonts w:hint="eastAsia"/>
                <w:color w:val="auto"/>
              </w:rPr>
              <w:t>0.064</w:t>
            </w:r>
          </w:p>
        </w:tc>
      </w:tr>
      <w:tr w14:paraId="768D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26023B36">
            <w:pPr>
              <w:pStyle w:val="369"/>
              <w:adjustRightInd w:val="0"/>
              <w:snapToGrid w:val="0"/>
              <w:rPr>
                <w:b w:val="0"/>
                <w:bCs/>
                <w:sz w:val="21"/>
                <w:szCs w:val="21"/>
              </w:rPr>
            </w:pPr>
          </w:p>
        </w:tc>
        <w:tc>
          <w:tcPr>
            <w:tcW w:w="721" w:type="dxa"/>
            <w:vMerge w:val="continue"/>
            <w:vAlign w:val="center"/>
          </w:tcPr>
          <w:p w14:paraId="7CB744A6">
            <w:pPr>
              <w:pStyle w:val="369"/>
              <w:adjustRightInd w:val="0"/>
              <w:snapToGrid w:val="0"/>
              <w:rPr>
                <w:b w:val="0"/>
                <w:bCs/>
                <w:sz w:val="21"/>
                <w:szCs w:val="21"/>
              </w:rPr>
            </w:pPr>
          </w:p>
        </w:tc>
        <w:tc>
          <w:tcPr>
            <w:tcW w:w="793" w:type="dxa"/>
            <w:gridSpan w:val="2"/>
            <w:vMerge w:val="continue"/>
            <w:vAlign w:val="center"/>
          </w:tcPr>
          <w:p w14:paraId="45162DB3">
            <w:pPr>
              <w:pStyle w:val="369"/>
              <w:adjustRightInd w:val="0"/>
              <w:snapToGrid w:val="0"/>
              <w:rPr>
                <w:b w:val="0"/>
                <w:bCs/>
                <w:sz w:val="21"/>
                <w:szCs w:val="21"/>
              </w:rPr>
            </w:pPr>
          </w:p>
        </w:tc>
        <w:tc>
          <w:tcPr>
            <w:tcW w:w="719" w:type="dxa"/>
            <w:vAlign w:val="center"/>
          </w:tcPr>
          <w:p w14:paraId="0D16FA65">
            <w:pPr>
              <w:pStyle w:val="766"/>
              <w:adjustRightInd w:val="0"/>
              <w:rPr>
                <w:color w:val="auto"/>
              </w:rPr>
            </w:pPr>
            <w:r>
              <w:rPr>
                <w:color w:val="auto"/>
              </w:rPr>
              <w:t>臭气浓度</w:t>
            </w:r>
          </w:p>
        </w:tc>
        <w:tc>
          <w:tcPr>
            <w:tcW w:w="825" w:type="dxa"/>
            <w:vAlign w:val="center"/>
          </w:tcPr>
          <w:p w14:paraId="29523151">
            <w:pPr>
              <w:pStyle w:val="766"/>
              <w:adjustRightInd w:val="0"/>
              <w:rPr>
                <w:color w:val="auto"/>
              </w:rPr>
            </w:pPr>
            <w:r>
              <w:rPr>
                <w:color w:val="auto"/>
              </w:rPr>
              <w:t>90</w:t>
            </w:r>
            <w:r>
              <w:rPr>
                <w:rFonts w:hint="eastAsia"/>
                <w:color w:val="auto"/>
              </w:rPr>
              <w:t>(</w:t>
            </w:r>
            <w:r>
              <w:rPr>
                <w:color w:val="auto"/>
              </w:rPr>
              <w:t>无量纲</w:t>
            </w:r>
            <w:r>
              <w:rPr>
                <w:rFonts w:hint="eastAsia"/>
                <w:color w:val="auto"/>
              </w:rPr>
              <w:t>)</w:t>
            </w:r>
          </w:p>
        </w:tc>
        <w:tc>
          <w:tcPr>
            <w:tcW w:w="838" w:type="dxa"/>
            <w:gridSpan w:val="2"/>
            <w:vAlign w:val="center"/>
          </w:tcPr>
          <w:p w14:paraId="4527F814">
            <w:pPr>
              <w:pStyle w:val="766"/>
              <w:adjustRightInd w:val="0"/>
              <w:rPr>
                <w:color w:val="auto"/>
              </w:rPr>
            </w:pPr>
            <w:r>
              <w:rPr>
                <w:color w:val="auto"/>
              </w:rPr>
              <w:t>＜30</w:t>
            </w:r>
          </w:p>
          <w:p w14:paraId="45046134">
            <w:pPr>
              <w:pStyle w:val="766"/>
              <w:adjustRightInd w:val="0"/>
              <w:rPr>
                <w:color w:val="auto"/>
              </w:rPr>
            </w:pPr>
            <w:r>
              <w:rPr>
                <w:rFonts w:hint="eastAsia"/>
                <w:color w:val="auto"/>
              </w:rPr>
              <w:t>(</w:t>
            </w:r>
            <w:r>
              <w:rPr>
                <w:color w:val="auto"/>
              </w:rPr>
              <w:t>无量纲</w:t>
            </w:r>
            <w:r>
              <w:rPr>
                <w:rFonts w:hint="eastAsia"/>
                <w:color w:val="auto"/>
              </w:rPr>
              <w:t>)</w:t>
            </w:r>
          </w:p>
        </w:tc>
        <w:tc>
          <w:tcPr>
            <w:tcW w:w="966" w:type="dxa"/>
            <w:vAlign w:val="center"/>
          </w:tcPr>
          <w:p w14:paraId="36BDC3C3">
            <w:pPr>
              <w:pStyle w:val="766"/>
              <w:adjustRightInd w:val="0"/>
              <w:rPr>
                <w:color w:val="auto"/>
              </w:rPr>
            </w:pPr>
            <w:r>
              <w:rPr>
                <w:color w:val="auto"/>
              </w:rPr>
              <w:t>/</w:t>
            </w:r>
          </w:p>
        </w:tc>
        <w:tc>
          <w:tcPr>
            <w:tcW w:w="1068" w:type="dxa"/>
            <w:vAlign w:val="center"/>
          </w:tcPr>
          <w:p w14:paraId="72EA86FE">
            <w:pPr>
              <w:pStyle w:val="766"/>
              <w:adjustRightInd w:val="0"/>
              <w:rPr>
                <w:color w:val="auto"/>
              </w:rPr>
            </w:pPr>
            <w:r>
              <w:rPr>
                <w:color w:val="auto"/>
              </w:rPr>
              <w:t>/</w:t>
            </w:r>
          </w:p>
        </w:tc>
        <w:tc>
          <w:tcPr>
            <w:tcW w:w="816" w:type="dxa"/>
            <w:vAlign w:val="center"/>
          </w:tcPr>
          <w:p w14:paraId="5E0DFD73">
            <w:pPr>
              <w:pStyle w:val="766"/>
              <w:adjustRightInd w:val="0"/>
              <w:rPr>
                <w:color w:val="auto"/>
              </w:rPr>
            </w:pPr>
            <w:r>
              <w:rPr>
                <w:color w:val="auto"/>
              </w:rPr>
              <w:t>90</w:t>
            </w:r>
            <w:r>
              <w:rPr>
                <w:rFonts w:hint="eastAsia"/>
                <w:color w:val="auto"/>
              </w:rPr>
              <w:t>(</w:t>
            </w:r>
            <w:r>
              <w:rPr>
                <w:color w:val="auto"/>
              </w:rPr>
              <w:t>无量纲</w:t>
            </w:r>
            <w:r>
              <w:rPr>
                <w:rFonts w:hint="eastAsia"/>
                <w:color w:val="auto"/>
              </w:rPr>
              <w:t>)</w:t>
            </w:r>
          </w:p>
        </w:tc>
        <w:tc>
          <w:tcPr>
            <w:tcW w:w="962" w:type="dxa"/>
            <w:vAlign w:val="center"/>
          </w:tcPr>
          <w:p w14:paraId="242A29FA">
            <w:pPr>
              <w:pStyle w:val="766"/>
              <w:rPr>
                <w:color w:val="auto"/>
              </w:rPr>
            </w:pPr>
            <w:r>
              <w:rPr>
                <w:color w:val="auto"/>
              </w:rPr>
              <w:t>/</w:t>
            </w:r>
          </w:p>
        </w:tc>
        <w:tc>
          <w:tcPr>
            <w:tcW w:w="1102" w:type="dxa"/>
            <w:vAlign w:val="center"/>
          </w:tcPr>
          <w:p w14:paraId="3E53A3DF">
            <w:pPr>
              <w:pStyle w:val="766"/>
              <w:rPr>
                <w:color w:val="auto"/>
              </w:rPr>
            </w:pPr>
            <w:r>
              <w:rPr>
                <w:color w:val="auto"/>
              </w:rPr>
              <w:t>/</w:t>
            </w:r>
          </w:p>
        </w:tc>
      </w:tr>
      <w:tr w14:paraId="2C3F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387" w:type="dxa"/>
            <w:vMerge w:val="continue"/>
            <w:vAlign w:val="center"/>
          </w:tcPr>
          <w:p w14:paraId="22CBE2FE">
            <w:pPr>
              <w:pStyle w:val="369"/>
              <w:adjustRightInd w:val="0"/>
              <w:snapToGrid w:val="0"/>
              <w:rPr>
                <w:b w:val="0"/>
                <w:bCs/>
                <w:sz w:val="21"/>
                <w:szCs w:val="21"/>
              </w:rPr>
            </w:pPr>
          </w:p>
        </w:tc>
        <w:tc>
          <w:tcPr>
            <w:tcW w:w="721" w:type="dxa"/>
            <w:vMerge w:val="restart"/>
            <w:vAlign w:val="center"/>
          </w:tcPr>
          <w:p w14:paraId="58A77432">
            <w:pPr>
              <w:pStyle w:val="766"/>
              <w:adjustRightInd w:val="0"/>
              <w:rPr>
                <w:bCs/>
                <w:color w:val="auto"/>
                <w:spacing w:val="4"/>
              </w:rPr>
            </w:pPr>
            <w:r>
              <w:rPr>
                <w:rFonts w:hint="eastAsia"/>
                <w:bCs/>
                <w:color w:val="auto"/>
                <w:spacing w:val="4"/>
              </w:rPr>
              <w:t>有机肥加工车间</w:t>
            </w:r>
          </w:p>
        </w:tc>
        <w:tc>
          <w:tcPr>
            <w:tcW w:w="793" w:type="dxa"/>
            <w:gridSpan w:val="2"/>
            <w:vMerge w:val="restart"/>
            <w:vAlign w:val="center"/>
          </w:tcPr>
          <w:p w14:paraId="00E60F51">
            <w:pPr>
              <w:pStyle w:val="766"/>
              <w:adjustRightInd w:val="0"/>
              <w:rPr>
                <w:bCs/>
                <w:color w:val="auto"/>
              </w:rPr>
            </w:pPr>
            <w:r>
              <w:rPr>
                <w:rFonts w:hint="eastAsia"/>
                <w:color w:val="auto"/>
              </w:rPr>
              <w:t>有组织（DA002</w:t>
            </w:r>
          </w:p>
        </w:tc>
        <w:tc>
          <w:tcPr>
            <w:tcW w:w="719" w:type="dxa"/>
            <w:vAlign w:val="center"/>
          </w:tcPr>
          <w:p w14:paraId="016C2C4C">
            <w:pPr>
              <w:pStyle w:val="766"/>
              <w:adjustRightInd w:val="0"/>
              <w:rPr>
                <w:color w:val="auto"/>
              </w:rPr>
            </w:pPr>
            <w:r>
              <w:rPr>
                <w:color w:val="auto"/>
              </w:rPr>
              <w:t>NH</w:t>
            </w:r>
            <w:r>
              <w:rPr>
                <w:color w:val="auto"/>
                <w:vertAlign w:val="subscript"/>
              </w:rPr>
              <w:t>3</w:t>
            </w:r>
          </w:p>
        </w:tc>
        <w:tc>
          <w:tcPr>
            <w:tcW w:w="825" w:type="dxa"/>
            <w:vAlign w:val="center"/>
          </w:tcPr>
          <w:p w14:paraId="13B20C0C">
            <w:pPr>
              <w:pStyle w:val="369"/>
              <w:adjustRightInd w:val="0"/>
              <w:snapToGrid w:val="0"/>
              <w:rPr>
                <w:b w:val="0"/>
                <w:bCs/>
                <w:sz w:val="21"/>
                <w:szCs w:val="21"/>
              </w:rPr>
            </w:pPr>
            <w:r>
              <w:rPr>
                <w:rFonts w:hint="eastAsia"/>
                <w:b w:val="0"/>
                <w:bCs/>
                <w:sz w:val="21"/>
                <w:szCs w:val="21"/>
              </w:rPr>
              <w:t>0.959</w:t>
            </w:r>
          </w:p>
        </w:tc>
        <w:tc>
          <w:tcPr>
            <w:tcW w:w="838" w:type="dxa"/>
            <w:gridSpan w:val="2"/>
            <w:vAlign w:val="center"/>
          </w:tcPr>
          <w:p w14:paraId="3C7FA2F8">
            <w:pPr>
              <w:pStyle w:val="369"/>
              <w:adjustRightInd w:val="0"/>
              <w:snapToGrid w:val="0"/>
              <w:rPr>
                <w:b w:val="0"/>
                <w:bCs/>
                <w:sz w:val="21"/>
                <w:szCs w:val="21"/>
              </w:rPr>
            </w:pPr>
            <w:r>
              <w:rPr>
                <w:rFonts w:hint="eastAsia"/>
                <w:b w:val="0"/>
                <w:bCs/>
                <w:sz w:val="21"/>
                <w:szCs w:val="21"/>
              </w:rPr>
              <w:t>0.48</w:t>
            </w:r>
          </w:p>
        </w:tc>
        <w:tc>
          <w:tcPr>
            <w:tcW w:w="966" w:type="dxa"/>
            <w:vAlign w:val="center"/>
          </w:tcPr>
          <w:p w14:paraId="1140B7A4">
            <w:pPr>
              <w:pStyle w:val="369"/>
              <w:adjustRightInd w:val="0"/>
              <w:snapToGrid w:val="0"/>
              <w:rPr>
                <w:b w:val="0"/>
                <w:bCs/>
                <w:sz w:val="21"/>
                <w:szCs w:val="21"/>
              </w:rPr>
            </w:pPr>
            <w:r>
              <w:rPr>
                <w:rFonts w:hint="eastAsia"/>
                <w:b w:val="0"/>
                <w:bCs/>
                <w:sz w:val="21"/>
                <w:szCs w:val="21"/>
              </w:rPr>
              <w:t>0.055</w:t>
            </w:r>
          </w:p>
        </w:tc>
        <w:tc>
          <w:tcPr>
            <w:tcW w:w="1068" w:type="dxa"/>
            <w:vAlign w:val="center"/>
          </w:tcPr>
          <w:p w14:paraId="00763C4F">
            <w:pPr>
              <w:pStyle w:val="766"/>
              <w:adjustRightInd w:val="0"/>
              <w:rPr>
                <w:color w:val="auto"/>
              </w:rPr>
            </w:pPr>
            <w:r>
              <w:rPr>
                <w:rFonts w:hint="eastAsia"/>
                <w:color w:val="auto"/>
              </w:rPr>
              <w:t>5.48</w:t>
            </w:r>
          </w:p>
        </w:tc>
        <w:tc>
          <w:tcPr>
            <w:tcW w:w="816" w:type="dxa"/>
            <w:vAlign w:val="center"/>
          </w:tcPr>
          <w:p w14:paraId="6969B524">
            <w:pPr>
              <w:pStyle w:val="369"/>
              <w:adjustRightInd w:val="0"/>
              <w:snapToGrid w:val="0"/>
              <w:rPr>
                <w:b w:val="0"/>
                <w:bCs/>
                <w:sz w:val="21"/>
                <w:szCs w:val="21"/>
              </w:rPr>
            </w:pPr>
            <w:r>
              <w:rPr>
                <w:rFonts w:hint="eastAsia"/>
                <w:b w:val="0"/>
                <w:bCs/>
                <w:sz w:val="21"/>
                <w:szCs w:val="21"/>
              </w:rPr>
              <w:t>0.959</w:t>
            </w:r>
          </w:p>
        </w:tc>
        <w:tc>
          <w:tcPr>
            <w:tcW w:w="962" w:type="dxa"/>
            <w:vAlign w:val="center"/>
          </w:tcPr>
          <w:p w14:paraId="0BADA7AC">
            <w:pPr>
              <w:pStyle w:val="766"/>
              <w:rPr>
                <w:color w:val="auto"/>
              </w:rPr>
            </w:pPr>
            <w:r>
              <w:rPr>
                <w:rFonts w:hint="eastAsia"/>
                <w:color w:val="auto"/>
              </w:rPr>
              <w:t>0.11</w:t>
            </w:r>
          </w:p>
        </w:tc>
        <w:tc>
          <w:tcPr>
            <w:tcW w:w="1102" w:type="dxa"/>
            <w:vAlign w:val="center"/>
          </w:tcPr>
          <w:p w14:paraId="6711B3E6">
            <w:pPr>
              <w:pStyle w:val="766"/>
              <w:rPr>
                <w:color w:val="auto"/>
              </w:rPr>
            </w:pPr>
            <w:r>
              <w:rPr>
                <w:rFonts w:hint="eastAsia"/>
                <w:color w:val="auto"/>
              </w:rPr>
              <w:t>10.95</w:t>
            </w:r>
          </w:p>
        </w:tc>
      </w:tr>
      <w:tr w14:paraId="0340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6A939D38">
            <w:pPr>
              <w:pStyle w:val="369"/>
              <w:adjustRightInd w:val="0"/>
              <w:snapToGrid w:val="0"/>
              <w:rPr>
                <w:b w:val="0"/>
                <w:bCs/>
                <w:sz w:val="21"/>
                <w:szCs w:val="21"/>
              </w:rPr>
            </w:pPr>
          </w:p>
        </w:tc>
        <w:tc>
          <w:tcPr>
            <w:tcW w:w="721" w:type="dxa"/>
            <w:vMerge w:val="continue"/>
            <w:vAlign w:val="center"/>
          </w:tcPr>
          <w:p w14:paraId="2F38C3FB">
            <w:pPr>
              <w:pStyle w:val="369"/>
              <w:adjustRightInd w:val="0"/>
              <w:snapToGrid w:val="0"/>
              <w:rPr>
                <w:b w:val="0"/>
                <w:bCs/>
                <w:sz w:val="21"/>
                <w:szCs w:val="21"/>
              </w:rPr>
            </w:pPr>
          </w:p>
        </w:tc>
        <w:tc>
          <w:tcPr>
            <w:tcW w:w="793" w:type="dxa"/>
            <w:gridSpan w:val="2"/>
            <w:vMerge w:val="continue"/>
            <w:vAlign w:val="center"/>
          </w:tcPr>
          <w:p w14:paraId="6C1523CE">
            <w:pPr>
              <w:pStyle w:val="369"/>
              <w:adjustRightInd w:val="0"/>
              <w:snapToGrid w:val="0"/>
              <w:rPr>
                <w:b w:val="0"/>
                <w:bCs/>
                <w:sz w:val="21"/>
                <w:szCs w:val="21"/>
              </w:rPr>
            </w:pPr>
          </w:p>
        </w:tc>
        <w:tc>
          <w:tcPr>
            <w:tcW w:w="719" w:type="dxa"/>
            <w:vAlign w:val="center"/>
          </w:tcPr>
          <w:p w14:paraId="2AA1CFF2">
            <w:pPr>
              <w:pStyle w:val="766"/>
              <w:adjustRightInd w:val="0"/>
              <w:rPr>
                <w:color w:val="auto"/>
              </w:rPr>
            </w:pPr>
            <w:r>
              <w:rPr>
                <w:color w:val="auto"/>
              </w:rPr>
              <w:t>H</w:t>
            </w:r>
            <w:r>
              <w:rPr>
                <w:color w:val="auto"/>
                <w:vertAlign w:val="subscript"/>
              </w:rPr>
              <w:t>2</w:t>
            </w:r>
            <w:r>
              <w:rPr>
                <w:color w:val="auto"/>
              </w:rPr>
              <w:t>S</w:t>
            </w:r>
          </w:p>
        </w:tc>
        <w:tc>
          <w:tcPr>
            <w:tcW w:w="825" w:type="dxa"/>
            <w:vAlign w:val="center"/>
          </w:tcPr>
          <w:p w14:paraId="6970F90A">
            <w:pPr>
              <w:pStyle w:val="369"/>
              <w:adjustRightInd w:val="0"/>
              <w:snapToGrid w:val="0"/>
              <w:rPr>
                <w:b w:val="0"/>
                <w:bCs/>
                <w:sz w:val="21"/>
                <w:szCs w:val="21"/>
              </w:rPr>
            </w:pPr>
            <w:r>
              <w:rPr>
                <w:rFonts w:hint="eastAsia"/>
                <w:b w:val="0"/>
                <w:bCs/>
                <w:sz w:val="21"/>
                <w:szCs w:val="21"/>
              </w:rPr>
              <w:t>0.096</w:t>
            </w:r>
          </w:p>
        </w:tc>
        <w:tc>
          <w:tcPr>
            <w:tcW w:w="838" w:type="dxa"/>
            <w:gridSpan w:val="2"/>
            <w:vAlign w:val="center"/>
          </w:tcPr>
          <w:p w14:paraId="74C52D7F">
            <w:pPr>
              <w:pStyle w:val="369"/>
              <w:adjustRightInd w:val="0"/>
              <w:snapToGrid w:val="0"/>
              <w:rPr>
                <w:b w:val="0"/>
                <w:bCs/>
                <w:sz w:val="21"/>
                <w:szCs w:val="21"/>
              </w:rPr>
            </w:pPr>
            <w:r>
              <w:rPr>
                <w:rFonts w:hint="eastAsia"/>
                <w:b w:val="0"/>
                <w:bCs/>
                <w:sz w:val="21"/>
                <w:szCs w:val="21"/>
              </w:rPr>
              <w:t>0.048</w:t>
            </w:r>
          </w:p>
        </w:tc>
        <w:tc>
          <w:tcPr>
            <w:tcW w:w="966" w:type="dxa"/>
            <w:vAlign w:val="center"/>
          </w:tcPr>
          <w:p w14:paraId="607C2CBA">
            <w:pPr>
              <w:pStyle w:val="369"/>
              <w:adjustRightInd w:val="0"/>
              <w:snapToGrid w:val="0"/>
              <w:rPr>
                <w:b w:val="0"/>
                <w:bCs/>
                <w:sz w:val="21"/>
                <w:szCs w:val="21"/>
              </w:rPr>
            </w:pPr>
            <w:r>
              <w:rPr>
                <w:rFonts w:hint="eastAsia"/>
                <w:b w:val="0"/>
                <w:bCs/>
                <w:sz w:val="21"/>
                <w:szCs w:val="21"/>
              </w:rPr>
              <w:t>0.0055</w:t>
            </w:r>
          </w:p>
        </w:tc>
        <w:tc>
          <w:tcPr>
            <w:tcW w:w="1068" w:type="dxa"/>
            <w:vAlign w:val="center"/>
          </w:tcPr>
          <w:p w14:paraId="2C87EBDB">
            <w:pPr>
              <w:pStyle w:val="766"/>
              <w:adjustRightInd w:val="0"/>
              <w:rPr>
                <w:color w:val="auto"/>
              </w:rPr>
            </w:pPr>
            <w:r>
              <w:rPr>
                <w:rFonts w:hint="eastAsia"/>
                <w:color w:val="auto"/>
              </w:rPr>
              <w:t>0.55</w:t>
            </w:r>
          </w:p>
        </w:tc>
        <w:tc>
          <w:tcPr>
            <w:tcW w:w="816" w:type="dxa"/>
            <w:vAlign w:val="center"/>
          </w:tcPr>
          <w:p w14:paraId="607B6D5E">
            <w:pPr>
              <w:pStyle w:val="369"/>
              <w:adjustRightInd w:val="0"/>
              <w:snapToGrid w:val="0"/>
              <w:rPr>
                <w:b w:val="0"/>
                <w:bCs/>
                <w:sz w:val="21"/>
                <w:szCs w:val="21"/>
              </w:rPr>
            </w:pPr>
            <w:r>
              <w:rPr>
                <w:rFonts w:hint="eastAsia"/>
                <w:b w:val="0"/>
                <w:bCs/>
                <w:sz w:val="21"/>
                <w:szCs w:val="21"/>
              </w:rPr>
              <w:t>0.096</w:t>
            </w:r>
          </w:p>
        </w:tc>
        <w:tc>
          <w:tcPr>
            <w:tcW w:w="962" w:type="dxa"/>
            <w:vAlign w:val="center"/>
          </w:tcPr>
          <w:p w14:paraId="6CEAD16F">
            <w:pPr>
              <w:pStyle w:val="766"/>
              <w:rPr>
                <w:color w:val="auto"/>
              </w:rPr>
            </w:pPr>
            <w:r>
              <w:rPr>
                <w:rFonts w:hint="eastAsia"/>
                <w:color w:val="auto"/>
              </w:rPr>
              <w:t>0.011</w:t>
            </w:r>
          </w:p>
        </w:tc>
        <w:tc>
          <w:tcPr>
            <w:tcW w:w="1102" w:type="dxa"/>
            <w:vAlign w:val="center"/>
          </w:tcPr>
          <w:p w14:paraId="724D8678">
            <w:pPr>
              <w:pStyle w:val="766"/>
              <w:rPr>
                <w:color w:val="auto"/>
              </w:rPr>
            </w:pPr>
            <w:r>
              <w:rPr>
                <w:rFonts w:hint="eastAsia"/>
                <w:color w:val="auto"/>
              </w:rPr>
              <w:t>1.09</w:t>
            </w:r>
          </w:p>
        </w:tc>
      </w:tr>
      <w:tr w14:paraId="7EDD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4D1E7F9F">
            <w:pPr>
              <w:pStyle w:val="369"/>
              <w:adjustRightInd w:val="0"/>
              <w:snapToGrid w:val="0"/>
              <w:rPr>
                <w:b w:val="0"/>
                <w:bCs/>
                <w:sz w:val="21"/>
                <w:szCs w:val="21"/>
              </w:rPr>
            </w:pPr>
          </w:p>
        </w:tc>
        <w:tc>
          <w:tcPr>
            <w:tcW w:w="721" w:type="dxa"/>
            <w:vMerge w:val="continue"/>
            <w:vAlign w:val="center"/>
          </w:tcPr>
          <w:p w14:paraId="58F86461">
            <w:pPr>
              <w:pStyle w:val="369"/>
              <w:adjustRightInd w:val="0"/>
              <w:snapToGrid w:val="0"/>
              <w:rPr>
                <w:b w:val="0"/>
                <w:bCs/>
                <w:sz w:val="21"/>
                <w:szCs w:val="21"/>
              </w:rPr>
            </w:pPr>
          </w:p>
        </w:tc>
        <w:tc>
          <w:tcPr>
            <w:tcW w:w="793" w:type="dxa"/>
            <w:gridSpan w:val="2"/>
            <w:vMerge w:val="continue"/>
            <w:vAlign w:val="center"/>
          </w:tcPr>
          <w:p w14:paraId="47B70F7F">
            <w:pPr>
              <w:pStyle w:val="369"/>
              <w:adjustRightInd w:val="0"/>
              <w:snapToGrid w:val="0"/>
              <w:rPr>
                <w:b w:val="0"/>
                <w:bCs/>
                <w:sz w:val="21"/>
                <w:szCs w:val="21"/>
              </w:rPr>
            </w:pPr>
          </w:p>
        </w:tc>
        <w:tc>
          <w:tcPr>
            <w:tcW w:w="719" w:type="dxa"/>
            <w:vAlign w:val="center"/>
          </w:tcPr>
          <w:p w14:paraId="750ABC7E">
            <w:pPr>
              <w:pStyle w:val="766"/>
              <w:adjustRightInd w:val="0"/>
              <w:rPr>
                <w:color w:val="auto"/>
              </w:rPr>
            </w:pPr>
            <w:r>
              <w:rPr>
                <w:color w:val="auto"/>
              </w:rPr>
              <w:t>臭气浓度</w:t>
            </w:r>
          </w:p>
        </w:tc>
        <w:tc>
          <w:tcPr>
            <w:tcW w:w="825" w:type="dxa"/>
            <w:vAlign w:val="center"/>
          </w:tcPr>
          <w:p w14:paraId="37EB2E1B">
            <w:pPr>
              <w:pStyle w:val="766"/>
              <w:adjustRightInd w:val="0"/>
              <w:rPr>
                <w:color w:val="auto"/>
              </w:rPr>
            </w:pPr>
            <w:r>
              <w:rPr>
                <w:rFonts w:hint="eastAsia"/>
                <w:color w:val="auto"/>
              </w:rPr>
              <w:t>/</w:t>
            </w:r>
          </w:p>
        </w:tc>
        <w:tc>
          <w:tcPr>
            <w:tcW w:w="838" w:type="dxa"/>
            <w:gridSpan w:val="2"/>
            <w:vAlign w:val="center"/>
          </w:tcPr>
          <w:p w14:paraId="6CB426A6">
            <w:pPr>
              <w:pStyle w:val="766"/>
              <w:adjustRightInd w:val="0"/>
              <w:rPr>
                <w:color w:val="auto"/>
              </w:rPr>
            </w:pPr>
            <w:r>
              <w:rPr>
                <w:rFonts w:hint="eastAsia"/>
                <w:color w:val="auto"/>
              </w:rPr>
              <w:t>/</w:t>
            </w:r>
          </w:p>
        </w:tc>
        <w:tc>
          <w:tcPr>
            <w:tcW w:w="966" w:type="dxa"/>
            <w:vAlign w:val="center"/>
          </w:tcPr>
          <w:p w14:paraId="1BFBFD98">
            <w:pPr>
              <w:pStyle w:val="766"/>
              <w:adjustRightInd w:val="0"/>
              <w:rPr>
                <w:color w:val="auto"/>
              </w:rPr>
            </w:pPr>
            <w:r>
              <w:rPr>
                <w:color w:val="auto"/>
              </w:rPr>
              <w:t>/</w:t>
            </w:r>
          </w:p>
        </w:tc>
        <w:tc>
          <w:tcPr>
            <w:tcW w:w="1068" w:type="dxa"/>
            <w:vAlign w:val="center"/>
          </w:tcPr>
          <w:p w14:paraId="226A3AF5">
            <w:pPr>
              <w:pStyle w:val="766"/>
              <w:adjustRightInd w:val="0"/>
              <w:rPr>
                <w:color w:val="auto"/>
              </w:rPr>
            </w:pPr>
            <w:r>
              <w:rPr>
                <w:color w:val="auto"/>
              </w:rPr>
              <w:t>/</w:t>
            </w:r>
          </w:p>
        </w:tc>
        <w:tc>
          <w:tcPr>
            <w:tcW w:w="816" w:type="dxa"/>
            <w:vAlign w:val="center"/>
          </w:tcPr>
          <w:p w14:paraId="2372FA68">
            <w:pPr>
              <w:pStyle w:val="766"/>
              <w:adjustRightInd w:val="0"/>
              <w:rPr>
                <w:color w:val="auto"/>
              </w:rPr>
            </w:pPr>
            <w:r>
              <w:rPr>
                <w:rFonts w:hint="eastAsia"/>
                <w:color w:val="auto"/>
              </w:rPr>
              <w:t>/</w:t>
            </w:r>
          </w:p>
        </w:tc>
        <w:tc>
          <w:tcPr>
            <w:tcW w:w="962" w:type="dxa"/>
            <w:vAlign w:val="center"/>
          </w:tcPr>
          <w:p w14:paraId="14613B11">
            <w:pPr>
              <w:pStyle w:val="766"/>
              <w:rPr>
                <w:color w:val="auto"/>
              </w:rPr>
            </w:pPr>
            <w:r>
              <w:rPr>
                <w:color w:val="auto"/>
              </w:rPr>
              <w:t>/</w:t>
            </w:r>
          </w:p>
        </w:tc>
        <w:tc>
          <w:tcPr>
            <w:tcW w:w="1102" w:type="dxa"/>
            <w:vAlign w:val="center"/>
          </w:tcPr>
          <w:p w14:paraId="660A0AD7">
            <w:pPr>
              <w:pStyle w:val="766"/>
              <w:rPr>
                <w:color w:val="auto"/>
              </w:rPr>
            </w:pPr>
            <w:r>
              <w:rPr>
                <w:color w:val="auto"/>
              </w:rPr>
              <w:t>/</w:t>
            </w:r>
          </w:p>
        </w:tc>
      </w:tr>
      <w:tr w14:paraId="2D37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7" w:type="dxa"/>
            <w:vMerge w:val="continue"/>
            <w:vAlign w:val="center"/>
          </w:tcPr>
          <w:p w14:paraId="039E4689">
            <w:pPr>
              <w:pStyle w:val="369"/>
              <w:adjustRightInd w:val="0"/>
              <w:snapToGrid w:val="0"/>
              <w:rPr>
                <w:b w:val="0"/>
                <w:bCs/>
                <w:sz w:val="21"/>
                <w:szCs w:val="21"/>
              </w:rPr>
            </w:pPr>
          </w:p>
        </w:tc>
        <w:tc>
          <w:tcPr>
            <w:tcW w:w="721" w:type="dxa"/>
            <w:vMerge w:val="continue"/>
            <w:vAlign w:val="center"/>
          </w:tcPr>
          <w:p w14:paraId="7A7FA236">
            <w:pPr>
              <w:pStyle w:val="369"/>
              <w:adjustRightInd w:val="0"/>
              <w:snapToGrid w:val="0"/>
              <w:rPr>
                <w:b w:val="0"/>
                <w:bCs/>
                <w:sz w:val="21"/>
                <w:szCs w:val="21"/>
              </w:rPr>
            </w:pPr>
          </w:p>
        </w:tc>
        <w:tc>
          <w:tcPr>
            <w:tcW w:w="793" w:type="dxa"/>
            <w:gridSpan w:val="2"/>
            <w:vMerge w:val="continue"/>
            <w:vAlign w:val="center"/>
          </w:tcPr>
          <w:p w14:paraId="7888DBB9">
            <w:pPr>
              <w:pStyle w:val="369"/>
              <w:adjustRightInd w:val="0"/>
              <w:snapToGrid w:val="0"/>
              <w:rPr>
                <w:b w:val="0"/>
                <w:bCs/>
                <w:sz w:val="21"/>
                <w:szCs w:val="21"/>
              </w:rPr>
            </w:pPr>
          </w:p>
        </w:tc>
        <w:tc>
          <w:tcPr>
            <w:tcW w:w="719" w:type="dxa"/>
            <w:vAlign w:val="center"/>
          </w:tcPr>
          <w:p w14:paraId="073B24FB">
            <w:pPr>
              <w:pStyle w:val="766"/>
              <w:adjustRightInd w:val="0"/>
              <w:rPr>
                <w:color w:val="auto"/>
              </w:rPr>
            </w:pPr>
            <w:r>
              <w:rPr>
                <w:rFonts w:hint="eastAsia"/>
                <w:color w:val="auto"/>
              </w:rPr>
              <w:t>颗粒物</w:t>
            </w:r>
          </w:p>
        </w:tc>
        <w:tc>
          <w:tcPr>
            <w:tcW w:w="825" w:type="dxa"/>
            <w:vAlign w:val="center"/>
          </w:tcPr>
          <w:p w14:paraId="7AB31EB0">
            <w:pPr>
              <w:pStyle w:val="766"/>
              <w:adjustRightInd w:val="0"/>
              <w:rPr>
                <w:color w:val="auto"/>
              </w:rPr>
            </w:pPr>
            <w:r>
              <w:rPr>
                <w:rFonts w:hint="eastAsia"/>
                <w:color w:val="auto"/>
              </w:rPr>
              <w:t>5.43</w:t>
            </w:r>
          </w:p>
        </w:tc>
        <w:tc>
          <w:tcPr>
            <w:tcW w:w="838" w:type="dxa"/>
            <w:gridSpan w:val="2"/>
            <w:vAlign w:val="center"/>
          </w:tcPr>
          <w:p w14:paraId="464A9E9B">
            <w:pPr>
              <w:pStyle w:val="766"/>
              <w:adjustRightInd w:val="0"/>
              <w:rPr>
                <w:color w:val="auto"/>
              </w:rPr>
            </w:pPr>
            <w:r>
              <w:rPr>
                <w:rFonts w:hint="eastAsia"/>
                <w:color w:val="auto"/>
              </w:rPr>
              <w:t>0.054</w:t>
            </w:r>
          </w:p>
        </w:tc>
        <w:tc>
          <w:tcPr>
            <w:tcW w:w="966" w:type="dxa"/>
            <w:vAlign w:val="center"/>
          </w:tcPr>
          <w:p w14:paraId="63F50ED1">
            <w:pPr>
              <w:pStyle w:val="766"/>
              <w:adjustRightInd w:val="0"/>
              <w:rPr>
                <w:color w:val="auto"/>
              </w:rPr>
            </w:pPr>
            <w:r>
              <w:rPr>
                <w:rFonts w:hint="eastAsia"/>
                <w:color w:val="auto"/>
              </w:rPr>
              <w:t>0.02</w:t>
            </w:r>
          </w:p>
        </w:tc>
        <w:tc>
          <w:tcPr>
            <w:tcW w:w="1068" w:type="dxa"/>
            <w:vAlign w:val="center"/>
          </w:tcPr>
          <w:p w14:paraId="326760EA">
            <w:pPr>
              <w:pStyle w:val="766"/>
              <w:adjustRightInd w:val="0"/>
              <w:rPr>
                <w:color w:val="auto"/>
              </w:rPr>
            </w:pPr>
            <w:r>
              <w:rPr>
                <w:rFonts w:hint="eastAsia"/>
                <w:color w:val="auto"/>
              </w:rPr>
              <w:t>1.85</w:t>
            </w:r>
          </w:p>
        </w:tc>
        <w:tc>
          <w:tcPr>
            <w:tcW w:w="816" w:type="dxa"/>
            <w:vAlign w:val="center"/>
          </w:tcPr>
          <w:p w14:paraId="3306602E">
            <w:pPr>
              <w:pStyle w:val="766"/>
              <w:adjustRightInd w:val="0"/>
              <w:rPr>
                <w:color w:val="auto"/>
              </w:rPr>
            </w:pPr>
            <w:r>
              <w:rPr>
                <w:rFonts w:hint="eastAsia"/>
                <w:color w:val="auto"/>
              </w:rPr>
              <w:t>5.43</w:t>
            </w:r>
          </w:p>
        </w:tc>
        <w:tc>
          <w:tcPr>
            <w:tcW w:w="962" w:type="dxa"/>
            <w:vAlign w:val="center"/>
          </w:tcPr>
          <w:p w14:paraId="0AB6E860">
            <w:pPr>
              <w:pStyle w:val="766"/>
              <w:rPr>
                <w:color w:val="auto"/>
              </w:rPr>
            </w:pPr>
            <w:r>
              <w:rPr>
                <w:rFonts w:hint="eastAsia"/>
                <w:color w:val="auto"/>
              </w:rPr>
              <w:t>0.62</w:t>
            </w:r>
          </w:p>
        </w:tc>
        <w:tc>
          <w:tcPr>
            <w:tcW w:w="1102" w:type="dxa"/>
            <w:vAlign w:val="center"/>
          </w:tcPr>
          <w:p w14:paraId="7A53B80D">
            <w:pPr>
              <w:pStyle w:val="766"/>
              <w:rPr>
                <w:color w:val="auto"/>
              </w:rPr>
            </w:pPr>
            <w:r>
              <w:rPr>
                <w:rFonts w:hint="eastAsia"/>
                <w:color w:val="auto"/>
              </w:rPr>
              <w:t>61.99</w:t>
            </w:r>
          </w:p>
        </w:tc>
      </w:tr>
      <w:tr w14:paraId="36FF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387" w:type="dxa"/>
            <w:vMerge w:val="continue"/>
            <w:vAlign w:val="center"/>
          </w:tcPr>
          <w:p w14:paraId="1626A6F0">
            <w:pPr>
              <w:pStyle w:val="369"/>
              <w:adjustRightInd w:val="0"/>
              <w:snapToGrid w:val="0"/>
              <w:rPr>
                <w:b w:val="0"/>
                <w:bCs/>
                <w:sz w:val="21"/>
                <w:szCs w:val="21"/>
              </w:rPr>
            </w:pPr>
          </w:p>
        </w:tc>
        <w:tc>
          <w:tcPr>
            <w:tcW w:w="721" w:type="dxa"/>
            <w:vMerge w:val="restart"/>
            <w:vAlign w:val="center"/>
          </w:tcPr>
          <w:p w14:paraId="5C2D8243">
            <w:pPr>
              <w:pStyle w:val="766"/>
              <w:adjustRightInd w:val="0"/>
              <w:rPr>
                <w:bCs/>
                <w:color w:val="auto"/>
                <w:spacing w:val="4"/>
              </w:rPr>
            </w:pPr>
            <w:r>
              <w:rPr>
                <w:bCs/>
                <w:color w:val="auto"/>
                <w:spacing w:val="4"/>
              </w:rPr>
              <w:t>污水处理</w:t>
            </w:r>
            <w:r>
              <w:rPr>
                <w:rFonts w:hint="eastAsia"/>
                <w:bCs/>
                <w:color w:val="auto"/>
                <w:spacing w:val="4"/>
              </w:rPr>
              <w:t>站</w:t>
            </w:r>
          </w:p>
        </w:tc>
        <w:tc>
          <w:tcPr>
            <w:tcW w:w="793" w:type="dxa"/>
            <w:gridSpan w:val="2"/>
            <w:vMerge w:val="restart"/>
            <w:vAlign w:val="center"/>
          </w:tcPr>
          <w:p w14:paraId="74EA821E">
            <w:pPr>
              <w:pStyle w:val="766"/>
              <w:adjustRightInd w:val="0"/>
              <w:rPr>
                <w:bCs/>
                <w:color w:val="auto"/>
              </w:rPr>
            </w:pPr>
            <w:r>
              <w:rPr>
                <w:rFonts w:hint="eastAsia"/>
                <w:color w:val="auto"/>
              </w:rPr>
              <w:t>有组织（DA007）</w:t>
            </w:r>
          </w:p>
        </w:tc>
        <w:tc>
          <w:tcPr>
            <w:tcW w:w="719" w:type="dxa"/>
            <w:vAlign w:val="center"/>
          </w:tcPr>
          <w:p w14:paraId="5F6D8DC4">
            <w:pPr>
              <w:pStyle w:val="766"/>
              <w:adjustRightInd w:val="0"/>
              <w:rPr>
                <w:color w:val="auto"/>
              </w:rPr>
            </w:pPr>
            <w:r>
              <w:rPr>
                <w:color w:val="auto"/>
              </w:rPr>
              <w:t>NH</w:t>
            </w:r>
            <w:r>
              <w:rPr>
                <w:color w:val="auto"/>
                <w:vertAlign w:val="subscript"/>
              </w:rPr>
              <w:t>3</w:t>
            </w:r>
          </w:p>
        </w:tc>
        <w:tc>
          <w:tcPr>
            <w:tcW w:w="825" w:type="dxa"/>
            <w:vAlign w:val="center"/>
          </w:tcPr>
          <w:p w14:paraId="42E58D6E">
            <w:pPr>
              <w:pStyle w:val="369"/>
              <w:adjustRightInd w:val="0"/>
              <w:snapToGrid w:val="0"/>
              <w:rPr>
                <w:b w:val="0"/>
                <w:bCs/>
                <w:sz w:val="21"/>
                <w:szCs w:val="21"/>
              </w:rPr>
            </w:pPr>
            <w:r>
              <w:rPr>
                <w:rFonts w:hint="eastAsia"/>
                <w:b w:val="0"/>
                <w:bCs/>
                <w:sz w:val="21"/>
                <w:szCs w:val="21"/>
              </w:rPr>
              <w:t>0.054</w:t>
            </w:r>
          </w:p>
        </w:tc>
        <w:tc>
          <w:tcPr>
            <w:tcW w:w="838" w:type="dxa"/>
            <w:gridSpan w:val="2"/>
            <w:vAlign w:val="center"/>
          </w:tcPr>
          <w:p w14:paraId="211D6039">
            <w:pPr>
              <w:pStyle w:val="369"/>
              <w:adjustRightInd w:val="0"/>
              <w:snapToGrid w:val="0"/>
              <w:rPr>
                <w:b w:val="0"/>
                <w:bCs/>
                <w:sz w:val="21"/>
                <w:szCs w:val="21"/>
              </w:rPr>
            </w:pPr>
            <w:r>
              <w:rPr>
                <w:rFonts w:hint="eastAsia"/>
                <w:b w:val="0"/>
                <w:bCs/>
                <w:sz w:val="21"/>
                <w:szCs w:val="21"/>
              </w:rPr>
              <w:t>0.0513</w:t>
            </w:r>
          </w:p>
        </w:tc>
        <w:tc>
          <w:tcPr>
            <w:tcW w:w="966" w:type="dxa"/>
            <w:vAlign w:val="center"/>
          </w:tcPr>
          <w:p w14:paraId="225E71F6">
            <w:pPr>
              <w:pStyle w:val="369"/>
              <w:adjustRightInd w:val="0"/>
              <w:snapToGrid w:val="0"/>
              <w:rPr>
                <w:b w:val="0"/>
                <w:bCs/>
                <w:sz w:val="21"/>
                <w:szCs w:val="21"/>
              </w:rPr>
            </w:pPr>
            <w:r>
              <w:rPr>
                <w:rFonts w:hint="eastAsia"/>
                <w:b w:val="0"/>
                <w:bCs/>
                <w:sz w:val="21"/>
                <w:szCs w:val="21"/>
              </w:rPr>
              <w:t>0.0019</w:t>
            </w:r>
          </w:p>
        </w:tc>
        <w:tc>
          <w:tcPr>
            <w:tcW w:w="1068" w:type="dxa"/>
            <w:vAlign w:val="center"/>
          </w:tcPr>
          <w:p w14:paraId="21BC20F6">
            <w:pPr>
              <w:pStyle w:val="766"/>
              <w:adjustRightInd w:val="0"/>
              <w:rPr>
                <w:color w:val="auto"/>
              </w:rPr>
            </w:pPr>
            <w:r>
              <w:rPr>
                <w:rFonts w:hint="eastAsia"/>
                <w:color w:val="auto"/>
              </w:rPr>
              <w:t>/</w:t>
            </w:r>
          </w:p>
        </w:tc>
        <w:tc>
          <w:tcPr>
            <w:tcW w:w="816" w:type="dxa"/>
            <w:vAlign w:val="center"/>
          </w:tcPr>
          <w:p w14:paraId="04B48F9A">
            <w:pPr>
              <w:pStyle w:val="369"/>
              <w:adjustRightInd w:val="0"/>
              <w:snapToGrid w:val="0"/>
              <w:rPr>
                <w:b w:val="0"/>
                <w:bCs/>
                <w:sz w:val="21"/>
                <w:szCs w:val="21"/>
              </w:rPr>
            </w:pPr>
            <w:r>
              <w:rPr>
                <w:rFonts w:hint="eastAsia"/>
                <w:b w:val="0"/>
                <w:bCs/>
                <w:sz w:val="21"/>
                <w:szCs w:val="21"/>
              </w:rPr>
              <w:t>0.054</w:t>
            </w:r>
          </w:p>
        </w:tc>
        <w:tc>
          <w:tcPr>
            <w:tcW w:w="962" w:type="dxa"/>
            <w:vAlign w:val="center"/>
          </w:tcPr>
          <w:p w14:paraId="4CA7A597">
            <w:pPr>
              <w:pStyle w:val="766"/>
              <w:rPr>
                <w:color w:val="auto"/>
              </w:rPr>
            </w:pPr>
            <w:r>
              <w:rPr>
                <w:rFonts w:hint="eastAsia"/>
                <w:color w:val="auto"/>
              </w:rPr>
              <w:t>0.0062</w:t>
            </w:r>
          </w:p>
        </w:tc>
        <w:tc>
          <w:tcPr>
            <w:tcW w:w="1102" w:type="dxa"/>
            <w:vAlign w:val="center"/>
          </w:tcPr>
          <w:p w14:paraId="1DC240A5">
            <w:pPr>
              <w:pStyle w:val="766"/>
              <w:rPr>
                <w:color w:val="auto"/>
              </w:rPr>
            </w:pPr>
            <w:r>
              <w:rPr>
                <w:rFonts w:hint="eastAsia"/>
                <w:color w:val="auto"/>
              </w:rPr>
              <w:t>/</w:t>
            </w:r>
          </w:p>
        </w:tc>
      </w:tr>
      <w:tr w14:paraId="7786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387" w:type="dxa"/>
            <w:vMerge w:val="continue"/>
            <w:vAlign w:val="center"/>
          </w:tcPr>
          <w:p w14:paraId="671E0096">
            <w:pPr>
              <w:pStyle w:val="369"/>
              <w:adjustRightInd w:val="0"/>
              <w:snapToGrid w:val="0"/>
              <w:rPr>
                <w:b w:val="0"/>
                <w:bCs/>
                <w:sz w:val="21"/>
                <w:szCs w:val="21"/>
              </w:rPr>
            </w:pPr>
          </w:p>
        </w:tc>
        <w:tc>
          <w:tcPr>
            <w:tcW w:w="721" w:type="dxa"/>
            <w:vMerge w:val="continue"/>
            <w:vAlign w:val="center"/>
          </w:tcPr>
          <w:p w14:paraId="21DAF988">
            <w:pPr>
              <w:pStyle w:val="766"/>
              <w:adjustRightInd w:val="0"/>
              <w:rPr>
                <w:bCs/>
                <w:color w:val="auto"/>
                <w:spacing w:val="4"/>
              </w:rPr>
            </w:pPr>
          </w:p>
        </w:tc>
        <w:tc>
          <w:tcPr>
            <w:tcW w:w="793" w:type="dxa"/>
            <w:gridSpan w:val="2"/>
            <w:vMerge w:val="continue"/>
            <w:vAlign w:val="center"/>
          </w:tcPr>
          <w:p w14:paraId="3467EF7A">
            <w:pPr>
              <w:pStyle w:val="369"/>
              <w:adjustRightInd w:val="0"/>
              <w:snapToGrid w:val="0"/>
              <w:rPr>
                <w:b w:val="0"/>
                <w:bCs/>
                <w:sz w:val="21"/>
                <w:szCs w:val="21"/>
              </w:rPr>
            </w:pPr>
          </w:p>
        </w:tc>
        <w:tc>
          <w:tcPr>
            <w:tcW w:w="719" w:type="dxa"/>
            <w:vAlign w:val="center"/>
          </w:tcPr>
          <w:p w14:paraId="4B6E32FF">
            <w:pPr>
              <w:pStyle w:val="766"/>
              <w:adjustRightInd w:val="0"/>
              <w:rPr>
                <w:color w:val="auto"/>
              </w:rPr>
            </w:pPr>
            <w:r>
              <w:rPr>
                <w:color w:val="auto"/>
              </w:rPr>
              <w:t>H</w:t>
            </w:r>
            <w:r>
              <w:rPr>
                <w:color w:val="auto"/>
                <w:vertAlign w:val="subscript"/>
              </w:rPr>
              <w:t>2</w:t>
            </w:r>
            <w:r>
              <w:rPr>
                <w:color w:val="auto"/>
              </w:rPr>
              <w:t>S</w:t>
            </w:r>
          </w:p>
        </w:tc>
        <w:tc>
          <w:tcPr>
            <w:tcW w:w="825" w:type="dxa"/>
            <w:vAlign w:val="center"/>
          </w:tcPr>
          <w:p w14:paraId="50E454AE">
            <w:pPr>
              <w:pStyle w:val="369"/>
              <w:adjustRightInd w:val="0"/>
              <w:snapToGrid w:val="0"/>
              <w:rPr>
                <w:b w:val="0"/>
                <w:bCs/>
                <w:sz w:val="21"/>
                <w:szCs w:val="21"/>
              </w:rPr>
            </w:pPr>
            <w:r>
              <w:rPr>
                <w:rFonts w:hint="eastAsia"/>
                <w:b w:val="0"/>
                <w:bCs/>
                <w:sz w:val="21"/>
                <w:szCs w:val="21"/>
              </w:rPr>
              <w:t>0.002</w:t>
            </w:r>
          </w:p>
        </w:tc>
        <w:tc>
          <w:tcPr>
            <w:tcW w:w="838" w:type="dxa"/>
            <w:gridSpan w:val="2"/>
            <w:vAlign w:val="center"/>
          </w:tcPr>
          <w:p w14:paraId="6CF7B4B9">
            <w:pPr>
              <w:pStyle w:val="369"/>
              <w:adjustRightInd w:val="0"/>
              <w:snapToGrid w:val="0"/>
              <w:rPr>
                <w:b w:val="0"/>
                <w:bCs/>
                <w:sz w:val="21"/>
                <w:szCs w:val="21"/>
              </w:rPr>
            </w:pPr>
            <w:r>
              <w:rPr>
                <w:rFonts w:hint="eastAsia"/>
                <w:b w:val="0"/>
                <w:bCs/>
                <w:sz w:val="21"/>
                <w:szCs w:val="21"/>
              </w:rPr>
              <w:t>0.0019</w:t>
            </w:r>
          </w:p>
        </w:tc>
        <w:tc>
          <w:tcPr>
            <w:tcW w:w="966" w:type="dxa"/>
            <w:vAlign w:val="center"/>
          </w:tcPr>
          <w:p w14:paraId="44482C71">
            <w:pPr>
              <w:pStyle w:val="369"/>
              <w:adjustRightInd w:val="0"/>
              <w:snapToGrid w:val="0"/>
              <w:rPr>
                <w:b w:val="0"/>
                <w:bCs/>
                <w:sz w:val="21"/>
                <w:szCs w:val="21"/>
              </w:rPr>
            </w:pPr>
            <w:r>
              <w:rPr>
                <w:rFonts w:hint="eastAsia"/>
                <w:b w:val="0"/>
                <w:bCs/>
                <w:sz w:val="21"/>
                <w:szCs w:val="21"/>
              </w:rPr>
              <w:t>0.0002</w:t>
            </w:r>
          </w:p>
        </w:tc>
        <w:tc>
          <w:tcPr>
            <w:tcW w:w="1068" w:type="dxa"/>
            <w:vAlign w:val="center"/>
          </w:tcPr>
          <w:p w14:paraId="10D6AC94">
            <w:pPr>
              <w:pStyle w:val="766"/>
              <w:adjustRightInd w:val="0"/>
              <w:rPr>
                <w:color w:val="auto"/>
              </w:rPr>
            </w:pPr>
            <w:r>
              <w:rPr>
                <w:rFonts w:hint="eastAsia"/>
                <w:color w:val="auto"/>
              </w:rPr>
              <w:t>/</w:t>
            </w:r>
          </w:p>
        </w:tc>
        <w:tc>
          <w:tcPr>
            <w:tcW w:w="816" w:type="dxa"/>
            <w:vAlign w:val="center"/>
          </w:tcPr>
          <w:p w14:paraId="3EA9F97D">
            <w:pPr>
              <w:pStyle w:val="369"/>
              <w:adjustRightInd w:val="0"/>
              <w:snapToGrid w:val="0"/>
              <w:rPr>
                <w:b w:val="0"/>
                <w:bCs/>
                <w:sz w:val="21"/>
                <w:szCs w:val="21"/>
              </w:rPr>
            </w:pPr>
            <w:r>
              <w:rPr>
                <w:rFonts w:hint="eastAsia"/>
                <w:b w:val="0"/>
                <w:bCs/>
                <w:sz w:val="21"/>
                <w:szCs w:val="21"/>
              </w:rPr>
              <w:t>0.002</w:t>
            </w:r>
          </w:p>
        </w:tc>
        <w:tc>
          <w:tcPr>
            <w:tcW w:w="962" w:type="dxa"/>
            <w:vAlign w:val="center"/>
          </w:tcPr>
          <w:p w14:paraId="2BE258B5">
            <w:pPr>
              <w:pStyle w:val="766"/>
              <w:rPr>
                <w:color w:val="auto"/>
              </w:rPr>
            </w:pPr>
            <w:r>
              <w:rPr>
                <w:rFonts w:hint="eastAsia"/>
                <w:color w:val="auto"/>
              </w:rPr>
              <w:t>0.00023</w:t>
            </w:r>
          </w:p>
        </w:tc>
        <w:tc>
          <w:tcPr>
            <w:tcW w:w="1102" w:type="dxa"/>
            <w:vAlign w:val="center"/>
          </w:tcPr>
          <w:p w14:paraId="55823AFE">
            <w:pPr>
              <w:pStyle w:val="766"/>
              <w:rPr>
                <w:color w:val="auto"/>
              </w:rPr>
            </w:pPr>
            <w:r>
              <w:rPr>
                <w:rFonts w:hint="eastAsia"/>
                <w:color w:val="auto"/>
              </w:rPr>
              <w:t>/</w:t>
            </w:r>
          </w:p>
        </w:tc>
      </w:tr>
      <w:tr w14:paraId="5892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387" w:type="dxa"/>
            <w:vMerge w:val="continue"/>
            <w:vAlign w:val="center"/>
          </w:tcPr>
          <w:p w14:paraId="0A6FCB0E">
            <w:pPr>
              <w:pStyle w:val="369"/>
              <w:adjustRightInd w:val="0"/>
              <w:snapToGrid w:val="0"/>
              <w:rPr>
                <w:b w:val="0"/>
                <w:bCs/>
                <w:sz w:val="21"/>
                <w:szCs w:val="21"/>
              </w:rPr>
            </w:pPr>
          </w:p>
        </w:tc>
        <w:tc>
          <w:tcPr>
            <w:tcW w:w="721" w:type="dxa"/>
            <w:vMerge w:val="continue"/>
            <w:vAlign w:val="center"/>
          </w:tcPr>
          <w:p w14:paraId="4793E59B">
            <w:pPr>
              <w:pStyle w:val="369"/>
              <w:adjustRightInd w:val="0"/>
              <w:snapToGrid w:val="0"/>
              <w:rPr>
                <w:b w:val="0"/>
                <w:bCs/>
                <w:sz w:val="21"/>
                <w:szCs w:val="21"/>
              </w:rPr>
            </w:pPr>
          </w:p>
        </w:tc>
        <w:tc>
          <w:tcPr>
            <w:tcW w:w="793" w:type="dxa"/>
            <w:gridSpan w:val="2"/>
            <w:vMerge w:val="continue"/>
            <w:vAlign w:val="center"/>
          </w:tcPr>
          <w:p w14:paraId="399B3B45">
            <w:pPr>
              <w:pStyle w:val="369"/>
              <w:adjustRightInd w:val="0"/>
              <w:snapToGrid w:val="0"/>
              <w:rPr>
                <w:b w:val="0"/>
                <w:bCs/>
                <w:sz w:val="21"/>
                <w:szCs w:val="21"/>
              </w:rPr>
            </w:pPr>
          </w:p>
        </w:tc>
        <w:tc>
          <w:tcPr>
            <w:tcW w:w="719" w:type="dxa"/>
            <w:vAlign w:val="center"/>
          </w:tcPr>
          <w:p w14:paraId="22694078">
            <w:pPr>
              <w:pStyle w:val="766"/>
              <w:adjustRightInd w:val="0"/>
              <w:rPr>
                <w:color w:val="auto"/>
              </w:rPr>
            </w:pPr>
            <w:r>
              <w:rPr>
                <w:color w:val="auto"/>
              </w:rPr>
              <w:t>臭气浓度</w:t>
            </w:r>
          </w:p>
        </w:tc>
        <w:tc>
          <w:tcPr>
            <w:tcW w:w="825" w:type="dxa"/>
            <w:vAlign w:val="center"/>
          </w:tcPr>
          <w:p w14:paraId="35CD4ECD">
            <w:pPr>
              <w:pStyle w:val="369"/>
              <w:adjustRightInd w:val="0"/>
              <w:snapToGrid w:val="0"/>
              <w:rPr>
                <w:b w:val="0"/>
                <w:bCs/>
                <w:sz w:val="21"/>
                <w:szCs w:val="21"/>
              </w:rPr>
            </w:pPr>
            <w:r>
              <w:rPr>
                <w:rFonts w:hint="eastAsia"/>
                <w:b w:val="0"/>
                <w:bCs/>
                <w:sz w:val="21"/>
                <w:szCs w:val="21"/>
              </w:rPr>
              <w:t>/</w:t>
            </w:r>
          </w:p>
        </w:tc>
        <w:tc>
          <w:tcPr>
            <w:tcW w:w="838" w:type="dxa"/>
            <w:gridSpan w:val="2"/>
            <w:vAlign w:val="center"/>
          </w:tcPr>
          <w:p w14:paraId="5F631234">
            <w:pPr>
              <w:pStyle w:val="766"/>
              <w:adjustRightInd w:val="0"/>
              <w:rPr>
                <w:color w:val="auto"/>
              </w:rPr>
            </w:pPr>
            <w:r>
              <w:rPr>
                <w:rFonts w:hint="eastAsia"/>
                <w:color w:val="auto"/>
              </w:rPr>
              <w:t>/</w:t>
            </w:r>
          </w:p>
        </w:tc>
        <w:tc>
          <w:tcPr>
            <w:tcW w:w="966" w:type="dxa"/>
            <w:vAlign w:val="center"/>
          </w:tcPr>
          <w:p w14:paraId="49C1BCB5">
            <w:pPr>
              <w:pStyle w:val="766"/>
              <w:adjustRightInd w:val="0"/>
              <w:rPr>
                <w:color w:val="auto"/>
              </w:rPr>
            </w:pPr>
            <w:r>
              <w:rPr>
                <w:rFonts w:hint="eastAsia"/>
                <w:color w:val="auto"/>
              </w:rPr>
              <w:t>/</w:t>
            </w:r>
          </w:p>
        </w:tc>
        <w:tc>
          <w:tcPr>
            <w:tcW w:w="1068" w:type="dxa"/>
            <w:vAlign w:val="center"/>
          </w:tcPr>
          <w:p w14:paraId="70A6B85E">
            <w:pPr>
              <w:pStyle w:val="766"/>
              <w:adjustRightInd w:val="0"/>
              <w:rPr>
                <w:color w:val="auto"/>
              </w:rPr>
            </w:pPr>
            <w:r>
              <w:rPr>
                <w:rFonts w:hint="eastAsia"/>
                <w:color w:val="auto"/>
              </w:rPr>
              <w:t>/</w:t>
            </w:r>
          </w:p>
        </w:tc>
        <w:tc>
          <w:tcPr>
            <w:tcW w:w="816" w:type="dxa"/>
            <w:vAlign w:val="center"/>
          </w:tcPr>
          <w:p w14:paraId="14BC3E8D">
            <w:pPr>
              <w:pStyle w:val="369"/>
              <w:adjustRightInd w:val="0"/>
              <w:snapToGrid w:val="0"/>
              <w:rPr>
                <w:b w:val="0"/>
                <w:bCs/>
                <w:sz w:val="21"/>
                <w:szCs w:val="21"/>
              </w:rPr>
            </w:pPr>
            <w:r>
              <w:rPr>
                <w:rFonts w:hint="eastAsia"/>
                <w:b w:val="0"/>
                <w:bCs/>
                <w:sz w:val="21"/>
                <w:szCs w:val="21"/>
              </w:rPr>
              <w:t>/</w:t>
            </w:r>
          </w:p>
        </w:tc>
        <w:tc>
          <w:tcPr>
            <w:tcW w:w="962" w:type="dxa"/>
            <w:vAlign w:val="center"/>
          </w:tcPr>
          <w:p w14:paraId="6513A8D2">
            <w:pPr>
              <w:pStyle w:val="766"/>
              <w:rPr>
                <w:color w:val="auto"/>
              </w:rPr>
            </w:pPr>
            <w:r>
              <w:rPr>
                <w:rFonts w:hint="eastAsia"/>
                <w:color w:val="auto"/>
              </w:rPr>
              <w:t>/</w:t>
            </w:r>
          </w:p>
        </w:tc>
        <w:tc>
          <w:tcPr>
            <w:tcW w:w="1102" w:type="dxa"/>
            <w:vAlign w:val="center"/>
          </w:tcPr>
          <w:p w14:paraId="44E4E643">
            <w:pPr>
              <w:pStyle w:val="766"/>
              <w:rPr>
                <w:color w:val="auto"/>
              </w:rPr>
            </w:pPr>
            <w:r>
              <w:rPr>
                <w:rFonts w:hint="eastAsia"/>
                <w:color w:val="auto"/>
              </w:rPr>
              <w:t>/</w:t>
            </w:r>
          </w:p>
        </w:tc>
      </w:tr>
      <w:tr w14:paraId="71A1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7CBCCA1C">
            <w:pPr>
              <w:pStyle w:val="369"/>
              <w:adjustRightInd w:val="0"/>
              <w:snapToGrid w:val="0"/>
              <w:rPr>
                <w:b w:val="0"/>
                <w:bCs/>
                <w:sz w:val="21"/>
                <w:szCs w:val="21"/>
              </w:rPr>
            </w:pPr>
          </w:p>
        </w:tc>
        <w:tc>
          <w:tcPr>
            <w:tcW w:w="721" w:type="dxa"/>
            <w:vMerge w:val="continue"/>
            <w:vAlign w:val="center"/>
          </w:tcPr>
          <w:p w14:paraId="1988D0B8">
            <w:pPr>
              <w:pStyle w:val="369"/>
              <w:adjustRightInd w:val="0"/>
              <w:snapToGrid w:val="0"/>
              <w:rPr>
                <w:b w:val="0"/>
                <w:bCs/>
                <w:sz w:val="21"/>
                <w:szCs w:val="21"/>
              </w:rPr>
            </w:pPr>
          </w:p>
        </w:tc>
        <w:tc>
          <w:tcPr>
            <w:tcW w:w="793" w:type="dxa"/>
            <w:gridSpan w:val="2"/>
            <w:vMerge w:val="restart"/>
            <w:vAlign w:val="center"/>
          </w:tcPr>
          <w:p w14:paraId="512436B5">
            <w:pPr>
              <w:pStyle w:val="766"/>
              <w:adjustRightInd w:val="0"/>
              <w:rPr>
                <w:color w:val="auto"/>
              </w:rPr>
            </w:pPr>
            <w:r>
              <w:rPr>
                <w:color w:val="auto"/>
              </w:rPr>
              <w:t>无组织</w:t>
            </w:r>
          </w:p>
        </w:tc>
        <w:tc>
          <w:tcPr>
            <w:tcW w:w="719" w:type="dxa"/>
            <w:vAlign w:val="center"/>
          </w:tcPr>
          <w:p w14:paraId="17265051">
            <w:pPr>
              <w:pStyle w:val="766"/>
              <w:adjustRightInd w:val="0"/>
              <w:rPr>
                <w:color w:val="auto"/>
              </w:rPr>
            </w:pPr>
            <w:r>
              <w:rPr>
                <w:color w:val="auto"/>
              </w:rPr>
              <w:t>NH</w:t>
            </w:r>
            <w:r>
              <w:rPr>
                <w:color w:val="auto"/>
                <w:vertAlign w:val="subscript"/>
              </w:rPr>
              <w:t>3</w:t>
            </w:r>
          </w:p>
        </w:tc>
        <w:tc>
          <w:tcPr>
            <w:tcW w:w="825" w:type="dxa"/>
            <w:vAlign w:val="center"/>
          </w:tcPr>
          <w:p w14:paraId="5DE2D066">
            <w:pPr>
              <w:pStyle w:val="766"/>
              <w:adjustRightInd w:val="0"/>
              <w:rPr>
                <w:color w:val="auto"/>
              </w:rPr>
            </w:pPr>
            <w:r>
              <w:rPr>
                <w:rFonts w:hint="eastAsia"/>
                <w:color w:val="auto"/>
              </w:rPr>
              <w:t>0</w:t>
            </w:r>
            <w:r>
              <w:rPr>
                <w:color w:val="auto"/>
              </w:rPr>
              <w:t>.0027</w:t>
            </w:r>
          </w:p>
        </w:tc>
        <w:tc>
          <w:tcPr>
            <w:tcW w:w="838" w:type="dxa"/>
            <w:gridSpan w:val="2"/>
            <w:vAlign w:val="center"/>
          </w:tcPr>
          <w:p w14:paraId="60A09FEC">
            <w:pPr>
              <w:pStyle w:val="766"/>
              <w:adjustRightInd w:val="0"/>
              <w:rPr>
                <w:color w:val="auto"/>
              </w:rPr>
            </w:pPr>
            <w:r>
              <w:rPr>
                <w:rFonts w:hint="eastAsia"/>
                <w:color w:val="auto"/>
              </w:rPr>
              <w:t>0</w:t>
            </w:r>
            <w:r>
              <w:rPr>
                <w:color w:val="auto"/>
              </w:rPr>
              <w:t>.0027</w:t>
            </w:r>
          </w:p>
        </w:tc>
        <w:tc>
          <w:tcPr>
            <w:tcW w:w="966" w:type="dxa"/>
            <w:vAlign w:val="center"/>
          </w:tcPr>
          <w:p w14:paraId="6505CF75">
            <w:pPr>
              <w:pStyle w:val="766"/>
              <w:adjustRightInd w:val="0"/>
              <w:rPr>
                <w:color w:val="auto"/>
              </w:rPr>
            </w:pPr>
            <w:r>
              <w:rPr>
                <w:rFonts w:hint="eastAsia"/>
                <w:color w:val="auto"/>
              </w:rPr>
              <w:t>/</w:t>
            </w:r>
          </w:p>
        </w:tc>
        <w:tc>
          <w:tcPr>
            <w:tcW w:w="1068" w:type="dxa"/>
            <w:vAlign w:val="center"/>
          </w:tcPr>
          <w:p w14:paraId="41047449">
            <w:pPr>
              <w:pStyle w:val="766"/>
              <w:adjustRightInd w:val="0"/>
              <w:rPr>
                <w:color w:val="auto"/>
              </w:rPr>
            </w:pPr>
            <w:r>
              <w:rPr>
                <w:rFonts w:hint="eastAsia"/>
                <w:color w:val="auto"/>
              </w:rPr>
              <w:t>0</w:t>
            </w:r>
            <w:r>
              <w:rPr>
                <w:color w:val="auto"/>
              </w:rPr>
              <w:t>.0003</w:t>
            </w:r>
          </w:p>
        </w:tc>
        <w:tc>
          <w:tcPr>
            <w:tcW w:w="816" w:type="dxa"/>
            <w:vAlign w:val="center"/>
          </w:tcPr>
          <w:p w14:paraId="5A35265E">
            <w:pPr>
              <w:pStyle w:val="766"/>
              <w:adjustRightInd w:val="0"/>
              <w:rPr>
                <w:color w:val="auto"/>
              </w:rPr>
            </w:pPr>
            <w:r>
              <w:rPr>
                <w:rFonts w:hint="eastAsia"/>
                <w:color w:val="auto"/>
              </w:rPr>
              <w:t>0</w:t>
            </w:r>
            <w:r>
              <w:rPr>
                <w:color w:val="auto"/>
              </w:rPr>
              <w:t>.0027</w:t>
            </w:r>
          </w:p>
        </w:tc>
        <w:tc>
          <w:tcPr>
            <w:tcW w:w="962" w:type="dxa"/>
            <w:vAlign w:val="center"/>
          </w:tcPr>
          <w:p w14:paraId="07F403EF">
            <w:pPr>
              <w:pStyle w:val="766"/>
              <w:rPr>
                <w:color w:val="auto"/>
              </w:rPr>
            </w:pPr>
            <w:r>
              <w:rPr>
                <w:rFonts w:hint="eastAsia"/>
                <w:color w:val="auto"/>
              </w:rPr>
              <w:t>0</w:t>
            </w:r>
            <w:r>
              <w:rPr>
                <w:color w:val="auto"/>
              </w:rPr>
              <w:t>.0003</w:t>
            </w:r>
          </w:p>
        </w:tc>
        <w:tc>
          <w:tcPr>
            <w:tcW w:w="1102" w:type="dxa"/>
            <w:vAlign w:val="center"/>
          </w:tcPr>
          <w:p w14:paraId="0E1EEEC4">
            <w:pPr>
              <w:pStyle w:val="766"/>
              <w:rPr>
                <w:color w:val="auto"/>
              </w:rPr>
            </w:pPr>
            <w:r>
              <w:rPr>
                <w:rFonts w:hint="eastAsia"/>
                <w:color w:val="auto"/>
              </w:rPr>
              <w:t>0</w:t>
            </w:r>
            <w:r>
              <w:rPr>
                <w:color w:val="auto"/>
              </w:rPr>
              <w:t>.0003</w:t>
            </w:r>
          </w:p>
        </w:tc>
      </w:tr>
      <w:tr w14:paraId="7731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0F16CABE">
            <w:pPr>
              <w:pStyle w:val="369"/>
              <w:adjustRightInd w:val="0"/>
              <w:snapToGrid w:val="0"/>
              <w:rPr>
                <w:b w:val="0"/>
                <w:bCs/>
                <w:sz w:val="21"/>
                <w:szCs w:val="21"/>
              </w:rPr>
            </w:pPr>
          </w:p>
        </w:tc>
        <w:tc>
          <w:tcPr>
            <w:tcW w:w="721" w:type="dxa"/>
            <w:vMerge w:val="continue"/>
            <w:vAlign w:val="center"/>
          </w:tcPr>
          <w:p w14:paraId="1BDE087F">
            <w:pPr>
              <w:pStyle w:val="369"/>
              <w:adjustRightInd w:val="0"/>
              <w:snapToGrid w:val="0"/>
              <w:rPr>
                <w:b w:val="0"/>
                <w:bCs/>
                <w:sz w:val="21"/>
                <w:szCs w:val="21"/>
              </w:rPr>
            </w:pPr>
          </w:p>
        </w:tc>
        <w:tc>
          <w:tcPr>
            <w:tcW w:w="793" w:type="dxa"/>
            <w:gridSpan w:val="2"/>
            <w:vMerge w:val="continue"/>
            <w:vAlign w:val="center"/>
          </w:tcPr>
          <w:p w14:paraId="12D31DD4">
            <w:pPr>
              <w:pStyle w:val="369"/>
              <w:adjustRightInd w:val="0"/>
              <w:snapToGrid w:val="0"/>
              <w:rPr>
                <w:b w:val="0"/>
                <w:bCs/>
                <w:sz w:val="21"/>
                <w:szCs w:val="21"/>
              </w:rPr>
            </w:pPr>
          </w:p>
        </w:tc>
        <w:tc>
          <w:tcPr>
            <w:tcW w:w="719" w:type="dxa"/>
            <w:vAlign w:val="center"/>
          </w:tcPr>
          <w:p w14:paraId="51DCC1CB">
            <w:pPr>
              <w:pStyle w:val="766"/>
              <w:adjustRightInd w:val="0"/>
              <w:rPr>
                <w:color w:val="auto"/>
              </w:rPr>
            </w:pPr>
            <w:r>
              <w:rPr>
                <w:color w:val="auto"/>
              </w:rPr>
              <w:t>H</w:t>
            </w:r>
            <w:r>
              <w:rPr>
                <w:color w:val="auto"/>
                <w:vertAlign w:val="subscript"/>
              </w:rPr>
              <w:t>2</w:t>
            </w:r>
            <w:r>
              <w:rPr>
                <w:color w:val="auto"/>
              </w:rPr>
              <w:t>S</w:t>
            </w:r>
          </w:p>
        </w:tc>
        <w:tc>
          <w:tcPr>
            <w:tcW w:w="825" w:type="dxa"/>
            <w:vAlign w:val="center"/>
          </w:tcPr>
          <w:p w14:paraId="51B1305B">
            <w:pPr>
              <w:pStyle w:val="766"/>
              <w:adjustRightInd w:val="0"/>
              <w:rPr>
                <w:color w:val="auto"/>
              </w:rPr>
            </w:pPr>
            <w:r>
              <w:rPr>
                <w:rFonts w:hint="eastAsia"/>
                <w:color w:val="auto"/>
              </w:rPr>
              <w:t>0</w:t>
            </w:r>
            <w:r>
              <w:rPr>
                <w:color w:val="auto"/>
              </w:rPr>
              <w:t>.0001</w:t>
            </w:r>
          </w:p>
        </w:tc>
        <w:tc>
          <w:tcPr>
            <w:tcW w:w="838" w:type="dxa"/>
            <w:gridSpan w:val="2"/>
            <w:vAlign w:val="center"/>
          </w:tcPr>
          <w:p w14:paraId="56A4C75C">
            <w:pPr>
              <w:pStyle w:val="766"/>
              <w:adjustRightInd w:val="0"/>
              <w:rPr>
                <w:color w:val="auto"/>
              </w:rPr>
            </w:pPr>
            <w:r>
              <w:rPr>
                <w:rFonts w:hint="eastAsia"/>
                <w:color w:val="auto"/>
              </w:rPr>
              <w:t>0</w:t>
            </w:r>
            <w:r>
              <w:rPr>
                <w:color w:val="auto"/>
              </w:rPr>
              <w:t>.0001</w:t>
            </w:r>
          </w:p>
        </w:tc>
        <w:tc>
          <w:tcPr>
            <w:tcW w:w="966" w:type="dxa"/>
            <w:vAlign w:val="center"/>
          </w:tcPr>
          <w:p w14:paraId="5177D405">
            <w:pPr>
              <w:pStyle w:val="766"/>
              <w:adjustRightInd w:val="0"/>
              <w:rPr>
                <w:color w:val="auto"/>
              </w:rPr>
            </w:pPr>
            <w:r>
              <w:rPr>
                <w:rFonts w:hint="eastAsia"/>
                <w:color w:val="auto"/>
              </w:rPr>
              <w:t>/</w:t>
            </w:r>
          </w:p>
        </w:tc>
        <w:tc>
          <w:tcPr>
            <w:tcW w:w="1068" w:type="dxa"/>
            <w:vAlign w:val="center"/>
          </w:tcPr>
          <w:p w14:paraId="2794F8CC">
            <w:pPr>
              <w:pStyle w:val="766"/>
              <w:adjustRightInd w:val="0"/>
              <w:rPr>
                <w:color w:val="auto"/>
              </w:rPr>
            </w:pPr>
            <w:r>
              <w:rPr>
                <w:rFonts w:hint="eastAsia"/>
                <w:color w:val="auto"/>
              </w:rPr>
              <w:t>0</w:t>
            </w:r>
            <w:r>
              <w:rPr>
                <w:color w:val="auto"/>
              </w:rPr>
              <w:t>.00001</w:t>
            </w:r>
          </w:p>
        </w:tc>
        <w:tc>
          <w:tcPr>
            <w:tcW w:w="816" w:type="dxa"/>
            <w:vAlign w:val="center"/>
          </w:tcPr>
          <w:p w14:paraId="0B40B3A3">
            <w:pPr>
              <w:pStyle w:val="766"/>
              <w:adjustRightInd w:val="0"/>
              <w:rPr>
                <w:color w:val="auto"/>
              </w:rPr>
            </w:pPr>
            <w:r>
              <w:rPr>
                <w:rFonts w:hint="eastAsia"/>
                <w:color w:val="auto"/>
              </w:rPr>
              <w:t>0</w:t>
            </w:r>
            <w:r>
              <w:rPr>
                <w:color w:val="auto"/>
              </w:rPr>
              <w:t>.0001</w:t>
            </w:r>
          </w:p>
        </w:tc>
        <w:tc>
          <w:tcPr>
            <w:tcW w:w="962" w:type="dxa"/>
            <w:vAlign w:val="center"/>
          </w:tcPr>
          <w:p w14:paraId="08D4CECA">
            <w:pPr>
              <w:pStyle w:val="766"/>
              <w:rPr>
                <w:color w:val="auto"/>
              </w:rPr>
            </w:pPr>
            <w:r>
              <w:rPr>
                <w:rFonts w:hint="eastAsia"/>
                <w:color w:val="auto"/>
              </w:rPr>
              <w:t>0</w:t>
            </w:r>
            <w:r>
              <w:rPr>
                <w:color w:val="auto"/>
              </w:rPr>
              <w:t>.00001</w:t>
            </w:r>
          </w:p>
        </w:tc>
        <w:tc>
          <w:tcPr>
            <w:tcW w:w="1102" w:type="dxa"/>
            <w:vAlign w:val="center"/>
          </w:tcPr>
          <w:p w14:paraId="3CC474D2">
            <w:pPr>
              <w:pStyle w:val="766"/>
              <w:rPr>
                <w:color w:val="auto"/>
              </w:rPr>
            </w:pPr>
            <w:r>
              <w:rPr>
                <w:rFonts w:hint="eastAsia"/>
                <w:color w:val="auto"/>
              </w:rPr>
              <w:t>0</w:t>
            </w:r>
            <w:r>
              <w:rPr>
                <w:color w:val="auto"/>
              </w:rPr>
              <w:t>.00001</w:t>
            </w:r>
          </w:p>
        </w:tc>
      </w:tr>
      <w:tr w14:paraId="416B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3EC5E157">
            <w:pPr>
              <w:pStyle w:val="369"/>
              <w:adjustRightInd w:val="0"/>
              <w:snapToGrid w:val="0"/>
              <w:rPr>
                <w:b w:val="0"/>
                <w:bCs/>
                <w:sz w:val="21"/>
                <w:szCs w:val="21"/>
              </w:rPr>
            </w:pPr>
          </w:p>
        </w:tc>
        <w:tc>
          <w:tcPr>
            <w:tcW w:w="721" w:type="dxa"/>
            <w:vMerge w:val="continue"/>
            <w:vAlign w:val="center"/>
          </w:tcPr>
          <w:p w14:paraId="7A8DFF83">
            <w:pPr>
              <w:pStyle w:val="369"/>
              <w:adjustRightInd w:val="0"/>
              <w:snapToGrid w:val="0"/>
              <w:rPr>
                <w:b w:val="0"/>
                <w:bCs/>
                <w:sz w:val="21"/>
                <w:szCs w:val="21"/>
              </w:rPr>
            </w:pPr>
          </w:p>
        </w:tc>
        <w:tc>
          <w:tcPr>
            <w:tcW w:w="793" w:type="dxa"/>
            <w:gridSpan w:val="2"/>
            <w:vMerge w:val="continue"/>
            <w:vAlign w:val="center"/>
          </w:tcPr>
          <w:p w14:paraId="6C9CD58D">
            <w:pPr>
              <w:pStyle w:val="369"/>
              <w:adjustRightInd w:val="0"/>
              <w:snapToGrid w:val="0"/>
              <w:rPr>
                <w:b w:val="0"/>
                <w:bCs/>
                <w:sz w:val="21"/>
                <w:szCs w:val="21"/>
              </w:rPr>
            </w:pPr>
          </w:p>
        </w:tc>
        <w:tc>
          <w:tcPr>
            <w:tcW w:w="719" w:type="dxa"/>
            <w:vAlign w:val="center"/>
          </w:tcPr>
          <w:p w14:paraId="196C8329">
            <w:pPr>
              <w:pStyle w:val="766"/>
              <w:adjustRightInd w:val="0"/>
              <w:rPr>
                <w:color w:val="auto"/>
              </w:rPr>
            </w:pPr>
            <w:r>
              <w:rPr>
                <w:color w:val="auto"/>
              </w:rPr>
              <w:t>臭气浓度</w:t>
            </w:r>
          </w:p>
        </w:tc>
        <w:tc>
          <w:tcPr>
            <w:tcW w:w="825" w:type="dxa"/>
            <w:vAlign w:val="center"/>
          </w:tcPr>
          <w:p w14:paraId="7C3303F6">
            <w:pPr>
              <w:pStyle w:val="766"/>
              <w:adjustRightInd w:val="0"/>
              <w:rPr>
                <w:color w:val="auto"/>
              </w:rPr>
            </w:pPr>
            <w:r>
              <w:rPr>
                <w:color w:val="auto"/>
              </w:rPr>
              <w:t>90</w:t>
            </w:r>
            <w:r>
              <w:rPr>
                <w:rFonts w:hint="eastAsia"/>
                <w:color w:val="auto"/>
              </w:rPr>
              <w:t>(</w:t>
            </w:r>
            <w:r>
              <w:rPr>
                <w:color w:val="auto"/>
              </w:rPr>
              <w:t>无量纲</w:t>
            </w:r>
            <w:r>
              <w:rPr>
                <w:rFonts w:hint="eastAsia"/>
                <w:color w:val="auto"/>
              </w:rPr>
              <w:t>)</w:t>
            </w:r>
          </w:p>
        </w:tc>
        <w:tc>
          <w:tcPr>
            <w:tcW w:w="838" w:type="dxa"/>
            <w:gridSpan w:val="2"/>
            <w:vAlign w:val="center"/>
          </w:tcPr>
          <w:p w14:paraId="4EF68F6C">
            <w:pPr>
              <w:pStyle w:val="766"/>
              <w:adjustRightInd w:val="0"/>
              <w:rPr>
                <w:color w:val="auto"/>
              </w:rPr>
            </w:pPr>
            <w:r>
              <w:rPr>
                <w:color w:val="auto"/>
              </w:rPr>
              <w:t>＜30</w:t>
            </w:r>
          </w:p>
          <w:p w14:paraId="6AB9C436">
            <w:pPr>
              <w:pStyle w:val="766"/>
              <w:adjustRightInd w:val="0"/>
              <w:rPr>
                <w:color w:val="auto"/>
              </w:rPr>
            </w:pPr>
            <w:r>
              <w:rPr>
                <w:rFonts w:hint="eastAsia"/>
                <w:color w:val="auto"/>
              </w:rPr>
              <w:t>(</w:t>
            </w:r>
            <w:r>
              <w:rPr>
                <w:color w:val="auto"/>
              </w:rPr>
              <w:t>无量纲</w:t>
            </w:r>
            <w:r>
              <w:rPr>
                <w:rFonts w:hint="eastAsia"/>
                <w:color w:val="auto"/>
              </w:rPr>
              <w:t>)</w:t>
            </w:r>
          </w:p>
        </w:tc>
        <w:tc>
          <w:tcPr>
            <w:tcW w:w="966" w:type="dxa"/>
            <w:vAlign w:val="center"/>
          </w:tcPr>
          <w:p w14:paraId="59F861F6">
            <w:pPr>
              <w:pStyle w:val="766"/>
              <w:adjustRightInd w:val="0"/>
              <w:rPr>
                <w:color w:val="auto"/>
              </w:rPr>
            </w:pPr>
            <w:r>
              <w:rPr>
                <w:color w:val="auto"/>
              </w:rPr>
              <w:t>/</w:t>
            </w:r>
          </w:p>
        </w:tc>
        <w:tc>
          <w:tcPr>
            <w:tcW w:w="1068" w:type="dxa"/>
            <w:vAlign w:val="center"/>
          </w:tcPr>
          <w:p w14:paraId="7CFF7C75">
            <w:pPr>
              <w:pStyle w:val="766"/>
              <w:adjustRightInd w:val="0"/>
              <w:rPr>
                <w:color w:val="auto"/>
              </w:rPr>
            </w:pPr>
            <w:r>
              <w:rPr>
                <w:color w:val="auto"/>
              </w:rPr>
              <w:t>/</w:t>
            </w:r>
          </w:p>
        </w:tc>
        <w:tc>
          <w:tcPr>
            <w:tcW w:w="816" w:type="dxa"/>
            <w:vAlign w:val="center"/>
          </w:tcPr>
          <w:p w14:paraId="33C99B75">
            <w:pPr>
              <w:pStyle w:val="766"/>
              <w:adjustRightInd w:val="0"/>
              <w:rPr>
                <w:color w:val="auto"/>
              </w:rPr>
            </w:pPr>
            <w:r>
              <w:rPr>
                <w:color w:val="auto"/>
              </w:rPr>
              <w:t>90</w:t>
            </w:r>
            <w:r>
              <w:rPr>
                <w:rFonts w:hint="eastAsia"/>
                <w:color w:val="auto"/>
              </w:rPr>
              <w:t>(</w:t>
            </w:r>
            <w:r>
              <w:rPr>
                <w:color w:val="auto"/>
              </w:rPr>
              <w:t>无量纲</w:t>
            </w:r>
            <w:r>
              <w:rPr>
                <w:rFonts w:hint="eastAsia"/>
                <w:color w:val="auto"/>
              </w:rPr>
              <w:t>)</w:t>
            </w:r>
          </w:p>
        </w:tc>
        <w:tc>
          <w:tcPr>
            <w:tcW w:w="962" w:type="dxa"/>
            <w:vAlign w:val="center"/>
          </w:tcPr>
          <w:p w14:paraId="446FD097">
            <w:pPr>
              <w:pStyle w:val="766"/>
              <w:rPr>
                <w:color w:val="auto"/>
              </w:rPr>
            </w:pPr>
            <w:r>
              <w:rPr>
                <w:color w:val="auto"/>
              </w:rPr>
              <w:t>/</w:t>
            </w:r>
          </w:p>
        </w:tc>
        <w:tc>
          <w:tcPr>
            <w:tcW w:w="1102" w:type="dxa"/>
            <w:vAlign w:val="center"/>
          </w:tcPr>
          <w:p w14:paraId="7C5824D5">
            <w:pPr>
              <w:pStyle w:val="766"/>
              <w:rPr>
                <w:color w:val="auto"/>
              </w:rPr>
            </w:pPr>
            <w:r>
              <w:rPr>
                <w:color w:val="auto"/>
              </w:rPr>
              <w:t>/</w:t>
            </w:r>
          </w:p>
        </w:tc>
      </w:tr>
      <w:tr w14:paraId="08AA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28B76D2C">
            <w:pPr>
              <w:pStyle w:val="369"/>
              <w:adjustRightInd w:val="0"/>
              <w:snapToGrid w:val="0"/>
              <w:rPr>
                <w:b w:val="0"/>
                <w:bCs/>
                <w:sz w:val="21"/>
                <w:szCs w:val="21"/>
              </w:rPr>
            </w:pPr>
          </w:p>
        </w:tc>
        <w:tc>
          <w:tcPr>
            <w:tcW w:w="721" w:type="dxa"/>
            <w:vAlign w:val="center"/>
          </w:tcPr>
          <w:p w14:paraId="3FE46A95">
            <w:pPr>
              <w:pStyle w:val="369"/>
              <w:adjustRightInd w:val="0"/>
              <w:snapToGrid w:val="0"/>
              <w:rPr>
                <w:b w:val="0"/>
                <w:bCs/>
                <w:sz w:val="21"/>
                <w:szCs w:val="21"/>
              </w:rPr>
            </w:pPr>
            <w:r>
              <w:rPr>
                <w:b w:val="0"/>
                <w:bCs/>
                <w:spacing w:val="4"/>
                <w:sz w:val="21"/>
                <w:szCs w:val="21"/>
              </w:rPr>
              <w:t>饲料加工车间</w:t>
            </w:r>
          </w:p>
        </w:tc>
        <w:tc>
          <w:tcPr>
            <w:tcW w:w="793" w:type="dxa"/>
            <w:gridSpan w:val="2"/>
            <w:vAlign w:val="center"/>
          </w:tcPr>
          <w:p w14:paraId="4ECF23D8">
            <w:pPr>
              <w:pStyle w:val="369"/>
              <w:adjustRightInd w:val="0"/>
              <w:snapToGrid w:val="0"/>
              <w:rPr>
                <w:b w:val="0"/>
                <w:bCs/>
                <w:sz w:val="21"/>
                <w:szCs w:val="21"/>
              </w:rPr>
            </w:pPr>
            <w:r>
              <w:rPr>
                <w:rFonts w:hint="eastAsia"/>
                <w:b w:val="0"/>
                <w:bCs/>
                <w:sz w:val="21"/>
                <w:szCs w:val="21"/>
              </w:rPr>
              <w:t>有组织</w:t>
            </w:r>
          </w:p>
        </w:tc>
        <w:tc>
          <w:tcPr>
            <w:tcW w:w="719" w:type="dxa"/>
            <w:vAlign w:val="center"/>
          </w:tcPr>
          <w:p w14:paraId="1A38C456">
            <w:pPr>
              <w:pStyle w:val="766"/>
              <w:adjustRightInd w:val="0"/>
              <w:rPr>
                <w:color w:val="auto"/>
              </w:rPr>
            </w:pPr>
            <w:r>
              <w:rPr>
                <w:rFonts w:hint="eastAsia"/>
                <w:color w:val="auto"/>
              </w:rPr>
              <w:t>PM</w:t>
            </w:r>
            <w:r>
              <w:rPr>
                <w:rFonts w:hint="eastAsia"/>
                <w:color w:val="auto"/>
                <w:vertAlign w:val="subscript"/>
              </w:rPr>
              <w:t>10</w:t>
            </w:r>
          </w:p>
        </w:tc>
        <w:tc>
          <w:tcPr>
            <w:tcW w:w="825" w:type="dxa"/>
            <w:vAlign w:val="center"/>
          </w:tcPr>
          <w:p w14:paraId="39F3CE2F">
            <w:pPr>
              <w:pStyle w:val="766"/>
              <w:adjustRightInd w:val="0"/>
              <w:rPr>
                <w:color w:val="auto"/>
              </w:rPr>
            </w:pPr>
            <w:r>
              <w:rPr>
                <w:rFonts w:hint="eastAsia"/>
                <w:color w:val="auto"/>
              </w:rPr>
              <w:t>2</w:t>
            </w:r>
            <w:r>
              <w:rPr>
                <w:color w:val="auto"/>
              </w:rPr>
              <w:t>.242</w:t>
            </w:r>
          </w:p>
        </w:tc>
        <w:tc>
          <w:tcPr>
            <w:tcW w:w="838" w:type="dxa"/>
            <w:gridSpan w:val="2"/>
            <w:vAlign w:val="center"/>
          </w:tcPr>
          <w:p w14:paraId="5DA05690">
            <w:pPr>
              <w:pStyle w:val="766"/>
              <w:adjustRightInd w:val="0"/>
              <w:rPr>
                <w:color w:val="auto"/>
              </w:rPr>
            </w:pPr>
            <w:r>
              <w:rPr>
                <w:rFonts w:hint="eastAsia"/>
                <w:color w:val="auto"/>
              </w:rPr>
              <w:t>0</w:t>
            </w:r>
            <w:r>
              <w:rPr>
                <w:color w:val="auto"/>
              </w:rPr>
              <w:t>.0224</w:t>
            </w:r>
          </w:p>
        </w:tc>
        <w:tc>
          <w:tcPr>
            <w:tcW w:w="966" w:type="dxa"/>
            <w:vAlign w:val="center"/>
          </w:tcPr>
          <w:p w14:paraId="20120CCD">
            <w:pPr>
              <w:pStyle w:val="766"/>
              <w:adjustRightInd w:val="0"/>
              <w:rPr>
                <w:color w:val="auto"/>
              </w:rPr>
            </w:pPr>
            <w:r>
              <w:rPr>
                <w:rFonts w:hint="eastAsia"/>
                <w:color w:val="auto"/>
              </w:rPr>
              <w:t>0</w:t>
            </w:r>
            <w:r>
              <w:rPr>
                <w:color w:val="auto"/>
              </w:rPr>
              <w:t>.00934</w:t>
            </w:r>
          </w:p>
        </w:tc>
        <w:tc>
          <w:tcPr>
            <w:tcW w:w="1068" w:type="dxa"/>
            <w:vAlign w:val="center"/>
          </w:tcPr>
          <w:p w14:paraId="70C6E8B2">
            <w:pPr>
              <w:pStyle w:val="766"/>
              <w:adjustRightInd w:val="0"/>
              <w:rPr>
                <w:color w:val="auto"/>
              </w:rPr>
            </w:pPr>
            <w:r>
              <w:rPr>
                <w:rFonts w:hint="eastAsia"/>
                <w:color w:val="auto"/>
              </w:rPr>
              <w:t>2</w:t>
            </w:r>
            <w:r>
              <w:rPr>
                <w:color w:val="auto"/>
              </w:rPr>
              <w:t>.34</w:t>
            </w:r>
          </w:p>
        </w:tc>
        <w:tc>
          <w:tcPr>
            <w:tcW w:w="816" w:type="dxa"/>
            <w:vAlign w:val="center"/>
          </w:tcPr>
          <w:p w14:paraId="2AFC897A">
            <w:pPr>
              <w:pStyle w:val="766"/>
              <w:adjustRightInd w:val="0"/>
              <w:rPr>
                <w:color w:val="auto"/>
              </w:rPr>
            </w:pPr>
            <w:r>
              <w:rPr>
                <w:rFonts w:hint="eastAsia"/>
                <w:color w:val="auto"/>
              </w:rPr>
              <w:t>2</w:t>
            </w:r>
            <w:r>
              <w:rPr>
                <w:color w:val="auto"/>
              </w:rPr>
              <w:t>.242</w:t>
            </w:r>
          </w:p>
        </w:tc>
        <w:tc>
          <w:tcPr>
            <w:tcW w:w="962" w:type="dxa"/>
            <w:vAlign w:val="center"/>
          </w:tcPr>
          <w:p w14:paraId="427D4FA9">
            <w:pPr>
              <w:pStyle w:val="766"/>
              <w:rPr>
                <w:color w:val="auto"/>
              </w:rPr>
            </w:pPr>
            <w:r>
              <w:rPr>
                <w:rFonts w:hint="eastAsia"/>
                <w:color w:val="auto"/>
              </w:rPr>
              <w:t>0</w:t>
            </w:r>
            <w:r>
              <w:rPr>
                <w:color w:val="auto"/>
              </w:rPr>
              <w:t>.934</w:t>
            </w:r>
          </w:p>
        </w:tc>
        <w:tc>
          <w:tcPr>
            <w:tcW w:w="1102" w:type="dxa"/>
            <w:vAlign w:val="center"/>
          </w:tcPr>
          <w:p w14:paraId="34B999AD">
            <w:pPr>
              <w:pStyle w:val="766"/>
              <w:rPr>
                <w:color w:val="auto"/>
              </w:rPr>
            </w:pPr>
            <w:r>
              <w:rPr>
                <w:rFonts w:hint="eastAsia"/>
                <w:color w:val="auto"/>
              </w:rPr>
              <w:t>2</w:t>
            </w:r>
            <w:r>
              <w:rPr>
                <w:color w:val="auto"/>
              </w:rPr>
              <w:t>33.5</w:t>
            </w:r>
          </w:p>
        </w:tc>
      </w:tr>
      <w:tr w14:paraId="47FD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387" w:type="dxa"/>
            <w:vMerge w:val="continue"/>
            <w:vAlign w:val="center"/>
          </w:tcPr>
          <w:p w14:paraId="2D9A52EF">
            <w:pPr>
              <w:pStyle w:val="369"/>
              <w:adjustRightInd w:val="0"/>
              <w:snapToGrid w:val="0"/>
              <w:rPr>
                <w:b w:val="0"/>
                <w:bCs/>
                <w:sz w:val="21"/>
                <w:szCs w:val="21"/>
              </w:rPr>
            </w:pPr>
          </w:p>
        </w:tc>
        <w:tc>
          <w:tcPr>
            <w:tcW w:w="721" w:type="dxa"/>
            <w:vMerge w:val="restart"/>
            <w:vAlign w:val="center"/>
          </w:tcPr>
          <w:p w14:paraId="2307E23E">
            <w:pPr>
              <w:pStyle w:val="766"/>
              <w:adjustRightInd w:val="0"/>
              <w:rPr>
                <w:bCs/>
                <w:color w:val="auto"/>
                <w:spacing w:val="4"/>
              </w:rPr>
            </w:pPr>
            <w:r>
              <w:rPr>
                <w:rFonts w:hint="eastAsia"/>
                <w:bCs/>
                <w:color w:val="auto"/>
                <w:spacing w:val="4"/>
              </w:rPr>
              <w:t>燃气锅炉（两用一备，以DA004、DA005表示）</w:t>
            </w:r>
          </w:p>
        </w:tc>
        <w:tc>
          <w:tcPr>
            <w:tcW w:w="793" w:type="dxa"/>
            <w:gridSpan w:val="2"/>
            <w:vMerge w:val="restart"/>
            <w:vAlign w:val="center"/>
          </w:tcPr>
          <w:p w14:paraId="2AAB2597">
            <w:pPr>
              <w:pStyle w:val="766"/>
              <w:adjustRightInd w:val="0"/>
              <w:rPr>
                <w:bCs/>
                <w:color w:val="auto"/>
              </w:rPr>
            </w:pPr>
            <w:r>
              <w:rPr>
                <w:color w:val="auto"/>
              </w:rPr>
              <w:t>有组织（DA00</w:t>
            </w:r>
            <w:r>
              <w:rPr>
                <w:rFonts w:hint="eastAsia"/>
                <w:color w:val="auto"/>
              </w:rPr>
              <w:t>4</w:t>
            </w:r>
            <w:r>
              <w:rPr>
                <w:color w:val="auto"/>
              </w:rPr>
              <w:t>）</w:t>
            </w:r>
          </w:p>
        </w:tc>
        <w:tc>
          <w:tcPr>
            <w:tcW w:w="719" w:type="dxa"/>
            <w:vAlign w:val="center"/>
          </w:tcPr>
          <w:p w14:paraId="7AE02289">
            <w:pPr>
              <w:pStyle w:val="766"/>
              <w:adjustRightInd w:val="0"/>
              <w:rPr>
                <w:color w:val="auto"/>
              </w:rPr>
            </w:pPr>
            <w:r>
              <w:rPr>
                <w:color w:val="auto"/>
              </w:rPr>
              <w:t>颗粒物</w:t>
            </w:r>
          </w:p>
        </w:tc>
        <w:tc>
          <w:tcPr>
            <w:tcW w:w="825" w:type="dxa"/>
            <w:vAlign w:val="center"/>
          </w:tcPr>
          <w:p w14:paraId="15570500">
            <w:pPr>
              <w:pStyle w:val="766"/>
              <w:adjustRightInd w:val="0"/>
              <w:rPr>
                <w:color w:val="auto"/>
              </w:rPr>
            </w:pPr>
            <w:r>
              <w:rPr>
                <w:rFonts w:hint="eastAsia"/>
                <w:color w:val="auto"/>
              </w:rPr>
              <w:t>0.036</w:t>
            </w:r>
          </w:p>
        </w:tc>
        <w:tc>
          <w:tcPr>
            <w:tcW w:w="838" w:type="dxa"/>
            <w:gridSpan w:val="2"/>
            <w:vAlign w:val="center"/>
          </w:tcPr>
          <w:p w14:paraId="25EFE334">
            <w:pPr>
              <w:pStyle w:val="766"/>
              <w:adjustRightInd w:val="0"/>
              <w:rPr>
                <w:color w:val="auto"/>
              </w:rPr>
            </w:pPr>
            <w:r>
              <w:rPr>
                <w:rFonts w:hint="eastAsia"/>
                <w:color w:val="auto"/>
              </w:rPr>
              <w:t>0.036</w:t>
            </w:r>
          </w:p>
        </w:tc>
        <w:tc>
          <w:tcPr>
            <w:tcW w:w="966" w:type="dxa"/>
            <w:vAlign w:val="center"/>
          </w:tcPr>
          <w:p w14:paraId="7BAB9884">
            <w:pPr>
              <w:pStyle w:val="766"/>
              <w:adjustRightInd w:val="0"/>
              <w:rPr>
                <w:color w:val="auto"/>
              </w:rPr>
            </w:pPr>
            <w:r>
              <w:rPr>
                <w:rFonts w:hint="eastAsia"/>
                <w:color w:val="auto"/>
              </w:rPr>
              <w:t>0.019</w:t>
            </w:r>
          </w:p>
        </w:tc>
        <w:tc>
          <w:tcPr>
            <w:tcW w:w="1068" w:type="dxa"/>
            <w:vAlign w:val="center"/>
          </w:tcPr>
          <w:p w14:paraId="0EA57F79">
            <w:pPr>
              <w:pStyle w:val="766"/>
              <w:adjustRightInd w:val="0"/>
              <w:rPr>
                <w:color w:val="auto"/>
              </w:rPr>
            </w:pPr>
            <w:r>
              <w:rPr>
                <w:rFonts w:hint="eastAsia"/>
                <w:color w:val="auto"/>
              </w:rPr>
              <w:t>10.14</w:t>
            </w:r>
          </w:p>
        </w:tc>
        <w:tc>
          <w:tcPr>
            <w:tcW w:w="816" w:type="dxa"/>
            <w:vAlign w:val="center"/>
          </w:tcPr>
          <w:p w14:paraId="3E0D94E5">
            <w:pPr>
              <w:pStyle w:val="766"/>
              <w:adjustRightInd w:val="0"/>
              <w:rPr>
                <w:color w:val="auto"/>
              </w:rPr>
            </w:pPr>
            <w:r>
              <w:rPr>
                <w:rFonts w:hint="eastAsia"/>
                <w:color w:val="auto"/>
              </w:rPr>
              <w:t>0.036</w:t>
            </w:r>
          </w:p>
        </w:tc>
        <w:tc>
          <w:tcPr>
            <w:tcW w:w="962" w:type="dxa"/>
            <w:vAlign w:val="center"/>
          </w:tcPr>
          <w:p w14:paraId="19A51B85">
            <w:pPr>
              <w:pStyle w:val="766"/>
              <w:rPr>
                <w:color w:val="auto"/>
              </w:rPr>
            </w:pPr>
            <w:r>
              <w:rPr>
                <w:rFonts w:hint="eastAsia"/>
                <w:color w:val="auto"/>
              </w:rPr>
              <w:t>0.019</w:t>
            </w:r>
          </w:p>
        </w:tc>
        <w:tc>
          <w:tcPr>
            <w:tcW w:w="1102" w:type="dxa"/>
            <w:vAlign w:val="center"/>
          </w:tcPr>
          <w:p w14:paraId="52B0B990">
            <w:pPr>
              <w:pStyle w:val="766"/>
              <w:rPr>
                <w:color w:val="auto"/>
              </w:rPr>
            </w:pPr>
            <w:r>
              <w:rPr>
                <w:rFonts w:hint="eastAsia"/>
                <w:color w:val="auto"/>
              </w:rPr>
              <w:t>10.14</w:t>
            </w:r>
          </w:p>
        </w:tc>
      </w:tr>
      <w:tr w14:paraId="58E7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387" w:type="dxa"/>
            <w:vMerge w:val="continue"/>
            <w:vAlign w:val="center"/>
          </w:tcPr>
          <w:p w14:paraId="6515C243">
            <w:pPr>
              <w:pStyle w:val="369"/>
              <w:adjustRightInd w:val="0"/>
              <w:snapToGrid w:val="0"/>
              <w:rPr>
                <w:b w:val="0"/>
                <w:bCs/>
                <w:sz w:val="21"/>
                <w:szCs w:val="21"/>
              </w:rPr>
            </w:pPr>
          </w:p>
        </w:tc>
        <w:tc>
          <w:tcPr>
            <w:tcW w:w="721" w:type="dxa"/>
            <w:vMerge w:val="continue"/>
            <w:vAlign w:val="center"/>
          </w:tcPr>
          <w:p w14:paraId="188152CE">
            <w:pPr>
              <w:pStyle w:val="766"/>
              <w:adjustRightInd w:val="0"/>
              <w:rPr>
                <w:bCs/>
                <w:color w:val="auto"/>
                <w:spacing w:val="4"/>
              </w:rPr>
            </w:pPr>
          </w:p>
        </w:tc>
        <w:tc>
          <w:tcPr>
            <w:tcW w:w="793" w:type="dxa"/>
            <w:gridSpan w:val="2"/>
            <w:vMerge w:val="continue"/>
            <w:vAlign w:val="center"/>
          </w:tcPr>
          <w:p w14:paraId="420ED795">
            <w:pPr>
              <w:pStyle w:val="369"/>
              <w:adjustRightInd w:val="0"/>
              <w:snapToGrid w:val="0"/>
              <w:rPr>
                <w:b w:val="0"/>
                <w:bCs/>
                <w:sz w:val="21"/>
                <w:szCs w:val="21"/>
              </w:rPr>
            </w:pPr>
          </w:p>
        </w:tc>
        <w:tc>
          <w:tcPr>
            <w:tcW w:w="719" w:type="dxa"/>
            <w:vAlign w:val="center"/>
          </w:tcPr>
          <w:p w14:paraId="3B45BE22">
            <w:pPr>
              <w:pStyle w:val="766"/>
              <w:adjustRightInd w:val="0"/>
              <w:rPr>
                <w:color w:val="auto"/>
              </w:rPr>
            </w:pPr>
            <w:r>
              <w:rPr>
                <w:color w:val="auto"/>
              </w:rPr>
              <w:t>SO</w:t>
            </w:r>
            <w:r>
              <w:rPr>
                <w:color w:val="auto"/>
                <w:vertAlign w:val="subscript"/>
              </w:rPr>
              <w:t>2</w:t>
            </w:r>
          </w:p>
        </w:tc>
        <w:tc>
          <w:tcPr>
            <w:tcW w:w="825" w:type="dxa"/>
            <w:vAlign w:val="center"/>
          </w:tcPr>
          <w:p w14:paraId="44BC77D2">
            <w:pPr>
              <w:pStyle w:val="766"/>
              <w:adjustRightInd w:val="0"/>
              <w:rPr>
                <w:color w:val="auto"/>
              </w:rPr>
            </w:pPr>
            <w:r>
              <w:rPr>
                <w:rFonts w:hint="eastAsia"/>
                <w:color w:val="auto"/>
              </w:rPr>
              <w:t>0</w:t>
            </w:r>
          </w:p>
        </w:tc>
        <w:tc>
          <w:tcPr>
            <w:tcW w:w="838" w:type="dxa"/>
            <w:gridSpan w:val="2"/>
            <w:vAlign w:val="center"/>
          </w:tcPr>
          <w:p w14:paraId="62EFDA3A">
            <w:pPr>
              <w:pStyle w:val="766"/>
              <w:adjustRightInd w:val="0"/>
              <w:rPr>
                <w:color w:val="auto"/>
              </w:rPr>
            </w:pPr>
            <w:r>
              <w:rPr>
                <w:rFonts w:hint="eastAsia"/>
                <w:color w:val="auto"/>
              </w:rPr>
              <w:t>0</w:t>
            </w:r>
          </w:p>
        </w:tc>
        <w:tc>
          <w:tcPr>
            <w:tcW w:w="966" w:type="dxa"/>
            <w:vAlign w:val="center"/>
          </w:tcPr>
          <w:p w14:paraId="57071E9B">
            <w:pPr>
              <w:pStyle w:val="766"/>
              <w:adjustRightInd w:val="0"/>
              <w:rPr>
                <w:color w:val="auto"/>
                <w:szCs w:val="24"/>
              </w:rPr>
            </w:pPr>
            <w:r>
              <w:rPr>
                <w:rFonts w:hint="eastAsia"/>
                <w:color w:val="auto"/>
                <w:szCs w:val="24"/>
              </w:rPr>
              <w:t>0</w:t>
            </w:r>
          </w:p>
        </w:tc>
        <w:tc>
          <w:tcPr>
            <w:tcW w:w="1068" w:type="dxa"/>
            <w:vAlign w:val="center"/>
          </w:tcPr>
          <w:p w14:paraId="595C752A">
            <w:pPr>
              <w:pStyle w:val="766"/>
              <w:adjustRightInd w:val="0"/>
              <w:rPr>
                <w:color w:val="auto"/>
                <w:szCs w:val="24"/>
              </w:rPr>
            </w:pPr>
            <w:r>
              <w:rPr>
                <w:rFonts w:hint="eastAsia"/>
                <w:color w:val="auto"/>
                <w:szCs w:val="24"/>
              </w:rPr>
              <w:t>0</w:t>
            </w:r>
          </w:p>
        </w:tc>
        <w:tc>
          <w:tcPr>
            <w:tcW w:w="816" w:type="dxa"/>
            <w:vAlign w:val="center"/>
          </w:tcPr>
          <w:p w14:paraId="07267B21">
            <w:pPr>
              <w:pStyle w:val="766"/>
              <w:adjustRightInd w:val="0"/>
              <w:rPr>
                <w:color w:val="auto"/>
              </w:rPr>
            </w:pPr>
            <w:r>
              <w:rPr>
                <w:rFonts w:hint="eastAsia"/>
                <w:color w:val="auto"/>
              </w:rPr>
              <w:t>0</w:t>
            </w:r>
          </w:p>
        </w:tc>
        <w:tc>
          <w:tcPr>
            <w:tcW w:w="962" w:type="dxa"/>
            <w:vAlign w:val="center"/>
          </w:tcPr>
          <w:p w14:paraId="0EC35122">
            <w:pPr>
              <w:pStyle w:val="766"/>
              <w:rPr>
                <w:color w:val="auto"/>
                <w:szCs w:val="24"/>
              </w:rPr>
            </w:pPr>
            <w:r>
              <w:rPr>
                <w:rFonts w:hint="eastAsia"/>
                <w:color w:val="auto"/>
                <w:szCs w:val="24"/>
              </w:rPr>
              <w:t>0</w:t>
            </w:r>
          </w:p>
        </w:tc>
        <w:tc>
          <w:tcPr>
            <w:tcW w:w="1102" w:type="dxa"/>
            <w:vAlign w:val="center"/>
          </w:tcPr>
          <w:p w14:paraId="6119BF93">
            <w:pPr>
              <w:pStyle w:val="766"/>
              <w:rPr>
                <w:color w:val="auto"/>
                <w:szCs w:val="24"/>
              </w:rPr>
            </w:pPr>
            <w:r>
              <w:rPr>
                <w:rFonts w:hint="eastAsia"/>
                <w:color w:val="auto"/>
                <w:szCs w:val="24"/>
              </w:rPr>
              <w:t>0</w:t>
            </w:r>
          </w:p>
        </w:tc>
      </w:tr>
      <w:tr w14:paraId="1A3B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387" w:type="dxa"/>
            <w:vMerge w:val="continue"/>
            <w:vAlign w:val="center"/>
          </w:tcPr>
          <w:p w14:paraId="73B2076C">
            <w:pPr>
              <w:pStyle w:val="369"/>
              <w:adjustRightInd w:val="0"/>
              <w:snapToGrid w:val="0"/>
              <w:rPr>
                <w:b w:val="0"/>
                <w:bCs/>
                <w:sz w:val="21"/>
                <w:szCs w:val="21"/>
              </w:rPr>
            </w:pPr>
          </w:p>
        </w:tc>
        <w:tc>
          <w:tcPr>
            <w:tcW w:w="721" w:type="dxa"/>
            <w:vMerge w:val="continue"/>
            <w:vAlign w:val="center"/>
          </w:tcPr>
          <w:p w14:paraId="041005A6">
            <w:pPr>
              <w:pStyle w:val="369"/>
              <w:adjustRightInd w:val="0"/>
              <w:snapToGrid w:val="0"/>
              <w:rPr>
                <w:b w:val="0"/>
                <w:bCs/>
                <w:sz w:val="21"/>
                <w:szCs w:val="21"/>
              </w:rPr>
            </w:pPr>
          </w:p>
        </w:tc>
        <w:tc>
          <w:tcPr>
            <w:tcW w:w="793" w:type="dxa"/>
            <w:gridSpan w:val="2"/>
            <w:vMerge w:val="continue"/>
            <w:vAlign w:val="center"/>
          </w:tcPr>
          <w:p w14:paraId="2BFAD344">
            <w:pPr>
              <w:pStyle w:val="369"/>
              <w:adjustRightInd w:val="0"/>
              <w:snapToGrid w:val="0"/>
              <w:rPr>
                <w:b w:val="0"/>
                <w:bCs/>
                <w:sz w:val="21"/>
                <w:szCs w:val="21"/>
              </w:rPr>
            </w:pPr>
          </w:p>
        </w:tc>
        <w:tc>
          <w:tcPr>
            <w:tcW w:w="719" w:type="dxa"/>
            <w:vAlign w:val="center"/>
          </w:tcPr>
          <w:p w14:paraId="3630CE4E">
            <w:pPr>
              <w:pStyle w:val="766"/>
              <w:adjustRightInd w:val="0"/>
              <w:rPr>
                <w:color w:val="auto"/>
              </w:rPr>
            </w:pPr>
            <w:r>
              <w:rPr>
                <w:color w:val="auto"/>
              </w:rPr>
              <w:t>NO</w:t>
            </w:r>
            <w:r>
              <w:rPr>
                <w:color w:val="auto"/>
                <w:vertAlign w:val="subscript"/>
              </w:rPr>
              <w:t>x</w:t>
            </w:r>
          </w:p>
        </w:tc>
        <w:tc>
          <w:tcPr>
            <w:tcW w:w="825" w:type="dxa"/>
            <w:vAlign w:val="center"/>
          </w:tcPr>
          <w:p w14:paraId="1D2C9087">
            <w:pPr>
              <w:pStyle w:val="766"/>
              <w:adjustRightInd w:val="0"/>
              <w:rPr>
                <w:color w:val="auto"/>
                <w:szCs w:val="24"/>
              </w:rPr>
            </w:pPr>
            <w:r>
              <w:rPr>
                <w:rFonts w:hint="eastAsia"/>
                <w:color w:val="auto"/>
                <w:szCs w:val="24"/>
              </w:rPr>
              <w:t>0.357</w:t>
            </w:r>
          </w:p>
        </w:tc>
        <w:tc>
          <w:tcPr>
            <w:tcW w:w="838" w:type="dxa"/>
            <w:gridSpan w:val="2"/>
            <w:vAlign w:val="center"/>
          </w:tcPr>
          <w:p w14:paraId="4D87F20B">
            <w:pPr>
              <w:pStyle w:val="766"/>
              <w:adjustRightInd w:val="0"/>
              <w:rPr>
                <w:color w:val="auto"/>
                <w:szCs w:val="24"/>
              </w:rPr>
            </w:pPr>
            <w:r>
              <w:rPr>
                <w:rFonts w:hint="eastAsia"/>
                <w:color w:val="auto"/>
                <w:szCs w:val="24"/>
              </w:rPr>
              <w:t>0.357</w:t>
            </w:r>
          </w:p>
        </w:tc>
        <w:tc>
          <w:tcPr>
            <w:tcW w:w="966" w:type="dxa"/>
            <w:vAlign w:val="center"/>
          </w:tcPr>
          <w:p w14:paraId="1A9484C5">
            <w:pPr>
              <w:pStyle w:val="766"/>
              <w:adjustRightInd w:val="0"/>
              <w:rPr>
                <w:color w:val="auto"/>
                <w:szCs w:val="24"/>
              </w:rPr>
            </w:pPr>
            <w:r>
              <w:rPr>
                <w:rFonts w:hint="eastAsia"/>
                <w:color w:val="auto"/>
                <w:szCs w:val="24"/>
              </w:rPr>
              <w:t>0.19</w:t>
            </w:r>
          </w:p>
        </w:tc>
        <w:tc>
          <w:tcPr>
            <w:tcW w:w="1068" w:type="dxa"/>
            <w:vAlign w:val="center"/>
          </w:tcPr>
          <w:p w14:paraId="59DF7F75">
            <w:pPr>
              <w:pStyle w:val="766"/>
              <w:adjustRightInd w:val="0"/>
              <w:rPr>
                <w:color w:val="auto"/>
                <w:szCs w:val="24"/>
              </w:rPr>
            </w:pPr>
            <w:r>
              <w:rPr>
                <w:rFonts w:hint="eastAsia"/>
                <w:color w:val="auto"/>
                <w:szCs w:val="24"/>
              </w:rPr>
              <w:t>100</w:t>
            </w:r>
          </w:p>
        </w:tc>
        <w:tc>
          <w:tcPr>
            <w:tcW w:w="816" w:type="dxa"/>
            <w:vAlign w:val="center"/>
          </w:tcPr>
          <w:p w14:paraId="76AE9CDA">
            <w:pPr>
              <w:pStyle w:val="766"/>
              <w:adjustRightInd w:val="0"/>
              <w:rPr>
                <w:color w:val="auto"/>
                <w:szCs w:val="24"/>
              </w:rPr>
            </w:pPr>
            <w:r>
              <w:rPr>
                <w:rFonts w:hint="eastAsia"/>
                <w:color w:val="auto"/>
                <w:szCs w:val="24"/>
              </w:rPr>
              <w:t>0.357</w:t>
            </w:r>
          </w:p>
        </w:tc>
        <w:tc>
          <w:tcPr>
            <w:tcW w:w="962" w:type="dxa"/>
            <w:vAlign w:val="center"/>
          </w:tcPr>
          <w:p w14:paraId="3EB83D1E">
            <w:pPr>
              <w:pStyle w:val="766"/>
              <w:adjustRightInd w:val="0"/>
              <w:rPr>
                <w:color w:val="auto"/>
                <w:szCs w:val="24"/>
              </w:rPr>
            </w:pPr>
            <w:r>
              <w:rPr>
                <w:rFonts w:hint="eastAsia"/>
                <w:color w:val="auto"/>
                <w:szCs w:val="24"/>
              </w:rPr>
              <w:t>0.19</w:t>
            </w:r>
          </w:p>
        </w:tc>
        <w:tc>
          <w:tcPr>
            <w:tcW w:w="1102" w:type="dxa"/>
            <w:vAlign w:val="center"/>
          </w:tcPr>
          <w:p w14:paraId="6B1CEB27">
            <w:pPr>
              <w:pStyle w:val="766"/>
              <w:adjustRightInd w:val="0"/>
              <w:rPr>
                <w:color w:val="auto"/>
                <w:szCs w:val="24"/>
              </w:rPr>
            </w:pPr>
            <w:r>
              <w:rPr>
                <w:rFonts w:hint="eastAsia"/>
                <w:color w:val="auto"/>
                <w:szCs w:val="24"/>
              </w:rPr>
              <w:t>100</w:t>
            </w:r>
          </w:p>
        </w:tc>
      </w:tr>
      <w:tr w14:paraId="483C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6C85362F">
            <w:pPr>
              <w:pStyle w:val="369"/>
              <w:adjustRightInd w:val="0"/>
              <w:snapToGrid w:val="0"/>
              <w:rPr>
                <w:b w:val="0"/>
                <w:bCs/>
                <w:sz w:val="21"/>
                <w:szCs w:val="21"/>
              </w:rPr>
            </w:pPr>
          </w:p>
        </w:tc>
        <w:tc>
          <w:tcPr>
            <w:tcW w:w="721" w:type="dxa"/>
            <w:vMerge w:val="continue"/>
            <w:vAlign w:val="center"/>
          </w:tcPr>
          <w:p w14:paraId="2A7CDA67">
            <w:pPr>
              <w:pStyle w:val="369"/>
              <w:adjustRightInd w:val="0"/>
              <w:snapToGrid w:val="0"/>
              <w:rPr>
                <w:b w:val="0"/>
                <w:bCs/>
                <w:sz w:val="21"/>
                <w:szCs w:val="21"/>
              </w:rPr>
            </w:pPr>
          </w:p>
        </w:tc>
        <w:tc>
          <w:tcPr>
            <w:tcW w:w="793" w:type="dxa"/>
            <w:gridSpan w:val="2"/>
            <w:vMerge w:val="restart"/>
            <w:vAlign w:val="center"/>
          </w:tcPr>
          <w:p w14:paraId="5A11FC43">
            <w:pPr>
              <w:pStyle w:val="766"/>
              <w:adjustRightInd w:val="0"/>
              <w:rPr>
                <w:bCs/>
                <w:color w:val="auto"/>
              </w:rPr>
            </w:pPr>
            <w:r>
              <w:rPr>
                <w:color w:val="auto"/>
              </w:rPr>
              <w:t>有组织（DA00</w:t>
            </w:r>
            <w:r>
              <w:rPr>
                <w:rFonts w:hint="eastAsia"/>
                <w:color w:val="auto"/>
              </w:rPr>
              <w:t>5</w:t>
            </w:r>
            <w:r>
              <w:rPr>
                <w:color w:val="auto"/>
              </w:rPr>
              <w:t>）</w:t>
            </w:r>
          </w:p>
        </w:tc>
        <w:tc>
          <w:tcPr>
            <w:tcW w:w="719" w:type="dxa"/>
            <w:vAlign w:val="center"/>
          </w:tcPr>
          <w:p w14:paraId="19DD78A5">
            <w:pPr>
              <w:pStyle w:val="766"/>
              <w:adjustRightInd w:val="0"/>
              <w:rPr>
                <w:color w:val="auto"/>
              </w:rPr>
            </w:pPr>
            <w:r>
              <w:rPr>
                <w:color w:val="auto"/>
              </w:rPr>
              <w:t>颗粒物</w:t>
            </w:r>
          </w:p>
        </w:tc>
        <w:tc>
          <w:tcPr>
            <w:tcW w:w="825" w:type="dxa"/>
            <w:vAlign w:val="center"/>
          </w:tcPr>
          <w:p w14:paraId="1AC55152">
            <w:pPr>
              <w:pStyle w:val="766"/>
              <w:adjustRightInd w:val="0"/>
              <w:rPr>
                <w:color w:val="auto"/>
              </w:rPr>
            </w:pPr>
            <w:r>
              <w:rPr>
                <w:rFonts w:hint="eastAsia"/>
                <w:color w:val="auto"/>
              </w:rPr>
              <w:t>0.036</w:t>
            </w:r>
          </w:p>
        </w:tc>
        <w:tc>
          <w:tcPr>
            <w:tcW w:w="838" w:type="dxa"/>
            <w:gridSpan w:val="2"/>
            <w:vAlign w:val="center"/>
          </w:tcPr>
          <w:p w14:paraId="74BDE2B4">
            <w:pPr>
              <w:pStyle w:val="766"/>
              <w:adjustRightInd w:val="0"/>
              <w:rPr>
                <w:color w:val="auto"/>
              </w:rPr>
            </w:pPr>
            <w:r>
              <w:rPr>
                <w:rFonts w:hint="eastAsia"/>
                <w:color w:val="auto"/>
              </w:rPr>
              <w:t>0.036</w:t>
            </w:r>
          </w:p>
        </w:tc>
        <w:tc>
          <w:tcPr>
            <w:tcW w:w="966" w:type="dxa"/>
            <w:vAlign w:val="center"/>
          </w:tcPr>
          <w:p w14:paraId="6E7CA7FB">
            <w:pPr>
              <w:pStyle w:val="766"/>
              <w:adjustRightInd w:val="0"/>
              <w:rPr>
                <w:color w:val="auto"/>
              </w:rPr>
            </w:pPr>
            <w:r>
              <w:rPr>
                <w:rFonts w:hint="eastAsia"/>
                <w:color w:val="auto"/>
              </w:rPr>
              <w:t>0.019</w:t>
            </w:r>
          </w:p>
        </w:tc>
        <w:tc>
          <w:tcPr>
            <w:tcW w:w="1068" w:type="dxa"/>
            <w:vAlign w:val="center"/>
          </w:tcPr>
          <w:p w14:paraId="0F9B9A24">
            <w:pPr>
              <w:pStyle w:val="766"/>
              <w:adjustRightInd w:val="0"/>
              <w:rPr>
                <w:color w:val="auto"/>
              </w:rPr>
            </w:pPr>
            <w:r>
              <w:rPr>
                <w:rFonts w:hint="eastAsia"/>
                <w:color w:val="auto"/>
              </w:rPr>
              <w:t>10.14</w:t>
            </w:r>
          </w:p>
        </w:tc>
        <w:tc>
          <w:tcPr>
            <w:tcW w:w="816" w:type="dxa"/>
            <w:vAlign w:val="center"/>
          </w:tcPr>
          <w:p w14:paraId="146D23B0">
            <w:pPr>
              <w:pStyle w:val="766"/>
              <w:adjustRightInd w:val="0"/>
              <w:rPr>
                <w:color w:val="auto"/>
              </w:rPr>
            </w:pPr>
            <w:r>
              <w:rPr>
                <w:rFonts w:hint="eastAsia"/>
                <w:color w:val="auto"/>
              </w:rPr>
              <w:t>0.036</w:t>
            </w:r>
          </w:p>
        </w:tc>
        <w:tc>
          <w:tcPr>
            <w:tcW w:w="962" w:type="dxa"/>
            <w:vAlign w:val="center"/>
          </w:tcPr>
          <w:p w14:paraId="3945B59F">
            <w:pPr>
              <w:pStyle w:val="766"/>
              <w:rPr>
                <w:color w:val="auto"/>
              </w:rPr>
            </w:pPr>
            <w:r>
              <w:rPr>
                <w:rFonts w:hint="eastAsia"/>
                <w:color w:val="auto"/>
              </w:rPr>
              <w:t>0.019</w:t>
            </w:r>
          </w:p>
        </w:tc>
        <w:tc>
          <w:tcPr>
            <w:tcW w:w="1102" w:type="dxa"/>
            <w:vAlign w:val="center"/>
          </w:tcPr>
          <w:p w14:paraId="463CE551">
            <w:pPr>
              <w:pStyle w:val="766"/>
              <w:rPr>
                <w:color w:val="auto"/>
              </w:rPr>
            </w:pPr>
            <w:r>
              <w:rPr>
                <w:rFonts w:hint="eastAsia"/>
                <w:color w:val="auto"/>
              </w:rPr>
              <w:t>10.14</w:t>
            </w:r>
          </w:p>
        </w:tc>
      </w:tr>
      <w:tr w14:paraId="2975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87" w:type="dxa"/>
            <w:vMerge w:val="continue"/>
            <w:vAlign w:val="center"/>
          </w:tcPr>
          <w:p w14:paraId="2F5396C0">
            <w:pPr>
              <w:pStyle w:val="369"/>
              <w:adjustRightInd w:val="0"/>
              <w:snapToGrid w:val="0"/>
              <w:rPr>
                <w:b w:val="0"/>
                <w:bCs/>
                <w:sz w:val="21"/>
                <w:szCs w:val="21"/>
              </w:rPr>
            </w:pPr>
          </w:p>
        </w:tc>
        <w:tc>
          <w:tcPr>
            <w:tcW w:w="721" w:type="dxa"/>
            <w:vMerge w:val="continue"/>
            <w:vAlign w:val="center"/>
          </w:tcPr>
          <w:p w14:paraId="7D06CF28">
            <w:pPr>
              <w:pStyle w:val="369"/>
              <w:adjustRightInd w:val="0"/>
              <w:snapToGrid w:val="0"/>
              <w:rPr>
                <w:b w:val="0"/>
                <w:bCs/>
                <w:sz w:val="21"/>
                <w:szCs w:val="21"/>
              </w:rPr>
            </w:pPr>
          </w:p>
        </w:tc>
        <w:tc>
          <w:tcPr>
            <w:tcW w:w="793" w:type="dxa"/>
            <w:gridSpan w:val="2"/>
            <w:vMerge w:val="continue"/>
            <w:vAlign w:val="center"/>
          </w:tcPr>
          <w:p w14:paraId="217F3608">
            <w:pPr>
              <w:pStyle w:val="369"/>
              <w:adjustRightInd w:val="0"/>
              <w:snapToGrid w:val="0"/>
              <w:rPr>
                <w:b w:val="0"/>
                <w:bCs/>
                <w:sz w:val="21"/>
                <w:szCs w:val="21"/>
              </w:rPr>
            </w:pPr>
          </w:p>
        </w:tc>
        <w:tc>
          <w:tcPr>
            <w:tcW w:w="719" w:type="dxa"/>
            <w:vAlign w:val="center"/>
          </w:tcPr>
          <w:p w14:paraId="52AE0A31">
            <w:pPr>
              <w:pStyle w:val="766"/>
              <w:adjustRightInd w:val="0"/>
              <w:rPr>
                <w:color w:val="auto"/>
              </w:rPr>
            </w:pPr>
            <w:r>
              <w:rPr>
                <w:color w:val="auto"/>
              </w:rPr>
              <w:t>SO</w:t>
            </w:r>
            <w:r>
              <w:rPr>
                <w:color w:val="auto"/>
                <w:vertAlign w:val="subscript"/>
              </w:rPr>
              <w:t>2</w:t>
            </w:r>
          </w:p>
        </w:tc>
        <w:tc>
          <w:tcPr>
            <w:tcW w:w="825" w:type="dxa"/>
            <w:vAlign w:val="center"/>
          </w:tcPr>
          <w:p w14:paraId="66ADD56D">
            <w:pPr>
              <w:pStyle w:val="766"/>
              <w:adjustRightInd w:val="0"/>
              <w:rPr>
                <w:color w:val="auto"/>
              </w:rPr>
            </w:pPr>
            <w:r>
              <w:rPr>
                <w:rFonts w:hint="eastAsia"/>
                <w:color w:val="auto"/>
              </w:rPr>
              <w:t>0</w:t>
            </w:r>
          </w:p>
        </w:tc>
        <w:tc>
          <w:tcPr>
            <w:tcW w:w="838" w:type="dxa"/>
            <w:gridSpan w:val="2"/>
            <w:vAlign w:val="center"/>
          </w:tcPr>
          <w:p w14:paraId="2F876630">
            <w:pPr>
              <w:pStyle w:val="766"/>
              <w:adjustRightInd w:val="0"/>
              <w:rPr>
                <w:color w:val="auto"/>
              </w:rPr>
            </w:pPr>
            <w:r>
              <w:rPr>
                <w:rFonts w:hint="eastAsia"/>
                <w:color w:val="auto"/>
              </w:rPr>
              <w:t>0</w:t>
            </w:r>
          </w:p>
        </w:tc>
        <w:tc>
          <w:tcPr>
            <w:tcW w:w="966" w:type="dxa"/>
            <w:vAlign w:val="center"/>
          </w:tcPr>
          <w:p w14:paraId="1A701FCB">
            <w:pPr>
              <w:pStyle w:val="766"/>
              <w:adjustRightInd w:val="0"/>
              <w:rPr>
                <w:color w:val="auto"/>
                <w:szCs w:val="24"/>
              </w:rPr>
            </w:pPr>
            <w:r>
              <w:rPr>
                <w:rFonts w:hint="eastAsia"/>
                <w:color w:val="auto"/>
                <w:szCs w:val="24"/>
              </w:rPr>
              <w:t>0</w:t>
            </w:r>
          </w:p>
        </w:tc>
        <w:tc>
          <w:tcPr>
            <w:tcW w:w="1068" w:type="dxa"/>
            <w:vAlign w:val="center"/>
          </w:tcPr>
          <w:p w14:paraId="7A783266">
            <w:pPr>
              <w:pStyle w:val="766"/>
              <w:adjustRightInd w:val="0"/>
              <w:rPr>
                <w:color w:val="auto"/>
                <w:szCs w:val="24"/>
              </w:rPr>
            </w:pPr>
            <w:r>
              <w:rPr>
                <w:rFonts w:hint="eastAsia"/>
                <w:color w:val="auto"/>
                <w:szCs w:val="24"/>
              </w:rPr>
              <w:t>0</w:t>
            </w:r>
          </w:p>
        </w:tc>
        <w:tc>
          <w:tcPr>
            <w:tcW w:w="816" w:type="dxa"/>
            <w:vAlign w:val="center"/>
          </w:tcPr>
          <w:p w14:paraId="28139665">
            <w:pPr>
              <w:pStyle w:val="766"/>
              <w:adjustRightInd w:val="0"/>
              <w:rPr>
                <w:color w:val="auto"/>
              </w:rPr>
            </w:pPr>
            <w:r>
              <w:rPr>
                <w:rFonts w:hint="eastAsia"/>
                <w:color w:val="auto"/>
              </w:rPr>
              <w:t>0</w:t>
            </w:r>
          </w:p>
        </w:tc>
        <w:tc>
          <w:tcPr>
            <w:tcW w:w="962" w:type="dxa"/>
            <w:vAlign w:val="center"/>
          </w:tcPr>
          <w:p w14:paraId="00985CCE">
            <w:pPr>
              <w:pStyle w:val="766"/>
              <w:rPr>
                <w:color w:val="auto"/>
                <w:szCs w:val="24"/>
              </w:rPr>
            </w:pPr>
            <w:r>
              <w:rPr>
                <w:rFonts w:hint="eastAsia"/>
                <w:color w:val="auto"/>
                <w:szCs w:val="24"/>
              </w:rPr>
              <w:t>0</w:t>
            </w:r>
          </w:p>
        </w:tc>
        <w:tc>
          <w:tcPr>
            <w:tcW w:w="1102" w:type="dxa"/>
            <w:vAlign w:val="center"/>
          </w:tcPr>
          <w:p w14:paraId="400AE4FA">
            <w:pPr>
              <w:pStyle w:val="766"/>
              <w:rPr>
                <w:color w:val="auto"/>
                <w:szCs w:val="24"/>
              </w:rPr>
            </w:pPr>
            <w:r>
              <w:rPr>
                <w:rFonts w:hint="eastAsia"/>
                <w:color w:val="auto"/>
                <w:szCs w:val="24"/>
              </w:rPr>
              <w:t>0</w:t>
            </w:r>
          </w:p>
        </w:tc>
      </w:tr>
      <w:tr w14:paraId="333F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387" w:type="dxa"/>
            <w:vMerge w:val="continue"/>
            <w:vAlign w:val="center"/>
          </w:tcPr>
          <w:p w14:paraId="119979EE">
            <w:pPr>
              <w:pStyle w:val="369"/>
              <w:adjustRightInd w:val="0"/>
              <w:snapToGrid w:val="0"/>
              <w:rPr>
                <w:b w:val="0"/>
                <w:bCs/>
                <w:sz w:val="21"/>
                <w:szCs w:val="21"/>
              </w:rPr>
            </w:pPr>
          </w:p>
        </w:tc>
        <w:tc>
          <w:tcPr>
            <w:tcW w:w="721" w:type="dxa"/>
            <w:vMerge w:val="continue"/>
            <w:vAlign w:val="center"/>
          </w:tcPr>
          <w:p w14:paraId="3CD7FC19">
            <w:pPr>
              <w:pStyle w:val="369"/>
              <w:adjustRightInd w:val="0"/>
              <w:snapToGrid w:val="0"/>
              <w:rPr>
                <w:b w:val="0"/>
                <w:bCs/>
                <w:sz w:val="21"/>
                <w:szCs w:val="21"/>
              </w:rPr>
            </w:pPr>
          </w:p>
        </w:tc>
        <w:tc>
          <w:tcPr>
            <w:tcW w:w="793" w:type="dxa"/>
            <w:gridSpan w:val="2"/>
            <w:vMerge w:val="continue"/>
            <w:vAlign w:val="center"/>
          </w:tcPr>
          <w:p w14:paraId="3489CC05">
            <w:pPr>
              <w:pStyle w:val="369"/>
              <w:adjustRightInd w:val="0"/>
              <w:snapToGrid w:val="0"/>
              <w:rPr>
                <w:b w:val="0"/>
                <w:bCs/>
                <w:sz w:val="21"/>
                <w:szCs w:val="21"/>
              </w:rPr>
            </w:pPr>
          </w:p>
        </w:tc>
        <w:tc>
          <w:tcPr>
            <w:tcW w:w="719" w:type="dxa"/>
            <w:vAlign w:val="center"/>
          </w:tcPr>
          <w:p w14:paraId="6A4E310B">
            <w:pPr>
              <w:pStyle w:val="766"/>
              <w:adjustRightInd w:val="0"/>
              <w:rPr>
                <w:color w:val="auto"/>
              </w:rPr>
            </w:pPr>
            <w:r>
              <w:rPr>
                <w:color w:val="auto"/>
              </w:rPr>
              <w:t>NO</w:t>
            </w:r>
            <w:r>
              <w:rPr>
                <w:color w:val="auto"/>
                <w:vertAlign w:val="subscript"/>
              </w:rPr>
              <w:t>x</w:t>
            </w:r>
          </w:p>
        </w:tc>
        <w:tc>
          <w:tcPr>
            <w:tcW w:w="825" w:type="dxa"/>
            <w:vAlign w:val="center"/>
          </w:tcPr>
          <w:p w14:paraId="52CABF88">
            <w:pPr>
              <w:pStyle w:val="766"/>
              <w:adjustRightInd w:val="0"/>
              <w:rPr>
                <w:color w:val="auto"/>
                <w:szCs w:val="24"/>
              </w:rPr>
            </w:pPr>
            <w:r>
              <w:rPr>
                <w:rFonts w:hint="eastAsia"/>
                <w:color w:val="auto"/>
                <w:szCs w:val="24"/>
              </w:rPr>
              <w:t>0.357</w:t>
            </w:r>
          </w:p>
        </w:tc>
        <w:tc>
          <w:tcPr>
            <w:tcW w:w="838" w:type="dxa"/>
            <w:gridSpan w:val="2"/>
            <w:vAlign w:val="center"/>
          </w:tcPr>
          <w:p w14:paraId="0952E5B8">
            <w:pPr>
              <w:pStyle w:val="766"/>
              <w:adjustRightInd w:val="0"/>
              <w:rPr>
                <w:color w:val="auto"/>
                <w:szCs w:val="24"/>
              </w:rPr>
            </w:pPr>
            <w:r>
              <w:rPr>
                <w:rFonts w:hint="eastAsia"/>
                <w:color w:val="auto"/>
                <w:szCs w:val="24"/>
              </w:rPr>
              <w:t>0.357</w:t>
            </w:r>
          </w:p>
        </w:tc>
        <w:tc>
          <w:tcPr>
            <w:tcW w:w="966" w:type="dxa"/>
            <w:vAlign w:val="center"/>
          </w:tcPr>
          <w:p w14:paraId="650A2424">
            <w:pPr>
              <w:pStyle w:val="766"/>
              <w:adjustRightInd w:val="0"/>
              <w:rPr>
                <w:color w:val="auto"/>
                <w:szCs w:val="24"/>
              </w:rPr>
            </w:pPr>
            <w:r>
              <w:rPr>
                <w:rFonts w:hint="eastAsia"/>
                <w:color w:val="auto"/>
                <w:szCs w:val="24"/>
              </w:rPr>
              <w:t>0.19</w:t>
            </w:r>
          </w:p>
        </w:tc>
        <w:tc>
          <w:tcPr>
            <w:tcW w:w="1068" w:type="dxa"/>
            <w:vAlign w:val="center"/>
          </w:tcPr>
          <w:p w14:paraId="1C94ECE9">
            <w:pPr>
              <w:pStyle w:val="766"/>
              <w:adjustRightInd w:val="0"/>
              <w:rPr>
                <w:color w:val="auto"/>
                <w:szCs w:val="24"/>
              </w:rPr>
            </w:pPr>
            <w:r>
              <w:rPr>
                <w:rFonts w:hint="eastAsia"/>
                <w:color w:val="auto"/>
                <w:szCs w:val="24"/>
              </w:rPr>
              <w:t>100</w:t>
            </w:r>
          </w:p>
        </w:tc>
        <w:tc>
          <w:tcPr>
            <w:tcW w:w="816" w:type="dxa"/>
            <w:vAlign w:val="center"/>
          </w:tcPr>
          <w:p w14:paraId="6CE63C16">
            <w:pPr>
              <w:pStyle w:val="766"/>
              <w:adjustRightInd w:val="0"/>
              <w:rPr>
                <w:color w:val="auto"/>
                <w:szCs w:val="24"/>
              </w:rPr>
            </w:pPr>
            <w:r>
              <w:rPr>
                <w:rFonts w:hint="eastAsia"/>
                <w:color w:val="auto"/>
                <w:szCs w:val="24"/>
              </w:rPr>
              <w:t>0.357</w:t>
            </w:r>
          </w:p>
        </w:tc>
        <w:tc>
          <w:tcPr>
            <w:tcW w:w="962" w:type="dxa"/>
            <w:vAlign w:val="center"/>
          </w:tcPr>
          <w:p w14:paraId="5F019BB7">
            <w:pPr>
              <w:pStyle w:val="766"/>
              <w:adjustRightInd w:val="0"/>
              <w:rPr>
                <w:color w:val="auto"/>
                <w:szCs w:val="24"/>
              </w:rPr>
            </w:pPr>
            <w:r>
              <w:rPr>
                <w:rFonts w:hint="eastAsia"/>
                <w:color w:val="auto"/>
                <w:szCs w:val="24"/>
              </w:rPr>
              <w:t>0.19</w:t>
            </w:r>
          </w:p>
        </w:tc>
        <w:tc>
          <w:tcPr>
            <w:tcW w:w="1102" w:type="dxa"/>
            <w:vAlign w:val="center"/>
          </w:tcPr>
          <w:p w14:paraId="592D2726">
            <w:pPr>
              <w:pStyle w:val="766"/>
              <w:adjustRightInd w:val="0"/>
              <w:rPr>
                <w:color w:val="auto"/>
                <w:szCs w:val="24"/>
              </w:rPr>
            </w:pPr>
            <w:r>
              <w:rPr>
                <w:rFonts w:hint="eastAsia"/>
                <w:color w:val="auto"/>
                <w:szCs w:val="24"/>
              </w:rPr>
              <w:t>100</w:t>
            </w:r>
          </w:p>
        </w:tc>
      </w:tr>
      <w:tr w14:paraId="2E6D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49591309">
            <w:pPr>
              <w:pStyle w:val="369"/>
              <w:adjustRightInd w:val="0"/>
              <w:snapToGrid w:val="0"/>
              <w:rPr>
                <w:b w:val="0"/>
                <w:bCs/>
                <w:sz w:val="21"/>
                <w:szCs w:val="21"/>
              </w:rPr>
            </w:pPr>
          </w:p>
        </w:tc>
        <w:tc>
          <w:tcPr>
            <w:tcW w:w="721" w:type="dxa"/>
            <w:vAlign w:val="center"/>
          </w:tcPr>
          <w:p w14:paraId="1F2335A5">
            <w:pPr>
              <w:pStyle w:val="369"/>
              <w:adjustRightInd w:val="0"/>
              <w:snapToGrid w:val="0"/>
              <w:rPr>
                <w:b w:val="0"/>
                <w:bCs/>
                <w:sz w:val="21"/>
                <w:szCs w:val="21"/>
              </w:rPr>
            </w:pPr>
            <w:r>
              <w:rPr>
                <w:rFonts w:hint="eastAsia"/>
                <w:b w:val="0"/>
                <w:bCs/>
                <w:sz w:val="21"/>
                <w:szCs w:val="21"/>
              </w:rPr>
              <w:t>食堂</w:t>
            </w:r>
          </w:p>
        </w:tc>
        <w:tc>
          <w:tcPr>
            <w:tcW w:w="793" w:type="dxa"/>
            <w:gridSpan w:val="2"/>
            <w:vAlign w:val="center"/>
          </w:tcPr>
          <w:p w14:paraId="53A507FE">
            <w:pPr>
              <w:pStyle w:val="369"/>
              <w:adjustRightInd w:val="0"/>
              <w:snapToGrid w:val="0"/>
              <w:rPr>
                <w:b w:val="0"/>
                <w:bCs/>
                <w:sz w:val="21"/>
                <w:szCs w:val="21"/>
              </w:rPr>
            </w:pPr>
            <w:r>
              <w:rPr>
                <w:rFonts w:hint="eastAsia"/>
                <w:b w:val="0"/>
                <w:bCs/>
                <w:sz w:val="21"/>
                <w:szCs w:val="21"/>
              </w:rPr>
              <w:t>有组织(DA003)</w:t>
            </w:r>
          </w:p>
        </w:tc>
        <w:tc>
          <w:tcPr>
            <w:tcW w:w="719" w:type="dxa"/>
            <w:vAlign w:val="center"/>
          </w:tcPr>
          <w:p w14:paraId="25C28A68">
            <w:pPr>
              <w:pStyle w:val="766"/>
              <w:adjustRightInd w:val="0"/>
              <w:rPr>
                <w:color w:val="auto"/>
              </w:rPr>
            </w:pPr>
            <w:r>
              <w:rPr>
                <w:color w:val="auto"/>
              </w:rPr>
              <w:t>油烟</w:t>
            </w:r>
          </w:p>
        </w:tc>
        <w:tc>
          <w:tcPr>
            <w:tcW w:w="825" w:type="dxa"/>
            <w:vAlign w:val="center"/>
          </w:tcPr>
          <w:p w14:paraId="7C5CEB17">
            <w:pPr>
              <w:pStyle w:val="766"/>
              <w:adjustRightInd w:val="0"/>
              <w:rPr>
                <w:color w:val="auto"/>
              </w:rPr>
            </w:pPr>
            <w:r>
              <w:rPr>
                <w:color w:val="auto"/>
              </w:rPr>
              <w:t>0.045</w:t>
            </w:r>
          </w:p>
        </w:tc>
        <w:tc>
          <w:tcPr>
            <w:tcW w:w="838" w:type="dxa"/>
            <w:gridSpan w:val="2"/>
            <w:vAlign w:val="center"/>
          </w:tcPr>
          <w:p w14:paraId="45F5ACA3">
            <w:pPr>
              <w:pStyle w:val="766"/>
              <w:adjustRightInd w:val="0"/>
              <w:rPr>
                <w:color w:val="auto"/>
              </w:rPr>
            </w:pPr>
            <w:r>
              <w:rPr>
                <w:color w:val="auto"/>
              </w:rPr>
              <w:t>0.01125</w:t>
            </w:r>
          </w:p>
        </w:tc>
        <w:tc>
          <w:tcPr>
            <w:tcW w:w="966" w:type="dxa"/>
            <w:vAlign w:val="center"/>
          </w:tcPr>
          <w:p w14:paraId="3213E4EB">
            <w:pPr>
              <w:pStyle w:val="766"/>
              <w:adjustRightInd w:val="0"/>
              <w:rPr>
                <w:color w:val="auto"/>
              </w:rPr>
            </w:pPr>
            <w:r>
              <w:rPr>
                <w:color w:val="auto"/>
              </w:rPr>
              <w:t>0.00525</w:t>
            </w:r>
          </w:p>
        </w:tc>
        <w:tc>
          <w:tcPr>
            <w:tcW w:w="1068" w:type="dxa"/>
            <w:vAlign w:val="center"/>
          </w:tcPr>
          <w:p w14:paraId="0AB0529D">
            <w:pPr>
              <w:pStyle w:val="766"/>
              <w:adjustRightInd w:val="0"/>
              <w:rPr>
                <w:color w:val="auto"/>
              </w:rPr>
            </w:pPr>
            <w:r>
              <w:rPr>
                <w:color w:val="auto"/>
              </w:rPr>
              <w:t>0.53</w:t>
            </w:r>
          </w:p>
        </w:tc>
        <w:tc>
          <w:tcPr>
            <w:tcW w:w="816" w:type="dxa"/>
            <w:vAlign w:val="center"/>
          </w:tcPr>
          <w:p w14:paraId="68F6594C">
            <w:pPr>
              <w:pStyle w:val="766"/>
              <w:adjustRightInd w:val="0"/>
              <w:rPr>
                <w:color w:val="auto"/>
              </w:rPr>
            </w:pPr>
            <w:r>
              <w:rPr>
                <w:color w:val="auto"/>
              </w:rPr>
              <w:t>0.045</w:t>
            </w:r>
          </w:p>
        </w:tc>
        <w:tc>
          <w:tcPr>
            <w:tcW w:w="962" w:type="dxa"/>
            <w:vAlign w:val="center"/>
          </w:tcPr>
          <w:p w14:paraId="6691E774">
            <w:pPr>
              <w:pStyle w:val="766"/>
              <w:rPr>
                <w:color w:val="auto"/>
              </w:rPr>
            </w:pPr>
            <w:r>
              <w:rPr>
                <w:color w:val="auto"/>
              </w:rPr>
              <w:t>0.021</w:t>
            </w:r>
          </w:p>
        </w:tc>
        <w:tc>
          <w:tcPr>
            <w:tcW w:w="1102" w:type="dxa"/>
            <w:vAlign w:val="center"/>
          </w:tcPr>
          <w:p w14:paraId="0C4E9BCC">
            <w:pPr>
              <w:pStyle w:val="766"/>
              <w:rPr>
                <w:color w:val="auto"/>
              </w:rPr>
            </w:pPr>
            <w:r>
              <w:rPr>
                <w:color w:val="auto"/>
              </w:rPr>
              <w:t>2.1</w:t>
            </w:r>
          </w:p>
        </w:tc>
      </w:tr>
      <w:tr w14:paraId="4FAE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Align w:val="center"/>
          </w:tcPr>
          <w:p w14:paraId="2412CC1B">
            <w:pPr>
              <w:pStyle w:val="369"/>
              <w:adjustRightInd w:val="0"/>
              <w:snapToGrid w:val="0"/>
              <w:rPr>
                <w:b w:val="0"/>
                <w:bCs/>
                <w:sz w:val="21"/>
                <w:szCs w:val="21"/>
              </w:rPr>
            </w:pPr>
            <w:r>
              <w:rPr>
                <w:rFonts w:hint="eastAsia"/>
                <w:b w:val="0"/>
                <w:bCs/>
                <w:sz w:val="21"/>
                <w:szCs w:val="21"/>
              </w:rPr>
              <w:t>废水</w:t>
            </w:r>
          </w:p>
        </w:tc>
        <w:tc>
          <w:tcPr>
            <w:tcW w:w="2233" w:type="dxa"/>
            <w:gridSpan w:val="4"/>
            <w:vAlign w:val="center"/>
          </w:tcPr>
          <w:p w14:paraId="36646CE7">
            <w:pPr>
              <w:pStyle w:val="369"/>
              <w:adjustRightInd w:val="0"/>
              <w:snapToGrid w:val="0"/>
              <w:rPr>
                <w:b w:val="0"/>
                <w:bCs/>
                <w:sz w:val="21"/>
                <w:szCs w:val="21"/>
              </w:rPr>
            </w:pPr>
            <w:r>
              <w:rPr>
                <w:b w:val="0"/>
                <w:bCs/>
                <w:sz w:val="21"/>
                <w:szCs w:val="21"/>
              </w:rPr>
              <w:t>鸡舍冲洗废水、生活污水、软化水制备废水、堆肥渗滤液</w:t>
            </w:r>
          </w:p>
        </w:tc>
        <w:tc>
          <w:tcPr>
            <w:tcW w:w="6577" w:type="dxa"/>
            <w:gridSpan w:val="8"/>
            <w:vAlign w:val="center"/>
          </w:tcPr>
          <w:p w14:paraId="1A538791">
            <w:pPr>
              <w:pStyle w:val="369"/>
              <w:adjustRightInd w:val="0"/>
              <w:snapToGrid w:val="0"/>
              <w:rPr>
                <w:b w:val="0"/>
                <w:bCs/>
                <w:sz w:val="21"/>
                <w:szCs w:val="21"/>
              </w:rPr>
            </w:pPr>
            <w:r>
              <w:rPr>
                <w:rFonts w:hint="eastAsia"/>
                <w:b w:val="0"/>
                <w:bCs/>
                <w:sz w:val="21"/>
                <w:szCs w:val="21"/>
              </w:rPr>
              <w:t>废水全部进入污水处理站处理后用于厂区绿化或洒水抑尘，不外排</w:t>
            </w:r>
          </w:p>
        </w:tc>
      </w:tr>
      <w:tr w14:paraId="7D01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restart"/>
            <w:vAlign w:val="center"/>
          </w:tcPr>
          <w:p w14:paraId="5FB164C5">
            <w:pPr>
              <w:pStyle w:val="369"/>
              <w:adjustRightInd w:val="0"/>
              <w:snapToGrid w:val="0"/>
              <w:rPr>
                <w:b w:val="0"/>
                <w:bCs/>
                <w:sz w:val="21"/>
                <w:szCs w:val="21"/>
              </w:rPr>
            </w:pPr>
            <w:r>
              <w:rPr>
                <w:rFonts w:hint="eastAsia"/>
                <w:b w:val="0"/>
                <w:bCs/>
                <w:sz w:val="21"/>
                <w:szCs w:val="21"/>
              </w:rPr>
              <w:t>固体废物</w:t>
            </w:r>
          </w:p>
        </w:tc>
        <w:tc>
          <w:tcPr>
            <w:tcW w:w="1083" w:type="dxa"/>
            <w:gridSpan w:val="2"/>
            <w:vAlign w:val="center"/>
          </w:tcPr>
          <w:p w14:paraId="42DF530D">
            <w:pPr>
              <w:pStyle w:val="766"/>
              <w:rPr>
                <w:color w:val="auto"/>
              </w:rPr>
            </w:pPr>
            <w:r>
              <w:rPr>
                <w:color w:val="auto"/>
              </w:rPr>
              <w:t>防疫治疗</w:t>
            </w:r>
          </w:p>
        </w:tc>
        <w:tc>
          <w:tcPr>
            <w:tcW w:w="1150" w:type="dxa"/>
            <w:gridSpan w:val="2"/>
            <w:vAlign w:val="center"/>
          </w:tcPr>
          <w:p w14:paraId="5D34913A">
            <w:pPr>
              <w:pStyle w:val="766"/>
              <w:rPr>
                <w:color w:val="auto"/>
              </w:rPr>
            </w:pPr>
            <w:r>
              <w:rPr>
                <w:rFonts w:hint="eastAsia"/>
                <w:color w:val="auto"/>
              </w:rPr>
              <w:t>诊疗废物</w:t>
            </w:r>
          </w:p>
        </w:tc>
        <w:tc>
          <w:tcPr>
            <w:tcW w:w="1163" w:type="dxa"/>
            <w:gridSpan w:val="2"/>
            <w:vAlign w:val="center"/>
          </w:tcPr>
          <w:p w14:paraId="3F37CF79">
            <w:pPr>
              <w:pStyle w:val="766"/>
              <w:rPr>
                <w:color w:val="auto"/>
              </w:rPr>
            </w:pPr>
            <w:r>
              <w:rPr>
                <w:color w:val="auto"/>
              </w:rPr>
              <w:t>0.05</w:t>
            </w:r>
          </w:p>
        </w:tc>
        <w:tc>
          <w:tcPr>
            <w:tcW w:w="5414" w:type="dxa"/>
            <w:gridSpan w:val="6"/>
            <w:vAlign w:val="center"/>
          </w:tcPr>
          <w:p w14:paraId="500FC622">
            <w:pPr>
              <w:pStyle w:val="369"/>
              <w:adjustRightInd w:val="0"/>
              <w:snapToGrid w:val="0"/>
              <w:rPr>
                <w:b w:val="0"/>
                <w:bCs/>
                <w:sz w:val="21"/>
                <w:szCs w:val="21"/>
              </w:rPr>
            </w:pPr>
            <w:r>
              <w:rPr>
                <w:rFonts w:hint="eastAsia"/>
                <w:b w:val="0"/>
                <w:bCs/>
                <w:sz w:val="21"/>
                <w:szCs w:val="21"/>
              </w:rPr>
              <w:t>暂存于诊疗废物暂存间，最终交由有资质单位拉运处置</w:t>
            </w:r>
          </w:p>
        </w:tc>
      </w:tr>
      <w:tr w14:paraId="4DFC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6C675E86">
            <w:pPr>
              <w:pStyle w:val="369"/>
              <w:adjustRightInd w:val="0"/>
              <w:snapToGrid w:val="0"/>
              <w:rPr>
                <w:b w:val="0"/>
                <w:bCs/>
                <w:sz w:val="21"/>
                <w:szCs w:val="21"/>
              </w:rPr>
            </w:pPr>
          </w:p>
        </w:tc>
        <w:tc>
          <w:tcPr>
            <w:tcW w:w="1083" w:type="dxa"/>
            <w:gridSpan w:val="2"/>
            <w:vAlign w:val="center"/>
          </w:tcPr>
          <w:p w14:paraId="4BBAE846">
            <w:pPr>
              <w:pStyle w:val="766"/>
              <w:rPr>
                <w:color w:val="auto"/>
                <w:szCs w:val="22"/>
              </w:rPr>
            </w:pPr>
            <w:r>
              <w:rPr>
                <w:color w:val="auto"/>
                <w:szCs w:val="22"/>
              </w:rPr>
              <w:t>养殖</w:t>
            </w:r>
          </w:p>
        </w:tc>
        <w:tc>
          <w:tcPr>
            <w:tcW w:w="1150" w:type="dxa"/>
            <w:gridSpan w:val="2"/>
            <w:vAlign w:val="center"/>
          </w:tcPr>
          <w:p w14:paraId="4FF1284D">
            <w:pPr>
              <w:pStyle w:val="766"/>
              <w:rPr>
                <w:color w:val="auto"/>
              </w:rPr>
            </w:pPr>
            <w:r>
              <w:rPr>
                <w:color w:val="auto"/>
              </w:rPr>
              <w:t>病死鸡</w:t>
            </w:r>
          </w:p>
        </w:tc>
        <w:tc>
          <w:tcPr>
            <w:tcW w:w="1163" w:type="dxa"/>
            <w:gridSpan w:val="2"/>
            <w:vAlign w:val="center"/>
          </w:tcPr>
          <w:p w14:paraId="3C60E9AA">
            <w:pPr>
              <w:pStyle w:val="766"/>
              <w:rPr>
                <w:color w:val="auto"/>
              </w:rPr>
            </w:pPr>
            <w:r>
              <w:rPr>
                <w:color w:val="auto"/>
              </w:rPr>
              <w:t>3.6</w:t>
            </w:r>
          </w:p>
        </w:tc>
        <w:tc>
          <w:tcPr>
            <w:tcW w:w="5414" w:type="dxa"/>
            <w:gridSpan w:val="6"/>
            <w:vAlign w:val="center"/>
          </w:tcPr>
          <w:p w14:paraId="1B0320EB">
            <w:pPr>
              <w:pStyle w:val="369"/>
              <w:adjustRightInd w:val="0"/>
              <w:snapToGrid w:val="0"/>
              <w:rPr>
                <w:b w:val="0"/>
                <w:bCs/>
                <w:sz w:val="21"/>
                <w:szCs w:val="21"/>
              </w:rPr>
            </w:pPr>
            <w:r>
              <w:rPr>
                <w:rFonts w:hint="eastAsia"/>
                <w:b w:val="0"/>
                <w:bCs/>
                <w:sz w:val="21"/>
                <w:szCs w:val="21"/>
              </w:rPr>
              <w:t>暂存于冷柜中，最终交由有资质单位拉运处置</w:t>
            </w:r>
          </w:p>
        </w:tc>
      </w:tr>
      <w:tr w14:paraId="586B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1FF41845">
            <w:pPr>
              <w:pStyle w:val="369"/>
              <w:adjustRightInd w:val="0"/>
              <w:snapToGrid w:val="0"/>
              <w:rPr>
                <w:b w:val="0"/>
                <w:bCs/>
                <w:sz w:val="21"/>
                <w:szCs w:val="21"/>
              </w:rPr>
            </w:pPr>
          </w:p>
        </w:tc>
        <w:tc>
          <w:tcPr>
            <w:tcW w:w="1083" w:type="dxa"/>
            <w:gridSpan w:val="2"/>
            <w:vAlign w:val="center"/>
          </w:tcPr>
          <w:p w14:paraId="5DDE0499">
            <w:pPr>
              <w:pStyle w:val="766"/>
              <w:rPr>
                <w:color w:val="auto"/>
              </w:rPr>
            </w:pPr>
            <w:r>
              <w:rPr>
                <w:color w:val="auto"/>
              </w:rPr>
              <w:t>养殖</w:t>
            </w:r>
          </w:p>
        </w:tc>
        <w:tc>
          <w:tcPr>
            <w:tcW w:w="1150" w:type="dxa"/>
            <w:gridSpan w:val="2"/>
            <w:vAlign w:val="center"/>
          </w:tcPr>
          <w:p w14:paraId="42A397DD">
            <w:pPr>
              <w:pStyle w:val="766"/>
              <w:rPr>
                <w:color w:val="auto"/>
              </w:rPr>
            </w:pPr>
            <w:r>
              <w:rPr>
                <w:color w:val="auto"/>
              </w:rPr>
              <w:t>鸡粪、掉落羽毛、饲料残渣</w:t>
            </w:r>
          </w:p>
        </w:tc>
        <w:tc>
          <w:tcPr>
            <w:tcW w:w="1163" w:type="dxa"/>
            <w:gridSpan w:val="2"/>
            <w:vAlign w:val="center"/>
          </w:tcPr>
          <w:p w14:paraId="02C82040">
            <w:pPr>
              <w:pStyle w:val="766"/>
              <w:rPr>
                <w:color w:val="auto"/>
              </w:rPr>
            </w:pPr>
            <w:r>
              <w:rPr>
                <w:color w:val="auto"/>
              </w:rPr>
              <w:t>11880.75</w:t>
            </w:r>
          </w:p>
        </w:tc>
        <w:tc>
          <w:tcPr>
            <w:tcW w:w="5414" w:type="dxa"/>
            <w:gridSpan w:val="6"/>
            <w:vMerge w:val="restart"/>
            <w:vAlign w:val="center"/>
          </w:tcPr>
          <w:p w14:paraId="73F3BE01">
            <w:pPr>
              <w:pStyle w:val="369"/>
              <w:adjustRightInd w:val="0"/>
              <w:snapToGrid w:val="0"/>
              <w:rPr>
                <w:b w:val="0"/>
                <w:bCs/>
                <w:sz w:val="21"/>
                <w:szCs w:val="21"/>
              </w:rPr>
            </w:pPr>
            <w:r>
              <w:rPr>
                <w:rFonts w:hint="eastAsia"/>
                <w:b w:val="0"/>
                <w:bCs/>
                <w:sz w:val="21"/>
                <w:szCs w:val="21"/>
              </w:rPr>
              <w:t>送至有机肥加工车间发酵制肥</w:t>
            </w:r>
          </w:p>
        </w:tc>
      </w:tr>
      <w:tr w14:paraId="30AA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73566CA4">
            <w:pPr>
              <w:pStyle w:val="369"/>
              <w:adjustRightInd w:val="0"/>
              <w:snapToGrid w:val="0"/>
              <w:rPr>
                <w:b w:val="0"/>
                <w:bCs/>
                <w:sz w:val="21"/>
                <w:szCs w:val="21"/>
              </w:rPr>
            </w:pPr>
          </w:p>
        </w:tc>
        <w:tc>
          <w:tcPr>
            <w:tcW w:w="1083" w:type="dxa"/>
            <w:gridSpan w:val="2"/>
            <w:vAlign w:val="center"/>
          </w:tcPr>
          <w:p w14:paraId="7A006F41">
            <w:pPr>
              <w:pStyle w:val="766"/>
              <w:rPr>
                <w:color w:val="auto"/>
              </w:rPr>
            </w:pPr>
            <w:r>
              <w:rPr>
                <w:color w:val="auto"/>
              </w:rPr>
              <w:t>养殖</w:t>
            </w:r>
          </w:p>
        </w:tc>
        <w:tc>
          <w:tcPr>
            <w:tcW w:w="1150" w:type="dxa"/>
            <w:gridSpan w:val="2"/>
            <w:vAlign w:val="center"/>
          </w:tcPr>
          <w:p w14:paraId="42935BBD">
            <w:pPr>
              <w:pStyle w:val="766"/>
              <w:rPr>
                <w:color w:val="auto"/>
              </w:rPr>
            </w:pPr>
            <w:r>
              <w:rPr>
                <w:color w:val="auto"/>
              </w:rPr>
              <w:t>不合格蛋</w:t>
            </w:r>
          </w:p>
        </w:tc>
        <w:tc>
          <w:tcPr>
            <w:tcW w:w="1163" w:type="dxa"/>
            <w:gridSpan w:val="2"/>
            <w:vAlign w:val="center"/>
          </w:tcPr>
          <w:p w14:paraId="4F27AFBA">
            <w:pPr>
              <w:pStyle w:val="766"/>
              <w:rPr>
                <w:color w:val="auto"/>
              </w:rPr>
            </w:pPr>
            <w:r>
              <w:rPr>
                <w:color w:val="auto"/>
              </w:rPr>
              <w:t>1.8</w:t>
            </w:r>
          </w:p>
        </w:tc>
        <w:tc>
          <w:tcPr>
            <w:tcW w:w="5414" w:type="dxa"/>
            <w:gridSpan w:val="6"/>
            <w:vMerge w:val="continue"/>
            <w:vAlign w:val="center"/>
          </w:tcPr>
          <w:p w14:paraId="0EBAAD24">
            <w:pPr>
              <w:pStyle w:val="369"/>
              <w:adjustRightInd w:val="0"/>
              <w:snapToGrid w:val="0"/>
              <w:rPr>
                <w:b w:val="0"/>
                <w:bCs/>
                <w:sz w:val="21"/>
                <w:szCs w:val="21"/>
              </w:rPr>
            </w:pPr>
          </w:p>
        </w:tc>
      </w:tr>
      <w:tr w14:paraId="3E92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1C65F53F">
            <w:pPr>
              <w:pStyle w:val="369"/>
              <w:adjustRightInd w:val="0"/>
              <w:snapToGrid w:val="0"/>
              <w:rPr>
                <w:b w:val="0"/>
                <w:bCs/>
                <w:sz w:val="21"/>
                <w:szCs w:val="21"/>
              </w:rPr>
            </w:pPr>
          </w:p>
        </w:tc>
        <w:tc>
          <w:tcPr>
            <w:tcW w:w="1083" w:type="dxa"/>
            <w:gridSpan w:val="2"/>
            <w:vAlign w:val="center"/>
          </w:tcPr>
          <w:p w14:paraId="6EF9D3FF">
            <w:pPr>
              <w:pStyle w:val="766"/>
              <w:rPr>
                <w:color w:val="auto"/>
              </w:rPr>
            </w:pPr>
            <w:r>
              <w:rPr>
                <w:rFonts w:hint="eastAsia"/>
                <w:color w:val="auto"/>
              </w:rPr>
              <w:t>废水处理</w:t>
            </w:r>
          </w:p>
        </w:tc>
        <w:tc>
          <w:tcPr>
            <w:tcW w:w="1150" w:type="dxa"/>
            <w:gridSpan w:val="2"/>
            <w:vAlign w:val="center"/>
          </w:tcPr>
          <w:p w14:paraId="36344490">
            <w:pPr>
              <w:pStyle w:val="766"/>
              <w:rPr>
                <w:color w:val="auto"/>
              </w:rPr>
            </w:pPr>
            <w:r>
              <w:rPr>
                <w:rFonts w:hint="eastAsia"/>
                <w:color w:val="auto"/>
              </w:rPr>
              <w:t>污泥</w:t>
            </w:r>
          </w:p>
        </w:tc>
        <w:tc>
          <w:tcPr>
            <w:tcW w:w="1163" w:type="dxa"/>
            <w:gridSpan w:val="2"/>
            <w:vAlign w:val="center"/>
          </w:tcPr>
          <w:p w14:paraId="3B92E1B7">
            <w:pPr>
              <w:pStyle w:val="766"/>
              <w:rPr>
                <w:color w:val="auto"/>
              </w:rPr>
            </w:pPr>
            <w:r>
              <w:rPr>
                <w:rFonts w:hint="eastAsia"/>
                <w:color w:val="auto"/>
              </w:rPr>
              <w:t>5</w:t>
            </w:r>
            <w:r>
              <w:rPr>
                <w:color w:val="auto"/>
              </w:rPr>
              <w:t>00</w:t>
            </w:r>
          </w:p>
        </w:tc>
        <w:tc>
          <w:tcPr>
            <w:tcW w:w="5414" w:type="dxa"/>
            <w:gridSpan w:val="6"/>
            <w:vMerge w:val="continue"/>
            <w:vAlign w:val="center"/>
          </w:tcPr>
          <w:p w14:paraId="7CA90335">
            <w:pPr>
              <w:pStyle w:val="369"/>
              <w:adjustRightInd w:val="0"/>
              <w:snapToGrid w:val="0"/>
              <w:rPr>
                <w:b w:val="0"/>
                <w:bCs/>
                <w:sz w:val="21"/>
                <w:szCs w:val="21"/>
              </w:rPr>
            </w:pPr>
          </w:p>
        </w:tc>
      </w:tr>
      <w:tr w14:paraId="043B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2F71A657">
            <w:pPr>
              <w:pStyle w:val="369"/>
              <w:adjustRightInd w:val="0"/>
              <w:snapToGrid w:val="0"/>
              <w:rPr>
                <w:b w:val="0"/>
                <w:bCs/>
                <w:sz w:val="21"/>
                <w:szCs w:val="21"/>
              </w:rPr>
            </w:pPr>
          </w:p>
        </w:tc>
        <w:tc>
          <w:tcPr>
            <w:tcW w:w="1083" w:type="dxa"/>
            <w:gridSpan w:val="2"/>
            <w:vAlign w:val="center"/>
          </w:tcPr>
          <w:p w14:paraId="4EDAD481">
            <w:pPr>
              <w:pStyle w:val="766"/>
              <w:rPr>
                <w:color w:val="auto"/>
              </w:rPr>
            </w:pPr>
            <w:r>
              <w:rPr>
                <w:rFonts w:hint="eastAsia"/>
                <w:color w:val="auto"/>
              </w:rPr>
              <w:t>软化水</w:t>
            </w:r>
            <w:r>
              <w:rPr>
                <w:color w:val="auto"/>
              </w:rPr>
              <w:t>制备</w:t>
            </w:r>
          </w:p>
        </w:tc>
        <w:tc>
          <w:tcPr>
            <w:tcW w:w="1150" w:type="dxa"/>
            <w:gridSpan w:val="2"/>
            <w:vAlign w:val="center"/>
          </w:tcPr>
          <w:p w14:paraId="0D75396A">
            <w:pPr>
              <w:pStyle w:val="766"/>
              <w:rPr>
                <w:color w:val="auto"/>
              </w:rPr>
            </w:pPr>
            <w:r>
              <w:rPr>
                <w:color w:val="auto"/>
              </w:rPr>
              <w:t>废离子交换树脂</w:t>
            </w:r>
          </w:p>
        </w:tc>
        <w:tc>
          <w:tcPr>
            <w:tcW w:w="1163" w:type="dxa"/>
            <w:gridSpan w:val="2"/>
            <w:vAlign w:val="center"/>
          </w:tcPr>
          <w:p w14:paraId="56A75FC4">
            <w:pPr>
              <w:pStyle w:val="766"/>
              <w:rPr>
                <w:color w:val="auto"/>
              </w:rPr>
            </w:pPr>
            <w:r>
              <w:rPr>
                <w:color w:val="auto"/>
              </w:rPr>
              <w:t>0.092t/5a</w:t>
            </w:r>
          </w:p>
        </w:tc>
        <w:tc>
          <w:tcPr>
            <w:tcW w:w="5414" w:type="dxa"/>
            <w:gridSpan w:val="6"/>
            <w:vAlign w:val="center"/>
          </w:tcPr>
          <w:p w14:paraId="5F5C3E9A">
            <w:pPr>
              <w:pStyle w:val="369"/>
              <w:adjustRightInd w:val="0"/>
              <w:snapToGrid w:val="0"/>
              <w:rPr>
                <w:b w:val="0"/>
                <w:bCs/>
                <w:sz w:val="21"/>
                <w:szCs w:val="21"/>
              </w:rPr>
            </w:pPr>
            <w:r>
              <w:rPr>
                <w:rFonts w:hint="eastAsia"/>
                <w:b w:val="0"/>
                <w:bCs/>
                <w:sz w:val="21"/>
                <w:szCs w:val="21"/>
              </w:rPr>
              <w:t>检修时由更换厂家回收利用</w:t>
            </w:r>
          </w:p>
        </w:tc>
      </w:tr>
      <w:tr w14:paraId="2A2D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59A0C69B">
            <w:pPr>
              <w:pStyle w:val="369"/>
              <w:adjustRightInd w:val="0"/>
              <w:snapToGrid w:val="0"/>
              <w:rPr>
                <w:b w:val="0"/>
                <w:bCs/>
                <w:sz w:val="21"/>
                <w:szCs w:val="21"/>
              </w:rPr>
            </w:pPr>
          </w:p>
        </w:tc>
        <w:tc>
          <w:tcPr>
            <w:tcW w:w="1083" w:type="dxa"/>
            <w:gridSpan w:val="2"/>
            <w:vAlign w:val="center"/>
          </w:tcPr>
          <w:p w14:paraId="3842A9F3">
            <w:pPr>
              <w:pStyle w:val="766"/>
              <w:rPr>
                <w:color w:val="auto"/>
              </w:rPr>
            </w:pPr>
            <w:r>
              <w:rPr>
                <w:color w:val="auto"/>
              </w:rPr>
              <w:t>饲料</w:t>
            </w:r>
            <w:r>
              <w:rPr>
                <w:rFonts w:hint="eastAsia"/>
                <w:color w:val="auto"/>
              </w:rPr>
              <w:t>、有机肥</w:t>
            </w:r>
            <w:r>
              <w:rPr>
                <w:color w:val="auto"/>
              </w:rPr>
              <w:t>加工</w:t>
            </w:r>
          </w:p>
        </w:tc>
        <w:tc>
          <w:tcPr>
            <w:tcW w:w="1150" w:type="dxa"/>
            <w:gridSpan w:val="2"/>
            <w:vAlign w:val="center"/>
          </w:tcPr>
          <w:p w14:paraId="58A84706">
            <w:pPr>
              <w:pStyle w:val="766"/>
              <w:rPr>
                <w:color w:val="auto"/>
              </w:rPr>
            </w:pPr>
            <w:r>
              <w:rPr>
                <w:color w:val="auto"/>
              </w:rPr>
              <w:t>除尘灰</w:t>
            </w:r>
          </w:p>
        </w:tc>
        <w:tc>
          <w:tcPr>
            <w:tcW w:w="1163" w:type="dxa"/>
            <w:gridSpan w:val="2"/>
            <w:vAlign w:val="center"/>
          </w:tcPr>
          <w:p w14:paraId="0F07807E">
            <w:pPr>
              <w:pStyle w:val="766"/>
              <w:rPr>
                <w:color w:val="auto"/>
              </w:rPr>
            </w:pPr>
            <w:r>
              <w:rPr>
                <w:rFonts w:hint="eastAsia"/>
                <w:color w:val="auto"/>
              </w:rPr>
              <w:t>7.56</w:t>
            </w:r>
          </w:p>
        </w:tc>
        <w:tc>
          <w:tcPr>
            <w:tcW w:w="5414" w:type="dxa"/>
            <w:gridSpan w:val="6"/>
            <w:vAlign w:val="center"/>
          </w:tcPr>
          <w:p w14:paraId="27B931FE">
            <w:pPr>
              <w:pStyle w:val="369"/>
              <w:adjustRightInd w:val="0"/>
              <w:snapToGrid w:val="0"/>
              <w:rPr>
                <w:b w:val="0"/>
                <w:bCs/>
                <w:sz w:val="21"/>
                <w:szCs w:val="21"/>
              </w:rPr>
            </w:pPr>
            <w:r>
              <w:rPr>
                <w:rFonts w:hint="eastAsia"/>
                <w:b w:val="0"/>
                <w:bCs/>
                <w:sz w:val="21"/>
                <w:szCs w:val="21"/>
              </w:rPr>
              <w:t>全部回用于生产</w:t>
            </w:r>
          </w:p>
        </w:tc>
      </w:tr>
      <w:tr w14:paraId="6739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Merge w:val="continue"/>
            <w:vAlign w:val="center"/>
          </w:tcPr>
          <w:p w14:paraId="168EEB99">
            <w:pPr>
              <w:pStyle w:val="369"/>
              <w:adjustRightInd w:val="0"/>
              <w:snapToGrid w:val="0"/>
              <w:rPr>
                <w:b w:val="0"/>
                <w:bCs/>
                <w:sz w:val="21"/>
                <w:szCs w:val="21"/>
              </w:rPr>
            </w:pPr>
          </w:p>
        </w:tc>
        <w:tc>
          <w:tcPr>
            <w:tcW w:w="1083" w:type="dxa"/>
            <w:gridSpan w:val="2"/>
            <w:vAlign w:val="center"/>
          </w:tcPr>
          <w:p w14:paraId="747C0F61">
            <w:pPr>
              <w:pStyle w:val="766"/>
              <w:rPr>
                <w:color w:val="auto"/>
                <w:szCs w:val="22"/>
              </w:rPr>
            </w:pPr>
            <w:r>
              <w:rPr>
                <w:color w:val="auto"/>
                <w:szCs w:val="22"/>
              </w:rPr>
              <w:t>职工生活</w:t>
            </w:r>
          </w:p>
        </w:tc>
        <w:tc>
          <w:tcPr>
            <w:tcW w:w="1150" w:type="dxa"/>
            <w:gridSpan w:val="2"/>
            <w:vAlign w:val="center"/>
          </w:tcPr>
          <w:p w14:paraId="78892572">
            <w:pPr>
              <w:pStyle w:val="766"/>
              <w:rPr>
                <w:color w:val="auto"/>
              </w:rPr>
            </w:pPr>
            <w:r>
              <w:rPr>
                <w:color w:val="auto"/>
              </w:rPr>
              <w:t>生活垃圾</w:t>
            </w:r>
          </w:p>
        </w:tc>
        <w:tc>
          <w:tcPr>
            <w:tcW w:w="1163" w:type="dxa"/>
            <w:gridSpan w:val="2"/>
            <w:vAlign w:val="center"/>
          </w:tcPr>
          <w:p w14:paraId="153014AD">
            <w:pPr>
              <w:pStyle w:val="766"/>
              <w:rPr>
                <w:color w:val="auto"/>
              </w:rPr>
            </w:pPr>
            <w:r>
              <w:rPr>
                <w:color w:val="auto"/>
              </w:rPr>
              <w:t>9.125</w:t>
            </w:r>
          </w:p>
        </w:tc>
        <w:tc>
          <w:tcPr>
            <w:tcW w:w="5414" w:type="dxa"/>
            <w:gridSpan w:val="6"/>
            <w:vAlign w:val="center"/>
          </w:tcPr>
          <w:p w14:paraId="788E53F5">
            <w:pPr>
              <w:pStyle w:val="369"/>
              <w:adjustRightInd w:val="0"/>
              <w:snapToGrid w:val="0"/>
              <w:rPr>
                <w:b w:val="0"/>
                <w:bCs/>
                <w:sz w:val="21"/>
                <w:szCs w:val="21"/>
              </w:rPr>
            </w:pPr>
            <w:r>
              <w:rPr>
                <w:rFonts w:hint="eastAsia"/>
                <w:b w:val="0"/>
                <w:bCs/>
                <w:sz w:val="21"/>
                <w:szCs w:val="21"/>
              </w:rPr>
              <w:t>垃圾桶集中收集，送至相关单位制定地点</w:t>
            </w:r>
          </w:p>
        </w:tc>
      </w:tr>
      <w:tr w14:paraId="1913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87" w:type="dxa"/>
            <w:vAlign w:val="center"/>
          </w:tcPr>
          <w:p w14:paraId="008DC199">
            <w:pPr>
              <w:pStyle w:val="369"/>
              <w:adjustRightInd w:val="0"/>
              <w:snapToGrid w:val="0"/>
              <w:rPr>
                <w:b w:val="0"/>
                <w:bCs/>
                <w:sz w:val="21"/>
                <w:szCs w:val="21"/>
              </w:rPr>
            </w:pPr>
            <w:r>
              <w:rPr>
                <w:rFonts w:hint="eastAsia"/>
                <w:b w:val="0"/>
                <w:bCs/>
                <w:sz w:val="21"/>
                <w:szCs w:val="21"/>
              </w:rPr>
              <w:t>噪声</w:t>
            </w:r>
          </w:p>
        </w:tc>
        <w:tc>
          <w:tcPr>
            <w:tcW w:w="1514" w:type="dxa"/>
            <w:gridSpan w:val="3"/>
            <w:vAlign w:val="center"/>
          </w:tcPr>
          <w:p w14:paraId="7A0929C1">
            <w:pPr>
              <w:pStyle w:val="369"/>
              <w:adjustRightInd w:val="0"/>
              <w:snapToGrid w:val="0"/>
              <w:rPr>
                <w:b w:val="0"/>
                <w:bCs/>
                <w:sz w:val="21"/>
                <w:szCs w:val="21"/>
              </w:rPr>
            </w:pPr>
            <w:r>
              <w:rPr>
                <w:rFonts w:hint="eastAsia"/>
                <w:b w:val="0"/>
                <w:bCs/>
                <w:sz w:val="21"/>
                <w:szCs w:val="21"/>
              </w:rPr>
              <w:t>鸡叫噪声、机械设备噪声</w:t>
            </w:r>
          </w:p>
        </w:tc>
        <w:tc>
          <w:tcPr>
            <w:tcW w:w="719" w:type="dxa"/>
            <w:vAlign w:val="center"/>
          </w:tcPr>
          <w:p w14:paraId="4F4476DE">
            <w:pPr>
              <w:pStyle w:val="369"/>
              <w:adjustRightInd w:val="0"/>
              <w:snapToGrid w:val="0"/>
              <w:rPr>
                <w:b w:val="0"/>
                <w:bCs/>
                <w:sz w:val="21"/>
                <w:szCs w:val="21"/>
              </w:rPr>
            </w:pPr>
            <w:r>
              <w:rPr>
                <w:rFonts w:hint="eastAsia"/>
                <w:b w:val="0"/>
                <w:bCs/>
                <w:sz w:val="21"/>
                <w:szCs w:val="21"/>
              </w:rPr>
              <w:t>等效连续A声级</w:t>
            </w:r>
          </w:p>
        </w:tc>
        <w:tc>
          <w:tcPr>
            <w:tcW w:w="1163" w:type="dxa"/>
            <w:gridSpan w:val="2"/>
            <w:vAlign w:val="center"/>
          </w:tcPr>
          <w:p w14:paraId="03CF04E2">
            <w:pPr>
              <w:pStyle w:val="369"/>
              <w:adjustRightInd w:val="0"/>
              <w:snapToGrid w:val="0"/>
              <w:rPr>
                <w:b w:val="0"/>
                <w:bCs/>
                <w:sz w:val="21"/>
                <w:szCs w:val="21"/>
              </w:rPr>
            </w:pPr>
            <w:r>
              <w:rPr>
                <w:b w:val="0"/>
                <w:bCs/>
                <w:sz w:val="21"/>
                <w:szCs w:val="21"/>
              </w:rPr>
              <w:t>6</w:t>
            </w:r>
            <w:r>
              <w:rPr>
                <w:rFonts w:hint="eastAsia"/>
                <w:b w:val="0"/>
                <w:bCs/>
                <w:sz w:val="21"/>
                <w:szCs w:val="21"/>
              </w:rPr>
              <w:t>0</w:t>
            </w:r>
            <w:r>
              <w:rPr>
                <w:b w:val="0"/>
                <w:bCs/>
                <w:sz w:val="21"/>
                <w:szCs w:val="21"/>
              </w:rPr>
              <w:t>~85</w:t>
            </w:r>
          </w:p>
          <w:p w14:paraId="63630064">
            <w:pPr>
              <w:pStyle w:val="369"/>
              <w:adjustRightInd w:val="0"/>
              <w:snapToGrid w:val="0"/>
              <w:rPr>
                <w:b w:val="0"/>
                <w:bCs/>
                <w:sz w:val="21"/>
                <w:szCs w:val="21"/>
              </w:rPr>
            </w:pPr>
            <w:r>
              <w:rPr>
                <w:b w:val="0"/>
                <w:bCs/>
                <w:sz w:val="21"/>
                <w:szCs w:val="21"/>
              </w:rPr>
              <w:t>dB（A）</w:t>
            </w:r>
          </w:p>
        </w:tc>
        <w:tc>
          <w:tcPr>
            <w:tcW w:w="2534" w:type="dxa"/>
            <w:gridSpan w:val="3"/>
            <w:vAlign w:val="center"/>
          </w:tcPr>
          <w:p w14:paraId="61BF4A1B">
            <w:pPr>
              <w:pStyle w:val="369"/>
              <w:adjustRightInd w:val="0"/>
              <w:snapToGrid w:val="0"/>
              <w:rPr>
                <w:b w:val="0"/>
                <w:bCs/>
                <w:sz w:val="21"/>
                <w:szCs w:val="21"/>
              </w:rPr>
            </w:pPr>
            <w:r>
              <w:rPr>
                <w:b w:val="0"/>
                <w:bCs/>
                <w:sz w:val="21"/>
                <w:szCs w:val="21"/>
              </w:rPr>
              <w:t>昼间≤60dB（A）</w:t>
            </w:r>
          </w:p>
          <w:p w14:paraId="51158C64">
            <w:pPr>
              <w:pStyle w:val="369"/>
              <w:adjustRightInd w:val="0"/>
              <w:snapToGrid w:val="0"/>
              <w:rPr>
                <w:b w:val="0"/>
                <w:bCs/>
                <w:sz w:val="21"/>
                <w:szCs w:val="21"/>
              </w:rPr>
            </w:pPr>
            <w:r>
              <w:rPr>
                <w:b w:val="0"/>
                <w:bCs/>
                <w:sz w:val="21"/>
                <w:szCs w:val="21"/>
              </w:rPr>
              <w:t>夜间≤50dB（A）</w:t>
            </w:r>
          </w:p>
        </w:tc>
        <w:tc>
          <w:tcPr>
            <w:tcW w:w="2880" w:type="dxa"/>
            <w:gridSpan w:val="3"/>
            <w:vAlign w:val="center"/>
          </w:tcPr>
          <w:p w14:paraId="6A1A53E9">
            <w:pPr>
              <w:pStyle w:val="369"/>
              <w:adjustRightInd w:val="0"/>
              <w:snapToGrid w:val="0"/>
              <w:rPr>
                <w:b w:val="0"/>
                <w:bCs/>
                <w:sz w:val="21"/>
                <w:szCs w:val="21"/>
              </w:rPr>
            </w:pPr>
            <w:r>
              <w:rPr>
                <w:b w:val="0"/>
                <w:bCs/>
                <w:sz w:val="21"/>
                <w:szCs w:val="21"/>
              </w:rPr>
              <w:t>6</w:t>
            </w:r>
            <w:r>
              <w:rPr>
                <w:rFonts w:hint="eastAsia"/>
                <w:b w:val="0"/>
                <w:bCs/>
                <w:sz w:val="21"/>
                <w:szCs w:val="21"/>
              </w:rPr>
              <w:t>0</w:t>
            </w:r>
            <w:r>
              <w:rPr>
                <w:b w:val="0"/>
                <w:bCs/>
                <w:sz w:val="21"/>
                <w:szCs w:val="21"/>
              </w:rPr>
              <w:t>~85dB（A）</w:t>
            </w:r>
          </w:p>
        </w:tc>
      </w:tr>
    </w:tbl>
    <w:p w14:paraId="6834A058">
      <w:pPr>
        <w:pStyle w:val="11"/>
      </w:pPr>
      <w:bookmarkStart w:id="219" w:name="_Toc166572275"/>
      <w:r>
        <w:rPr>
          <w:rFonts w:hint="eastAsia"/>
        </w:rPr>
        <w:t>3.4污染物总量控制</w:t>
      </w:r>
      <w:bookmarkEnd w:id="219"/>
    </w:p>
    <w:p w14:paraId="369D0853">
      <w:pPr>
        <w:pStyle w:val="11"/>
      </w:pPr>
      <w:bookmarkStart w:id="220" w:name="_Toc166572276"/>
      <w:r>
        <w:rPr>
          <w:rFonts w:hint="eastAsia"/>
        </w:rPr>
        <w:t>3.4.1总量控制因子确定</w:t>
      </w:r>
      <w:bookmarkEnd w:id="220"/>
    </w:p>
    <w:p w14:paraId="2AB9D510">
      <w:pPr>
        <w:ind w:firstLine="480"/>
      </w:pPr>
      <w:r>
        <w:rPr>
          <w:rFonts w:hint="eastAsia"/>
        </w:rPr>
        <w:t>根据本项目所在区域环境质量现状和项目自身排放污染物特征，评价最终确定以下污染物为总量控制因子：</w:t>
      </w:r>
    </w:p>
    <w:p w14:paraId="2E5007DC">
      <w:pPr>
        <w:ind w:firstLine="480"/>
      </w:pPr>
      <w:r>
        <w:rPr>
          <w:rFonts w:hint="eastAsia"/>
        </w:rPr>
        <w:t>废气：SO</w:t>
      </w:r>
      <w:r>
        <w:rPr>
          <w:rFonts w:hint="eastAsia"/>
          <w:vertAlign w:val="subscript"/>
        </w:rPr>
        <w:t>2</w:t>
      </w:r>
      <w:r>
        <w:rPr>
          <w:rFonts w:hint="eastAsia"/>
        </w:rPr>
        <w:t>、NO</w:t>
      </w:r>
      <w:r>
        <w:rPr>
          <w:rFonts w:hint="eastAsia"/>
          <w:vertAlign w:val="subscript"/>
        </w:rPr>
        <w:t>x</w:t>
      </w:r>
      <w:r>
        <w:rPr>
          <w:rFonts w:hint="eastAsia"/>
        </w:rPr>
        <w:t>；</w:t>
      </w:r>
    </w:p>
    <w:p w14:paraId="5A3B196D">
      <w:pPr>
        <w:ind w:firstLine="480"/>
      </w:pPr>
      <w:r>
        <w:rPr>
          <w:rFonts w:hint="eastAsia"/>
        </w:rPr>
        <w:t>废水：COD、NH</w:t>
      </w:r>
      <w:r>
        <w:rPr>
          <w:rFonts w:hint="eastAsia"/>
          <w:vertAlign w:val="subscript"/>
        </w:rPr>
        <w:t>3</w:t>
      </w:r>
      <w:r>
        <w:rPr>
          <w:rFonts w:hint="eastAsia"/>
        </w:rPr>
        <w:t>-N。</w:t>
      </w:r>
    </w:p>
    <w:p w14:paraId="177DC101">
      <w:pPr>
        <w:pStyle w:val="11"/>
      </w:pPr>
      <w:bookmarkStart w:id="221" w:name="_Toc166572277"/>
      <w:r>
        <w:rPr>
          <w:rFonts w:hint="eastAsia"/>
        </w:rPr>
        <w:t>3.4.2总量控制指标确定</w:t>
      </w:r>
      <w:bookmarkEnd w:id="221"/>
    </w:p>
    <w:p w14:paraId="4507BB6A">
      <w:pPr>
        <w:ind w:firstLine="480"/>
      </w:pPr>
      <w:r>
        <w:t>根据工程分析可知，本项目施工期、</w:t>
      </w:r>
      <w:r>
        <w:rPr>
          <w:rFonts w:hint="eastAsia"/>
        </w:rPr>
        <w:t>运行期</w:t>
      </w:r>
      <w:r>
        <w:t>无废水外排，不涉及COD、NH</w:t>
      </w:r>
      <w:r>
        <w:rPr>
          <w:vertAlign w:val="subscript"/>
        </w:rPr>
        <w:t>3</w:t>
      </w:r>
      <w:r>
        <w:t>-N等废水重点污染物排放。同时，本项目施工期废气不涉及SO</w:t>
      </w:r>
      <w:r>
        <w:rPr>
          <w:vertAlign w:val="subscript"/>
        </w:rPr>
        <w:t>2</w:t>
      </w:r>
      <w:r>
        <w:t>、NO</w:t>
      </w:r>
      <w:r>
        <w:rPr>
          <w:rFonts w:hint="eastAsia"/>
        </w:rPr>
        <w:t>x</w:t>
      </w:r>
      <w:r>
        <w:t>等废气重点污染物的排放</w:t>
      </w:r>
      <w:r>
        <w:rPr>
          <w:rFonts w:hint="eastAsia"/>
        </w:rPr>
        <w:t>；运行期无</w:t>
      </w:r>
      <w:r>
        <w:t>SO</w:t>
      </w:r>
      <w:r>
        <w:rPr>
          <w:vertAlign w:val="subscript"/>
        </w:rPr>
        <w:t>2</w:t>
      </w:r>
      <w:r>
        <w:rPr>
          <w:rFonts w:hint="eastAsia"/>
        </w:rPr>
        <w:t>排放</w:t>
      </w:r>
      <w:r>
        <w:t>、NO</w:t>
      </w:r>
      <w:r>
        <w:rPr>
          <w:rFonts w:hint="eastAsia"/>
        </w:rPr>
        <w:t>x排放量为0.714t/a</w:t>
      </w:r>
      <w:r>
        <w:t>。</w:t>
      </w:r>
    </w:p>
    <w:p w14:paraId="242E0F11">
      <w:pPr>
        <w:ind w:firstLine="480"/>
      </w:pPr>
      <w:r>
        <w:t>本环评建议总量控制指标为：SO</w:t>
      </w:r>
      <w:r>
        <w:rPr>
          <w:vertAlign w:val="subscript"/>
        </w:rPr>
        <w:t>2</w:t>
      </w:r>
      <w:r>
        <w:t>：0t/a、NO</w:t>
      </w:r>
      <w:r>
        <w:rPr>
          <w:rFonts w:hint="eastAsia"/>
        </w:rPr>
        <w:t>x</w:t>
      </w:r>
      <w:r>
        <w:t>：</w:t>
      </w:r>
      <w:r>
        <w:rPr>
          <w:rFonts w:hint="eastAsia"/>
        </w:rPr>
        <w:t>0.714</w:t>
      </w:r>
      <w:r>
        <w:t>t/a、COD：0t/a、NH</w:t>
      </w:r>
      <w:r>
        <w:rPr>
          <w:vertAlign w:val="subscript"/>
        </w:rPr>
        <w:t>3</w:t>
      </w:r>
      <w:r>
        <w:t>-N：0t/a。</w:t>
      </w:r>
    </w:p>
    <w:p w14:paraId="6A9F0698">
      <w:pPr>
        <w:pStyle w:val="11"/>
      </w:pPr>
      <w:bookmarkStart w:id="222" w:name="_Toc166572278"/>
      <w:r>
        <w:rPr>
          <w:rFonts w:hint="eastAsia"/>
        </w:rPr>
        <w:t>3.4.3非正常工况总量控制指标分析</w:t>
      </w:r>
      <w:bookmarkEnd w:id="222"/>
    </w:p>
    <w:p w14:paraId="20D7B130">
      <w:pPr>
        <w:pStyle w:val="774"/>
        <w:ind w:firstLine="480"/>
        <w:rPr>
          <w:rFonts w:ascii="Times New Roman" w:hAnsi="Times New Roman" w:cs="Times New Roman"/>
          <w:color w:val="auto"/>
        </w:rPr>
      </w:pPr>
      <w:r>
        <w:rPr>
          <w:rFonts w:hint="eastAsia" w:ascii="Times New Roman" w:hAnsi="Times New Roman" w:cs="Times New Roman"/>
          <w:color w:val="auto"/>
          <w:kern w:val="2"/>
        </w:rPr>
        <w:t>本项目仅有锅炉燃烧排放的污染物涉及总量控制因子，本项目锅炉使用天然气作为燃料，燃烧后污染物直接排放无末端治理措施，因此本项目在非正常工况下污染物排放量与正常工况污染物排放量一致，不会造成污染物排放总量超标情况。</w:t>
      </w:r>
    </w:p>
    <w:p w14:paraId="2C5582D8">
      <w:pPr>
        <w:pStyle w:val="774"/>
        <w:ind w:firstLine="480"/>
        <w:rPr>
          <w:rFonts w:ascii="Times New Roman" w:hAnsi="Times New Roman" w:cs="Times New Roman"/>
          <w:color w:val="auto"/>
        </w:rPr>
      </w:pPr>
    </w:p>
    <w:p w14:paraId="19A69E64">
      <w:pPr>
        <w:pStyle w:val="774"/>
        <w:ind w:firstLine="480"/>
        <w:rPr>
          <w:rFonts w:ascii="Times New Roman" w:hAnsi="Times New Roman" w:cs="Times New Roman"/>
          <w:color w:val="auto"/>
        </w:rPr>
        <w:sectPr>
          <w:pgSz w:w="11907" w:h="16840"/>
          <w:pgMar w:top="1418" w:right="1418" w:bottom="1418" w:left="1418" w:header="964" w:footer="964" w:gutter="0"/>
          <w:cols w:space="720" w:num="1"/>
          <w:docGrid w:linePitch="312" w:charSpace="0"/>
        </w:sectPr>
      </w:pPr>
    </w:p>
    <w:bookmarkEnd w:id="193"/>
    <w:bookmarkEnd w:id="194"/>
    <w:bookmarkEnd w:id="195"/>
    <w:bookmarkEnd w:id="196"/>
    <w:bookmarkEnd w:id="197"/>
    <w:bookmarkEnd w:id="198"/>
    <w:bookmarkEnd w:id="199"/>
    <w:bookmarkEnd w:id="200"/>
    <w:bookmarkEnd w:id="201"/>
    <w:bookmarkEnd w:id="202"/>
    <w:bookmarkEnd w:id="203"/>
    <w:p w14:paraId="290BADBC">
      <w:pPr>
        <w:pStyle w:val="103"/>
      </w:pPr>
      <w:bookmarkStart w:id="223" w:name="_Toc463916946"/>
      <w:bookmarkStart w:id="224" w:name="_Toc382916711"/>
      <w:bookmarkStart w:id="225" w:name="_Toc382916347"/>
      <w:bookmarkStart w:id="226" w:name="_Toc36234653"/>
      <w:bookmarkStart w:id="227" w:name="_Toc166572279"/>
      <w:r>
        <w:t>4</w:t>
      </w:r>
      <w:bookmarkEnd w:id="223"/>
      <w:bookmarkEnd w:id="224"/>
      <w:bookmarkEnd w:id="225"/>
      <w:r>
        <w:t>环境现状调查与评价</w:t>
      </w:r>
      <w:bookmarkEnd w:id="226"/>
      <w:bookmarkEnd w:id="227"/>
    </w:p>
    <w:p w14:paraId="4E41CB49">
      <w:pPr>
        <w:pStyle w:val="10"/>
      </w:pPr>
      <w:bookmarkStart w:id="228" w:name="_Toc36234654"/>
      <w:bookmarkStart w:id="229" w:name="_Toc166572280"/>
      <w:bookmarkStart w:id="230" w:name="_Toc463916947"/>
      <w:bookmarkStart w:id="231" w:name="_Toc382916348"/>
      <w:bookmarkStart w:id="232" w:name="_Toc382916712"/>
      <w:r>
        <w:t>4.1</w:t>
      </w:r>
      <w:bookmarkEnd w:id="228"/>
      <w:r>
        <w:t>自然</w:t>
      </w:r>
      <w:bookmarkStart w:id="233" w:name="_Toc91081254"/>
      <w:bookmarkStart w:id="234" w:name="_Toc91156151"/>
      <w:bookmarkStart w:id="235" w:name="_Toc90786236"/>
      <w:r>
        <w:t>环境概</w:t>
      </w:r>
      <w:bookmarkEnd w:id="233"/>
      <w:bookmarkEnd w:id="234"/>
      <w:bookmarkEnd w:id="235"/>
      <w:r>
        <w:t>况</w:t>
      </w:r>
      <w:bookmarkEnd w:id="229"/>
    </w:p>
    <w:p w14:paraId="7A6D8E45">
      <w:pPr>
        <w:pStyle w:val="11"/>
      </w:pPr>
      <w:bookmarkStart w:id="236" w:name="_Toc166572281"/>
      <w:r>
        <w:t>4.1.1地理</w:t>
      </w:r>
      <w:r>
        <w:rPr>
          <w:rStyle w:val="507"/>
          <w:b w:val="0"/>
          <w:bCs w:val="0"/>
        </w:rPr>
        <w:t>位</w:t>
      </w:r>
      <w:r>
        <w:t>置</w:t>
      </w:r>
      <w:bookmarkEnd w:id="230"/>
      <w:bookmarkEnd w:id="231"/>
      <w:bookmarkEnd w:id="232"/>
      <w:bookmarkEnd w:id="236"/>
    </w:p>
    <w:p w14:paraId="261EDCBE">
      <w:pPr>
        <w:pStyle w:val="104"/>
      </w:pPr>
      <w:bookmarkStart w:id="237" w:name="_Toc407632490"/>
      <w:bookmarkStart w:id="238" w:name="_Toc398102854"/>
      <w:bookmarkStart w:id="239" w:name="_Toc296234076"/>
      <w:bookmarkStart w:id="240" w:name="_Toc407632722"/>
      <w:bookmarkStart w:id="241" w:name="_Toc413141558"/>
      <w:r>
        <w:t>鄂托克旗位于内蒙古自治区鄂尔多斯市西部，地处东经106°41′—108°54′，北纬38°18′—40°11′之间。东邻杭锦旗，西连宁夏陶乐县并隔黄河与石嘴山市和阿拉善盟相望，南接乌审旗和鄂托克前旗，西北界乌海市，是鄂尔多斯高原的重要组成部分。全旗南北长209km，东西宽188km，总面积20064km</w:t>
      </w:r>
      <w:r>
        <w:rPr>
          <w:vertAlign w:val="superscript"/>
        </w:rPr>
        <w:t>2</w:t>
      </w:r>
      <w:r>
        <w:t>，被誉为鄂尔多斯“西大门”。</w:t>
      </w:r>
    </w:p>
    <w:p w14:paraId="43CC99AE">
      <w:pPr>
        <w:pStyle w:val="104"/>
      </w:pPr>
      <w:r>
        <w:t>蒙西镇位于东经106°42′04″～107°29′32″，北纬39°37′00″～40°11′11″，辖3个嘎查，5个村，2个社区。分别为巴音温都尔嘎查、苏亥图嘎查、伊克布拉格嘎查、其劳图村、碱柜村、渠畔村、羊场村、新民村、蒙西社区、隆安社区。蒙西镇地处“一盟三市”（阿拉善盟、鄂尔多斯市、乌海市、巴彦淖尔市）交汇处，东依矿产资源富集的千里山，南接新型工业城市乌海市，西邻黄河东岸，北靠全国商品粮基地河套平原。黄河流经境内51km，内部交通干线已与包兰铁路、京藏高速和110国道对接。全镇总面积1938km</w:t>
      </w:r>
      <w:r>
        <w:rPr>
          <w:vertAlign w:val="superscript"/>
        </w:rPr>
        <w:t>2</w:t>
      </w:r>
      <w:r>
        <w:t>。</w:t>
      </w:r>
    </w:p>
    <w:p w14:paraId="600402C7">
      <w:pPr>
        <w:ind w:firstLine="480"/>
        <w:rPr>
          <w:b/>
          <w:bCs/>
          <w:spacing w:val="-8"/>
        </w:rPr>
      </w:pPr>
      <w:r>
        <w:t>本项目位于内蒙古鄂尔多斯市鄂托克旗蒙西镇伊克布拉格嘎查，厂址中心左边坐标东经106°48′8.958″，北纬40°1′9.600″，厂址四周均为空地</w:t>
      </w:r>
      <w:r>
        <w:rPr>
          <w:rFonts w:hint="eastAsia"/>
        </w:rPr>
        <w:t>。项目</w:t>
      </w:r>
      <w:r>
        <w:rPr>
          <w:kern w:val="0"/>
        </w:rPr>
        <w:t>地理位置见图4.1-</w:t>
      </w:r>
      <w:r>
        <w:rPr>
          <w:rFonts w:hint="eastAsia"/>
          <w:kern w:val="0"/>
        </w:rPr>
        <w:t>1</w:t>
      </w:r>
      <w:r>
        <w:t>。</w:t>
      </w:r>
    </w:p>
    <w:p w14:paraId="2658D03E">
      <w:pPr>
        <w:ind w:firstLine="480"/>
      </w:pPr>
    </w:p>
    <w:p w14:paraId="2F309331">
      <w:pPr>
        <w:ind w:firstLine="480"/>
        <w:sectPr>
          <w:pgSz w:w="11907" w:h="16840"/>
          <w:pgMar w:top="1418" w:right="1418" w:bottom="1418" w:left="1418" w:header="964" w:footer="964" w:gutter="0"/>
          <w:cols w:space="720" w:num="1"/>
          <w:docGrid w:linePitch="312" w:charSpace="0"/>
        </w:sectPr>
      </w:pPr>
    </w:p>
    <w:p w14:paraId="3230F3A2">
      <w:pPr>
        <w:pStyle w:val="766"/>
        <w:rPr>
          <w:color w:val="auto"/>
        </w:rPr>
      </w:pPr>
      <w:r>
        <w:rPr>
          <w:color w:val="auto"/>
        </w:rPr>
        <w:drawing>
          <wp:inline distT="0" distB="0" distL="0" distR="0">
            <wp:extent cx="7463155" cy="5276215"/>
            <wp:effectExtent l="0" t="0" r="4445" b="635"/>
            <wp:docPr id="6" name="图片 6" descr="C:/Users/Lenovo/Desktop/复核/图/地理位置图.png地理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Lenovo/Desktop/复核/图/地理位置图.png地理位置图"/>
                    <pic:cNvPicPr>
                      <a:picLocks noChangeAspect="1" noChangeArrowheads="1"/>
                    </pic:cNvPicPr>
                  </pic:nvPicPr>
                  <pic:blipFill>
                    <a:blip r:embed="rId39"/>
                    <a:srcRect l="42" r="42"/>
                    <a:stretch>
                      <a:fillRect/>
                    </a:stretch>
                  </pic:blipFill>
                  <pic:spPr>
                    <a:xfrm>
                      <a:off x="0" y="0"/>
                      <a:ext cx="7463155" cy="5276215"/>
                    </a:xfrm>
                    <a:prstGeom prst="rect">
                      <a:avLst/>
                    </a:prstGeom>
                    <a:noFill/>
                    <a:ln>
                      <a:noFill/>
                    </a:ln>
                  </pic:spPr>
                </pic:pic>
              </a:graphicData>
            </a:graphic>
          </wp:inline>
        </w:drawing>
      </w:r>
    </w:p>
    <w:p w14:paraId="3179A590">
      <w:pPr>
        <w:pStyle w:val="369"/>
      </w:pPr>
      <w:r>
        <w:t>图4.1-</w:t>
      </w:r>
      <w:r>
        <w:rPr>
          <w:rFonts w:hint="eastAsia"/>
        </w:rPr>
        <w:t>1</w:t>
      </w:r>
      <w:r>
        <w:t xml:space="preserve">  项目地理位置图</w:t>
      </w:r>
    </w:p>
    <w:p w14:paraId="4E9D104E">
      <w:pPr>
        <w:pStyle w:val="105"/>
        <w:ind w:firstLine="480"/>
        <w:sectPr>
          <w:pgSz w:w="16840" w:h="11907" w:orient="landscape"/>
          <w:pgMar w:top="1418" w:right="1418" w:bottom="1418" w:left="1418" w:header="964" w:footer="964" w:gutter="0"/>
          <w:cols w:space="720" w:num="1"/>
          <w:docGrid w:linePitch="312" w:charSpace="0"/>
        </w:sectPr>
      </w:pPr>
    </w:p>
    <w:p w14:paraId="0BAD1F93">
      <w:pPr>
        <w:pStyle w:val="11"/>
      </w:pPr>
      <w:bookmarkStart w:id="242" w:name="_Toc166572282"/>
      <w:bookmarkStart w:id="243" w:name="_Toc410661812"/>
      <w:bookmarkStart w:id="244" w:name="_Toc410912830"/>
      <w:r>
        <w:t>4.1.2地形地貌</w:t>
      </w:r>
      <w:bookmarkEnd w:id="242"/>
      <w:bookmarkEnd w:id="243"/>
      <w:bookmarkEnd w:id="244"/>
    </w:p>
    <w:p w14:paraId="63777F39">
      <w:pPr>
        <w:pStyle w:val="104"/>
      </w:pPr>
      <w:r>
        <w:t>鄂托克旗以波状高原为主，呈西北高，东南低，平均海拔1800米。阿尔巴斯山主峰乌仁都喜（桌子山）海拔2149.6米。西北部边缘向黄河倾斜，呈条状分布于沿黄河一带的蒙西镇和棋盘井镇北部地区，形成了黄河冲积平原，最低海拔标高1055.5米。</w:t>
      </w:r>
    </w:p>
    <w:p w14:paraId="5EB1A967">
      <w:pPr>
        <w:pStyle w:val="104"/>
      </w:pPr>
      <w:r>
        <w:t>大部分地区海拔在1100～1600米之间，西部、北部除桌子山一带为中低山丘陵地形外，其余大部分地区为缓慢起伏的波状高原和一部分比较平缓的桌状高平台。主要分布在棋盘井镇及以东大部分地区、蒙西镇东南部、阿尔巴斯苏木和木凯淖尔镇大部。</w:t>
      </w:r>
    </w:p>
    <w:p w14:paraId="0AB5355B">
      <w:pPr>
        <w:pStyle w:val="104"/>
      </w:pPr>
      <w:r>
        <w:t>东部、南部为连绵起伏的毛乌素沙地，多为剥蚀洼地和沙丘堆积地形。主要分布在木凯淖尔镇南部、苏米图苏木和乌兰镇。由高度、大小不一，密集程度不同的新月型沙丘和沙山组成。海拔一般在1200—1350米之间。沙丘间有常年积水的小湖泊，局部地区有盐渍化现象。该地区地下水埋藏较浅，潜水比较丰富。</w:t>
      </w:r>
    </w:p>
    <w:bookmarkEnd w:id="237"/>
    <w:bookmarkEnd w:id="238"/>
    <w:bookmarkEnd w:id="239"/>
    <w:bookmarkEnd w:id="240"/>
    <w:bookmarkEnd w:id="241"/>
    <w:p w14:paraId="2225C803">
      <w:pPr>
        <w:pStyle w:val="11"/>
      </w:pPr>
      <w:bookmarkStart w:id="245" w:name="_Toc166572283"/>
      <w:bookmarkStart w:id="246" w:name="_Toc407632499"/>
      <w:bookmarkStart w:id="247" w:name="_Toc421377604"/>
      <w:bookmarkStart w:id="248" w:name="_Toc407632914"/>
      <w:bookmarkStart w:id="249" w:name="_Toc398102863"/>
      <w:bookmarkStart w:id="250" w:name="_Toc413141567"/>
      <w:bookmarkStart w:id="251" w:name="_Toc420077479"/>
      <w:bookmarkStart w:id="252" w:name="_Toc421718315"/>
      <w:bookmarkStart w:id="253" w:name="_Toc420844798"/>
      <w:bookmarkStart w:id="254" w:name="_Toc407632731"/>
      <w:r>
        <w:t>4.1.3水文地质</w:t>
      </w:r>
      <w:bookmarkEnd w:id="245"/>
    </w:p>
    <w:p w14:paraId="390FA66E">
      <w:pPr>
        <w:pStyle w:val="104"/>
      </w:pPr>
      <w:r>
        <w:t>蒙西镇在大地构造位置上位于华北地台和西北地台的交界区，涉及鄂尔多斯隆起，临河断陷盆地，吉兰泰断陷盆地，乌海槽地四个次级构造单元，城镇位于乌海槽地东北部。乌海槽地东西两侧均受断裂控制，东侧为千里山—卓子山—岗德尔山西缘断裂，西侧为贺兰山东麓断裂和五虎山断裂。第四纪以来，边界断裂持续活动，槽地不断下沉接受了数百米厚的第四系沉积。特别是东侧的千里山—卓子山—岗德尔山西缘断裂活动很强烈，断裂活动一直持续到全新世，造成现今巨大的地貌差异，目前乌海槽地仍处于下沉阶段。除上述边界断裂外，工作区西北部还有近东西向的巴音木仁断裂、北东—南西向的磴口—本井断裂和近南北向的白子地—石嘴山断裂。据物探和地震资料，城镇一带第四系厚500米以上，由山前至黄河岸边逐渐变厚，以沙砾、卵石等冲积相物质为主。通过野外地质地貌调查和浅层地震勘探及钻孔资料验证，城镇内不存在断裂构造，至少60米以上地层连续稳定，无构造扰动迹象。</w:t>
      </w:r>
    </w:p>
    <w:p w14:paraId="70F1ACC4">
      <w:pPr>
        <w:pStyle w:val="11"/>
      </w:pPr>
      <w:bookmarkStart w:id="255" w:name="_Toc166572284"/>
      <w:r>
        <w:rPr>
          <w:rFonts w:hint="eastAsia"/>
        </w:rPr>
        <w:t>4.1.4</w:t>
      </w:r>
      <w:r>
        <w:t>地下水</w:t>
      </w:r>
      <w:bookmarkEnd w:id="255"/>
    </w:p>
    <w:p w14:paraId="55FBBA90">
      <w:pPr>
        <w:pStyle w:val="104"/>
        <w:rPr>
          <w:szCs w:val="24"/>
        </w:rPr>
      </w:pPr>
      <w:r>
        <w:t>蒙西镇所在区域处于山前冲积平原，水文地质条件受气候、地貌、岩性等因素的控制，根据区内含水介质、地下水赋存条件和水动力特征，将评估区地下水划分为松散岩类空隙潜水和半承压水的性质。含水层为中更新统冲积、洪积层，岩性为浅黄色卵砾石、沙砾石、粗砂及中细砂。由于不稳定粉质粘土夹层的存在，局部地区具有半承压的性质。含水层厚度较大，区内钻孔揭露均在50米以上，水位埋深40—70米，单井涌水量1000—3000立方米/天，水质一般，矿化度0.69—0.83克/升。该地区地下水的补给主要是大气降水和山前径流补给，由于冲、洪积平原前缘与黄河冲积平原相接，因而与黄河水有密切联系，开采条件下或黄河高水位期</w:t>
      </w:r>
      <w:r>
        <w:rPr>
          <w:szCs w:val="24"/>
        </w:rPr>
        <w:t>可获得黄河水的侧渗补给。地下水径流方向由东向西，最终排泄于黄河，人工开采也是该区地下水的排泄方式。该区地下水位埋深大于40米，对工程基础影响不大。根据水质分析报告，地下水对混凝土和金属都具有一定的腐蚀性，作为工业用水应做适当处理。区域水文地质图见图4.1-3。</w:t>
      </w:r>
    </w:p>
    <w:p w14:paraId="3B3A122C">
      <w:pPr>
        <w:pStyle w:val="104"/>
        <w:ind w:firstLine="0" w:firstLineChars="0"/>
        <w:rPr>
          <w:szCs w:val="24"/>
        </w:rPr>
      </w:pPr>
      <w:bookmarkStart w:id="256" w:name="_Toc166572285"/>
      <w:r>
        <w:rPr>
          <w:rStyle w:val="507"/>
          <w:rFonts w:hint="eastAsia"/>
        </w:rPr>
        <w:t>4.1.5</w:t>
      </w:r>
      <w:r>
        <w:rPr>
          <w:rStyle w:val="507"/>
        </w:rPr>
        <w:t>地表水</w:t>
      </w:r>
      <w:bookmarkEnd w:id="256"/>
    </w:p>
    <w:p w14:paraId="1613BF01">
      <w:pPr>
        <w:pStyle w:val="104"/>
      </w:pPr>
      <w:r>
        <w:t>鄂托克旗河流水系主要由黄河、都斯图河、山洪沟及内陆湖泊组成。黄河入境全长51公里，水面宽度250—1200米，多年平均年径流量273.05亿立方米。都斯图河为黄河一级支流，境内全长165.8公里。集水面积8326平方公里，多年平均径流量为1450.3万立方米。河水主要来源于地下水的补给和雨季洪水的汇集，流量大小随季节而异，一般春汛期和7、8月份较大，枯水期较小，局部地方有断流现象。此外，境内还有长短不一的河流23条，总长955.87公里。</w:t>
      </w:r>
    </w:p>
    <w:p w14:paraId="658B324A">
      <w:pPr>
        <w:pStyle w:val="104"/>
      </w:pPr>
      <w:r>
        <w:t>境内有湖泊25个，均属内陆湖泊，其中较大的是查汗淖湖、巴彦淖湖、达拉图鲁湖、哈马尔太湖等。主要分布在沙区的梁间低洼处。面积大小不一，大的约8平方公里，小的不足1平方公里。蓄水程度均很浅，水深一般为0.5～2米。干枯年湖面缩小，有些甚至干枯，而丰水年则湖面扩大。湖水盐渍化程度较高，在农田、牧场灌溉方面基本没有使用价值。</w:t>
      </w:r>
    </w:p>
    <w:p w14:paraId="7433419A">
      <w:pPr>
        <w:pStyle w:val="104"/>
        <w:ind w:firstLine="0" w:firstLineChars="0"/>
      </w:pPr>
      <w:r>
        <w:rPr>
          <w:rFonts w:hint="eastAsia"/>
        </w:rPr>
        <w:drawing>
          <wp:inline distT="0" distB="0" distL="114300" distR="114300">
            <wp:extent cx="5781040" cy="6727190"/>
            <wp:effectExtent l="0" t="0" r="10160" b="16510"/>
            <wp:docPr id="12" name="图片 12" descr="C:/Users/Lenovo/Desktop/复核/图/地表水系图.png地表水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Lenovo/Desktop/复核/图/地表水系图.png地表水系图"/>
                    <pic:cNvPicPr>
                      <a:picLocks noChangeAspect="1"/>
                    </pic:cNvPicPr>
                  </pic:nvPicPr>
                  <pic:blipFill>
                    <a:blip r:embed="rId40"/>
                    <a:srcRect t="55" b="55"/>
                    <a:stretch>
                      <a:fillRect/>
                    </a:stretch>
                  </pic:blipFill>
                  <pic:spPr>
                    <a:xfrm>
                      <a:off x="0" y="0"/>
                      <a:ext cx="5781040" cy="6727190"/>
                    </a:xfrm>
                    <a:prstGeom prst="rect">
                      <a:avLst/>
                    </a:prstGeom>
                  </pic:spPr>
                </pic:pic>
              </a:graphicData>
            </a:graphic>
          </wp:inline>
        </w:drawing>
      </w:r>
    </w:p>
    <w:p w14:paraId="466CE7DB">
      <w:pPr>
        <w:pStyle w:val="104"/>
        <w:ind w:firstLine="0" w:firstLineChars="0"/>
        <w:jc w:val="center"/>
      </w:pPr>
      <w:r>
        <w:rPr>
          <w:rFonts w:hint="eastAsia"/>
          <w:b/>
          <w:bCs/>
        </w:rPr>
        <w:t>4.1.2 项目区域地表水系图</w:t>
      </w:r>
    </w:p>
    <w:p w14:paraId="375BA65B">
      <w:pPr>
        <w:pStyle w:val="104"/>
      </w:pPr>
    </w:p>
    <w:p w14:paraId="646C4B29">
      <w:pPr>
        <w:pStyle w:val="104"/>
      </w:pPr>
    </w:p>
    <w:p w14:paraId="76B90BD7">
      <w:pPr>
        <w:pStyle w:val="104"/>
        <w:sectPr>
          <w:pgSz w:w="11907" w:h="16840"/>
          <w:pgMar w:top="1418" w:right="1418" w:bottom="1418" w:left="1418" w:header="964" w:footer="964" w:gutter="0"/>
          <w:cols w:space="720" w:num="1"/>
          <w:docGrid w:linePitch="312" w:charSpace="0"/>
        </w:sectPr>
      </w:pPr>
    </w:p>
    <w:p w14:paraId="46F08CAA">
      <w:pPr>
        <w:pStyle w:val="748"/>
      </w:pPr>
      <w:r>
        <w:drawing>
          <wp:inline distT="0" distB="0" distL="0" distR="0">
            <wp:extent cx="8855710" cy="5518150"/>
            <wp:effectExtent l="0" t="0" r="2540" b="6350"/>
            <wp:docPr id="211" name="图片 211" descr="G:/环评/新建文件夹/水文地质图.png水文地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G:/环评/新建文件夹/水文地质图.png水文地质图"/>
                    <pic:cNvPicPr>
                      <a:picLocks noChangeAspect="1"/>
                    </pic:cNvPicPr>
                  </pic:nvPicPr>
                  <pic:blipFill>
                    <a:blip r:embed="rId41"/>
                    <a:srcRect t="4" b="4"/>
                    <a:stretch>
                      <a:fillRect/>
                    </a:stretch>
                  </pic:blipFill>
                  <pic:spPr>
                    <a:xfrm>
                      <a:off x="0" y="0"/>
                      <a:ext cx="8855710" cy="5518150"/>
                    </a:xfrm>
                    <a:prstGeom prst="rect">
                      <a:avLst/>
                    </a:prstGeom>
                  </pic:spPr>
                </pic:pic>
              </a:graphicData>
            </a:graphic>
          </wp:inline>
        </w:drawing>
      </w:r>
    </w:p>
    <w:p w14:paraId="7946E714">
      <w:pPr>
        <w:pStyle w:val="749"/>
        <w:rPr>
          <w:color w:val="auto"/>
        </w:rPr>
      </w:pPr>
      <w:r>
        <w:rPr>
          <w:color w:val="auto"/>
        </w:rPr>
        <w:t>图4.1-3评价区水文地质图</w:t>
      </w:r>
    </w:p>
    <w:p w14:paraId="37F71AEA">
      <w:pPr>
        <w:pStyle w:val="104"/>
        <w:rPr>
          <w:szCs w:val="24"/>
        </w:rPr>
        <w:sectPr>
          <w:pgSz w:w="16840" w:h="11907" w:orient="landscape"/>
          <w:pgMar w:top="1418" w:right="1418" w:bottom="1418" w:left="1418" w:header="964" w:footer="964" w:gutter="0"/>
          <w:cols w:space="720" w:num="1"/>
          <w:docGrid w:linePitch="326" w:charSpace="0"/>
        </w:sectPr>
      </w:pPr>
    </w:p>
    <w:p w14:paraId="7E103F6B">
      <w:pPr>
        <w:pStyle w:val="11"/>
      </w:pPr>
      <w:bookmarkStart w:id="257" w:name="_Toc166572286"/>
      <w:r>
        <w:t>4.1.</w:t>
      </w:r>
      <w:r>
        <w:rPr>
          <w:rFonts w:hint="eastAsia"/>
        </w:rPr>
        <w:t>6</w:t>
      </w:r>
      <w:r>
        <w:t>气象条件</w:t>
      </w:r>
      <w:bookmarkEnd w:id="257"/>
    </w:p>
    <w:p w14:paraId="6F4475C0">
      <w:pPr>
        <w:pStyle w:val="104"/>
      </w:pPr>
      <w:r>
        <w:t>鄂托克旗地处中温带温暖型干旱、半干旱大陆性气候区，气候总的特征是：冬季漫长而寒泠，夏季短促而炎热，寒暑变化大，风多雨少，气候干燥，蒸发强烈，日照时数长，昼夜温差大，属典型大陆性气候。</w:t>
      </w:r>
    </w:p>
    <w:p w14:paraId="581F965D">
      <w:pPr>
        <w:pStyle w:val="104"/>
      </w:pPr>
      <w:r>
        <w:t>全年降雨少而集中，多集中在7、8、9三个月，蒸发强烈，年平均降水量200-300mm，年平均蒸发量2400-2800mm，年、日温差较大，年平均气温6.5℃，极端最高气温36℃，极端最低气温-35℃；年平均相对湿度42.6%；最大冻土深度210cm。</w:t>
      </w:r>
    </w:p>
    <w:p w14:paraId="4D0C1DD5">
      <w:pPr>
        <w:pStyle w:val="104"/>
      </w:pPr>
      <w:r>
        <w:t>大风和干旱出现频繁，全镇境内气候干燥，相对湿度多年平均为48%，年平均降雪10.9天。全年平均气温7.0℃，全年≥10℃积温2800～3300℃。年日照时数3000小时左右，作物生长季（4～9月）日照时数为1600～1700小时。年平均无霜期129天，最长无霜期161天（1983年），最短无霜期为102天（1968年）。大风多集中在冬春两季，尤其是春季。多年平均风速3.2米/秒。北部、西部的风力大于东南部，平原大于山地，山地大于草原。全年主导风向为SSE。</w:t>
      </w:r>
    </w:p>
    <w:p w14:paraId="136A7DFD">
      <w:pPr>
        <w:pStyle w:val="104"/>
      </w:pPr>
      <w:r>
        <w:t>灾害性天气为干旱和风沙危害。本旗一年四季均有干旱出现的机率，但以春旱为最多，大旱几率以秋、冬为最多。本旗是西北冷空气路径的门户，加之气候干燥，沙漠多，下垫面疏松，植被稀疏低矮，促成大风出现的次数多，风力强，风沙大。一年中大于等于6级的大风日数为46.6天，全旗历年平均沙暴日为17天，沙暴出现以3-5月为最多。据测定，大部分流动沙丘每年向前移动5-7米，半固定沙丘移动2-3米。其他土地的表土风蚀1-3厘米。</w:t>
      </w:r>
    </w:p>
    <w:p w14:paraId="451D0F72">
      <w:pPr>
        <w:pStyle w:val="11"/>
      </w:pPr>
      <w:bookmarkStart w:id="258" w:name="_Toc166572287"/>
      <w:r>
        <w:t>4.1.</w:t>
      </w:r>
      <w:r>
        <w:rPr>
          <w:rFonts w:hint="eastAsia"/>
        </w:rPr>
        <w:t>7</w:t>
      </w:r>
      <w:r>
        <w:t>土壤、植被</w:t>
      </w:r>
      <w:bookmarkEnd w:id="258"/>
    </w:p>
    <w:p w14:paraId="62FE52A2">
      <w:pPr>
        <w:pStyle w:val="104"/>
      </w:pPr>
      <w:r>
        <w:t>项目区处于亚非荒漠区与欧亚草原的交接处，为草原和荒漠的过渡带，野生植被具有明显的旱生特征，植株矮小、根系发达、叶片肉质化，植被覆盖率在10%左右；地带性植被为草原与荒漠植被，草原属最耐干旱的荒漠草原，荒漠属草原化荒漠。由于人类长期的干扰和破坏(放牧、垦殖、经济建设等)，目前，项目区植被类型单一，主要有沙地及半固定沙丘的草原化荒漠植被和砾石戈壁荒漠化草原植被，其代表群系有沙蒿群落等。此外，在黄河一、二级阶地上，分布有农田植被。</w:t>
      </w:r>
    </w:p>
    <w:p w14:paraId="66A2BB84">
      <w:pPr>
        <w:pStyle w:val="105"/>
        <w:ind w:firstLine="480"/>
      </w:pPr>
      <w:r>
        <w:t>蒙西镇地势平坦，地质结构稳定，地面高度在1074-1086米之间，土壤类型以灰漠土粗骨性灰漠土亚类为主，分布了冲洪积灰漠土，沙化灰漠土，粗骨性灰漠土三个土种。</w:t>
      </w:r>
    </w:p>
    <w:p w14:paraId="325DFF67">
      <w:pPr>
        <w:pStyle w:val="11"/>
      </w:pPr>
      <w:bookmarkStart w:id="259" w:name="_Toc166572288"/>
      <w:r>
        <w:t>4.1.</w:t>
      </w:r>
      <w:r>
        <w:rPr>
          <w:rFonts w:hint="eastAsia"/>
        </w:rPr>
        <w:t>8</w:t>
      </w:r>
      <w:r>
        <w:t>西鄂尔多斯国家级自然保护区生态环境概况</w:t>
      </w:r>
      <w:bookmarkEnd w:id="259"/>
    </w:p>
    <w:p w14:paraId="37BA5E7E">
      <w:pPr>
        <w:pStyle w:val="105"/>
        <w:ind w:firstLine="480"/>
      </w:pPr>
      <w:r>
        <w:t>（1）保护区概况</w:t>
      </w:r>
    </w:p>
    <w:p w14:paraId="1E82099A">
      <w:pPr>
        <w:pStyle w:val="105"/>
        <w:ind w:firstLine="480"/>
      </w:pPr>
      <w:r>
        <w:t>内蒙古西鄂尔多斯国家级自然保护区位于内蒙古自治区西部，鄂尔多斯市鄂托克旗西部的阿尔巴斯苏木、公其日嘎乡、新召苏木和棋盘井镇，以及乌海市东部的桌子山部分地区。保护区南部、西部为桌子山山地，保护区西界与乌海市相邻；西北部界线为京藏高速公路向北接杭锦旗的旗县犀，并与黄河相望；东与鄂尔多斯西部波状高原相邻，西侧隔乌海市与黄河相望，距鄂托克旗旗政府所在地乌兰镇96km。</w:t>
      </w:r>
    </w:p>
    <w:p w14:paraId="5298E8BC">
      <w:pPr>
        <w:pStyle w:val="105"/>
        <w:ind w:firstLine="480"/>
      </w:pPr>
      <w:r>
        <w:t>2016年6月23日，</w:t>
      </w:r>
      <w:r>
        <w:rPr>
          <w:rFonts w:hint="eastAsia"/>
          <w:lang w:val="en-US" w:eastAsia="zh-CN"/>
        </w:rPr>
        <w:t>生态环境</w:t>
      </w:r>
      <w:r>
        <w:t>部发布《关于发布河北昌黎黄金海岸等6处国家级自然保护区面积、范围及功能区划的通知》（环生态函[2016]131号）对西鄂尔多斯国家级自然保护区进行了调整，调整后的内蒙古西鄂尔多斯国家级自然保护区总面积460024hm</w:t>
      </w:r>
      <w:r>
        <w:rPr>
          <w:vertAlign w:val="superscript"/>
        </w:rPr>
        <w:t>2</w:t>
      </w:r>
      <w:r>
        <w:t>，其中核心区面积141938hm</w:t>
      </w:r>
      <w:r>
        <w:rPr>
          <w:vertAlign w:val="superscript"/>
        </w:rPr>
        <w:t>2</w:t>
      </w:r>
      <w:r>
        <w:t>，缓冲区面积56983hm</w:t>
      </w:r>
      <w:r>
        <w:rPr>
          <w:vertAlign w:val="superscript"/>
        </w:rPr>
        <w:t>2</w:t>
      </w:r>
      <w:r>
        <w:t>，实验区261103hm</w:t>
      </w:r>
      <w:r>
        <w:rPr>
          <w:vertAlign w:val="superscript"/>
        </w:rPr>
        <w:t>2</w:t>
      </w:r>
      <w:r>
        <w:t>。</w:t>
      </w:r>
    </w:p>
    <w:p w14:paraId="4208A639">
      <w:pPr>
        <w:pStyle w:val="105"/>
        <w:ind w:firstLine="480"/>
      </w:pPr>
      <w:r>
        <w:t>2018年，根据中央环保督察反馈意见整改要求和生态环境部等七部门《关于联合开展“绿盾2018”监督检查专项行动的通知》(环生态函〔2018〕43号）和自治区六部门《关于进一步加强自然保护区监督管理工作的函》(内环办〔2018〕234号）有关文件要求，鄂尔多斯市西鄂尔多斯国家级自然保护区管理局委托内蒙古自治区地质测绘院对保护区鄂托克境内范围进行了勘查核实，编制完成了《西鄂尔多斯国家级自然保护区范围与功能区划边界勘测定界核准报告》，核准后保护区范围为东经：106°44′32.59″-107°44′26.300″，北纬：39°15′02.98″—40°09′14.820″之间，保护区面积为436116.40公顷，其中，核心区面积137128.94公顷、缓冲区面积53784.17公顷、实验区面积245203.29公顷。</w:t>
      </w:r>
    </w:p>
    <w:p w14:paraId="7C5D8280">
      <w:pPr>
        <w:pStyle w:val="105"/>
        <w:ind w:firstLine="480"/>
      </w:pPr>
      <w:r>
        <w:t>（2）保护区功能区划分</w:t>
      </w:r>
    </w:p>
    <w:p w14:paraId="5E031342">
      <w:pPr>
        <w:pStyle w:val="105"/>
        <w:ind w:firstLine="480"/>
      </w:pPr>
      <w:r>
        <w:t>调整后的保护区设6个核心区、4个缓冲区。核心区分别为伊克布拉格核心区、红井核心区、半日花核心区、四合木黄河阶地核心区、四合木山地核心区、四合木核心区。在实验区内设置了1个荒漠植物园，l个旅游区，l个生产示范区。</w:t>
      </w:r>
    </w:p>
    <w:p w14:paraId="157A48C3">
      <w:pPr>
        <w:pStyle w:val="105"/>
        <w:ind w:firstLine="480"/>
      </w:pPr>
      <w:r>
        <w:t>（3）与本项目的位置关系</w:t>
      </w:r>
    </w:p>
    <w:p w14:paraId="74DC2F76">
      <w:pPr>
        <w:pStyle w:val="105"/>
        <w:ind w:firstLine="480"/>
      </w:pPr>
      <w:r>
        <w:t>建设项目位于西鄂尔多斯国家级自然保护区实验区外西部，根据鄂尔多斯市西鄂尔多斯国家级自然保护区管理局《关于内蒙古华翔农林牧科技发展有限公司现代蛋鸡产业项目与西鄂尔多斯国家级自然保护区位置关系的函》，该项目不在西鄂尔多斯国家级自然保护区内，距保护区实验区边界距离约0.57</w:t>
      </w:r>
      <w:r>
        <w:rPr>
          <w:rFonts w:hint="eastAsia"/>
        </w:rPr>
        <w:t>k</w:t>
      </w:r>
      <w:r>
        <w:t>m，</w:t>
      </w:r>
      <w:r>
        <w:rPr>
          <w:rFonts w:hint="eastAsia"/>
        </w:rPr>
        <w:t>距离缓冲区最近距离为</w:t>
      </w:r>
      <w:r>
        <w:t xml:space="preserve">1.39 </w:t>
      </w:r>
      <w:r>
        <w:rPr>
          <w:rFonts w:hint="eastAsia"/>
        </w:rPr>
        <w:t>km，距离核心区最近距离为</w:t>
      </w:r>
      <w:r>
        <w:t xml:space="preserve">2.39 </w:t>
      </w:r>
      <w:r>
        <w:rPr>
          <w:rFonts w:hint="eastAsia"/>
        </w:rPr>
        <w:t>km。</w:t>
      </w:r>
    </w:p>
    <w:p w14:paraId="673B7FE8">
      <w:pPr>
        <w:pStyle w:val="105"/>
        <w:ind w:firstLine="480"/>
      </w:pPr>
      <w:r>
        <w:t>项目与西鄂尔多斯国家级自然保护位置关系见图。</w:t>
      </w:r>
    </w:p>
    <w:p w14:paraId="349E5D50">
      <w:pPr>
        <w:pStyle w:val="789"/>
        <w:ind w:left="480" w:hanging="480"/>
      </w:pPr>
      <w:r>
        <w:rPr>
          <w:rFonts w:cs="Times New Roman"/>
        </w:rPr>
        <w:drawing>
          <wp:inline distT="0" distB="0" distL="0" distR="0">
            <wp:extent cx="5760085" cy="4076065"/>
            <wp:effectExtent l="0" t="0" r="12065" b="635"/>
            <wp:docPr id="1534004818" name="图片 1" descr="C:/Users/Lenovo/Desktop/复核/图/自然保护区.png自然保护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04818" name="图片 1" descr="C:/Users/Lenovo/Desktop/复核/图/自然保护区.png自然保护区"/>
                    <pic:cNvPicPr>
                      <a:picLocks noChangeAspect="1"/>
                    </pic:cNvPicPr>
                  </pic:nvPicPr>
                  <pic:blipFill>
                    <a:blip r:embed="rId25"/>
                    <a:srcRect l="6" r="6"/>
                    <a:stretch>
                      <a:fillRect/>
                    </a:stretch>
                  </pic:blipFill>
                  <pic:spPr>
                    <a:xfrm>
                      <a:off x="0" y="0"/>
                      <a:ext cx="5760085" cy="4076065"/>
                    </a:xfrm>
                    <a:prstGeom prst="rect">
                      <a:avLst/>
                    </a:prstGeom>
                  </pic:spPr>
                </pic:pic>
              </a:graphicData>
            </a:graphic>
          </wp:inline>
        </w:drawing>
      </w:r>
      <w:r>
        <w:rPr>
          <w:rFonts w:cs="Times New Roman"/>
        </w:rPr>
        <w:t>图</w:t>
      </w:r>
      <w:r>
        <w:rPr>
          <w:rFonts w:hint="eastAsia" w:cs="Times New Roman"/>
        </w:rPr>
        <w:t>4</w:t>
      </w:r>
      <w:r>
        <w:rPr>
          <w:rFonts w:cs="Times New Roman"/>
        </w:rPr>
        <w:t>.</w:t>
      </w:r>
      <w:r>
        <w:rPr>
          <w:rFonts w:hint="eastAsia" w:cs="Times New Roman"/>
        </w:rPr>
        <w:t>1</w:t>
      </w:r>
      <w:r>
        <w:rPr>
          <w:rFonts w:cs="Times New Roman"/>
        </w:rPr>
        <w:t>-</w:t>
      </w:r>
      <w:r>
        <w:rPr>
          <w:rFonts w:hint="eastAsia" w:cs="Times New Roman"/>
        </w:rPr>
        <w:t>4</w:t>
      </w:r>
      <w:r>
        <w:rPr>
          <w:rFonts w:cs="Times New Roman"/>
        </w:rPr>
        <w:t>项目与西鄂尔多斯国家级自然保护位置图</w:t>
      </w:r>
    </w:p>
    <w:p w14:paraId="412B42AD">
      <w:pPr>
        <w:pStyle w:val="105"/>
        <w:ind w:firstLine="480"/>
      </w:pPr>
      <w:r>
        <w:t>（</w:t>
      </w:r>
      <w:r>
        <w:rPr>
          <w:rFonts w:hint="eastAsia"/>
        </w:rPr>
        <w:t>4</w:t>
      </w:r>
      <w:r>
        <w:t>）保护区土壤类型</w:t>
      </w:r>
    </w:p>
    <w:p w14:paraId="296AC06D">
      <w:pPr>
        <w:pStyle w:val="104"/>
      </w:pPr>
      <w:r>
        <w:t>西鄂尔多斯国家级自然保护区地带性土壤为漠钙土，是荒漠区东部温暖而干旱气候条件下形成的一种荒废土壤，其形成的生物作用非常微弱。地表多沙质化、砾石化和龟裂结皮。土壤呈强碱性反应，pH在9.0～10.0之间，土质贫瘠、肥力低下。由于保护区多样的地貌类型，使土壤类型也变得复杂多样，主要分布有灰漠上、棕钙上、栗钙土、风沙土、草甸土等类型。</w:t>
      </w:r>
    </w:p>
    <w:p w14:paraId="2944E266">
      <w:pPr>
        <w:pStyle w:val="105"/>
        <w:ind w:firstLine="480"/>
      </w:pPr>
      <w:r>
        <w:t>（</w:t>
      </w:r>
      <w:r>
        <w:rPr>
          <w:rFonts w:hint="eastAsia"/>
        </w:rPr>
        <w:t>5</w:t>
      </w:r>
      <w:r>
        <w:t>）植物资源概况</w:t>
      </w:r>
    </w:p>
    <w:p w14:paraId="5F90419C">
      <w:pPr>
        <w:pStyle w:val="104"/>
      </w:pPr>
      <w:r>
        <w:t>西鄂尔多斯国家级自然保护区主要的地带性植被为草原和荒漠植被型，荒漠化草原主要分布于东部白音敖包以东的波状高草原上。自白音敖包以西荒漠化草原逐渐被草原化荒漠替代，一直到桌子山西麓低山丘陵地带。保护区境内的荒漠化草原植被主要以小针茅为建群种的群系组成；草原化荒漠植被主要由臧锦鸡儿群系、红砂群系，半日花群系、四合木群系、霸主群系、沙冬青群系、棉刺群系组成，此外还有油嵩群落和白刺群落；草原植被有芨芨草等。</w:t>
      </w:r>
    </w:p>
    <w:p w14:paraId="18B4FEC4">
      <w:pPr>
        <w:pStyle w:val="104"/>
      </w:pPr>
      <w:r>
        <w:t>（</w:t>
      </w:r>
      <w:r>
        <w:rPr>
          <w:rFonts w:hint="eastAsia"/>
        </w:rPr>
        <w:t>6</w:t>
      </w:r>
      <w:r>
        <w:t>）动物资源概述</w:t>
      </w:r>
    </w:p>
    <w:p w14:paraId="02403C3C">
      <w:pPr>
        <w:pStyle w:val="104"/>
      </w:pPr>
      <w:r>
        <w:t>西鄂尔多斯国家级自然保护区有野生动物120余种。其中有貉、獾等哺乳动物20余种，云雀、猫头鹰、石鸡、鸿雁等鸟类40余种，青蛙、沙蜥等两栖及爬行动物10余种，还有8目3科63种昆虫类。</w:t>
      </w:r>
    </w:p>
    <w:p w14:paraId="6E176647">
      <w:pPr>
        <w:pStyle w:val="104"/>
      </w:pPr>
      <w:r>
        <w:t>（</w:t>
      </w:r>
      <w:r>
        <w:rPr>
          <w:rFonts w:hint="eastAsia"/>
        </w:rPr>
        <w:t>7</w:t>
      </w:r>
      <w:r>
        <w:t>）自然保护区生态系统评价</w:t>
      </w:r>
    </w:p>
    <w:p w14:paraId="2F34613D">
      <w:pPr>
        <w:pStyle w:val="104"/>
      </w:pPr>
      <w:r>
        <w:rPr>
          <w:rFonts w:hint="eastAsia" w:ascii="宋体" w:hAnsi="宋体" w:cs="宋体"/>
        </w:rPr>
        <w:t>①</w:t>
      </w:r>
      <w:r>
        <w:t>特有性</w:t>
      </w:r>
    </w:p>
    <w:p w14:paraId="26C4C762">
      <w:pPr>
        <w:pStyle w:val="104"/>
      </w:pPr>
      <w:r>
        <w:t>植物特有性：保护区有特有种、孑遗种及其它濒危植物72种，在保护区东部卓子山及其周围地区40万hm</w:t>
      </w:r>
      <w:r>
        <w:rPr>
          <w:vertAlign w:val="superscript"/>
        </w:rPr>
        <w:t>2</w:t>
      </w:r>
      <w:r>
        <w:t>的范围内容纳了占全部植物种类的近2/3的古老、濒危、珍稀及特有植物，这在干旱荒漠地区十分罕见。</w:t>
      </w:r>
    </w:p>
    <w:p w14:paraId="2AC0C56E">
      <w:pPr>
        <w:pStyle w:val="104"/>
      </w:pPr>
      <w:r>
        <w:t>地质特有性：卓子山地区远在太古代就有陆相出现，它经历了地球生物演变的漫长历程，有着极丰富的古生物化石，为研究生物起源、发展、演变及生物、古地理和大地变迁等学科提供了珍贵的资料。</w:t>
      </w:r>
    </w:p>
    <w:p w14:paraId="42538570">
      <w:pPr>
        <w:pStyle w:val="104"/>
      </w:pPr>
      <w:r>
        <w:rPr>
          <w:rFonts w:hint="eastAsia" w:ascii="宋体" w:hAnsi="宋体" w:cs="宋体"/>
        </w:rPr>
        <w:t>②</w:t>
      </w:r>
      <w:r>
        <w:t>多样性</w:t>
      </w:r>
    </w:p>
    <w:p w14:paraId="733DE408">
      <w:pPr>
        <w:pStyle w:val="104"/>
      </w:pPr>
      <w:r>
        <w:t>生物物种多样性：保护区植物属于内蒙古高原草原省的鄂尔多斯高原州及阿拉善荒漠植物省的东阿拉善植物州。由于该保护区东为草原区，西与西阿拉善荒漠州相接，处于草原向荒漠过渡地带。因此源于几方面的植物区系成分都汇集在本区，从而大大丰富了这个地区的区系地理成分。</w:t>
      </w:r>
    </w:p>
    <w:p w14:paraId="3FF65C10">
      <w:pPr>
        <w:pStyle w:val="104"/>
      </w:pPr>
      <w:r>
        <w:t>生态系统多样性：保护区植被处于草原向荒漠过渡地带，由于区内地形较为复杂、生态条件分化、植物区系成分多方汇合，使保护区植被类型及其组合形成相当复杂的格局。保护区与同样类型地区相比具有更丰富、更多样的生态系统。景观多样性：保护区有多样的景观类型，荒漠草原和草原化荒漠两种基质构成了景观背景，共分为荒漠生态景观、草原化荒漠景观、河流滩地景观、农业景观、人工建筑景观五类。</w:t>
      </w:r>
    </w:p>
    <w:p w14:paraId="6C6FD9BD">
      <w:pPr>
        <w:pStyle w:val="104"/>
      </w:pPr>
      <w:r>
        <w:t>遗传多样性：保护区野生动植物物种中蕴藏许多古老孑遗濒危的植物及不计其数的遗传基因，这些遗传信息的总和构成了保护区丰富的遗传多样性，尤其栽培或驯化物种的野生近缘种具有重要的经济和科学价值。</w:t>
      </w:r>
    </w:p>
    <w:p w14:paraId="6E1C0233">
      <w:pPr>
        <w:pStyle w:val="104"/>
      </w:pPr>
      <w:r>
        <w:rPr>
          <w:rFonts w:hint="eastAsia" w:ascii="宋体" w:hAnsi="宋体" w:cs="宋体"/>
        </w:rPr>
        <w:t>③</w:t>
      </w:r>
      <w:r>
        <w:t>过渡典型性</w:t>
      </w:r>
    </w:p>
    <w:p w14:paraId="0D853D96">
      <w:pPr>
        <w:pStyle w:val="104"/>
      </w:pPr>
      <w:r>
        <w:t>保护区东为草原区，西与西阿拉善荒漠州相接，处于荒漠化草原向草原化荒漠过渡地带，保护区非常明显的反映出这种过渡的特征，自东向西为典型草原、荒漠草原、草原化荒漠的渐变性过渡。保护区的东部为典型草原，中部为荒漠草原，而西部则进入草原化荒漠带。这个过渡地带出现了明显的植被类型多样性，并保留了植被的原生性特点。</w:t>
      </w:r>
    </w:p>
    <w:p w14:paraId="57CFB569">
      <w:pPr>
        <w:pStyle w:val="104"/>
      </w:pPr>
      <w:r>
        <w:rPr>
          <w:rFonts w:hint="eastAsia" w:ascii="宋体" w:hAnsi="宋体" w:cs="宋体"/>
        </w:rPr>
        <w:t>④</w:t>
      </w:r>
      <w:r>
        <w:t>物种珍稀性</w:t>
      </w:r>
    </w:p>
    <w:p w14:paraId="3668BB7C">
      <w:pPr>
        <w:pStyle w:val="104"/>
      </w:pPr>
      <w:r>
        <w:t>保护区有国家级珍稀濒危保护植物7种，其中国家Ⅱ级保护植物4种，国家Ⅲ级保护区植物3种；保护区内特有种、古老孑遗种及其它濒危植物共约72种，占保护区全部维管束植物的21.5%，其中，四合木、半日花、绵刺、沙冬青等植物的珍稀濒危程度尤为突出。保护区有国家级保护动物24种，其中国家Ⅰ级重点保护动物1种，即金雕；国家Ⅱ级重点保护动物23种；被列为《中国濒危动物红皮书》的有13种，包括两栖类2种，鸟类5，兽类6种；属于《珍稀濒危野生动植物种国际贸易公约》附录所列的物种有25种，其中鸟类20种，兽类5种。</w:t>
      </w:r>
    </w:p>
    <w:p w14:paraId="4F60414C">
      <w:pPr>
        <w:pStyle w:val="104"/>
      </w:pPr>
      <w:r>
        <w:rPr>
          <w:rFonts w:hint="eastAsia" w:ascii="宋体" w:hAnsi="宋体" w:cs="宋体"/>
        </w:rPr>
        <w:t>⑤</w:t>
      </w:r>
      <w:r>
        <w:t>生态系统的脆弱性</w:t>
      </w:r>
    </w:p>
    <w:p w14:paraId="72FC844C">
      <w:pPr>
        <w:pStyle w:val="104"/>
      </w:pPr>
      <w:r>
        <w:t>保护区虽然有丰富的物种资源和显著的生态功能，但由于处在生态环境极端脆弱的荒漠草原及草原化荒漠的过渡地带，气候干燥，植被发育缓慢，生态环境十分脆弱，各物种之间及物种与环境之间的依存关系十分密切和敏感。保护区面临着自然界的干旱与沙化、和人为污染与破坏的双重威胁，如不及时采取有效措施，保护区内千百年来历经沧桑巨变仍保存完好的古老孑遗珍稀植物将面临灭绝。</w:t>
      </w:r>
    </w:p>
    <w:p w14:paraId="1ABB8F0F">
      <w:pPr>
        <w:ind w:firstLine="482"/>
        <w:jc w:val="center"/>
        <w:rPr>
          <w:b/>
        </w:rPr>
        <w:sectPr>
          <w:pgSz w:w="11907" w:h="16840"/>
          <w:pgMar w:top="1418" w:right="1418" w:bottom="1418" w:left="1418" w:header="964" w:footer="964" w:gutter="0"/>
          <w:cols w:space="720" w:num="1"/>
          <w:docGrid w:linePitch="312" w:charSpace="0"/>
        </w:sectPr>
      </w:pPr>
    </w:p>
    <w:p w14:paraId="0D8E64A6">
      <w:pPr>
        <w:pStyle w:val="748"/>
      </w:pPr>
      <w:r>
        <w:drawing>
          <wp:inline distT="0" distB="0" distL="0" distR="0">
            <wp:extent cx="5603875" cy="7818120"/>
            <wp:effectExtent l="0" t="0" r="9525" b="5080"/>
            <wp:docPr id="63" name="图片 1075" descr="C:/Users/lianglong/Desktop/西鄂尔多斯国家级自然保护区分区图.png西鄂尔多斯国家级自然保护区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75" descr="C:/Users/lianglong/Desktop/西鄂尔多斯国家级自然保护区分区图.png西鄂尔多斯国家级自然保护区分区图"/>
                    <pic:cNvPicPr>
                      <a:picLocks noChangeAspect="1"/>
                    </pic:cNvPicPr>
                  </pic:nvPicPr>
                  <pic:blipFill>
                    <a:blip r:embed="rId42"/>
                    <a:srcRect l="28" r="28"/>
                    <a:stretch>
                      <a:fillRect/>
                    </a:stretch>
                  </pic:blipFill>
                  <pic:spPr>
                    <a:xfrm>
                      <a:off x="0" y="0"/>
                      <a:ext cx="5603875" cy="7818120"/>
                    </a:xfrm>
                    <a:prstGeom prst="rect">
                      <a:avLst/>
                    </a:prstGeom>
                    <a:noFill/>
                    <a:ln>
                      <a:noFill/>
                    </a:ln>
                  </pic:spPr>
                </pic:pic>
              </a:graphicData>
            </a:graphic>
          </wp:inline>
        </w:drawing>
      </w:r>
    </w:p>
    <w:p w14:paraId="18AD73DE">
      <w:pPr>
        <w:pStyle w:val="749"/>
        <w:rPr>
          <w:color w:val="auto"/>
          <w:szCs w:val="24"/>
        </w:rPr>
      </w:pPr>
      <w:r>
        <w:rPr>
          <w:color w:val="auto"/>
        </w:rPr>
        <w:t>图4.1</w:t>
      </w:r>
      <w:r>
        <w:rPr>
          <w:rFonts w:hint="eastAsia"/>
          <w:color w:val="auto"/>
        </w:rPr>
        <w:t>-5</w:t>
      </w:r>
      <w:r>
        <w:rPr>
          <w:color w:val="auto"/>
        </w:rPr>
        <w:t>西鄂尔多斯国家级自然保护区功能区划图</w:t>
      </w:r>
    </w:p>
    <w:p w14:paraId="1B519086">
      <w:pPr>
        <w:pStyle w:val="10"/>
      </w:pPr>
      <w:bookmarkStart w:id="260" w:name="_Toc12659"/>
      <w:bookmarkStart w:id="261" w:name="_Toc166572289"/>
      <w:bookmarkStart w:id="262" w:name="_Toc36234655"/>
      <w:bookmarkStart w:id="263" w:name="_Toc31628"/>
      <w:bookmarkStart w:id="264" w:name="_Toc30859"/>
      <w:r>
        <w:t>4.2环境质量现状监测与评价</w:t>
      </w:r>
      <w:bookmarkEnd w:id="246"/>
      <w:bookmarkEnd w:id="247"/>
      <w:bookmarkEnd w:id="248"/>
      <w:bookmarkEnd w:id="249"/>
      <w:bookmarkEnd w:id="250"/>
      <w:bookmarkEnd w:id="251"/>
      <w:bookmarkEnd w:id="252"/>
      <w:bookmarkEnd w:id="253"/>
      <w:bookmarkEnd w:id="254"/>
      <w:bookmarkEnd w:id="260"/>
      <w:bookmarkEnd w:id="261"/>
      <w:bookmarkEnd w:id="262"/>
      <w:bookmarkEnd w:id="263"/>
      <w:bookmarkEnd w:id="264"/>
    </w:p>
    <w:p w14:paraId="165D9AAA">
      <w:pPr>
        <w:pStyle w:val="11"/>
      </w:pPr>
      <w:bookmarkStart w:id="265" w:name="_Toc166572290"/>
      <w:bookmarkStart w:id="266" w:name="_Toc326843504"/>
      <w:bookmarkStart w:id="267" w:name="_Toc304627265"/>
      <w:bookmarkStart w:id="268" w:name="_Toc312653499"/>
      <w:bookmarkStart w:id="269" w:name="_Toc346715577"/>
      <w:bookmarkStart w:id="270" w:name="_Toc300647740"/>
      <w:r>
        <w:t>4.2.1空气质量达标区判定</w:t>
      </w:r>
      <w:bookmarkEnd w:id="265"/>
    </w:p>
    <w:p w14:paraId="2AE60001">
      <w:pPr>
        <w:pStyle w:val="104"/>
      </w:pPr>
      <w:bookmarkStart w:id="271" w:name="4.2.2基本污染物环境质量现状调查与评价"/>
      <w:bookmarkEnd w:id="271"/>
      <w:r>
        <w:rPr>
          <w:kern w:val="0"/>
          <w:lang w:bidi="ar"/>
        </w:rPr>
        <w:t>根据《2022年内蒙古自治区生态环境状况公报》</w:t>
      </w:r>
      <w:r>
        <w:t>可知，2022年，鄂尔多斯全市细颗粒物(PM</w:t>
      </w:r>
      <w:r>
        <w:rPr>
          <w:vertAlign w:val="subscript"/>
        </w:rPr>
        <w:t>2.5</w:t>
      </w:r>
      <w:r>
        <w:t>)平均浓度为20ug/m</w:t>
      </w:r>
      <w:r>
        <w:rPr>
          <w:vertAlign w:val="superscript"/>
        </w:rPr>
        <w:t>3</w:t>
      </w:r>
      <w:r>
        <w:t>；可吸入颗粒物(PM</w:t>
      </w:r>
      <w:r>
        <w:rPr>
          <w:vertAlign w:val="subscript"/>
        </w:rPr>
        <w:t>10</w:t>
      </w:r>
      <w:r>
        <w:t>)平均浓度为51ug/m</w:t>
      </w:r>
      <w:r>
        <w:rPr>
          <w:vertAlign w:val="superscript"/>
        </w:rPr>
        <w:t>3</w:t>
      </w:r>
      <w:r>
        <w:t>；二氧化硫(SO</w:t>
      </w:r>
      <w:r>
        <w:rPr>
          <w:vertAlign w:val="subscript"/>
        </w:rPr>
        <w:t>2</w:t>
      </w:r>
      <w:r>
        <w:t>)平均浓度为10ug/m</w:t>
      </w:r>
      <w:r>
        <w:rPr>
          <w:vertAlign w:val="superscript"/>
        </w:rPr>
        <w:t>3</w:t>
      </w:r>
      <w:r>
        <w:t>；二氧化氮(NO</w:t>
      </w:r>
      <w:r>
        <w:rPr>
          <w:vertAlign w:val="subscript"/>
        </w:rPr>
        <w:t>2</w:t>
      </w:r>
      <w:r>
        <w:t>)平均浓度为23ug/m</w:t>
      </w:r>
      <w:r>
        <w:rPr>
          <w:vertAlign w:val="superscript"/>
        </w:rPr>
        <w:t>3</w:t>
      </w:r>
      <w:r>
        <w:t>；CO平均浓度为0.9mg/m</w:t>
      </w:r>
      <w:r>
        <w:rPr>
          <w:vertAlign w:val="superscript"/>
        </w:rPr>
        <w:t>3</w:t>
      </w:r>
      <w:r>
        <w:t>；O</w:t>
      </w:r>
      <w:r>
        <w:rPr>
          <w:vertAlign w:val="subscript"/>
        </w:rPr>
        <w:t>3</w:t>
      </w:r>
      <w:r>
        <w:t>平均浓度为148ug/m</w:t>
      </w:r>
      <w:r>
        <w:rPr>
          <w:vertAlign w:val="superscript"/>
        </w:rPr>
        <w:t>3</w:t>
      </w:r>
      <w:r>
        <w:t>。《环境空气质量评价技术规范（试行）》（HJ663-2013）规定“污染物年评价达标是指该污染物年平均浓度（CO和O</w:t>
      </w:r>
      <w:r>
        <w:rPr>
          <w:vertAlign w:val="subscript"/>
        </w:rPr>
        <w:t>3</w:t>
      </w:r>
      <w:r>
        <w:t>除外）和特定的百分位数浓度同时达标”。鄂尔多斯市2022年PM</w:t>
      </w:r>
      <w:r>
        <w:rPr>
          <w:vertAlign w:val="subscript"/>
        </w:rPr>
        <w:t>2.5</w:t>
      </w:r>
      <w:r>
        <w:t>、PM</w:t>
      </w:r>
      <w:r>
        <w:rPr>
          <w:vertAlign w:val="subscript"/>
        </w:rPr>
        <w:t>10</w:t>
      </w:r>
      <w:r>
        <w:t>、SO</w:t>
      </w:r>
      <w:r>
        <w:rPr>
          <w:vertAlign w:val="subscript"/>
        </w:rPr>
        <w:t>2</w:t>
      </w:r>
      <w:r>
        <w:t>、NO</w:t>
      </w:r>
      <w:r>
        <w:rPr>
          <w:vertAlign w:val="subscript"/>
        </w:rPr>
        <w:t>2</w:t>
      </w:r>
      <w:r>
        <w:t>、CO、O</w:t>
      </w:r>
      <w:r>
        <w:rPr>
          <w:vertAlign w:val="subscript"/>
        </w:rPr>
        <w:t>3</w:t>
      </w:r>
      <w:r>
        <w:t>的年均浓度都能满足《环境空气质量标准》（GB3095-2012）二级标准要求，属于环境空气达标区。</w:t>
      </w:r>
    </w:p>
    <w:bookmarkEnd w:id="266"/>
    <w:bookmarkEnd w:id="267"/>
    <w:bookmarkEnd w:id="268"/>
    <w:bookmarkEnd w:id="269"/>
    <w:bookmarkEnd w:id="270"/>
    <w:p w14:paraId="1ABFB705">
      <w:pPr>
        <w:pStyle w:val="11"/>
      </w:pPr>
      <w:bookmarkStart w:id="272" w:name="_Toc166572291"/>
      <w:r>
        <w:t>4.2.2其他污染物环境质量现状调查</w:t>
      </w:r>
      <w:bookmarkEnd w:id="272"/>
    </w:p>
    <w:p w14:paraId="60256C98">
      <w:pPr>
        <w:pStyle w:val="104"/>
        <w:rPr>
          <w:szCs w:val="24"/>
        </w:rPr>
      </w:pPr>
      <w:r>
        <w:t>本次评价大气环境空气质量现状中TSP、NH</w:t>
      </w:r>
      <w:r>
        <w:rPr>
          <w:vertAlign w:val="subscript"/>
        </w:rPr>
        <w:t>3</w:t>
      </w:r>
      <w:r>
        <w:t>、H</w:t>
      </w:r>
      <w:r>
        <w:rPr>
          <w:vertAlign w:val="subscript"/>
        </w:rPr>
        <w:t>2</w:t>
      </w:r>
      <w:r>
        <w:t>S、臭气浓度现状委托</w:t>
      </w:r>
      <w:r>
        <w:rPr>
          <w:rFonts w:hint="eastAsia"/>
        </w:rPr>
        <w:t>内蒙古金玥检测技术有限公司</w:t>
      </w:r>
      <w:r>
        <w:t>于2023年6月14日至6月</w:t>
      </w:r>
      <w:r>
        <w:rPr>
          <w:rFonts w:hint="eastAsia"/>
        </w:rPr>
        <w:t>2</w:t>
      </w:r>
      <w:r>
        <w:t>0日进行</w:t>
      </w:r>
      <w:r>
        <w:rPr>
          <w:rFonts w:hint="eastAsia"/>
        </w:rPr>
        <w:t>补充</w:t>
      </w:r>
      <w:r>
        <w:t>监测</w:t>
      </w:r>
      <w:r>
        <w:rPr>
          <w:rFonts w:hint="eastAsia"/>
          <w:szCs w:val="24"/>
        </w:rPr>
        <w:t>；</w:t>
      </w:r>
      <w:r>
        <w:rPr>
          <w:rFonts w:hint="eastAsia"/>
        </w:rPr>
        <w:t>委托内蒙古华智鼎环保科技有限公司于2024年3月29日-2024年4月4日对</w:t>
      </w:r>
      <w:r>
        <w:rPr>
          <w:rFonts w:hint="eastAsia"/>
          <w:bCs/>
        </w:rPr>
        <w:t>西鄂尔多斯国家级自然保护区试验区</w:t>
      </w:r>
      <w:r>
        <w:rPr>
          <w:bCs/>
        </w:rPr>
        <w:t>TSP、氨、硫化氢、臭气浓度</w:t>
      </w:r>
      <w:r>
        <w:rPr>
          <w:rFonts w:hint="eastAsia"/>
          <w:bCs/>
        </w:rPr>
        <w:t>进行现状监测，</w:t>
      </w:r>
      <w:r>
        <w:rPr>
          <w:szCs w:val="24"/>
        </w:rPr>
        <w:t>以下为监测详情。</w:t>
      </w:r>
    </w:p>
    <w:p w14:paraId="3F0C7322">
      <w:pPr>
        <w:pStyle w:val="104"/>
      </w:pPr>
      <w:bookmarkStart w:id="273" w:name="4.2.3.1其他污染物环境质量现状调查"/>
      <w:bookmarkEnd w:id="273"/>
      <w:r>
        <w:t>1、监测布点</w:t>
      </w:r>
    </w:p>
    <w:p w14:paraId="34ECF3C8">
      <w:pPr>
        <w:pStyle w:val="104"/>
      </w:pPr>
      <w:r>
        <w:t>根据《环境影响评价技术导则大气环境》（HJ3.2-2018）的要求，</w:t>
      </w:r>
      <w:r>
        <w:rPr>
          <w:rFonts w:hint="eastAsia"/>
        </w:rPr>
        <w:t>二级评价</w:t>
      </w:r>
      <w:r>
        <w:t>以近20年统计的当地主导方风向为轴向，在厂址及主导风向下风向5km范围内设置监测点，</w:t>
      </w:r>
      <w:r>
        <w:rPr>
          <w:rFonts w:hint="eastAsia"/>
        </w:rPr>
        <w:t>一级评价在未受人为干扰的地方进行布点，</w:t>
      </w:r>
      <w:r>
        <w:t>具体情况见表4-2-1。</w:t>
      </w:r>
    </w:p>
    <w:p w14:paraId="2029D44B">
      <w:pPr>
        <w:pStyle w:val="756"/>
      </w:pPr>
      <w:r>
        <w:t>表4.2-1  大气监测点位一览表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1985"/>
        <w:gridCol w:w="2595"/>
        <w:gridCol w:w="1507"/>
        <w:gridCol w:w="1617"/>
      </w:tblGrid>
      <w:tr w14:paraId="23A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2" w:type="pct"/>
            <w:vMerge w:val="restart"/>
            <w:vAlign w:val="center"/>
          </w:tcPr>
          <w:p w14:paraId="5105E771">
            <w:pPr>
              <w:pStyle w:val="766"/>
              <w:rPr>
                <w:color w:val="auto"/>
              </w:rPr>
            </w:pPr>
            <w:r>
              <w:rPr>
                <w:color w:val="auto"/>
              </w:rPr>
              <w:t>监测点名称</w:t>
            </w:r>
          </w:p>
        </w:tc>
        <w:tc>
          <w:tcPr>
            <w:tcW w:w="1068" w:type="pct"/>
            <w:vMerge w:val="restart"/>
            <w:vAlign w:val="center"/>
          </w:tcPr>
          <w:p w14:paraId="7F65C2FA">
            <w:pPr>
              <w:pStyle w:val="766"/>
              <w:rPr>
                <w:color w:val="auto"/>
              </w:rPr>
            </w:pPr>
            <w:r>
              <w:rPr>
                <w:color w:val="auto"/>
              </w:rPr>
              <w:t>监测因子</w:t>
            </w:r>
          </w:p>
        </w:tc>
        <w:tc>
          <w:tcPr>
            <w:tcW w:w="1396" w:type="pct"/>
            <w:vMerge w:val="restart"/>
            <w:vAlign w:val="center"/>
          </w:tcPr>
          <w:p w14:paraId="48AE6E12">
            <w:pPr>
              <w:pStyle w:val="766"/>
              <w:rPr>
                <w:color w:val="auto"/>
              </w:rPr>
            </w:pPr>
            <w:r>
              <w:rPr>
                <w:color w:val="auto"/>
              </w:rPr>
              <w:t>监测时段</w:t>
            </w:r>
          </w:p>
        </w:tc>
        <w:tc>
          <w:tcPr>
            <w:tcW w:w="811" w:type="pct"/>
            <w:vMerge w:val="restart"/>
            <w:vAlign w:val="center"/>
          </w:tcPr>
          <w:p w14:paraId="39967671">
            <w:pPr>
              <w:pStyle w:val="766"/>
              <w:rPr>
                <w:color w:val="auto"/>
              </w:rPr>
            </w:pPr>
            <w:r>
              <w:rPr>
                <w:color w:val="auto"/>
              </w:rPr>
              <w:t>相对厂址方位</w:t>
            </w:r>
          </w:p>
        </w:tc>
        <w:tc>
          <w:tcPr>
            <w:tcW w:w="870" w:type="pct"/>
            <w:vMerge w:val="restart"/>
            <w:vAlign w:val="center"/>
          </w:tcPr>
          <w:p w14:paraId="7DA5BCFA">
            <w:pPr>
              <w:pStyle w:val="766"/>
              <w:rPr>
                <w:color w:val="auto"/>
              </w:rPr>
            </w:pPr>
            <w:r>
              <w:rPr>
                <w:color w:val="auto"/>
              </w:rPr>
              <w:t>相对厂界距离/m</w:t>
            </w:r>
          </w:p>
        </w:tc>
      </w:tr>
      <w:tr w14:paraId="4287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2" w:type="pct"/>
            <w:vMerge w:val="continue"/>
            <w:vAlign w:val="center"/>
          </w:tcPr>
          <w:p w14:paraId="4EEA6D29">
            <w:pPr>
              <w:pStyle w:val="766"/>
              <w:rPr>
                <w:color w:val="auto"/>
              </w:rPr>
            </w:pPr>
          </w:p>
        </w:tc>
        <w:tc>
          <w:tcPr>
            <w:tcW w:w="1068" w:type="pct"/>
            <w:vMerge w:val="continue"/>
            <w:vAlign w:val="center"/>
          </w:tcPr>
          <w:p w14:paraId="4E6D36F0">
            <w:pPr>
              <w:pStyle w:val="766"/>
              <w:rPr>
                <w:color w:val="auto"/>
              </w:rPr>
            </w:pPr>
          </w:p>
        </w:tc>
        <w:tc>
          <w:tcPr>
            <w:tcW w:w="1396" w:type="pct"/>
            <w:vMerge w:val="continue"/>
            <w:vAlign w:val="center"/>
          </w:tcPr>
          <w:p w14:paraId="27407C26">
            <w:pPr>
              <w:pStyle w:val="766"/>
              <w:rPr>
                <w:color w:val="auto"/>
              </w:rPr>
            </w:pPr>
          </w:p>
        </w:tc>
        <w:tc>
          <w:tcPr>
            <w:tcW w:w="811" w:type="pct"/>
            <w:vMerge w:val="continue"/>
            <w:vAlign w:val="center"/>
          </w:tcPr>
          <w:p w14:paraId="4165B779">
            <w:pPr>
              <w:pStyle w:val="766"/>
              <w:rPr>
                <w:color w:val="auto"/>
              </w:rPr>
            </w:pPr>
          </w:p>
        </w:tc>
        <w:tc>
          <w:tcPr>
            <w:tcW w:w="870" w:type="pct"/>
            <w:vMerge w:val="continue"/>
            <w:vAlign w:val="center"/>
          </w:tcPr>
          <w:p w14:paraId="44E4741F">
            <w:pPr>
              <w:pStyle w:val="766"/>
              <w:rPr>
                <w:color w:val="auto"/>
              </w:rPr>
            </w:pPr>
          </w:p>
        </w:tc>
      </w:tr>
      <w:tr w14:paraId="773A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2" w:type="pct"/>
            <w:vAlign w:val="center"/>
          </w:tcPr>
          <w:p w14:paraId="4FA3D2B9">
            <w:pPr>
              <w:pStyle w:val="766"/>
              <w:rPr>
                <w:color w:val="auto"/>
              </w:rPr>
            </w:pPr>
            <w:r>
              <w:rPr>
                <w:bCs/>
                <w:color w:val="auto"/>
              </w:rPr>
              <w:t>项目厂址</w:t>
            </w:r>
          </w:p>
        </w:tc>
        <w:tc>
          <w:tcPr>
            <w:tcW w:w="1068" w:type="pct"/>
            <w:vMerge w:val="restart"/>
            <w:vAlign w:val="center"/>
          </w:tcPr>
          <w:p w14:paraId="7FBC47EB">
            <w:pPr>
              <w:pStyle w:val="766"/>
              <w:rPr>
                <w:color w:val="auto"/>
              </w:rPr>
            </w:pPr>
            <w:r>
              <w:rPr>
                <w:bCs/>
                <w:color w:val="auto"/>
              </w:rPr>
              <w:t>TSP、氨、硫化氢、臭气浓度</w:t>
            </w:r>
          </w:p>
        </w:tc>
        <w:tc>
          <w:tcPr>
            <w:tcW w:w="1396" w:type="pct"/>
            <w:vMerge w:val="restart"/>
            <w:vAlign w:val="center"/>
          </w:tcPr>
          <w:p w14:paraId="6BBB66A0">
            <w:pPr>
              <w:pStyle w:val="766"/>
              <w:rPr>
                <w:bCs/>
                <w:color w:val="auto"/>
              </w:rPr>
            </w:pPr>
            <w:r>
              <w:rPr>
                <w:color w:val="auto"/>
              </w:rPr>
              <w:t>1小时平均浓度、日均值</w:t>
            </w:r>
          </w:p>
        </w:tc>
        <w:tc>
          <w:tcPr>
            <w:tcW w:w="811" w:type="pct"/>
            <w:vAlign w:val="center"/>
          </w:tcPr>
          <w:p w14:paraId="29618DEB">
            <w:pPr>
              <w:pStyle w:val="766"/>
              <w:rPr>
                <w:bCs/>
                <w:color w:val="auto"/>
              </w:rPr>
            </w:pPr>
            <w:r>
              <w:rPr>
                <w:bCs/>
                <w:color w:val="auto"/>
              </w:rPr>
              <w:t>/</w:t>
            </w:r>
          </w:p>
        </w:tc>
        <w:tc>
          <w:tcPr>
            <w:tcW w:w="870" w:type="pct"/>
            <w:vAlign w:val="center"/>
          </w:tcPr>
          <w:p w14:paraId="48134E27">
            <w:pPr>
              <w:pStyle w:val="766"/>
              <w:rPr>
                <w:color w:val="auto"/>
              </w:rPr>
            </w:pPr>
            <w:r>
              <w:rPr>
                <w:bCs/>
                <w:color w:val="auto"/>
              </w:rPr>
              <w:t>/</w:t>
            </w:r>
          </w:p>
        </w:tc>
      </w:tr>
      <w:tr w14:paraId="3327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2" w:type="pct"/>
            <w:vAlign w:val="center"/>
          </w:tcPr>
          <w:p w14:paraId="6216BF28">
            <w:pPr>
              <w:pStyle w:val="766"/>
              <w:rPr>
                <w:bCs/>
                <w:color w:val="auto"/>
              </w:rPr>
            </w:pPr>
            <w:r>
              <w:rPr>
                <w:bCs/>
                <w:color w:val="auto"/>
              </w:rPr>
              <w:t>主导</w:t>
            </w:r>
            <w:r>
              <w:rPr>
                <w:rFonts w:hint="eastAsia"/>
                <w:bCs/>
                <w:color w:val="auto"/>
              </w:rPr>
              <w:t>风向</w:t>
            </w:r>
            <w:r>
              <w:rPr>
                <w:bCs/>
                <w:color w:val="auto"/>
              </w:rPr>
              <w:t>下风向监测点</w:t>
            </w:r>
          </w:p>
        </w:tc>
        <w:tc>
          <w:tcPr>
            <w:tcW w:w="1068" w:type="pct"/>
            <w:vMerge w:val="continue"/>
            <w:vAlign w:val="center"/>
          </w:tcPr>
          <w:p w14:paraId="19C8AA5E">
            <w:pPr>
              <w:pStyle w:val="766"/>
              <w:rPr>
                <w:bCs/>
                <w:color w:val="auto"/>
              </w:rPr>
            </w:pPr>
          </w:p>
        </w:tc>
        <w:tc>
          <w:tcPr>
            <w:tcW w:w="1396" w:type="pct"/>
            <w:vMerge w:val="continue"/>
            <w:vAlign w:val="center"/>
          </w:tcPr>
          <w:p w14:paraId="2BE9669A">
            <w:pPr>
              <w:pStyle w:val="766"/>
              <w:rPr>
                <w:color w:val="auto"/>
              </w:rPr>
            </w:pPr>
          </w:p>
        </w:tc>
        <w:tc>
          <w:tcPr>
            <w:tcW w:w="811" w:type="pct"/>
            <w:vAlign w:val="center"/>
          </w:tcPr>
          <w:p w14:paraId="6B93E01B">
            <w:pPr>
              <w:pStyle w:val="766"/>
              <w:rPr>
                <w:bCs/>
                <w:color w:val="auto"/>
              </w:rPr>
            </w:pPr>
            <w:r>
              <w:rPr>
                <w:bCs/>
                <w:color w:val="auto"/>
              </w:rPr>
              <w:t>NW</w:t>
            </w:r>
          </w:p>
        </w:tc>
        <w:tc>
          <w:tcPr>
            <w:tcW w:w="870" w:type="pct"/>
            <w:vAlign w:val="center"/>
          </w:tcPr>
          <w:p w14:paraId="47240D2B">
            <w:pPr>
              <w:pStyle w:val="766"/>
              <w:rPr>
                <w:bCs/>
                <w:color w:val="auto"/>
              </w:rPr>
            </w:pPr>
            <w:r>
              <w:rPr>
                <w:bCs/>
                <w:color w:val="auto"/>
              </w:rPr>
              <w:t>1000</w:t>
            </w:r>
          </w:p>
        </w:tc>
      </w:tr>
      <w:tr w14:paraId="722C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2" w:type="pct"/>
            <w:vAlign w:val="center"/>
          </w:tcPr>
          <w:p w14:paraId="20D86A3B">
            <w:pPr>
              <w:pStyle w:val="766"/>
              <w:rPr>
                <w:bCs/>
                <w:color w:val="auto"/>
              </w:rPr>
            </w:pPr>
            <w:r>
              <w:rPr>
                <w:rFonts w:hint="eastAsia"/>
                <w:bCs/>
                <w:color w:val="auto"/>
              </w:rPr>
              <w:t>西鄂尔多斯国家级自然保护区试验区</w:t>
            </w:r>
          </w:p>
        </w:tc>
        <w:tc>
          <w:tcPr>
            <w:tcW w:w="1068" w:type="pct"/>
            <w:vAlign w:val="center"/>
          </w:tcPr>
          <w:p w14:paraId="123722B0">
            <w:pPr>
              <w:pStyle w:val="766"/>
              <w:rPr>
                <w:bCs/>
                <w:color w:val="auto"/>
              </w:rPr>
            </w:pPr>
            <w:r>
              <w:rPr>
                <w:bCs/>
                <w:color w:val="auto"/>
              </w:rPr>
              <w:t>TSP、氨、硫化氢、臭气浓度</w:t>
            </w:r>
          </w:p>
        </w:tc>
        <w:tc>
          <w:tcPr>
            <w:tcW w:w="1396" w:type="pct"/>
            <w:vAlign w:val="center"/>
          </w:tcPr>
          <w:p w14:paraId="58AD3980">
            <w:pPr>
              <w:pStyle w:val="766"/>
              <w:rPr>
                <w:color w:val="auto"/>
              </w:rPr>
            </w:pPr>
            <w:r>
              <w:rPr>
                <w:color w:val="auto"/>
              </w:rPr>
              <w:t>1小时平均浓度、日均值</w:t>
            </w:r>
          </w:p>
        </w:tc>
        <w:tc>
          <w:tcPr>
            <w:tcW w:w="811" w:type="pct"/>
            <w:vAlign w:val="center"/>
          </w:tcPr>
          <w:p w14:paraId="4E7E2114">
            <w:pPr>
              <w:pStyle w:val="766"/>
              <w:rPr>
                <w:bCs/>
                <w:color w:val="auto"/>
              </w:rPr>
            </w:pPr>
            <w:r>
              <w:rPr>
                <w:rFonts w:hint="eastAsia"/>
                <w:bCs/>
                <w:color w:val="auto"/>
              </w:rPr>
              <w:t>E</w:t>
            </w:r>
          </w:p>
        </w:tc>
        <w:tc>
          <w:tcPr>
            <w:tcW w:w="870" w:type="pct"/>
            <w:vAlign w:val="center"/>
          </w:tcPr>
          <w:p w14:paraId="55B3C175">
            <w:pPr>
              <w:pStyle w:val="766"/>
              <w:rPr>
                <w:bCs/>
                <w:color w:val="auto"/>
              </w:rPr>
            </w:pPr>
            <w:r>
              <w:rPr>
                <w:rFonts w:hint="eastAsia"/>
                <w:bCs/>
                <w:color w:val="auto"/>
              </w:rPr>
              <w:t>1000</w:t>
            </w:r>
          </w:p>
        </w:tc>
      </w:tr>
    </w:tbl>
    <w:p w14:paraId="6CBD2A7A">
      <w:pPr>
        <w:pStyle w:val="104"/>
        <w:ind w:firstLine="0" w:firstLineChars="0"/>
      </w:pPr>
      <w:r>
        <w:rPr>
          <w:rFonts w:hint="eastAsia"/>
        </w:rPr>
        <w:drawing>
          <wp:inline distT="0" distB="0" distL="114300" distR="114300">
            <wp:extent cx="5751830" cy="4564380"/>
            <wp:effectExtent l="0" t="0" r="1270" b="7620"/>
            <wp:docPr id="11" name="图片 11" descr="环境空气检测布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环境空气检测布点"/>
                    <pic:cNvPicPr>
                      <a:picLocks noChangeAspect="1"/>
                    </pic:cNvPicPr>
                  </pic:nvPicPr>
                  <pic:blipFill>
                    <a:blip r:embed="rId43"/>
                    <a:stretch>
                      <a:fillRect/>
                    </a:stretch>
                  </pic:blipFill>
                  <pic:spPr>
                    <a:xfrm>
                      <a:off x="0" y="0"/>
                      <a:ext cx="5751830" cy="4564380"/>
                    </a:xfrm>
                    <a:prstGeom prst="rect">
                      <a:avLst/>
                    </a:prstGeom>
                  </pic:spPr>
                </pic:pic>
              </a:graphicData>
            </a:graphic>
          </wp:inline>
        </w:drawing>
      </w:r>
    </w:p>
    <w:p w14:paraId="4512060A">
      <w:pPr>
        <w:pStyle w:val="104"/>
        <w:ind w:firstLine="0" w:firstLineChars="0"/>
        <w:jc w:val="center"/>
        <w:rPr>
          <w:b/>
          <w:bCs/>
        </w:rPr>
      </w:pPr>
      <w:r>
        <w:rPr>
          <w:rFonts w:hint="eastAsia"/>
          <w:b/>
          <w:bCs/>
        </w:rPr>
        <w:t>图4.2-1 环境空气质量现状监测布点图</w:t>
      </w:r>
    </w:p>
    <w:p w14:paraId="6BA83FD2">
      <w:pPr>
        <w:pStyle w:val="104"/>
      </w:pPr>
      <w:r>
        <w:t>2、监测项目</w:t>
      </w:r>
    </w:p>
    <w:p w14:paraId="53654DB3">
      <w:pPr>
        <w:pStyle w:val="104"/>
      </w:pPr>
      <w:r>
        <w:t>监测项目有：TSP、臭气浓度、H</w:t>
      </w:r>
      <w:r>
        <w:rPr>
          <w:vertAlign w:val="subscript"/>
        </w:rPr>
        <w:t>2</w:t>
      </w:r>
      <w:r>
        <w:t>S、NH</w:t>
      </w:r>
      <w:r>
        <w:rPr>
          <w:vertAlign w:val="subscript"/>
        </w:rPr>
        <w:t>3</w:t>
      </w:r>
      <w:r>
        <w:rPr>
          <w:szCs w:val="21"/>
        </w:rPr>
        <w:t>。</w:t>
      </w:r>
    </w:p>
    <w:p w14:paraId="519760CA">
      <w:pPr>
        <w:pStyle w:val="104"/>
      </w:pPr>
      <w:r>
        <w:t>同时同步观测气象资料：风向、风速、气温、气压等。</w:t>
      </w:r>
    </w:p>
    <w:p w14:paraId="3107F4F4">
      <w:pPr>
        <w:pStyle w:val="104"/>
      </w:pPr>
      <w:r>
        <w:t>3、监测时间及频率</w:t>
      </w:r>
    </w:p>
    <w:p w14:paraId="54A4ABD1">
      <w:pPr>
        <w:pStyle w:val="104"/>
      </w:pPr>
      <w:r>
        <w:t>臭气浓度、H</w:t>
      </w:r>
      <w:r>
        <w:rPr>
          <w:vertAlign w:val="subscript"/>
        </w:rPr>
        <w:t>2</w:t>
      </w:r>
      <w:r>
        <w:t>S、NH</w:t>
      </w:r>
      <w:r>
        <w:rPr>
          <w:vertAlign w:val="subscript"/>
        </w:rPr>
        <w:t>3</w:t>
      </w:r>
      <w:r>
        <w:t>测小时均值，连续监测7天，每天监测4次，每小时至少有45</w:t>
      </w:r>
      <w:r>
        <w:rPr>
          <w:lang w:val="zh-CN"/>
        </w:rPr>
        <w:t>min的采样时间。</w:t>
      </w:r>
    </w:p>
    <w:p w14:paraId="284C0396">
      <w:pPr>
        <w:pStyle w:val="104"/>
      </w:pPr>
      <w:r>
        <w:t>TSP</w:t>
      </w:r>
      <w:r>
        <w:rPr>
          <w:rFonts w:hint="eastAsia"/>
        </w:rPr>
        <w:t>测日均值，连续监测7天，每天监测24h。</w:t>
      </w:r>
    </w:p>
    <w:p w14:paraId="6A99E396">
      <w:pPr>
        <w:pStyle w:val="105"/>
        <w:ind w:firstLine="480"/>
      </w:pPr>
      <w:bookmarkStart w:id="274" w:name="_Toc346715579"/>
      <w:r>
        <w:rPr>
          <w:rFonts w:hint="eastAsia"/>
        </w:rPr>
        <w:t>4</w:t>
      </w:r>
      <w:r>
        <w:t>、补充监测结果</w:t>
      </w:r>
    </w:p>
    <w:p w14:paraId="3C489C36">
      <w:pPr>
        <w:pStyle w:val="105"/>
        <w:ind w:firstLine="480"/>
      </w:pPr>
      <w:r>
        <w:t>根据对监测报告中的监测数据进行统计，对环境空气质量的评价见表4.2-</w:t>
      </w:r>
      <w:r>
        <w:rPr>
          <w:rFonts w:hint="eastAsia"/>
        </w:rPr>
        <w:t>2</w:t>
      </w:r>
      <w:r>
        <w:t>。</w:t>
      </w:r>
    </w:p>
    <w:bookmarkEnd w:id="274"/>
    <w:p w14:paraId="09BD4133">
      <w:pPr>
        <w:pStyle w:val="756"/>
      </w:pPr>
      <w:r>
        <w:t>表4.2-</w:t>
      </w:r>
      <w:r>
        <w:rPr>
          <w:rFonts w:hint="eastAsia"/>
        </w:rPr>
        <w:t>2</w:t>
      </w:r>
      <w:r>
        <w:t xml:space="preserve">  项目特征污染物现状监测结果</w:t>
      </w:r>
    </w:p>
    <w:tbl>
      <w:tblPr>
        <w:tblStyle w:val="82"/>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1565"/>
        <w:gridCol w:w="1313"/>
        <w:gridCol w:w="2672"/>
        <w:gridCol w:w="2672"/>
      </w:tblGrid>
      <w:tr w14:paraId="51E7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87" w:type="pct"/>
            <w:vAlign w:val="center"/>
          </w:tcPr>
          <w:p w14:paraId="3BDB3202">
            <w:pPr>
              <w:pStyle w:val="751"/>
              <w:rPr>
                <w:color w:val="auto"/>
                <w:lang w:bidi="ar"/>
              </w:rPr>
            </w:pPr>
            <w:r>
              <w:rPr>
                <w:color w:val="auto"/>
                <w:lang w:bidi="ar"/>
              </w:rPr>
              <w:t>点位</w:t>
            </w:r>
          </w:p>
        </w:tc>
        <w:tc>
          <w:tcPr>
            <w:tcW w:w="839" w:type="pct"/>
            <w:vAlign w:val="center"/>
          </w:tcPr>
          <w:p w14:paraId="79D44B93">
            <w:pPr>
              <w:pStyle w:val="751"/>
              <w:rPr>
                <w:color w:val="auto"/>
                <w:lang w:bidi="ar"/>
              </w:rPr>
            </w:pPr>
            <w:r>
              <w:rPr>
                <w:color w:val="auto"/>
                <w:lang w:bidi="ar"/>
              </w:rPr>
              <w:t>污染物</w:t>
            </w:r>
          </w:p>
        </w:tc>
        <w:tc>
          <w:tcPr>
            <w:tcW w:w="704" w:type="pct"/>
            <w:vAlign w:val="center"/>
          </w:tcPr>
          <w:p w14:paraId="4D8A744A">
            <w:pPr>
              <w:pStyle w:val="751"/>
              <w:rPr>
                <w:color w:val="auto"/>
                <w:lang w:bidi="ar"/>
              </w:rPr>
            </w:pPr>
            <w:r>
              <w:rPr>
                <w:color w:val="auto"/>
                <w:lang w:bidi="ar"/>
              </w:rPr>
              <w:t>有效天数</w:t>
            </w:r>
          </w:p>
        </w:tc>
        <w:tc>
          <w:tcPr>
            <w:tcW w:w="1433" w:type="pct"/>
            <w:vAlign w:val="center"/>
          </w:tcPr>
          <w:p w14:paraId="014C8973">
            <w:pPr>
              <w:pStyle w:val="751"/>
              <w:rPr>
                <w:color w:val="auto"/>
                <w:lang w:bidi="ar"/>
              </w:rPr>
            </w:pPr>
            <w:r>
              <w:rPr>
                <w:color w:val="auto"/>
                <w:lang w:bidi="ar"/>
              </w:rPr>
              <w:t>浓度范围</w:t>
            </w:r>
          </w:p>
        </w:tc>
        <w:tc>
          <w:tcPr>
            <w:tcW w:w="1433" w:type="pct"/>
            <w:vAlign w:val="center"/>
          </w:tcPr>
          <w:p w14:paraId="1A2A0CDC">
            <w:pPr>
              <w:pStyle w:val="751"/>
              <w:rPr>
                <w:color w:val="auto"/>
                <w:lang w:bidi="ar"/>
              </w:rPr>
            </w:pPr>
            <w:r>
              <w:rPr>
                <w:rFonts w:hint="eastAsia"/>
                <w:color w:val="auto"/>
                <w:lang w:bidi="ar"/>
              </w:rPr>
              <w:t>执行标准</w:t>
            </w:r>
          </w:p>
        </w:tc>
      </w:tr>
      <w:tr w14:paraId="2C90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87" w:type="pct"/>
            <w:vMerge w:val="restart"/>
            <w:vAlign w:val="center"/>
          </w:tcPr>
          <w:p w14:paraId="2B9D3D19">
            <w:pPr>
              <w:pStyle w:val="751"/>
              <w:rPr>
                <w:color w:val="auto"/>
                <w:lang w:bidi="ar"/>
              </w:rPr>
            </w:pPr>
            <w:r>
              <w:rPr>
                <w:rFonts w:hint="eastAsia"/>
                <w:color w:val="auto"/>
              </w:rPr>
              <w:t>厂区中心点</w:t>
            </w:r>
          </w:p>
        </w:tc>
        <w:tc>
          <w:tcPr>
            <w:tcW w:w="839" w:type="pct"/>
            <w:vAlign w:val="center"/>
          </w:tcPr>
          <w:p w14:paraId="424DB1E8">
            <w:pPr>
              <w:pStyle w:val="751"/>
              <w:rPr>
                <w:color w:val="auto"/>
                <w:lang w:bidi="ar"/>
              </w:rPr>
            </w:pPr>
            <w:r>
              <w:rPr>
                <w:color w:val="auto"/>
                <w:lang w:bidi="ar"/>
              </w:rPr>
              <w:t>NH</w:t>
            </w:r>
            <w:r>
              <w:rPr>
                <w:color w:val="auto"/>
                <w:vertAlign w:val="subscript"/>
                <w:lang w:bidi="ar"/>
              </w:rPr>
              <w:t>3</w:t>
            </w:r>
          </w:p>
        </w:tc>
        <w:tc>
          <w:tcPr>
            <w:tcW w:w="704" w:type="pct"/>
            <w:vMerge w:val="restart"/>
            <w:vAlign w:val="center"/>
          </w:tcPr>
          <w:p w14:paraId="2846E906">
            <w:pPr>
              <w:pStyle w:val="751"/>
              <w:rPr>
                <w:color w:val="auto"/>
                <w:lang w:bidi="ar"/>
              </w:rPr>
            </w:pPr>
            <w:r>
              <w:rPr>
                <w:color w:val="auto"/>
                <w:lang w:bidi="ar"/>
              </w:rPr>
              <w:t>7</w:t>
            </w:r>
          </w:p>
        </w:tc>
        <w:tc>
          <w:tcPr>
            <w:tcW w:w="1433" w:type="pct"/>
            <w:vAlign w:val="center"/>
          </w:tcPr>
          <w:p w14:paraId="5BF3B6D3">
            <w:pPr>
              <w:pStyle w:val="751"/>
              <w:rPr>
                <w:color w:val="auto"/>
                <w:lang w:bidi="ar"/>
              </w:rPr>
            </w:pPr>
            <w:r>
              <w:rPr>
                <w:color w:val="auto"/>
              </w:rPr>
              <w:t>41～64</w:t>
            </w:r>
            <w:r>
              <w:rPr>
                <w:rFonts w:hint="eastAsia"/>
                <w:color w:val="auto"/>
              </w:rPr>
              <w:t>µ</w:t>
            </w:r>
            <w:r>
              <w:rPr>
                <w:color w:val="auto"/>
              </w:rPr>
              <w:t>g/m</w:t>
            </w:r>
            <w:r>
              <w:rPr>
                <w:color w:val="auto"/>
                <w:vertAlign w:val="superscript"/>
              </w:rPr>
              <w:t>3</w:t>
            </w:r>
          </w:p>
        </w:tc>
        <w:tc>
          <w:tcPr>
            <w:tcW w:w="1433" w:type="pct"/>
            <w:vMerge w:val="restart"/>
            <w:vAlign w:val="center"/>
          </w:tcPr>
          <w:p w14:paraId="7E4FE887">
            <w:pPr>
              <w:pStyle w:val="751"/>
              <w:rPr>
                <w:color w:val="auto"/>
              </w:rPr>
            </w:pPr>
            <w:r>
              <w:rPr>
                <w:color w:val="auto"/>
              </w:rPr>
              <w:t>《环境影响评价技术导则》大气环境（HJ2.2-2018）中附录D</w:t>
            </w:r>
            <w:r>
              <w:rPr>
                <w:rFonts w:hint="eastAsia"/>
                <w:color w:val="auto"/>
              </w:rPr>
              <w:t>、</w:t>
            </w:r>
            <w:r>
              <w:rPr>
                <w:color w:val="auto"/>
                <w:szCs w:val="24"/>
              </w:rPr>
              <w:t>《环境空气质量标准》（</w:t>
            </w:r>
            <w:r>
              <w:rPr>
                <w:color w:val="auto"/>
                <w:szCs w:val="24"/>
                <w:lang w:bidi="ar"/>
              </w:rPr>
              <w:t>GB3095-2012）</w:t>
            </w:r>
            <w:r>
              <w:rPr>
                <w:rFonts w:hint="eastAsia"/>
                <w:color w:val="auto"/>
              </w:rPr>
              <w:t>二级</w:t>
            </w:r>
            <w:r>
              <w:rPr>
                <w:color w:val="auto"/>
              </w:rPr>
              <w:t>浓度限值</w:t>
            </w:r>
          </w:p>
        </w:tc>
      </w:tr>
      <w:tr w14:paraId="70EF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7" w:type="pct"/>
            <w:vMerge w:val="continue"/>
            <w:vAlign w:val="center"/>
          </w:tcPr>
          <w:p w14:paraId="7C2DAF14">
            <w:pPr>
              <w:pStyle w:val="751"/>
              <w:rPr>
                <w:color w:val="auto"/>
                <w:lang w:bidi="ar"/>
              </w:rPr>
            </w:pPr>
          </w:p>
        </w:tc>
        <w:tc>
          <w:tcPr>
            <w:tcW w:w="839" w:type="pct"/>
            <w:vAlign w:val="center"/>
          </w:tcPr>
          <w:p w14:paraId="3503C107">
            <w:pPr>
              <w:pStyle w:val="751"/>
              <w:rPr>
                <w:color w:val="auto"/>
                <w:lang w:bidi="ar"/>
              </w:rPr>
            </w:pPr>
            <w:r>
              <w:rPr>
                <w:color w:val="auto"/>
                <w:lang w:bidi="ar"/>
              </w:rPr>
              <w:t>H</w:t>
            </w:r>
            <w:r>
              <w:rPr>
                <w:color w:val="auto"/>
                <w:vertAlign w:val="subscript"/>
                <w:lang w:bidi="ar"/>
              </w:rPr>
              <w:t>2</w:t>
            </w:r>
            <w:r>
              <w:rPr>
                <w:color w:val="auto"/>
                <w:lang w:bidi="ar"/>
              </w:rPr>
              <w:t>S</w:t>
            </w:r>
          </w:p>
        </w:tc>
        <w:tc>
          <w:tcPr>
            <w:tcW w:w="704" w:type="pct"/>
            <w:vMerge w:val="continue"/>
            <w:vAlign w:val="center"/>
          </w:tcPr>
          <w:p w14:paraId="2B8BD0F5">
            <w:pPr>
              <w:pStyle w:val="751"/>
              <w:rPr>
                <w:color w:val="auto"/>
                <w:lang w:bidi="ar"/>
              </w:rPr>
            </w:pPr>
          </w:p>
        </w:tc>
        <w:tc>
          <w:tcPr>
            <w:tcW w:w="1433" w:type="pct"/>
            <w:vAlign w:val="center"/>
          </w:tcPr>
          <w:p w14:paraId="66895178">
            <w:pPr>
              <w:pStyle w:val="751"/>
              <w:rPr>
                <w:color w:val="auto"/>
                <w:lang w:bidi="ar"/>
              </w:rPr>
            </w:pPr>
            <w:r>
              <w:rPr>
                <w:color w:val="auto"/>
              </w:rPr>
              <w:t>1</w:t>
            </w:r>
            <w:r>
              <w:rPr>
                <w:rFonts w:hint="eastAsia"/>
                <w:color w:val="auto"/>
              </w:rPr>
              <w:t>µ</w:t>
            </w:r>
            <w:r>
              <w:rPr>
                <w:color w:val="auto"/>
              </w:rPr>
              <w:t>g/m</w:t>
            </w:r>
            <w:r>
              <w:rPr>
                <w:color w:val="auto"/>
                <w:vertAlign w:val="superscript"/>
              </w:rPr>
              <w:t>3</w:t>
            </w:r>
          </w:p>
        </w:tc>
        <w:tc>
          <w:tcPr>
            <w:tcW w:w="1433" w:type="pct"/>
            <w:vMerge w:val="continue"/>
            <w:vAlign w:val="center"/>
          </w:tcPr>
          <w:p w14:paraId="607A5D19">
            <w:pPr>
              <w:pStyle w:val="751"/>
              <w:rPr>
                <w:color w:val="auto"/>
              </w:rPr>
            </w:pPr>
          </w:p>
        </w:tc>
      </w:tr>
      <w:tr w14:paraId="3511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87" w:type="pct"/>
            <w:vMerge w:val="continue"/>
            <w:vAlign w:val="center"/>
          </w:tcPr>
          <w:p w14:paraId="1CAD9702">
            <w:pPr>
              <w:pStyle w:val="751"/>
              <w:rPr>
                <w:color w:val="auto"/>
                <w:lang w:bidi="ar"/>
              </w:rPr>
            </w:pPr>
          </w:p>
        </w:tc>
        <w:tc>
          <w:tcPr>
            <w:tcW w:w="839" w:type="pct"/>
            <w:vAlign w:val="center"/>
          </w:tcPr>
          <w:p w14:paraId="4990DB11">
            <w:pPr>
              <w:pStyle w:val="751"/>
              <w:rPr>
                <w:color w:val="auto"/>
                <w:lang w:bidi="ar"/>
              </w:rPr>
            </w:pPr>
            <w:r>
              <w:rPr>
                <w:color w:val="auto"/>
                <w:lang w:bidi="ar"/>
              </w:rPr>
              <w:t>臭气浓度</w:t>
            </w:r>
          </w:p>
        </w:tc>
        <w:tc>
          <w:tcPr>
            <w:tcW w:w="704" w:type="pct"/>
            <w:vMerge w:val="continue"/>
            <w:vAlign w:val="center"/>
          </w:tcPr>
          <w:p w14:paraId="718BC32E">
            <w:pPr>
              <w:pStyle w:val="751"/>
              <w:rPr>
                <w:color w:val="auto"/>
                <w:lang w:bidi="ar"/>
              </w:rPr>
            </w:pPr>
          </w:p>
        </w:tc>
        <w:tc>
          <w:tcPr>
            <w:tcW w:w="1433" w:type="pct"/>
            <w:vAlign w:val="center"/>
          </w:tcPr>
          <w:p w14:paraId="78C1D53D">
            <w:pPr>
              <w:pStyle w:val="751"/>
              <w:rPr>
                <w:color w:val="auto"/>
              </w:rPr>
            </w:pPr>
            <w:r>
              <w:rPr>
                <w:rFonts w:hint="eastAsia"/>
                <w:color w:val="auto"/>
              </w:rPr>
              <w:t>＜10</w:t>
            </w:r>
          </w:p>
        </w:tc>
        <w:tc>
          <w:tcPr>
            <w:tcW w:w="1433" w:type="pct"/>
            <w:vMerge w:val="continue"/>
            <w:vAlign w:val="center"/>
          </w:tcPr>
          <w:p w14:paraId="0F58624B">
            <w:pPr>
              <w:pStyle w:val="751"/>
              <w:rPr>
                <w:color w:val="auto"/>
              </w:rPr>
            </w:pPr>
          </w:p>
        </w:tc>
      </w:tr>
      <w:tr w14:paraId="52E1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87" w:type="pct"/>
            <w:vMerge w:val="continue"/>
            <w:vAlign w:val="center"/>
          </w:tcPr>
          <w:p w14:paraId="5B6060E1">
            <w:pPr>
              <w:pStyle w:val="751"/>
              <w:rPr>
                <w:color w:val="auto"/>
                <w:lang w:bidi="ar"/>
              </w:rPr>
            </w:pPr>
          </w:p>
        </w:tc>
        <w:tc>
          <w:tcPr>
            <w:tcW w:w="839" w:type="pct"/>
            <w:vAlign w:val="center"/>
          </w:tcPr>
          <w:p w14:paraId="2ABA8C1D">
            <w:pPr>
              <w:pStyle w:val="751"/>
              <w:rPr>
                <w:color w:val="auto"/>
                <w:lang w:bidi="ar"/>
              </w:rPr>
            </w:pPr>
            <w:r>
              <w:rPr>
                <w:color w:val="auto"/>
                <w:lang w:bidi="ar"/>
              </w:rPr>
              <w:t>TSP</w:t>
            </w:r>
          </w:p>
        </w:tc>
        <w:tc>
          <w:tcPr>
            <w:tcW w:w="704" w:type="pct"/>
            <w:vMerge w:val="continue"/>
            <w:vAlign w:val="center"/>
          </w:tcPr>
          <w:p w14:paraId="7B3C3C1B">
            <w:pPr>
              <w:pStyle w:val="751"/>
              <w:rPr>
                <w:color w:val="auto"/>
                <w:lang w:bidi="ar"/>
              </w:rPr>
            </w:pPr>
          </w:p>
        </w:tc>
        <w:tc>
          <w:tcPr>
            <w:tcW w:w="1433" w:type="pct"/>
            <w:vAlign w:val="center"/>
          </w:tcPr>
          <w:p w14:paraId="57C81D22">
            <w:pPr>
              <w:pStyle w:val="751"/>
              <w:rPr>
                <w:color w:val="auto"/>
              </w:rPr>
            </w:pPr>
            <w:r>
              <w:rPr>
                <w:color w:val="auto"/>
              </w:rPr>
              <w:t>157～195</w:t>
            </w:r>
            <w:r>
              <w:rPr>
                <w:rFonts w:hint="eastAsia"/>
                <w:color w:val="auto"/>
              </w:rPr>
              <w:t>µ</w:t>
            </w:r>
            <w:r>
              <w:rPr>
                <w:color w:val="auto"/>
              </w:rPr>
              <w:t>g/m</w:t>
            </w:r>
            <w:r>
              <w:rPr>
                <w:color w:val="auto"/>
                <w:vertAlign w:val="superscript"/>
              </w:rPr>
              <w:t>3</w:t>
            </w:r>
          </w:p>
        </w:tc>
        <w:tc>
          <w:tcPr>
            <w:tcW w:w="1433" w:type="pct"/>
            <w:vMerge w:val="continue"/>
            <w:vAlign w:val="center"/>
          </w:tcPr>
          <w:p w14:paraId="7C0B6346">
            <w:pPr>
              <w:pStyle w:val="751"/>
              <w:rPr>
                <w:color w:val="auto"/>
              </w:rPr>
            </w:pPr>
          </w:p>
        </w:tc>
      </w:tr>
      <w:tr w14:paraId="186F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87" w:type="pct"/>
            <w:vMerge w:val="restart"/>
            <w:vAlign w:val="center"/>
          </w:tcPr>
          <w:p w14:paraId="73422C71">
            <w:pPr>
              <w:pStyle w:val="751"/>
              <w:rPr>
                <w:color w:val="auto"/>
                <w:lang w:bidi="ar"/>
              </w:rPr>
            </w:pPr>
            <w:r>
              <w:rPr>
                <w:rFonts w:hint="eastAsia"/>
                <w:color w:val="auto"/>
                <w:lang w:bidi="ar"/>
              </w:rPr>
              <w:t>下风向</w:t>
            </w:r>
          </w:p>
        </w:tc>
        <w:tc>
          <w:tcPr>
            <w:tcW w:w="839" w:type="pct"/>
            <w:vAlign w:val="center"/>
          </w:tcPr>
          <w:p w14:paraId="1E260438">
            <w:pPr>
              <w:pStyle w:val="751"/>
              <w:rPr>
                <w:color w:val="auto"/>
                <w:lang w:bidi="ar"/>
              </w:rPr>
            </w:pPr>
            <w:r>
              <w:rPr>
                <w:color w:val="auto"/>
                <w:lang w:bidi="ar"/>
              </w:rPr>
              <w:t>NH</w:t>
            </w:r>
            <w:r>
              <w:rPr>
                <w:color w:val="auto"/>
                <w:vertAlign w:val="subscript"/>
                <w:lang w:bidi="ar"/>
              </w:rPr>
              <w:t>3</w:t>
            </w:r>
          </w:p>
        </w:tc>
        <w:tc>
          <w:tcPr>
            <w:tcW w:w="704" w:type="pct"/>
            <w:vMerge w:val="restart"/>
            <w:vAlign w:val="center"/>
          </w:tcPr>
          <w:p w14:paraId="53E3CD4E">
            <w:pPr>
              <w:pStyle w:val="751"/>
              <w:rPr>
                <w:color w:val="auto"/>
                <w:lang w:bidi="ar"/>
              </w:rPr>
            </w:pPr>
            <w:r>
              <w:rPr>
                <w:color w:val="auto"/>
                <w:lang w:bidi="ar"/>
              </w:rPr>
              <w:t>7</w:t>
            </w:r>
          </w:p>
        </w:tc>
        <w:tc>
          <w:tcPr>
            <w:tcW w:w="1433" w:type="pct"/>
            <w:vAlign w:val="center"/>
          </w:tcPr>
          <w:p w14:paraId="6DE8F725">
            <w:pPr>
              <w:pStyle w:val="751"/>
              <w:rPr>
                <w:color w:val="auto"/>
              </w:rPr>
            </w:pPr>
            <w:r>
              <w:rPr>
                <w:color w:val="auto"/>
              </w:rPr>
              <w:t>41～63</w:t>
            </w:r>
            <w:r>
              <w:rPr>
                <w:rFonts w:hint="eastAsia"/>
                <w:color w:val="auto"/>
              </w:rPr>
              <w:t>µ</w:t>
            </w:r>
            <w:r>
              <w:rPr>
                <w:color w:val="auto"/>
              </w:rPr>
              <w:t>g/m</w:t>
            </w:r>
            <w:r>
              <w:rPr>
                <w:color w:val="auto"/>
                <w:vertAlign w:val="superscript"/>
              </w:rPr>
              <w:t>3</w:t>
            </w:r>
          </w:p>
        </w:tc>
        <w:tc>
          <w:tcPr>
            <w:tcW w:w="1433" w:type="pct"/>
            <w:vMerge w:val="continue"/>
            <w:vAlign w:val="center"/>
          </w:tcPr>
          <w:p w14:paraId="6EBD92ED">
            <w:pPr>
              <w:pStyle w:val="751"/>
              <w:rPr>
                <w:color w:val="auto"/>
              </w:rPr>
            </w:pPr>
          </w:p>
        </w:tc>
      </w:tr>
      <w:tr w14:paraId="1A2E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7" w:type="pct"/>
            <w:vMerge w:val="continue"/>
            <w:vAlign w:val="center"/>
          </w:tcPr>
          <w:p w14:paraId="5427CA44">
            <w:pPr>
              <w:pStyle w:val="751"/>
              <w:rPr>
                <w:color w:val="auto"/>
                <w:lang w:bidi="ar"/>
              </w:rPr>
            </w:pPr>
          </w:p>
        </w:tc>
        <w:tc>
          <w:tcPr>
            <w:tcW w:w="839" w:type="pct"/>
            <w:vAlign w:val="center"/>
          </w:tcPr>
          <w:p w14:paraId="7D9CADB5">
            <w:pPr>
              <w:pStyle w:val="751"/>
              <w:rPr>
                <w:color w:val="auto"/>
                <w:lang w:bidi="ar"/>
              </w:rPr>
            </w:pPr>
            <w:r>
              <w:rPr>
                <w:color w:val="auto"/>
                <w:lang w:bidi="ar"/>
              </w:rPr>
              <w:t>H</w:t>
            </w:r>
            <w:r>
              <w:rPr>
                <w:color w:val="auto"/>
                <w:vertAlign w:val="subscript"/>
                <w:lang w:bidi="ar"/>
              </w:rPr>
              <w:t>2</w:t>
            </w:r>
            <w:r>
              <w:rPr>
                <w:color w:val="auto"/>
                <w:lang w:bidi="ar"/>
              </w:rPr>
              <w:t>S</w:t>
            </w:r>
          </w:p>
        </w:tc>
        <w:tc>
          <w:tcPr>
            <w:tcW w:w="704" w:type="pct"/>
            <w:vMerge w:val="continue"/>
            <w:vAlign w:val="center"/>
          </w:tcPr>
          <w:p w14:paraId="154ACC1E">
            <w:pPr>
              <w:pStyle w:val="751"/>
              <w:rPr>
                <w:color w:val="auto"/>
                <w:lang w:bidi="ar"/>
              </w:rPr>
            </w:pPr>
          </w:p>
        </w:tc>
        <w:tc>
          <w:tcPr>
            <w:tcW w:w="1433" w:type="pct"/>
            <w:vAlign w:val="center"/>
          </w:tcPr>
          <w:p w14:paraId="3D787BFD">
            <w:pPr>
              <w:pStyle w:val="751"/>
              <w:rPr>
                <w:color w:val="auto"/>
              </w:rPr>
            </w:pPr>
            <w:r>
              <w:rPr>
                <w:color w:val="auto"/>
              </w:rPr>
              <w:t>1</w:t>
            </w:r>
            <w:r>
              <w:rPr>
                <w:rFonts w:hint="eastAsia"/>
                <w:color w:val="auto"/>
              </w:rPr>
              <w:t>µ</w:t>
            </w:r>
            <w:r>
              <w:rPr>
                <w:color w:val="auto"/>
              </w:rPr>
              <w:t>g/m</w:t>
            </w:r>
            <w:r>
              <w:rPr>
                <w:color w:val="auto"/>
                <w:vertAlign w:val="superscript"/>
              </w:rPr>
              <w:t>3</w:t>
            </w:r>
          </w:p>
        </w:tc>
        <w:tc>
          <w:tcPr>
            <w:tcW w:w="1433" w:type="pct"/>
            <w:vMerge w:val="continue"/>
            <w:vAlign w:val="center"/>
          </w:tcPr>
          <w:p w14:paraId="4EC48BAB">
            <w:pPr>
              <w:pStyle w:val="751"/>
              <w:rPr>
                <w:color w:val="auto"/>
              </w:rPr>
            </w:pPr>
          </w:p>
        </w:tc>
      </w:tr>
      <w:tr w14:paraId="0716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87" w:type="pct"/>
            <w:vMerge w:val="continue"/>
            <w:vAlign w:val="center"/>
          </w:tcPr>
          <w:p w14:paraId="07424DF2">
            <w:pPr>
              <w:pStyle w:val="751"/>
              <w:rPr>
                <w:color w:val="auto"/>
                <w:lang w:bidi="ar"/>
              </w:rPr>
            </w:pPr>
          </w:p>
        </w:tc>
        <w:tc>
          <w:tcPr>
            <w:tcW w:w="839" w:type="pct"/>
            <w:vAlign w:val="center"/>
          </w:tcPr>
          <w:p w14:paraId="0EC283C8">
            <w:pPr>
              <w:pStyle w:val="751"/>
              <w:rPr>
                <w:color w:val="auto"/>
                <w:lang w:bidi="ar"/>
              </w:rPr>
            </w:pPr>
            <w:r>
              <w:rPr>
                <w:color w:val="auto"/>
                <w:lang w:bidi="ar"/>
              </w:rPr>
              <w:t>臭气浓度</w:t>
            </w:r>
          </w:p>
        </w:tc>
        <w:tc>
          <w:tcPr>
            <w:tcW w:w="704" w:type="pct"/>
            <w:vMerge w:val="continue"/>
            <w:vAlign w:val="center"/>
          </w:tcPr>
          <w:p w14:paraId="0CA8ACC6">
            <w:pPr>
              <w:pStyle w:val="751"/>
              <w:rPr>
                <w:color w:val="auto"/>
                <w:lang w:bidi="ar"/>
              </w:rPr>
            </w:pPr>
          </w:p>
        </w:tc>
        <w:tc>
          <w:tcPr>
            <w:tcW w:w="1433" w:type="pct"/>
            <w:vAlign w:val="center"/>
          </w:tcPr>
          <w:p w14:paraId="67E32DA7">
            <w:pPr>
              <w:pStyle w:val="751"/>
              <w:rPr>
                <w:color w:val="auto"/>
              </w:rPr>
            </w:pPr>
            <w:r>
              <w:rPr>
                <w:rFonts w:hint="eastAsia"/>
                <w:color w:val="auto"/>
              </w:rPr>
              <w:t>＜10</w:t>
            </w:r>
          </w:p>
        </w:tc>
        <w:tc>
          <w:tcPr>
            <w:tcW w:w="1433" w:type="pct"/>
            <w:vMerge w:val="continue"/>
            <w:vAlign w:val="center"/>
          </w:tcPr>
          <w:p w14:paraId="00DE9187">
            <w:pPr>
              <w:pStyle w:val="751"/>
              <w:rPr>
                <w:color w:val="auto"/>
              </w:rPr>
            </w:pPr>
          </w:p>
        </w:tc>
      </w:tr>
      <w:tr w14:paraId="7EE4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87" w:type="pct"/>
            <w:vMerge w:val="continue"/>
            <w:vAlign w:val="center"/>
          </w:tcPr>
          <w:p w14:paraId="2DC6BA69">
            <w:pPr>
              <w:pStyle w:val="751"/>
              <w:rPr>
                <w:color w:val="auto"/>
                <w:lang w:bidi="ar"/>
              </w:rPr>
            </w:pPr>
          </w:p>
        </w:tc>
        <w:tc>
          <w:tcPr>
            <w:tcW w:w="839" w:type="pct"/>
            <w:vAlign w:val="center"/>
          </w:tcPr>
          <w:p w14:paraId="4001719A">
            <w:pPr>
              <w:pStyle w:val="751"/>
              <w:rPr>
                <w:color w:val="auto"/>
                <w:lang w:bidi="ar"/>
              </w:rPr>
            </w:pPr>
            <w:r>
              <w:rPr>
                <w:color w:val="auto"/>
                <w:lang w:bidi="ar"/>
              </w:rPr>
              <w:t>TSP</w:t>
            </w:r>
          </w:p>
        </w:tc>
        <w:tc>
          <w:tcPr>
            <w:tcW w:w="704" w:type="pct"/>
            <w:vMerge w:val="continue"/>
            <w:vAlign w:val="center"/>
          </w:tcPr>
          <w:p w14:paraId="7BD8D9BE">
            <w:pPr>
              <w:pStyle w:val="751"/>
              <w:rPr>
                <w:color w:val="auto"/>
                <w:lang w:bidi="ar"/>
              </w:rPr>
            </w:pPr>
          </w:p>
        </w:tc>
        <w:tc>
          <w:tcPr>
            <w:tcW w:w="1433" w:type="pct"/>
            <w:vAlign w:val="center"/>
          </w:tcPr>
          <w:p w14:paraId="3C25EF81">
            <w:pPr>
              <w:pStyle w:val="751"/>
              <w:rPr>
                <w:color w:val="auto"/>
              </w:rPr>
            </w:pPr>
            <w:r>
              <w:rPr>
                <w:color w:val="auto"/>
              </w:rPr>
              <w:t>161～184</w:t>
            </w:r>
            <w:r>
              <w:rPr>
                <w:rFonts w:hint="eastAsia"/>
                <w:color w:val="auto"/>
              </w:rPr>
              <w:t>µ</w:t>
            </w:r>
            <w:r>
              <w:rPr>
                <w:color w:val="auto"/>
              </w:rPr>
              <w:t>g/m</w:t>
            </w:r>
            <w:r>
              <w:rPr>
                <w:color w:val="auto"/>
                <w:vertAlign w:val="superscript"/>
              </w:rPr>
              <w:t>3</w:t>
            </w:r>
          </w:p>
        </w:tc>
        <w:tc>
          <w:tcPr>
            <w:tcW w:w="1433" w:type="pct"/>
            <w:vMerge w:val="continue"/>
            <w:vAlign w:val="center"/>
          </w:tcPr>
          <w:p w14:paraId="768A6DF5">
            <w:pPr>
              <w:pStyle w:val="751"/>
              <w:rPr>
                <w:color w:val="auto"/>
              </w:rPr>
            </w:pPr>
          </w:p>
        </w:tc>
      </w:tr>
      <w:tr w14:paraId="5099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587" w:type="pct"/>
            <w:vMerge w:val="restart"/>
            <w:vAlign w:val="center"/>
          </w:tcPr>
          <w:p w14:paraId="34FA0AD3">
            <w:pPr>
              <w:pStyle w:val="751"/>
              <w:rPr>
                <w:color w:val="auto"/>
                <w:lang w:bidi="ar"/>
              </w:rPr>
            </w:pPr>
            <w:bookmarkStart w:id="275" w:name="_Toc27691"/>
            <w:r>
              <w:rPr>
                <w:rFonts w:hint="eastAsia"/>
                <w:color w:val="auto"/>
                <w:lang w:bidi="ar"/>
              </w:rPr>
              <w:t>西鄂尔多斯国家级自然保护区试验区</w:t>
            </w:r>
          </w:p>
        </w:tc>
        <w:tc>
          <w:tcPr>
            <w:tcW w:w="839" w:type="pct"/>
            <w:vAlign w:val="center"/>
          </w:tcPr>
          <w:p w14:paraId="52EA2282">
            <w:pPr>
              <w:pStyle w:val="751"/>
              <w:rPr>
                <w:color w:val="auto"/>
                <w:lang w:bidi="ar"/>
              </w:rPr>
            </w:pPr>
            <w:r>
              <w:rPr>
                <w:color w:val="auto"/>
                <w:lang w:bidi="ar"/>
              </w:rPr>
              <w:t>NH</w:t>
            </w:r>
            <w:r>
              <w:rPr>
                <w:color w:val="auto"/>
                <w:vertAlign w:val="subscript"/>
                <w:lang w:bidi="ar"/>
              </w:rPr>
              <w:t>3</w:t>
            </w:r>
          </w:p>
        </w:tc>
        <w:tc>
          <w:tcPr>
            <w:tcW w:w="704" w:type="pct"/>
            <w:vMerge w:val="restart"/>
            <w:vAlign w:val="center"/>
          </w:tcPr>
          <w:p w14:paraId="06716536">
            <w:pPr>
              <w:pStyle w:val="751"/>
              <w:rPr>
                <w:color w:val="auto"/>
                <w:lang w:bidi="ar"/>
              </w:rPr>
            </w:pPr>
            <w:r>
              <w:rPr>
                <w:rFonts w:hint="eastAsia"/>
                <w:color w:val="auto"/>
                <w:lang w:bidi="ar"/>
              </w:rPr>
              <w:t>7</w:t>
            </w:r>
          </w:p>
        </w:tc>
        <w:tc>
          <w:tcPr>
            <w:tcW w:w="1433" w:type="pct"/>
            <w:vAlign w:val="center"/>
          </w:tcPr>
          <w:p w14:paraId="2A17A82A">
            <w:pPr>
              <w:pStyle w:val="751"/>
              <w:rPr>
                <w:color w:val="auto"/>
              </w:rPr>
            </w:pPr>
            <w:r>
              <w:rPr>
                <w:rFonts w:hint="eastAsia"/>
                <w:color w:val="auto"/>
              </w:rPr>
              <w:t>10~30µ</w:t>
            </w:r>
            <w:r>
              <w:rPr>
                <w:color w:val="auto"/>
              </w:rPr>
              <w:t>g/m</w:t>
            </w:r>
            <w:r>
              <w:rPr>
                <w:color w:val="auto"/>
                <w:vertAlign w:val="superscript"/>
              </w:rPr>
              <w:t>3</w:t>
            </w:r>
          </w:p>
        </w:tc>
        <w:tc>
          <w:tcPr>
            <w:tcW w:w="1433" w:type="pct"/>
            <w:vMerge w:val="restart"/>
            <w:vAlign w:val="center"/>
          </w:tcPr>
          <w:p w14:paraId="7139B385">
            <w:pPr>
              <w:pStyle w:val="751"/>
              <w:rPr>
                <w:color w:val="auto"/>
              </w:rPr>
            </w:pPr>
            <w:r>
              <w:rPr>
                <w:color w:val="auto"/>
              </w:rPr>
              <w:t>《环境影响评价技术导则》大气环境（HJ2.2-2018）中附录D</w:t>
            </w:r>
            <w:r>
              <w:rPr>
                <w:rFonts w:hint="eastAsia"/>
                <w:color w:val="auto"/>
              </w:rPr>
              <w:t>、</w:t>
            </w:r>
            <w:r>
              <w:rPr>
                <w:color w:val="auto"/>
                <w:szCs w:val="24"/>
              </w:rPr>
              <w:t>《环境空气质量标准》（</w:t>
            </w:r>
            <w:r>
              <w:rPr>
                <w:color w:val="auto"/>
                <w:szCs w:val="24"/>
                <w:lang w:bidi="ar"/>
              </w:rPr>
              <w:t>GB3095-2012）</w:t>
            </w:r>
            <w:r>
              <w:rPr>
                <w:rFonts w:hint="eastAsia"/>
                <w:color w:val="auto"/>
              </w:rPr>
              <w:t>一级</w:t>
            </w:r>
            <w:r>
              <w:rPr>
                <w:color w:val="auto"/>
              </w:rPr>
              <w:t>浓度限值</w:t>
            </w:r>
          </w:p>
        </w:tc>
      </w:tr>
      <w:tr w14:paraId="31EE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87" w:type="pct"/>
            <w:vMerge w:val="continue"/>
            <w:vAlign w:val="center"/>
          </w:tcPr>
          <w:p w14:paraId="42B38669">
            <w:pPr>
              <w:pStyle w:val="751"/>
              <w:rPr>
                <w:color w:val="auto"/>
                <w:lang w:bidi="ar"/>
              </w:rPr>
            </w:pPr>
          </w:p>
        </w:tc>
        <w:tc>
          <w:tcPr>
            <w:tcW w:w="839" w:type="pct"/>
            <w:vAlign w:val="center"/>
          </w:tcPr>
          <w:p w14:paraId="6ADBA57F">
            <w:pPr>
              <w:pStyle w:val="751"/>
              <w:rPr>
                <w:color w:val="auto"/>
                <w:lang w:bidi="ar"/>
              </w:rPr>
            </w:pPr>
            <w:r>
              <w:rPr>
                <w:color w:val="auto"/>
                <w:lang w:bidi="ar"/>
              </w:rPr>
              <w:t>H</w:t>
            </w:r>
            <w:r>
              <w:rPr>
                <w:color w:val="auto"/>
                <w:vertAlign w:val="subscript"/>
                <w:lang w:bidi="ar"/>
              </w:rPr>
              <w:t>2</w:t>
            </w:r>
            <w:r>
              <w:rPr>
                <w:color w:val="auto"/>
                <w:lang w:bidi="ar"/>
              </w:rPr>
              <w:t>S</w:t>
            </w:r>
          </w:p>
        </w:tc>
        <w:tc>
          <w:tcPr>
            <w:tcW w:w="704" w:type="pct"/>
            <w:vMerge w:val="continue"/>
            <w:vAlign w:val="center"/>
          </w:tcPr>
          <w:p w14:paraId="6E2F4FE6">
            <w:pPr>
              <w:pStyle w:val="751"/>
              <w:rPr>
                <w:color w:val="auto"/>
                <w:lang w:bidi="ar"/>
              </w:rPr>
            </w:pPr>
          </w:p>
        </w:tc>
        <w:tc>
          <w:tcPr>
            <w:tcW w:w="1433" w:type="pct"/>
            <w:vAlign w:val="center"/>
          </w:tcPr>
          <w:p w14:paraId="030A1C12">
            <w:pPr>
              <w:pStyle w:val="751"/>
              <w:rPr>
                <w:color w:val="auto"/>
              </w:rPr>
            </w:pPr>
            <w:r>
              <w:rPr>
                <w:rFonts w:hint="eastAsia"/>
                <w:color w:val="auto"/>
              </w:rPr>
              <w:t>3~5µ</w:t>
            </w:r>
            <w:r>
              <w:rPr>
                <w:color w:val="auto"/>
              </w:rPr>
              <w:t>g/m</w:t>
            </w:r>
            <w:r>
              <w:rPr>
                <w:color w:val="auto"/>
                <w:vertAlign w:val="superscript"/>
              </w:rPr>
              <w:t>3</w:t>
            </w:r>
          </w:p>
        </w:tc>
        <w:tc>
          <w:tcPr>
            <w:tcW w:w="1433" w:type="pct"/>
            <w:vMerge w:val="continue"/>
            <w:vAlign w:val="center"/>
          </w:tcPr>
          <w:p w14:paraId="5FEEA0E4">
            <w:pPr>
              <w:pStyle w:val="751"/>
              <w:rPr>
                <w:color w:val="auto"/>
              </w:rPr>
            </w:pPr>
          </w:p>
        </w:tc>
      </w:tr>
      <w:tr w14:paraId="71A1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587" w:type="pct"/>
            <w:vMerge w:val="continue"/>
            <w:vAlign w:val="center"/>
          </w:tcPr>
          <w:p w14:paraId="00DEBEC1">
            <w:pPr>
              <w:pStyle w:val="751"/>
              <w:rPr>
                <w:color w:val="auto"/>
                <w:lang w:bidi="ar"/>
              </w:rPr>
            </w:pPr>
          </w:p>
        </w:tc>
        <w:tc>
          <w:tcPr>
            <w:tcW w:w="839" w:type="pct"/>
            <w:vAlign w:val="center"/>
          </w:tcPr>
          <w:p w14:paraId="4BF4D605">
            <w:pPr>
              <w:pStyle w:val="751"/>
              <w:rPr>
                <w:color w:val="auto"/>
                <w:lang w:bidi="ar"/>
              </w:rPr>
            </w:pPr>
            <w:r>
              <w:rPr>
                <w:color w:val="auto"/>
                <w:lang w:bidi="ar"/>
              </w:rPr>
              <w:t>臭气浓度</w:t>
            </w:r>
          </w:p>
        </w:tc>
        <w:tc>
          <w:tcPr>
            <w:tcW w:w="704" w:type="pct"/>
            <w:vMerge w:val="continue"/>
            <w:vAlign w:val="center"/>
          </w:tcPr>
          <w:p w14:paraId="6A3A54C5">
            <w:pPr>
              <w:pStyle w:val="751"/>
              <w:rPr>
                <w:color w:val="auto"/>
                <w:lang w:bidi="ar"/>
              </w:rPr>
            </w:pPr>
          </w:p>
        </w:tc>
        <w:tc>
          <w:tcPr>
            <w:tcW w:w="1433" w:type="pct"/>
            <w:vAlign w:val="center"/>
          </w:tcPr>
          <w:p w14:paraId="7603C2B9">
            <w:pPr>
              <w:pStyle w:val="751"/>
              <w:rPr>
                <w:color w:val="auto"/>
              </w:rPr>
            </w:pPr>
            <w:r>
              <w:rPr>
                <w:rFonts w:hint="eastAsia"/>
                <w:color w:val="auto"/>
              </w:rPr>
              <w:t>10~14</w:t>
            </w:r>
          </w:p>
        </w:tc>
        <w:tc>
          <w:tcPr>
            <w:tcW w:w="1433" w:type="pct"/>
            <w:vMerge w:val="continue"/>
            <w:vAlign w:val="center"/>
          </w:tcPr>
          <w:p w14:paraId="22AB4299">
            <w:pPr>
              <w:pStyle w:val="751"/>
              <w:rPr>
                <w:color w:val="auto"/>
              </w:rPr>
            </w:pPr>
          </w:p>
        </w:tc>
      </w:tr>
      <w:tr w14:paraId="2691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587" w:type="pct"/>
            <w:vMerge w:val="continue"/>
            <w:vAlign w:val="center"/>
          </w:tcPr>
          <w:p w14:paraId="6D0341B6">
            <w:pPr>
              <w:pStyle w:val="751"/>
              <w:rPr>
                <w:color w:val="auto"/>
                <w:lang w:bidi="ar"/>
              </w:rPr>
            </w:pPr>
          </w:p>
        </w:tc>
        <w:tc>
          <w:tcPr>
            <w:tcW w:w="839" w:type="pct"/>
            <w:vAlign w:val="center"/>
          </w:tcPr>
          <w:p w14:paraId="03B13A1C">
            <w:pPr>
              <w:pStyle w:val="751"/>
              <w:rPr>
                <w:color w:val="auto"/>
                <w:lang w:bidi="ar"/>
              </w:rPr>
            </w:pPr>
            <w:r>
              <w:rPr>
                <w:color w:val="auto"/>
                <w:lang w:bidi="ar"/>
              </w:rPr>
              <w:t>TSP</w:t>
            </w:r>
          </w:p>
        </w:tc>
        <w:tc>
          <w:tcPr>
            <w:tcW w:w="704" w:type="pct"/>
            <w:vMerge w:val="continue"/>
            <w:vAlign w:val="center"/>
          </w:tcPr>
          <w:p w14:paraId="20DBCB82">
            <w:pPr>
              <w:pStyle w:val="751"/>
              <w:rPr>
                <w:color w:val="auto"/>
                <w:lang w:bidi="ar"/>
              </w:rPr>
            </w:pPr>
          </w:p>
        </w:tc>
        <w:tc>
          <w:tcPr>
            <w:tcW w:w="1433" w:type="pct"/>
            <w:vAlign w:val="center"/>
          </w:tcPr>
          <w:p w14:paraId="66B96F9E">
            <w:pPr>
              <w:pStyle w:val="751"/>
              <w:rPr>
                <w:color w:val="auto"/>
              </w:rPr>
            </w:pPr>
            <w:r>
              <w:rPr>
                <w:color w:val="auto"/>
              </w:rPr>
              <w:t>1</w:t>
            </w:r>
            <w:r>
              <w:rPr>
                <w:rFonts w:hint="eastAsia"/>
                <w:color w:val="auto"/>
              </w:rPr>
              <w:t>00</w:t>
            </w:r>
            <w:r>
              <w:rPr>
                <w:color w:val="auto"/>
              </w:rPr>
              <w:t>～1</w:t>
            </w:r>
            <w:r>
              <w:rPr>
                <w:rFonts w:hint="eastAsia"/>
                <w:color w:val="auto"/>
              </w:rPr>
              <w:t>09µ</w:t>
            </w:r>
            <w:r>
              <w:rPr>
                <w:color w:val="auto"/>
              </w:rPr>
              <w:t>g/m</w:t>
            </w:r>
            <w:r>
              <w:rPr>
                <w:color w:val="auto"/>
                <w:vertAlign w:val="superscript"/>
              </w:rPr>
              <w:t>3</w:t>
            </w:r>
          </w:p>
        </w:tc>
        <w:tc>
          <w:tcPr>
            <w:tcW w:w="1433" w:type="pct"/>
            <w:vMerge w:val="continue"/>
            <w:vAlign w:val="center"/>
          </w:tcPr>
          <w:p w14:paraId="74224B0A">
            <w:pPr>
              <w:pStyle w:val="751"/>
              <w:rPr>
                <w:color w:val="auto"/>
              </w:rPr>
            </w:pPr>
          </w:p>
        </w:tc>
      </w:tr>
    </w:tbl>
    <w:p w14:paraId="49A06EE2">
      <w:pPr>
        <w:pStyle w:val="11"/>
      </w:pPr>
      <w:bookmarkStart w:id="276" w:name="_Toc166572292"/>
      <w:r>
        <w:rPr>
          <w:kern w:val="44"/>
        </w:rPr>
        <w:t>4.2.</w:t>
      </w:r>
      <w:bookmarkEnd w:id="275"/>
      <w:r>
        <w:rPr>
          <w:kern w:val="44"/>
        </w:rPr>
        <w:t>3</w:t>
      </w:r>
      <w:r>
        <w:t>其他污染物环境质量现状评价</w:t>
      </w:r>
      <w:bookmarkEnd w:id="276"/>
      <w:bookmarkStart w:id="277" w:name="_Toc462668141"/>
    </w:p>
    <w:p w14:paraId="0D20A5DA">
      <w:pPr>
        <w:pStyle w:val="105"/>
        <w:ind w:firstLine="480"/>
      </w:pPr>
      <w:r>
        <w:t>（1）评</w:t>
      </w:r>
      <w:r>
        <w:rPr>
          <w:rFonts w:hint="eastAsia"/>
        </w:rPr>
        <w:t>价</w:t>
      </w:r>
      <w:r>
        <w:t>标准</w:t>
      </w:r>
      <w:bookmarkEnd w:id="277"/>
    </w:p>
    <w:p w14:paraId="231E478A">
      <w:pPr>
        <w:pStyle w:val="105"/>
        <w:ind w:firstLine="480"/>
      </w:pPr>
      <w:bookmarkStart w:id="278" w:name="_Toc462668142"/>
      <w:r>
        <w:t>本次评</w:t>
      </w:r>
      <w:r>
        <w:rPr>
          <w:rFonts w:hint="eastAsia"/>
        </w:rPr>
        <w:t>价</w:t>
      </w:r>
      <w:r>
        <w:t>执行《环境影响评价技术导则》大气环境（HJ2.2-2018）中附录D</w:t>
      </w:r>
      <w:r>
        <w:rPr>
          <w:rFonts w:hint="eastAsia"/>
        </w:rPr>
        <w:t>、</w:t>
      </w:r>
      <w:r>
        <w:rPr>
          <w:szCs w:val="24"/>
        </w:rPr>
        <w:t>《环境空气质量标准》（</w:t>
      </w:r>
      <w:r>
        <w:rPr>
          <w:kern w:val="0"/>
          <w:szCs w:val="24"/>
          <w:lang w:bidi="ar"/>
        </w:rPr>
        <w:t>GB3095-2012）</w:t>
      </w:r>
      <w:r>
        <w:t>中的浓度限值。</w:t>
      </w:r>
    </w:p>
    <w:p w14:paraId="7E200980">
      <w:pPr>
        <w:pStyle w:val="756"/>
      </w:pPr>
      <w:r>
        <w:t>表4.2-</w:t>
      </w:r>
      <w:r>
        <w:rPr>
          <w:rFonts w:hint="eastAsia"/>
        </w:rPr>
        <w:t>3</w:t>
      </w:r>
      <w:r>
        <w:t xml:space="preserve">  环境空气质量评价标准</w:t>
      </w:r>
    </w:p>
    <w:tbl>
      <w:tblPr>
        <w:tblStyle w:val="82"/>
        <w:tblW w:w="49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9"/>
        <w:gridCol w:w="990"/>
        <w:gridCol w:w="2010"/>
        <w:gridCol w:w="4536"/>
      </w:tblGrid>
      <w:tr w14:paraId="2744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79" w:type="dxa"/>
            <w:vAlign w:val="center"/>
          </w:tcPr>
          <w:p w14:paraId="6C453E2F">
            <w:pPr>
              <w:pStyle w:val="357"/>
              <w:rPr>
                <w:lang w:eastAsia="zh-CN"/>
              </w:rPr>
            </w:pPr>
            <w:r>
              <w:rPr>
                <w:rFonts w:hint="eastAsia"/>
                <w:lang w:eastAsia="zh-CN"/>
              </w:rPr>
              <w:t>评价点位</w:t>
            </w:r>
          </w:p>
        </w:tc>
        <w:tc>
          <w:tcPr>
            <w:tcW w:w="990" w:type="dxa"/>
            <w:vAlign w:val="center"/>
          </w:tcPr>
          <w:p w14:paraId="2DD92B7A">
            <w:pPr>
              <w:pStyle w:val="357"/>
              <w:rPr>
                <w:lang w:bidi="ar"/>
              </w:rPr>
            </w:pPr>
            <w:r>
              <w:t>污染物</w:t>
            </w:r>
          </w:p>
        </w:tc>
        <w:tc>
          <w:tcPr>
            <w:tcW w:w="2010" w:type="dxa"/>
            <w:vAlign w:val="center"/>
          </w:tcPr>
          <w:p w14:paraId="7E2D3463">
            <w:pPr>
              <w:pStyle w:val="357"/>
              <w:rPr>
                <w:lang w:bidi="ar"/>
              </w:rPr>
            </w:pPr>
            <w:r>
              <w:t>浓度限值（mg/m³）</w:t>
            </w:r>
          </w:p>
        </w:tc>
        <w:tc>
          <w:tcPr>
            <w:tcW w:w="4536" w:type="dxa"/>
            <w:vAlign w:val="center"/>
          </w:tcPr>
          <w:p w14:paraId="0BD44465">
            <w:pPr>
              <w:pStyle w:val="357"/>
              <w:rPr>
                <w:lang w:bidi="ar"/>
              </w:rPr>
            </w:pPr>
            <w:r>
              <w:t>标准来源</w:t>
            </w:r>
          </w:p>
        </w:tc>
      </w:tr>
      <w:tr w14:paraId="17DE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79" w:type="dxa"/>
            <w:vMerge w:val="restart"/>
            <w:vAlign w:val="center"/>
          </w:tcPr>
          <w:p w14:paraId="352514AE">
            <w:pPr>
              <w:pStyle w:val="357"/>
              <w:rPr>
                <w:lang w:eastAsia="zh-CN"/>
              </w:rPr>
            </w:pPr>
            <w:r>
              <w:rPr>
                <w:rFonts w:hint="eastAsia"/>
                <w:lang w:eastAsia="zh-CN"/>
              </w:rPr>
              <w:t>项目厂址、主导风向下风向</w:t>
            </w:r>
          </w:p>
        </w:tc>
        <w:tc>
          <w:tcPr>
            <w:tcW w:w="990" w:type="dxa"/>
            <w:vAlign w:val="center"/>
          </w:tcPr>
          <w:p w14:paraId="39FE6535">
            <w:pPr>
              <w:pStyle w:val="357"/>
              <w:rPr>
                <w:lang w:bidi="ar"/>
              </w:rPr>
            </w:pPr>
            <w:r>
              <w:t>氨</w:t>
            </w:r>
          </w:p>
        </w:tc>
        <w:tc>
          <w:tcPr>
            <w:tcW w:w="2010" w:type="dxa"/>
            <w:vAlign w:val="center"/>
          </w:tcPr>
          <w:p w14:paraId="21E3FE36">
            <w:pPr>
              <w:pStyle w:val="357"/>
              <w:rPr>
                <w:lang w:bidi="ar"/>
              </w:rPr>
            </w:pPr>
            <w:r>
              <w:rPr>
                <w:kern w:val="2"/>
              </w:rPr>
              <w:t>0.2</w:t>
            </w:r>
          </w:p>
        </w:tc>
        <w:tc>
          <w:tcPr>
            <w:tcW w:w="4536" w:type="dxa"/>
            <w:vMerge w:val="restart"/>
            <w:vAlign w:val="center"/>
          </w:tcPr>
          <w:p w14:paraId="2351A337">
            <w:pPr>
              <w:pStyle w:val="357"/>
              <w:rPr>
                <w:lang w:eastAsia="zh-CN" w:bidi="ar"/>
              </w:rPr>
            </w:pPr>
            <w:r>
              <w:rPr>
                <w:lang w:eastAsia="zh-CN"/>
              </w:rPr>
              <w:t>《环境影响评价技术导则》大气环境（HJ2.2-2018）中附录D中的浓度限值</w:t>
            </w:r>
          </w:p>
        </w:tc>
      </w:tr>
      <w:tr w14:paraId="1116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79" w:type="dxa"/>
            <w:vMerge w:val="continue"/>
            <w:vAlign w:val="center"/>
          </w:tcPr>
          <w:p w14:paraId="6606345D">
            <w:pPr>
              <w:pStyle w:val="357"/>
              <w:rPr>
                <w:lang w:eastAsia="zh-CN"/>
              </w:rPr>
            </w:pPr>
          </w:p>
        </w:tc>
        <w:tc>
          <w:tcPr>
            <w:tcW w:w="990" w:type="dxa"/>
            <w:vAlign w:val="center"/>
          </w:tcPr>
          <w:p w14:paraId="6A6881B6">
            <w:pPr>
              <w:pStyle w:val="357"/>
              <w:rPr>
                <w:lang w:bidi="ar"/>
              </w:rPr>
            </w:pPr>
            <w:r>
              <w:t>硫化氢</w:t>
            </w:r>
          </w:p>
        </w:tc>
        <w:tc>
          <w:tcPr>
            <w:tcW w:w="2010" w:type="dxa"/>
            <w:vAlign w:val="center"/>
          </w:tcPr>
          <w:p w14:paraId="6799502A">
            <w:pPr>
              <w:pStyle w:val="357"/>
              <w:rPr>
                <w:lang w:bidi="ar"/>
              </w:rPr>
            </w:pPr>
            <w:r>
              <w:rPr>
                <w:kern w:val="2"/>
              </w:rPr>
              <w:t>0.01</w:t>
            </w:r>
          </w:p>
        </w:tc>
        <w:tc>
          <w:tcPr>
            <w:tcW w:w="4536" w:type="dxa"/>
            <w:vMerge w:val="continue"/>
            <w:vAlign w:val="center"/>
          </w:tcPr>
          <w:p w14:paraId="2E9E9F98">
            <w:pPr>
              <w:pStyle w:val="357"/>
              <w:rPr>
                <w:lang w:bidi="ar"/>
              </w:rPr>
            </w:pPr>
          </w:p>
        </w:tc>
      </w:tr>
      <w:tr w14:paraId="7D0F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79" w:type="dxa"/>
            <w:vMerge w:val="continue"/>
            <w:vAlign w:val="center"/>
          </w:tcPr>
          <w:p w14:paraId="48754BB8">
            <w:pPr>
              <w:pStyle w:val="357"/>
            </w:pPr>
          </w:p>
        </w:tc>
        <w:tc>
          <w:tcPr>
            <w:tcW w:w="990" w:type="dxa"/>
            <w:vAlign w:val="center"/>
          </w:tcPr>
          <w:p w14:paraId="3F6197E4">
            <w:pPr>
              <w:pStyle w:val="357"/>
            </w:pPr>
            <w:r>
              <w:t>TSP</w:t>
            </w:r>
          </w:p>
        </w:tc>
        <w:tc>
          <w:tcPr>
            <w:tcW w:w="2010" w:type="dxa"/>
            <w:vAlign w:val="center"/>
          </w:tcPr>
          <w:p w14:paraId="10B93A5B">
            <w:pPr>
              <w:pStyle w:val="357"/>
              <w:rPr>
                <w:kern w:val="2"/>
              </w:rPr>
            </w:pPr>
            <w:r>
              <w:rPr>
                <w:kern w:val="2"/>
              </w:rPr>
              <w:t>0.3</w:t>
            </w:r>
          </w:p>
        </w:tc>
        <w:tc>
          <w:tcPr>
            <w:tcW w:w="4536" w:type="dxa"/>
            <w:vAlign w:val="center"/>
          </w:tcPr>
          <w:p w14:paraId="736D9096">
            <w:pPr>
              <w:pStyle w:val="357"/>
              <w:rPr>
                <w:lang w:eastAsia="zh-CN" w:bidi="ar"/>
              </w:rPr>
            </w:pPr>
            <w:r>
              <w:rPr>
                <w:rFonts w:hint="eastAsia"/>
                <w:lang w:eastAsia="zh-CN" w:bidi="ar"/>
              </w:rPr>
              <w:t>《环境空气质量标准》（GB3095-2012）二级质量标准</w:t>
            </w:r>
          </w:p>
        </w:tc>
      </w:tr>
      <w:tr w14:paraId="3898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79" w:type="dxa"/>
            <w:vMerge w:val="restart"/>
            <w:vAlign w:val="center"/>
          </w:tcPr>
          <w:p w14:paraId="40697583">
            <w:pPr>
              <w:pStyle w:val="357"/>
              <w:rPr>
                <w:lang w:eastAsia="zh-CN"/>
              </w:rPr>
            </w:pPr>
            <w:r>
              <w:rPr>
                <w:rFonts w:hint="eastAsia"/>
                <w:lang w:eastAsia="zh-CN"/>
              </w:rPr>
              <w:t>西鄂尔多斯国家级自然保护区试验区</w:t>
            </w:r>
          </w:p>
        </w:tc>
        <w:tc>
          <w:tcPr>
            <w:tcW w:w="990" w:type="dxa"/>
            <w:vAlign w:val="center"/>
          </w:tcPr>
          <w:p w14:paraId="586ADB41">
            <w:pPr>
              <w:pStyle w:val="357"/>
              <w:tabs>
                <w:tab w:val="left" w:pos="0"/>
              </w:tabs>
              <w:rPr>
                <w:lang w:bidi="ar"/>
              </w:rPr>
            </w:pPr>
            <w:r>
              <w:t>氨</w:t>
            </w:r>
          </w:p>
        </w:tc>
        <w:tc>
          <w:tcPr>
            <w:tcW w:w="2010" w:type="dxa"/>
            <w:vAlign w:val="center"/>
          </w:tcPr>
          <w:p w14:paraId="122EE97A">
            <w:pPr>
              <w:pStyle w:val="357"/>
              <w:tabs>
                <w:tab w:val="left" w:pos="0"/>
              </w:tabs>
              <w:rPr>
                <w:lang w:bidi="ar"/>
              </w:rPr>
            </w:pPr>
            <w:r>
              <w:rPr>
                <w:kern w:val="2"/>
              </w:rPr>
              <w:t>0.2</w:t>
            </w:r>
          </w:p>
        </w:tc>
        <w:tc>
          <w:tcPr>
            <w:tcW w:w="4536" w:type="dxa"/>
            <w:vMerge w:val="restart"/>
            <w:vAlign w:val="center"/>
          </w:tcPr>
          <w:p w14:paraId="4EB7E2EB">
            <w:pPr>
              <w:pStyle w:val="357"/>
              <w:tabs>
                <w:tab w:val="left" w:pos="0"/>
              </w:tabs>
              <w:rPr>
                <w:lang w:eastAsia="zh-CN" w:bidi="ar"/>
              </w:rPr>
            </w:pPr>
            <w:r>
              <w:rPr>
                <w:lang w:eastAsia="zh-CN"/>
              </w:rPr>
              <w:t>《环境影响评价技术导则》大气环境（HJ2.2-2018）中附录D中的浓度限值</w:t>
            </w:r>
          </w:p>
          <w:p w14:paraId="6D5081FD">
            <w:pPr>
              <w:pStyle w:val="357"/>
              <w:rPr>
                <w:lang w:eastAsia="zh-CN" w:bidi="ar"/>
              </w:rPr>
            </w:pPr>
          </w:p>
        </w:tc>
      </w:tr>
      <w:tr w14:paraId="44C8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79" w:type="dxa"/>
            <w:vMerge w:val="continue"/>
            <w:vAlign w:val="center"/>
          </w:tcPr>
          <w:p w14:paraId="3CE46653">
            <w:pPr>
              <w:pStyle w:val="357"/>
              <w:rPr>
                <w:lang w:eastAsia="zh-CN"/>
              </w:rPr>
            </w:pPr>
          </w:p>
        </w:tc>
        <w:tc>
          <w:tcPr>
            <w:tcW w:w="990" w:type="dxa"/>
            <w:vAlign w:val="center"/>
          </w:tcPr>
          <w:p w14:paraId="38F0861B">
            <w:pPr>
              <w:pStyle w:val="357"/>
              <w:tabs>
                <w:tab w:val="left" w:pos="0"/>
              </w:tabs>
              <w:rPr>
                <w:lang w:bidi="ar"/>
              </w:rPr>
            </w:pPr>
            <w:r>
              <w:t>硫化氢</w:t>
            </w:r>
          </w:p>
        </w:tc>
        <w:tc>
          <w:tcPr>
            <w:tcW w:w="2010" w:type="dxa"/>
            <w:vAlign w:val="center"/>
          </w:tcPr>
          <w:p w14:paraId="2D8D1E9A">
            <w:pPr>
              <w:pStyle w:val="357"/>
              <w:tabs>
                <w:tab w:val="left" w:pos="0"/>
              </w:tabs>
              <w:rPr>
                <w:lang w:bidi="ar"/>
              </w:rPr>
            </w:pPr>
            <w:r>
              <w:rPr>
                <w:kern w:val="2"/>
              </w:rPr>
              <w:t>0.01</w:t>
            </w:r>
          </w:p>
        </w:tc>
        <w:tc>
          <w:tcPr>
            <w:tcW w:w="4536" w:type="dxa"/>
            <w:vMerge w:val="continue"/>
            <w:vAlign w:val="center"/>
          </w:tcPr>
          <w:p w14:paraId="61587172">
            <w:pPr>
              <w:pStyle w:val="357"/>
              <w:rPr>
                <w:lang w:eastAsia="zh-CN" w:bidi="ar"/>
              </w:rPr>
            </w:pPr>
          </w:p>
        </w:tc>
      </w:tr>
      <w:tr w14:paraId="7BFF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79" w:type="dxa"/>
            <w:vMerge w:val="continue"/>
            <w:vAlign w:val="center"/>
          </w:tcPr>
          <w:p w14:paraId="721C2322">
            <w:pPr>
              <w:pStyle w:val="357"/>
            </w:pPr>
          </w:p>
        </w:tc>
        <w:tc>
          <w:tcPr>
            <w:tcW w:w="990" w:type="dxa"/>
            <w:vAlign w:val="center"/>
          </w:tcPr>
          <w:p w14:paraId="4844CD75">
            <w:pPr>
              <w:pStyle w:val="357"/>
              <w:tabs>
                <w:tab w:val="left" w:pos="0"/>
              </w:tabs>
            </w:pPr>
            <w:r>
              <w:t>TSP</w:t>
            </w:r>
          </w:p>
        </w:tc>
        <w:tc>
          <w:tcPr>
            <w:tcW w:w="2010" w:type="dxa"/>
            <w:vAlign w:val="center"/>
          </w:tcPr>
          <w:p w14:paraId="6BD5D306">
            <w:pPr>
              <w:pStyle w:val="357"/>
              <w:tabs>
                <w:tab w:val="left" w:pos="0"/>
              </w:tabs>
              <w:rPr>
                <w:kern w:val="2"/>
                <w:lang w:eastAsia="zh-CN"/>
              </w:rPr>
            </w:pPr>
            <w:r>
              <w:rPr>
                <w:rFonts w:hint="eastAsia"/>
                <w:kern w:val="2"/>
                <w:lang w:eastAsia="zh-CN"/>
              </w:rPr>
              <w:t>0.12</w:t>
            </w:r>
          </w:p>
        </w:tc>
        <w:tc>
          <w:tcPr>
            <w:tcW w:w="4536" w:type="dxa"/>
            <w:vAlign w:val="center"/>
          </w:tcPr>
          <w:p w14:paraId="7A0918C3">
            <w:pPr>
              <w:pStyle w:val="357"/>
              <w:tabs>
                <w:tab w:val="left" w:pos="0"/>
              </w:tabs>
              <w:rPr>
                <w:lang w:eastAsia="zh-CN" w:bidi="ar"/>
              </w:rPr>
            </w:pPr>
            <w:r>
              <w:rPr>
                <w:rFonts w:hint="eastAsia"/>
                <w:lang w:eastAsia="zh-CN" w:bidi="ar"/>
              </w:rPr>
              <w:t>《环境空气质量标准》（GB3095-2012）一级质量标准</w:t>
            </w:r>
          </w:p>
        </w:tc>
      </w:tr>
      <w:tr w14:paraId="4E5A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9215" w:type="dxa"/>
            <w:gridSpan w:val="4"/>
            <w:vAlign w:val="center"/>
          </w:tcPr>
          <w:p w14:paraId="255451FF">
            <w:pPr>
              <w:pStyle w:val="357"/>
              <w:rPr>
                <w:lang w:eastAsia="zh-CN" w:bidi="ar"/>
              </w:rPr>
            </w:pPr>
            <w:r>
              <w:rPr>
                <w:lang w:eastAsia="zh-CN" w:bidi="ar"/>
              </w:rPr>
              <w:t>注：臭气浓度无质量标准，不进行评价，只反映本底值</w:t>
            </w:r>
          </w:p>
        </w:tc>
      </w:tr>
    </w:tbl>
    <w:p w14:paraId="00CFA1A0">
      <w:pPr>
        <w:pStyle w:val="105"/>
        <w:ind w:firstLine="480"/>
      </w:pPr>
      <w:r>
        <w:t>（2）评</w:t>
      </w:r>
      <w:r>
        <w:rPr>
          <w:rFonts w:hint="eastAsia"/>
        </w:rPr>
        <w:t>价</w:t>
      </w:r>
      <w:r>
        <w:t>方法</w:t>
      </w:r>
      <w:bookmarkEnd w:id="278"/>
    </w:p>
    <w:p w14:paraId="3697B34B">
      <w:pPr>
        <w:pStyle w:val="105"/>
        <w:ind w:firstLine="480"/>
      </w:pPr>
      <w:r>
        <w:t>环境空气质量现状评价采用环境质量指数法，为能客观地反映评价区的实际污染情况，本评价采用单项质量指数法来描述大气环境质量现状。单项指数是表示某一污染物对环境产生等效影响的程度，即环境污染实测浓度与该项污染物在环境中允许值的比值。采用单因子指数法进行评价，具体计算公式为：</w:t>
      </w:r>
    </w:p>
    <w:p w14:paraId="2183B129">
      <w:pPr>
        <w:pStyle w:val="105"/>
        <w:ind w:firstLine="480"/>
      </w:pPr>
      <w:r>
        <w:object>
          <v:shape id="_x0000_i1026" o:spt="75" type="#_x0000_t75" style="height:37pt;width:79pt;" o:ole="t" filled="f" o:preferrelative="t" stroked="f" coordsize="21600,21600">
            <v:path/>
            <v:fill on="f" focussize="0,0"/>
            <v:stroke on="f" joinstyle="miter"/>
            <v:imagedata r:id="rId45" o:title=""/>
            <o:lock v:ext="edit" aspectratio="t"/>
            <w10:wrap type="none"/>
            <w10:anchorlock/>
          </v:shape>
          <o:OLEObject Type="Embed" ProgID="Equation.3" ShapeID="_x0000_i1026" DrawAspect="Content" ObjectID="_1468075726" r:id="rId44">
            <o:LockedField>false</o:LockedField>
          </o:OLEObject>
        </w:object>
      </w:r>
    </w:p>
    <w:p w14:paraId="5242C1A4">
      <w:pPr>
        <w:pStyle w:val="105"/>
        <w:ind w:firstLine="480"/>
      </w:pPr>
      <w:bookmarkStart w:id="279" w:name="_Toc462668143"/>
      <w:r>
        <w:t>式中：</w:t>
      </w:r>
      <w:r>
        <w:rPr>
          <w:i/>
        </w:rPr>
        <w:t>P</w:t>
      </w:r>
      <w:r>
        <w:rPr>
          <w:i/>
          <w:vertAlign w:val="subscript"/>
        </w:rPr>
        <w:t>i</w:t>
      </w:r>
      <w:r>
        <w:t>——I污染物的最大浓度占标率，%；</w:t>
      </w:r>
    </w:p>
    <w:p w14:paraId="5675B949">
      <w:pPr>
        <w:pStyle w:val="105"/>
        <w:ind w:firstLine="480"/>
      </w:pPr>
      <w:r>
        <w:rPr>
          <w:i/>
        </w:rPr>
        <w:t>C</w:t>
      </w:r>
      <w:r>
        <w:rPr>
          <w:i/>
          <w:vertAlign w:val="subscript"/>
        </w:rPr>
        <w:t>i</w:t>
      </w:r>
      <w:r>
        <w:t>——I污染物的实测最大浓度，mg/m³；</w:t>
      </w:r>
    </w:p>
    <w:p w14:paraId="6A1522F8">
      <w:pPr>
        <w:pStyle w:val="105"/>
        <w:ind w:firstLine="480"/>
      </w:pPr>
      <w:r>
        <w:rPr>
          <w:i/>
        </w:rPr>
        <w:t>C</w:t>
      </w:r>
      <w:r>
        <w:rPr>
          <w:i/>
          <w:vertAlign w:val="subscript"/>
        </w:rPr>
        <w:t>oi</w:t>
      </w:r>
      <w:r>
        <w:t>——I污染物的评估标准，mg/m³。</w:t>
      </w:r>
    </w:p>
    <w:p w14:paraId="74741DC9">
      <w:pPr>
        <w:pStyle w:val="105"/>
        <w:ind w:firstLine="480"/>
      </w:pPr>
      <w:r>
        <w:t>（3）评估结果</w:t>
      </w:r>
      <w:bookmarkEnd w:id="279"/>
    </w:p>
    <w:p w14:paraId="485C7267">
      <w:pPr>
        <w:pStyle w:val="104"/>
      </w:pPr>
      <w:r>
        <w:t>根据现状监测可知，各因子评价结果见表4-2-</w:t>
      </w:r>
      <w:r>
        <w:rPr>
          <w:rFonts w:hint="eastAsia"/>
        </w:rPr>
        <w:t>4</w:t>
      </w:r>
      <w:r>
        <w:t>。</w:t>
      </w:r>
    </w:p>
    <w:p w14:paraId="62C28F4B">
      <w:pPr>
        <w:pStyle w:val="756"/>
      </w:pPr>
      <w:r>
        <w:t>表4-2-</w:t>
      </w:r>
      <w:r>
        <w:rPr>
          <w:rFonts w:hint="eastAsia"/>
        </w:rPr>
        <w:t>4</w:t>
      </w:r>
      <w:r>
        <w:t xml:space="preserve">  其他污染物环境现状评价结果一览表</w:t>
      </w:r>
    </w:p>
    <w:tbl>
      <w:tblPr>
        <w:tblStyle w:val="82"/>
        <w:tblW w:w="9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200"/>
        <w:gridCol w:w="1035"/>
        <w:gridCol w:w="1890"/>
        <w:gridCol w:w="1600"/>
        <w:gridCol w:w="1217"/>
        <w:gridCol w:w="1217"/>
      </w:tblGrid>
      <w:tr w14:paraId="4553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restart"/>
            <w:vAlign w:val="center"/>
          </w:tcPr>
          <w:p w14:paraId="62BE585A">
            <w:pPr>
              <w:pStyle w:val="751"/>
              <w:rPr>
                <w:color w:val="auto"/>
              </w:rPr>
            </w:pPr>
            <w:r>
              <w:rPr>
                <w:color w:val="auto"/>
              </w:rPr>
              <w:t>点位</w:t>
            </w:r>
          </w:p>
        </w:tc>
        <w:tc>
          <w:tcPr>
            <w:tcW w:w="2235" w:type="dxa"/>
            <w:gridSpan w:val="2"/>
            <w:vMerge w:val="restart"/>
            <w:vAlign w:val="center"/>
          </w:tcPr>
          <w:p w14:paraId="5B319E50">
            <w:pPr>
              <w:pStyle w:val="751"/>
              <w:rPr>
                <w:color w:val="auto"/>
              </w:rPr>
            </w:pPr>
            <w:r>
              <w:rPr>
                <w:color w:val="auto"/>
              </w:rPr>
              <w:t>监测因子</w:t>
            </w:r>
          </w:p>
        </w:tc>
        <w:tc>
          <w:tcPr>
            <w:tcW w:w="1890" w:type="dxa"/>
            <w:vAlign w:val="center"/>
          </w:tcPr>
          <w:p w14:paraId="0BA36ECA">
            <w:pPr>
              <w:pStyle w:val="751"/>
              <w:rPr>
                <w:color w:val="auto"/>
              </w:rPr>
            </w:pPr>
            <w:r>
              <w:rPr>
                <w:color w:val="auto"/>
              </w:rPr>
              <w:t>浓度范围</w:t>
            </w:r>
          </w:p>
        </w:tc>
        <w:tc>
          <w:tcPr>
            <w:tcW w:w="1600" w:type="dxa"/>
            <w:vMerge w:val="restart"/>
            <w:vAlign w:val="center"/>
          </w:tcPr>
          <w:p w14:paraId="3C7B8192">
            <w:pPr>
              <w:pStyle w:val="751"/>
              <w:rPr>
                <w:color w:val="auto"/>
              </w:rPr>
            </w:pPr>
            <w:r>
              <w:rPr>
                <w:rFonts w:hint="eastAsia"/>
                <w:color w:val="auto"/>
              </w:rPr>
              <w:t>标准</w:t>
            </w:r>
            <w:r>
              <w:rPr>
                <w:color w:val="auto"/>
              </w:rPr>
              <w:t>指数范围</w:t>
            </w:r>
          </w:p>
        </w:tc>
        <w:tc>
          <w:tcPr>
            <w:tcW w:w="1217" w:type="dxa"/>
            <w:vMerge w:val="restart"/>
            <w:vAlign w:val="center"/>
          </w:tcPr>
          <w:p w14:paraId="655DE155">
            <w:pPr>
              <w:pStyle w:val="751"/>
              <w:rPr>
                <w:color w:val="auto"/>
              </w:rPr>
            </w:pPr>
            <w:r>
              <w:rPr>
                <w:color w:val="auto"/>
              </w:rPr>
              <w:t>超标个数</w:t>
            </w:r>
          </w:p>
        </w:tc>
        <w:tc>
          <w:tcPr>
            <w:tcW w:w="1217" w:type="dxa"/>
            <w:vMerge w:val="restart"/>
            <w:vAlign w:val="center"/>
          </w:tcPr>
          <w:p w14:paraId="2BDFD22F">
            <w:pPr>
              <w:pStyle w:val="751"/>
              <w:rPr>
                <w:color w:val="auto"/>
              </w:rPr>
            </w:pPr>
            <w:r>
              <w:rPr>
                <w:rFonts w:hint="eastAsia"/>
                <w:color w:val="auto"/>
              </w:rPr>
              <w:t>达标情况</w:t>
            </w:r>
          </w:p>
        </w:tc>
      </w:tr>
      <w:tr w14:paraId="48FC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091" w:type="dxa"/>
            <w:vMerge w:val="continue"/>
            <w:vAlign w:val="center"/>
          </w:tcPr>
          <w:p w14:paraId="1A238E39">
            <w:pPr>
              <w:pStyle w:val="751"/>
              <w:rPr>
                <w:color w:val="auto"/>
              </w:rPr>
            </w:pPr>
          </w:p>
        </w:tc>
        <w:tc>
          <w:tcPr>
            <w:tcW w:w="2235" w:type="dxa"/>
            <w:gridSpan w:val="2"/>
            <w:vMerge w:val="continue"/>
            <w:vAlign w:val="center"/>
          </w:tcPr>
          <w:p w14:paraId="3CCA8069">
            <w:pPr>
              <w:pStyle w:val="751"/>
              <w:rPr>
                <w:color w:val="auto"/>
              </w:rPr>
            </w:pPr>
          </w:p>
        </w:tc>
        <w:tc>
          <w:tcPr>
            <w:tcW w:w="1890" w:type="dxa"/>
            <w:vAlign w:val="center"/>
          </w:tcPr>
          <w:p w14:paraId="0D92E928">
            <w:pPr>
              <w:pStyle w:val="751"/>
              <w:rPr>
                <w:color w:val="auto"/>
              </w:rPr>
            </w:pPr>
            <w:r>
              <w:rPr>
                <w:color w:val="auto"/>
              </w:rPr>
              <w:t>mg/m</w:t>
            </w:r>
            <w:r>
              <w:rPr>
                <w:color w:val="auto"/>
                <w:vertAlign w:val="superscript"/>
              </w:rPr>
              <w:t>3</w:t>
            </w:r>
          </w:p>
        </w:tc>
        <w:tc>
          <w:tcPr>
            <w:tcW w:w="1600" w:type="dxa"/>
            <w:vMerge w:val="continue"/>
            <w:vAlign w:val="center"/>
          </w:tcPr>
          <w:p w14:paraId="5C3BDE8A">
            <w:pPr>
              <w:pStyle w:val="751"/>
              <w:rPr>
                <w:color w:val="auto"/>
              </w:rPr>
            </w:pPr>
          </w:p>
        </w:tc>
        <w:tc>
          <w:tcPr>
            <w:tcW w:w="1217" w:type="dxa"/>
            <w:vMerge w:val="continue"/>
            <w:vAlign w:val="center"/>
          </w:tcPr>
          <w:p w14:paraId="66F17509">
            <w:pPr>
              <w:pStyle w:val="751"/>
              <w:rPr>
                <w:color w:val="auto"/>
              </w:rPr>
            </w:pPr>
          </w:p>
        </w:tc>
        <w:tc>
          <w:tcPr>
            <w:tcW w:w="1217" w:type="dxa"/>
            <w:vMerge w:val="continue"/>
            <w:vAlign w:val="center"/>
          </w:tcPr>
          <w:p w14:paraId="7DA68E4B">
            <w:pPr>
              <w:pStyle w:val="751"/>
              <w:rPr>
                <w:color w:val="auto"/>
              </w:rPr>
            </w:pPr>
          </w:p>
        </w:tc>
      </w:tr>
      <w:tr w14:paraId="11F8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restart"/>
            <w:vAlign w:val="center"/>
          </w:tcPr>
          <w:p w14:paraId="14B47EE0">
            <w:pPr>
              <w:pStyle w:val="751"/>
              <w:rPr>
                <w:color w:val="auto"/>
              </w:rPr>
            </w:pPr>
            <w:r>
              <w:rPr>
                <w:rFonts w:hint="eastAsia"/>
                <w:color w:val="auto"/>
              </w:rPr>
              <w:t>厂址</w:t>
            </w:r>
          </w:p>
        </w:tc>
        <w:tc>
          <w:tcPr>
            <w:tcW w:w="1200" w:type="dxa"/>
            <w:vAlign w:val="center"/>
          </w:tcPr>
          <w:p w14:paraId="0419EAA3">
            <w:pPr>
              <w:pStyle w:val="751"/>
              <w:rPr>
                <w:color w:val="auto"/>
              </w:rPr>
            </w:pPr>
            <w:r>
              <w:rPr>
                <w:color w:val="auto"/>
              </w:rPr>
              <w:t>氨</w:t>
            </w:r>
          </w:p>
        </w:tc>
        <w:tc>
          <w:tcPr>
            <w:tcW w:w="1035" w:type="dxa"/>
            <w:vAlign w:val="center"/>
          </w:tcPr>
          <w:p w14:paraId="439E1FD1">
            <w:pPr>
              <w:pStyle w:val="751"/>
              <w:rPr>
                <w:color w:val="auto"/>
              </w:rPr>
            </w:pPr>
            <w:r>
              <w:rPr>
                <w:color w:val="auto"/>
              </w:rPr>
              <w:t>小时</w:t>
            </w:r>
          </w:p>
        </w:tc>
        <w:tc>
          <w:tcPr>
            <w:tcW w:w="1890" w:type="dxa"/>
            <w:vAlign w:val="center"/>
          </w:tcPr>
          <w:p w14:paraId="540CAA40">
            <w:pPr>
              <w:pStyle w:val="751"/>
              <w:rPr>
                <w:color w:val="auto"/>
                <w:lang w:bidi="ar"/>
              </w:rPr>
            </w:pPr>
            <w:r>
              <w:rPr>
                <w:color w:val="auto"/>
              </w:rPr>
              <w:t>0.041～</w:t>
            </w:r>
            <w:r>
              <w:rPr>
                <w:rFonts w:hint="eastAsia"/>
                <w:color w:val="auto"/>
              </w:rPr>
              <w:t>0</w:t>
            </w:r>
            <w:r>
              <w:rPr>
                <w:color w:val="auto"/>
              </w:rPr>
              <w:t>.064</w:t>
            </w:r>
          </w:p>
        </w:tc>
        <w:tc>
          <w:tcPr>
            <w:tcW w:w="1600" w:type="dxa"/>
            <w:vAlign w:val="center"/>
          </w:tcPr>
          <w:p w14:paraId="05A323F4">
            <w:pPr>
              <w:pStyle w:val="751"/>
              <w:rPr>
                <w:color w:val="auto"/>
              </w:rPr>
            </w:pPr>
            <w:r>
              <w:rPr>
                <w:rFonts w:hint="eastAsia"/>
                <w:color w:val="auto"/>
              </w:rPr>
              <w:t>0</w:t>
            </w:r>
            <w:r>
              <w:rPr>
                <w:color w:val="auto"/>
              </w:rPr>
              <w:t>.205~0.32</w:t>
            </w:r>
          </w:p>
        </w:tc>
        <w:tc>
          <w:tcPr>
            <w:tcW w:w="1217" w:type="dxa"/>
            <w:vAlign w:val="center"/>
          </w:tcPr>
          <w:p w14:paraId="776CB145">
            <w:pPr>
              <w:pStyle w:val="751"/>
              <w:rPr>
                <w:color w:val="auto"/>
              </w:rPr>
            </w:pPr>
            <w:r>
              <w:rPr>
                <w:color w:val="auto"/>
              </w:rPr>
              <w:t>0</w:t>
            </w:r>
          </w:p>
        </w:tc>
        <w:tc>
          <w:tcPr>
            <w:tcW w:w="1217" w:type="dxa"/>
            <w:vAlign w:val="center"/>
          </w:tcPr>
          <w:p w14:paraId="2CCD0E3C">
            <w:pPr>
              <w:pStyle w:val="751"/>
              <w:rPr>
                <w:color w:val="auto"/>
              </w:rPr>
            </w:pPr>
            <w:r>
              <w:rPr>
                <w:rFonts w:hint="eastAsia"/>
                <w:color w:val="auto"/>
              </w:rPr>
              <w:t>达标</w:t>
            </w:r>
          </w:p>
        </w:tc>
      </w:tr>
      <w:tr w14:paraId="45FD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650EC940">
            <w:pPr>
              <w:pStyle w:val="751"/>
              <w:rPr>
                <w:color w:val="auto"/>
              </w:rPr>
            </w:pPr>
          </w:p>
        </w:tc>
        <w:tc>
          <w:tcPr>
            <w:tcW w:w="1200" w:type="dxa"/>
            <w:vAlign w:val="center"/>
          </w:tcPr>
          <w:p w14:paraId="4E864F9A">
            <w:pPr>
              <w:pStyle w:val="751"/>
              <w:rPr>
                <w:color w:val="auto"/>
              </w:rPr>
            </w:pPr>
            <w:r>
              <w:rPr>
                <w:color w:val="auto"/>
              </w:rPr>
              <w:t>硫化氢</w:t>
            </w:r>
          </w:p>
        </w:tc>
        <w:tc>
          <w:tcPr>
            <w:tcW w:w="1035" w:type="dxa"/>
            <w:vAlign w:val="center"/>
          </w:tcPr>
          <w:p w14:paraId="5293EAD4">
            <w:pPr>
              <w:pStyle w:val="751"/>
              <w:rPr>
                <w:color w:val="auto"/>
              </w:rPr>
            </w:pPr>
            <w:r>
              <w:rPr>
                <w:color w:val="auto"/>
              </w:rPr>
              <w:t>小时</w:t>
            </w:r>
          </w:p>
        </w:tc>
        <w:tc>
          <w:tcPr>
            <w:tcW w:w="1890" w:type="dxa"/>
            <w:vAlign w:val="center"/>
          </w:tcPr>
          <w:p w14:paraId="628C48D2">
            <w:pPr>
              <w:pStyle w:val="751"/>
              <w:rPr>
                <w:color w:val="auto"/>
                <w:lang w:bidi="ar"/>
              </w:rPr>
            </w:pPr>
            <w:r>
              <w:rPr>
                <w:color w:val="auto"/>
                <w:lang w:bidi="ar"/>
              </w:rPr>
              <w:t>ND</w:t>
            </w:r>
          </w:p>
        </w:tc>
        <w:tc>
          <w:tcPr>
            <w:tcW w:w="1600" w:type="dxa"/>
            <w:vAlign w:val="center"/>
          </w:tcPr>
          <w:p w14:paraId="0D1F7BDA">
            <w:pPr>
              <w:pStyle w:val="751"/>
              <w:rPr>
                <w:color w:val="auto"/>
              </w:rPr>
            </w:pPr>
            <w:r>
              <w:rPr>
                <w:rFonts w:hint="eastAsia"/>
                <w:color w:val="auto"/>
              </w:rPr>
              <w:t>/</w:t>
            </w:r>
          </w:p>
        </w:tc>
        <w:tc>
          <w:tcPr>
            <w:tcW w:w="1217" w:type="dxa"/>
            <w:vAlign w:val="center"/>
          </w:tcPr>
          <w:p w14:paraId="39375662">
            <w:pPr>
              <w:pStyle w:val="751"/>
              <w:rPr>
                <w:color w:val="auto"/>
              </w:rPr>
            </w:pPr>
            <w:r>
              <w:rPr>
                <w:color w:val="auto"/>
              </w:rPr>
              <w:t>0</w:t>
            </w:r>
          </w:p>
        </w:tc>
        <w:tc>
          <w:tcPr>
            <w:tcW w:w="1217" w:type="dxa"/>
            <w:vAlign w:val="center"/>
          </w:tcPr>
          <w:p w14:paraId="6271637C">
            <w:pPr>
              <w:pStyle w:val="751"/>
              <w:rPr>
                <w:color w:val="auto"/>
              </w:rPr>
            </w:pPr>
            <w:r>
              <w:rPr>
                <w:rFonts w:hint="eastAsia"/>
                <w:color w:val="auto"/>
              </w:rPr>
              <w:t>达标</w:t>
            </w:r>
          </w:p>
        </w:tc>
      </w:tr>
      <w:tr w14:paraId="5B19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2ABEF260">
            <w:pPr>
              <w:pStyle w:val="751"/>
              <w:rPr>
                <w:color w:val="auto"/>
              </w:rPr>
            </w:pPr>
          </w:p>
        </w:tc>
        <w:tc>
          <w:tcPr>
            <w:tcW w:w="1200" w:type="dxa"/>
            <w:vAlign w:val="center"/>
          </w:tcPr>
          <w:p w14:paraId="2A0DB57D">
            <w:pPr>
              <w:pStyle w:val="751"/>
              <w:rPr>
                <w:color w:val="auto"/>
              </w:rPr>
            </w:pPr>
            <w:r>
              <w:rPr>
                <w:color w:val="auto"/>
              </w:rPr>
              <w:t>TSP</w:t>
            </w:r>
          </w:p>
        </w:tc>
        <w:tc>
          <w:tcPr>
            <w:tcW w:w="1035" w:type="dxa"/>
            <w:vAlign w:val="center"/>
          </w:tcPr>
          <w:p w14:paraId="793298AB">
            <w:pPr>
              <w:pStyle w:val="751"/>
              <w:rPr>
                <w:color w:val="auto"/>
              </w:rPr>
            </w:pPr>
            <w:r>
              <w:rPr>
                <w:color w:val="auto"/>
              </w:rPr>
              <w:t>日均值</w:t>
            </w:r>
          </w:p>
        </w:tc>
        <w:tc>
          <w:tcPr>
            <w:tcW w:w="1890" w:type="dxa"/>
            <w:vAlign w:val="center"/>
          </w:tcPr>
          <w:p w14:paraId="477643C0">
            <w:pPr>
              <w:pStyle w:val="751"/>
              <w:rPr>
                <w:color w:val="auto"/>
              </w:rPr>
            </w:pPr>
            <w:r>
              <w:rPr>
                <w:color w:val="auto"/>
              </w:rPr>
              <w:t>0.157~0.195</w:t>
            </w:r>
          </w:p>
        </w:tc>
        <w:tc>
          <w:tcPr>
            <w:tcW w:w="1600" w:type="dxa"/>
            <w:vAlign w:val="center"/>
          </w:tcPr>
          <w:p w14:paraId="4CF1D3AA">
            <w:pPr>
              <w:pStyle w:val="751"/>
              <w:rPr>
                <w:color w:val="auto"/>
              </w:rPr>
            </w:pPr>
            <w:r>
              <w:rPr>
                <w:rFonts w:hint="eastAsia"/>
                <w:color w:val="auto"/>
              </w:rPr>
              <w:t>0</w:t>
            </w:r>
            <w:r>
              <w:rPr>
                <w:color w:val="auto"/>
              </w:rPr>
              <w:t>.523~0.65</w:t>
            </w:r>
          </w:p>
        </w:tc>
        <w:tc>
          <w:tcPr>
            <w:tcW w:w="1217" w:type="dxa"/>
            <w:vAlign w:val="center"/>
          </w:tcPr>
          <w:p w14:paraId="23F5F277">
            <w:pPr>
              <w:pStyle w:val="751"/>
              <w:rPr>
                <w:color w:val="auto"/>
              </w:rPr>
            </w:pPr>
            <w:r>
              <w:rPr>
                <w:color w:val="auto"/>
              </w:rPr>
              <w:t>0</w:t>
            </w:r>
          </w:p>
        </w:tc>
        <w:tc>
          <w:tcPr>
            <w:tcW w:w="1217" w:type="dxa"/>
            <w:vAlign w:val="center"/>
          </w:tcPr>
          <w:p w14:paraId="3B5C4A6E">
            <w:pPr>
              <w:pStyle w:val="751"/>
              <w:rPr>
                <w:color w:val="auto"/>
              </w:rPr>
            </w:pPr>
            <w:r>
              <w:rPr>
                <w:rFonts w:hint="eastAsia"/>
                <w:color w:val="auto"/>
              </w:rPr>
              <w:t>达标</w:t>
            </w:r>
          </w:p>
        </w:tc>
      </w:tr>
      <w:tr w14:paraId="38E9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04EF4044">
            <w:pPr>
              <w:pStyle w:val="751"/>
              <w:rPr>
                <w:color w:val="auto"/>
              </w:rPr>
            </w:pPr>
          </w:p>
        </w:tc>
        <w:tc>
          <w:tcPr>
            <w:tcW w:w="1200" w:type="dxa"/>
            <w:vAlign w:val="center"/>
          </w:tcPr>
          <w:p w14:paraId="3FF4AD81">
            <w:pPr>
              <w:pStyle w:val="751"/>
              <w:rPr>
                <w:color w:val="auto"/>
              </w:rPr>
            </w:pPr>
            <w:r>
              <w:rPr>
                <w:rFonts w:hint="eastAsia"/>
                <w:color w:val="auto"/>
              </w:rPr>
              <w:t>臭气浓度</w:t>
            </w:r>
          </w:p>
        </w:tc>
        <w:tc>
          <w:tcPr>
            <w:tcW w:w="1035" w:type="dxa"/>
            <w:vAlign w:val="center"/>
          </w:tcPr>
          <w:p w14:paraId="7A696E00">
            <w:pPr>
              <w:pStyle w:val="751"/>
              <w:rPr>
                <w:color w:val="auto"/>
              </w:rPr>
            </w:pPr>
            <w:r>
              <w:rPr>
                <w:color w:val="auto"/>
              </w:rPr>
              <w:t>小时</w:t>
            </w:r>
          </w:p>
        </w:tc>
        <w:tc>
          <w:tcPr>
            <w:tcW w:w="1890" w:type="dxa"/>
            <w:vAlign w:val="center"/>
          </w:tcPr>
          <w:p w14:paraId="056C8D3E">
            <w:pPr>
              <w:pStyle w:val="751"/>
              <w:rPr>
                <w:color w:val="auto"/>
              </w:rPr>
            </w:pPr>
            <w:r>
              <w:rPr>
                <w:rFonts w:hint="eastAsia"/>
                <w:color w:val="auto"/>
              </w:rPr>
              <w:t>N</w:t>
            </w:r>
            <w:r>
              <w:rPr>
                <w:color w:val="auto"/>
              </w:rPr>
              <w:t>D</w:t>
            </w:r>
          </w:p>
        </w:tc>
        <w:tc>
          <w:tcPr>
            <w:tcW w:w="1600" w:type="dxa"/>
            <w:vAlign w:val="center"/>
          </w:tcPr>
          <w:p w14:paraId="1750D549">
            <w:pPr>
              <w:pStyle w:val="751"/>
              <w:rPr>
                <w:color w:val="auto"/>
              </w:rPr>
            </w:pPr>
            <w:r>
              <w:rPr>
                <w:rFonts w:hint="eastAsia"/>
                <w:color w:val="auto"/>
              </w:rPr>
              <w:t>/</w:t>
            </w:r>
          </w:p>
        </w:tc>
        <w:tc>
          <w:tcPr>
            <w:tcW w:w="1217" w:type="dxa"/>
            <w:vAlign w:val="center"/>
          </w:tcPr>
          <w:p w14:paraId="0C3CAADA">
            <w:pPr>
              <w:pStyle w:val="751"/>
              <w:rPr>
                <w:color w:val="auto"/>
              </w:rPr>
            </w:pPr>
            <w:r>
              <w:rPr>
                <w:color w:val="auto"/>
              </w:rPr>
              <w:t>0</w:t>
            </w:r>
          </w:p>
        </w:tc>
        <w:tc>
          <w:tcPr>
            <w:tcW w:w="1217" w:type="dxa"/>
            <w:vAlign w:val="center"/>
          </w:tcPr>
          <w:p w14:paraId="515C99BC">
            <w:pPr>
              <w:pStyle w:val="751"/>
              <w:rPr>
                <w:color w:val="auto"/>
              </w:rPr>
            </w:pPr>
            <w:r>
              <w:rPr>
                <w:rFonts w:hint="eastAsia"/>
                <w:color w:val="auto"/>
              </w:rPr>
              <w:t>达标</w:t>
            </w:r>
          </w:p>
        </w:tc>
      </w:tr>
      <w:tr w14:paraId="41FA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restart"/>
            <w:vAlign w:val="center"/>
          </w:tcPr>
          <w:p w14:paraId="2E33B0D5">
            <w:pPr>
              <w:pStyle w:val="751"/>
              <w:rPr>
                <w:color w:val="auto"/>
              </w:rPr>
            </w:pPr>
            <w:r>
              <w:rPr>
                <w:rFonts w:hint="eastAsia"/>
                <w:color w:val="auto"/>
              </w:rPr>
              <w:t>下风向</w:t>
            </w:r>
          </w:p>
        </w:tc>
        <w:tc>
          <w:tcPr>
            <w:tcW w:w="1200" w:type="dxa"/>
            <w:vAlign w:val="center"/>
          </w:tcPr>
          <w:p w14:paraId="74E44CE4">
            <w:pPr>
              <w:pStyle w:val="751"/>
              <w:rPr>
                <w:color w:val="auto"/>
              </w:rPr>
            </w:pPr>
            <w:r>
              <w:rPr>
                <w:color w:val="auto"/>
              </w:rPr>
              <w:t>氨</w:t>
            </w:r>
          </w:p>
        </w:tc>
        <w:tc>
          <w:tcPr>
            <w:tcW w:w="1035" w:type="dxa"/>
            <w:vAlign w:val="center"/>
          </w:tcPr>
          <w:p w14:paraId="21D42F38">
            <w:pPr>
              <w:pStyle w:val="751"/>
              <w:rPr>
                <w:color w:val="auto"/>
              </w:rPr>
            </w:pPr>
            <w:r>
              <w:rPr>
                <w:color w:val="auto"/>
              </w:rPr>
              <w:t>小时</w:t>
            </w:r>
          </w:p>
        </w:tc>
        <w:tc>
          <w:tcPr>
            <w:tcW w:w="1890" w:type="dxa"/>
            <w:vAlign w:val="center"/>
          </w:tcPr>
          <w:p w14:paraId="2C556080">
            <w:pPr>
              <w:pStyle w:val="751"/>
              <w:rPr>
                <w:color w:val="auto"/>
              </w:rPr>
            </w:pPr>
            <w:r>
              <w:rPr>
                <w:rFonts w:hint="eastAsia"/>
                <w:color w:val="auto"/>
              </w:rPr>
              <w:t>0</w:t>
            </w:r>
            <w:r>
              <w:rPr>
                <w:color w:val="auto"/>
              </w:rPr>
              <w:t>.041~0.063</w:t>
            </w:r>
          </w:p>
        </w:tc>
        <w:tc>
          <w:tcPr>
            <w:tcW w:w="1600" w:type="dxa"/>
            <w:vAlign w:val="center"/>
          </w:tcPr>
          <w:p w14:paraId="6B59C1D8">
            <w:pPr>
              <w:pStyle w:val="751"/>
              <w:rPr>
                <w:color w:val="auto"/>
              </w:rPr>
            </w:pPr>
            <w:r>
              <w:rPr>
                <w:rFonts w:hint="eastAsia"/>
                <w:color w:val="auto"/>
              </w:rPr>
              <w:t>0</w:t>
            </w:r>
            <w:r>
              <w:rPr>
                <w:color w:val="auto"/>
              </w:rPr>
              <w:t>.205~0.315</w:t>
            </w:r>
          </w:p>
        </w:tc>
        <w:tc>
          <w:tcPr>
            <w:tcW w:w="1217" w:type="dxa"/>
            <w:vAlign w:val="center"/>
          </w:tcPr>
          <w:p w14:paraId="5F90E691">
            <w:pPr>
              <w:pStyle w:val="751"/>
              <w:rPr>
                <w:color w:val="auto"/>
              </w:rPr>
            </w:pPr>
            <w:r>
              <w:rPr>
                <w:color w:val="auto"/>
              </w:rPr>
              <w:t>0</w:t>
            </w:r>
          </w:p>
        </w:tc>
        <w:tc>
          <w:tcPr>
            <w:tcW w:w="1217" w:type="dxa"/>
            <w:vAlign w:val="center"/>
          </w:tcPr>
          <w:p w14:paraId="643F0B7E">
            <w:pPr>
              <w:pStyle w:val="751"/>
              <w:rPr>
                <w:color w:val="auto"/>
              </w:rPr>
            </w:pPr>
            <w:r>
              <w:rPr>
                <w:rFonts w:hint="eastAsia"/>
                <w:color w:val="auto"/>
              </w:rPr>
              <w:t>达标</w:t>
            </w:r>
          </w:p>
        </w:tc>
      </w:tr>
      <w:tr w14:paraId="2378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0FF5E391">
            <w:pPr>
              <w:pStyle w:val="751"/>
              <w:rPr>
                <w:color w:val="auto"/>
              </w:rPr>
            </w:pPr>
          </w:p>
        </w:tc>
        <w:tc>
          <w:tcPr>
            <w:tcW w:w="1200" w:type="dxa"/>
            <w:vAlign w:val="center"/>
          </w:tcPr>
          <w:p w14:paraId="6F24B9D5">
            <w:pPr>
              <w:pStyle w:val="751"/>
              <w:rPr>
                <w:color w:val="auto"/>
              </w:rPr>
            </w:pPr>
            <w:r>
              <w:rPr>
                <w:color w:val="auto"/>
              </w:rPr>
              <w:t>硫化氢</w:t>
            </w:r>
          </w:p>
        </w:tc>
        <w:tc>
          <w:tcPr>
            <w:tcW w:w="1035" w:type="dxa"/>
            <w:vAlign w:val="center"/>
          </w:tcPr>
          <w:p w14:paraId="3D52CEF6">
            <w:pPr>
              <w:pStyle w:val="751"/>
              <w:rPr>
                <w:color w:val="auto"/>
              </w:rPr>
            </w:pPr>
            <w:r>
              <w:rPr>
                <w:color w:val="auto"/>
              </w:rPr>
              <w:t>小时</w:t>
            </w:r>
          </w:p>
        </w:tc>
        <w:tc>
          <w:tcPr>
            <w:tcW w:w="1890" w:type="dxa"/>
            <w:vAlign w:val="center"/>
          </w:tcPr>
          <w:p w14:paraId="3B45E5A5">
            <w:pPr>
              <w:pStyle w:val="751"/>
              <w:rPr>
                <w:color w:val="auto"/>
              </w:rPr>
            </w:pPr>
            <w:r>
              <w:rPr>
                <w:color w:val="auto"/>
              </w:rPr>
              <w:t>ND</w:t>
            </w:r>
          </w:p>
        </w:tc>
        <w:tc>
          <w:tcPr>
            <w:tcW w:w="1600" w:type="dxa"/>
            <w:vAlign w:val="center"/>
          </w:tcPr>
          <w:p w14:paraId="7BEEC453">
            <w:pPr>
              <w:pStyle w:val="751"/>
              <w:rPr>
                <w:color w:val="auto"/>
              </w:rPr>
            </w:pPr>
            <w:r>
              <w:rPr>
                <w:rFonts w:hint="eastAsia"/>
                <w:color w:val="auto"/>
              </w:rPr>
              <w:t>/</w:t>
            </w:r>
          </w:p>
        </w:tc>
        <w:tc>
          <w:tcPr>
            <w:tcW w:w="1217" w:type="dxa"/>
            <w:vAlign w:val="center"/>
          </w:tcPr>
          <w:p w14:paraId="5B1BAD4A">
            <w:pPr>
              <w:pStyle w:val="751"/>
              <w:rPr>
                <w:color w:val="auto"/>
              </w:rPr>
            </w:pPr>
            <w:r>
              <w:rPr>
                <w:color w:val="auto"/>
              </w:rPr>
              <w:t>0</w:t>
            </w:r>
          </w:p>
        </w:tc>
        <w:tc>
          <w:tcPr>
            <w:tcW w:w="1217" w:type="dxa"/>
            <w:vAlign w:val="center"/>
          </w:tcPr>
          <w:p w14:paraId="6B58A226">
            <w:pPr>
              <w:pStyle w:val="751"/>
              <w:rPr>
                <w:color w:val="auto"/>
              </w:rPr>
            </w:pPr>
            <w:r>
              <w:rPr>
                <w:rFonts w:hint="eastAsia"/>
                <w:color w:val="auto"/>
              </w:rPr>
              <w:t>达标</w:t>
            </w:r>
          </w:p>
        </w:tc>
      </w:tr>
      <w:tr w14:paraId="6F7E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7A68197C">
            <w:pPr>
              <w:pStyle w:val="751"/>
              <w:rPr>
                <w:color w:val="auto"/>
              </w:rPr>
            </w:pPr>
          </w:p>
        </w:tc>
        <w:tc>
          <w:tcPr>
            <w:tcW w:w="1200" w:type="dxa"/>
            <w:vAlign w:val="center"/>
          </w:tcPr>
          <w:p w14:paraId="42E02080">
            <w:pPr>
              <w:pStyle w:val="751"/>
              <w:rPr>
                <w:color w:val="auto"/>
              </w:rPr>
            </w:pPr>
            <w:r>
              <w:rPr>
                <w:color w:val="auto"/>
              </w:rPr>
              <w:t>TSP</w:t>
            </w:r>
          </w:p>
        </w:tc>
        <w:tc>
          <w:tcPr>
            <w:tcW w:w="1035" w:type="dxa"/>
            <w:vAlign w:val="center"/>
          </w:tcPr>
          <w:p w14:paraId="3248714E">
            <w:pPr>
              <w:pStyle w:val="751"/>
              <w:rPr>
                <w:color w:val="auto"/>
              </w:rPr>
            </w:pPr>
            <w:r>
              <w:rPr>
                <w:color w:val="auto"/>
              </w:rPr>
              <w:t>日均值</w:t>
            </w:r>
          </w:p>
        </w:tc>
        <w:tc>
          <w:tcPr>
            <w:tcW w:w="1890" w:type="dxa"/>
            <w:vAlign w:val="center"/>
          </w:tcPr>
          <w:p w14:paraId="09682EB6">
            <w:pPr>
              <w:pStyle w:val="751"/>
              <w:rPr>
                <w:color w:val="auto"/>
              </w:rPr>
            </w:pPr>
            <w:r>
              <w:rPr>
                <w:rFonts w:hint="eastAsia"/>
                <w:color w:val="auto"/>
              </w:rPr>
              <w:t>0</w:t>
            </w:r>
            <w:r>
              <w:rPr>
                <w:color w:val="auto"/>
              </w:rPr>
              <w:t>.161~0.184</w:t>
            </w:r>
          </w:p>
        </w:tc>
        <w:tc>
          <w:tcPr>
            <w:tcW w:w="1600" w:type="dxa"/>
            <w:vAlign w:val="center"/>
          </w:tcPr>
          <w:p w14:paraId="7586BC21">
            <w:pPr>
              <w:pStyle w:val="751"/>
              <w:rPr>
                <w:color w:val="auto"/>
              </w:rPr>
            </w:pPr>
            <w:r>
              <w:rPr>
                <w:rFonts w:hint="eastAsia"/>
                <w:color w:val="auto"/>
              </w:rPr>
              <w:t>0</w:t>
            </w:r>
            <w:r>
              <w:rPr>
                <w:color w:val="auto"/>
              </w:rPr>
              <w:t>.537~0.613</w:t>
            </w:r>
          </w:p>
        </w:tc>
        <w:tc>
          <w:tcPr>
            <w:tcW w:w="1217" w:type="dxa"/>
            <w:vAlign w:val="center"/>
          </w:tcPr>
          <w:p w14:paraId="6C97BDB5">
            <w:pPr>
              <w:pStyle w:val="751"/>
              <w:rPr>
                <w:color w:val="auto"/>
              </w:rPr>
            </w:pPr>
            <w:r>
              <w:rPr>
                <w:color w:val="auto"/>
              </w:rPr>
              <w:t>0</w:t>
            </w:r>
          </w:p>
        </w:tc>
        <w:tc>
          <w:tcPr>
            <w:tcW w:w="1217" w:type="dxa"/>
            <w:vAlign w:val="center"/>
          </w:tcPr>
          <w:p w14:paraId="60AA0389">
            <w:pPr>
              <w:pStyle w:val="751"/>
              <w:rPr>
                <w:color w:val="auto"/>
              </w:rPr>
            </w:pPr>
            <w:r>
              <w:rPr>
                <w:rFonts w:hint="eastAsia"/>
                <w:color w:val="auto"/>
              </w:rPr>
              <w:t>达标</w:t>
            </w:r>
          </w:p>
        </w:tc>
      </w:tr>
      <w:tr w14:paraId="661B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75FD5D23">
            <w:pPr>
              <w:pStyle w:val="751"/>
              <w:rPr>
                <w:color w:val="auto"/>
              </w:rPr>
            </w:pPr>
          </w:p>
        </w:tc>
        <w:tc>
          <w:tcPr>
            <w:tcW w:w="1200" w:type="dxa"/>
            <w:vAlign w:val="center"/>
          </w:tcPr>
          <w:p w14:paraId="72E4459D">
            <w:pPr>
              <w:pStyle w:val="751"/>
              <w:rPr>
                <w:color w:val="auto"/>
              </w:rPr>
            </w:pPr>
            <w:r>
              <w:rPr>
                <w:rFonts w:hint="eastAsia"/>
                <w:color w:val="auto"/>
              </w:rPr>
              <w:t>臭气浓度</w:t>
            </w:r>
          </w:p>
        </w:tc>
        <w:tc>
          <w:tcPr>
            <w:tcW w:w="1035" w:type="dxa"/>
            <w:vAlign w:val="center"/>
          </w:tcPr>
          <w:p w14:paraId="0D85576A">
            <w:pPr>
              <w:pStyle w:val="751"/>
              <w:rPr>
                <w:color w:val="auto"/>
              </w:rPr>
            </w:pPr>
            <w:r>
              <w:rPr>
                <w:color w:val="auto"/>
              </w:rPr>
              <w:t>小时</w:t>
            </w:r>
          </w:p>
        </w:tc>
        <w:tc>
          <w:tcPr>
            <w:tcW w:w="1890" w:type="dxa"/>
            <w:vAlign w:val="center"/>
          </w:tcPr>
          <w:p w14:paraId="008E2E61">
            <w:pPr>
              <w:pStyle w:val="751"/>
              <w:rPr>
                <w:color w:val="auto"/>
              </w:rPr>
            </w:pPr>
            <w:r>
              <w:rPr>
                <w:rFonts w:hint="eastAsia"/>
                <w:color w:val="auto"/>
              </w:rPr>
              <w:t>N</w:t>
            </w:r>
            <w:r>
              <w:rPr>
                <w:color w:val="auto"/>
              </w:rPr>
              <w:t>D</w:t>
            </w:r>
          </w:p>
        </w:tc>
        <w:tc>
          <w:tcPr>
            <w:tcW w:w="1600" w:type="dxa"/>
            <w:vAlign w:val="center"/>
          </w:tcPr>
          <w:p w14:paraId="7EB7A4A8">
            <w:pPr>
              <w:pStyle w:val="751"/>
              <w:rPr>
                <w:color w:val="auto"/>
              </w:rPr>
            </w:pPr>
            <w:r>
              <w:rPr>
                <w:rFonts w:hint="eastAsia"/>
                <w:color w:val="auto"/>
              </w:rPr>
              <w:t>/</w:t>
            </w:r>
          </w:p>
        </w:tc>
        <w:tc>
          <w:tcPr>
            <w:tcW w:w="1217" w:type="dxa"/>
            <w:vAlign w:val="center"/>
          </w:tcPr>
          <w:p w14:paraId="4F996DCA">
            <w:pPr>
              <w:pStyle w:val="751"/>
              <w:rPr>
                <w:color w:val="auto"/>
              </w:rPr>
            </w:pPr>
            <w:r>
              <w:rPr>
                <w:color w:val="auto"/>
              </w:rPr>
              <w:t>0</w:t>
            </w:r>
          </w:p>
        </w:tc>
        <w:tc>
          <w:tcPr>
            <w:tcW w:w="1217" w:type="dxa"/>
            <w:vAlign w:val="center"/>
          </w:tcPr>
          <w:p w14:paraId="0ACCADC1">
            <w:pPr>
              <w:pStyle w:val="751"/>
              <w:rPr>
                <w:color w:val="auto"/>
              </w:rPr>
            </w:pPr>
            <w:r>
              <w:rPr>
                <w:rFonts w:hint="eastAsia"/>
                <w:color w:val="auto"/>
              </w:rPr>
              <w:t>达标</w:t>
            </w:r>
          </w:p>
        </w:tc>
      </w:tr>
      <w:tr w14:paraId="2B5D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restart"/>
            <w:vAlign w:val="center"/>
          </w:tcPr>
          <w:p w14:paraId="60EBA986">
            <w:pPr>
              <w:pStyle w:val="751"/>
              <w:rPr>
                <w:color w:val="auto"/>
              </w:rPr>
            </w:pPr>
            <w:r>
              <w:rPr>
                <w:rFonts w:hint="eastAsia"/>
                <w:color w:val="auto"/>
                <w:lang w:bidi="ar"/>
              </w:rPr>
              <w:t>西鄂尔多斯国家级自然保护区试验区</w:t>
            </w:r>
          </w:p>
        </w:tc>
        <w:tc>
          <w:tcPr>
            <w:tcW w:w="1200" w:type="dxa"/>
            <w:vAlign w:val="center"/>
          </w:tcPr>
          <w:p w14:paraId="7F085781">
            <w:pPr>
              <w:pStyle w:val="751"/>
              <w:rPr>
                <w:color w:val="auto"/>
              </w:rPr>
            </w:pPr>
            <w:r>
              <w:rPr>
                <w:color w:val="auto"/>
              </w:rPr>
              <w:t>氨</w:t>
            </w:r>
          </w:p>
        </w:tc>
        <w:tc>
          <w:tcPr>
            <w:tcW w:w="1035" w:type="dxa"/>
            <w:vAlign w:val="center"/>
          </w:tcPr>
          <w:p w14:paraId="38905CA4">
            <w:pPr>
              <w:pStyle w:val="751"/>
              <w:rPr>
                <w:color w:val="auto"/>
              </w:rPr>
            </w:pPr>
            <w:r>
              <w:rPr>
                <w:color w:val="auto"/>
              </w:rPr>
              <w:t>小时</w:t>
            </w:r>
          </w:p>
        </w:tc>
        <w:tc>
          <w:tcPr>
            <w:tcW w:w="1890" w:type="dxa"/>
            <w:vAlign w:val="center"/>
          </w:tcPr>
          <w:p w14:paraId="6DCB1538">
            <w:pPr>
              <w:pStyle w:val="751"/>
              <w:rPr>
                <w:color w:val="auto"/>
              </w:rPr>
            </w:pPr>
            <w:r>
              <w:rPr>
                <w:rFonts w:hint="eastAsia"/>
                <w:color w:val="auto"/>
              </w:rPr>
              <w:t>0.01~0.03</w:t>
            </w:r>
          </w:p>
        </w:tc>
        <w:tc>
          <w:tcPr>
            <w:tcW w:w="1600" w:type="dxa"/>
            <w:vAlign w:val="center"/>
          </w:tcPr>
          <w:p w14:paraId="00993829">
            <w:pPr>
              <w:pStyle w:val="751"/>
              <w:rPr>
                <w:color w:val="auto"/>
              </w:rPr>
            </w:pPr>
            <w:r>
              <w:rPr>
                <w:rFonts w:hint="eastAsia"/>
                <w:color w:val="auto"/>
              </w:rPr>
              <w:t>0.05~0.15</w:t>
            </w:r>
          </w:p>
        </w:tc>
        <w:tc>
          <w:tcPr>
            <w:tcW w:w="1217" w:type="dxa"/>
            <w:vAlign w:val="center"/>
          </w:tcPr>
          <w:p w14:paraId="0026BC27">
            <w:pPr>
              <w:pStyle w:val="751"/>
              <w:rPr>
                <w:color w:val="auto"/>
              </w:rPr>
            </w:pPr>
            <w:r>
              <w:rPr>
                <w:color w:val="auto"/>
              </w:rPr>
              <w:t>0</w:t>
            </w:r>
          </w:p>
        </w:tc>
        <w:tc>
          <w:tcPr>
            <w:tcW w:w="1217" w:type="dxa"/>
            <w:vAlign w:val="center"/>
          </w:tcPr>
          <w:p w14:paraId="5EB1EFF6">
            <w:pPr>
              <w:pStyle w:val="751"/>
              <w:rPr>
                <w:color w:val="auto"/>
              </w:rPr>
            </w:pPr>
            <w:r>
              <w:rPr>
                <w:rFonts w:hint="eastAsia"/>
                <w:color w:val="auto"/>
              </w:rPr>
              <w:t>达标</w:t>
            </w:r>
          </w:p>
        </w:tc>
      </w:tr>
      <w:tr w14:paraId="28F8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3EB0932C">
            <w:pPr>
              <w:pStyle w:val="751"/>
              <w:rPr>
                <w:color w:val="auto"/>
              </w:rPr>
            </w:pPr>
          </w:p>
        </w:tc>
        <w:tc>
          <w:tcPr>
            <w:tcW w:w="1200" w:type="dxa"/>
            <w:vAlign w:val="center"/>
          </w:tcPr>
          <w:p w14:paraId="19D77BAC">
            <w:pPr>
              <w:pStyle w:val="751"/>
              <w:rPr>
                <w:color w:val="auto"/>
              </w:rPr>
            </w:pPr>
            <w:r>
              <w:rPr>
                <w:color w:val="auto"/>
              </w:rPr>
              <w:t>硫化氢</w:t>
            </w:r>
          </w:p>
        </w:tc>
        <w:tc>
          <w:tcPr>
            <w:tcW w:w="1035" w:type="dxa"/>
            <w:vAlign w:val="center"/>
          </w:tcPr>
          <w:p w14:paraId="0F104358">
            <w:pPr>
              <w:pStyle w:val="751"/>
              <w:rPr>
                <w:color w:val="auto"/>
              </w:rPr>
            </w:pPr>
            <w:r>
              <w:rPr>
                <w:color w:val="auto"/>
              </w:rPr>
              <w:t>小时</w:t>
            </w:r>
          </w:p>
        </w:tc>
        <w:tc>
          <w:tcPr>
            <w:tcW w:w="1890" w:type="dxa"/>
            <w:vAlign w:val="center"/>
          </w:tcPr>
          <w:p w14:paraId="034520B4">
            <w:pPr>
              <w:pStyle w:val="751"/>
              <w:rPr>
                <w:color w:val="auto"/>
              </w:rPr>
            </w:pPr>
            <w:r>
              <w:rPr>
                <w:rFonts w:hint="eastAsia"/>
                <w:color w:val="auto"/>
              </w:rPr>
              <w:t>0.003~0.005</w:t>
            </w:r>
          </w:p>
        </w:tc>
        <w:tc>
          <w:tcPr>
            <w:tcW w:w="1600" w:type="dxa"/>
            <w:vAlign w:val="center"/>
          </w:tcPr>
          <w:p w14:paraId="5AEE8060">
            <w:pPr>
              <w:pStyle w:val="751"/>
              <w:rPr>
                <w:color w:val="auto"/>
              </w:rPr>
            </w:pPr>
            <w:r>
              <w:rPr>
                <w:rFonts w:hint="eastAsia"/>
                <w:color w:val="auto"/>
              </w:rPr>
              <w:t>0.3~0.5</w:t>
            </w:r>
          </w:p>
        </w:tc>
        <w:tc>
          <w:tcPr>
            <w:tcW w:w="1217" w:type="dxa"/>
            <w:vAlign w:val="center"/>
          </w:tcPr>
          <w:p w14:paraId="1D1FBE21">
            <w:pPr>
              <w:pStyle w:val="751"/>
              <w:rPr>
                <w:color w:val="auto"/>
              </w:rPr>
            </w:pPr>
            <w:r>
              <w:rPr>
                <w:color w:val="auto"/>
              </w:rPr>
              <w:t>0</w:t>
            </w:r>
          </w:p>
        </w:tc>
        <w:tc>
          <w:tcPr>
            <w:tcW w:w="1217" w:type="dxa"/>
            <w:vAlign w:val="center"/>
          </w:tcPr>
          <w:p w14:paraId="2A136593">
            <w:pPr>
              <w:pStyle w:val="751"/>
              <w:rPr>
                <w:color w:val="auto"/>
              </w:rPr>
            </w:pPr>
            <w:r>
              <w:rPr>
                <w:rFonts w:hint="eastAsia"/>
                <w:color w:val="auto"/>
              </w:rPr>
              <w:t>达标</w:t>
            </w:r>
          </w:p>
        </w:tc>
      </w:tr>
      <w:tr w14:paraId="0523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4F2FC685">
            <w:pPr>
              <w:pStyle w:val="751"/>
              <w:rPr>
                <w:color w:val="auto"/>
              </w:rPr>
            </w:pPr>
          </w:p>
        </w:tc>
        <w:tc>
          <w:tcPr>
            <w:tcW w:w="1200" w:type="dxa"/>
            <w:vAlign w:val="center"/>
          </w:tcPr>
          <w:p w14:paraId="6E2E14DF">
            <w:pPr>
              <w:pStyle w:val="751"/>
              <w:rPr>
                <w:color w:val="auto"/>
              </w:rPr>
            </w:pPr>
            <w:r>
              <w:rPr>
                <w:color w:val="auto"/>
              </w:rPr>
              <w:t>TSP</w:t>
            </w:r>
          </w:p>
        </w:tc>
        <w:tc>
          <w:tcPr>
            <w:tcW w:w="1035" w:type="dxa"/>
            <w:vAlign w:val="center"/>
          </w:tcPr>
          <w:p w14:paraId="1EE1F54D">
            <w:pPr>
              <w:pStyle w:val="751"/>
              <w:rPr>
                <w:color w:val="auto"/>
              </w:rPr>
            </w:pPr>
            <w:r>
              <w:rPr>
                <w:color w:val="auto"/>
              </w:rPr>
              <w:t>日均值</w:t>
            </w:r>
          </w:p>
        </w:tc>
        <w:tc>
          <w:tcPr>
            <w:tcW w:w="1890" w:type="dxa"/>
            <w:vAlign w:val="center"/>
          </w:tcPr>
          <w:p w14:paraId="43202387">
            <w:pPr>
              <w:pStyle w:val="751"/>
              <w:rPr>
                <w:color w:val="auto"/>
              </w:rPr>
            </w:pPr>
            <w:r>
              <w:rPr>
                <w:rFonts w:hint="eastAsia"/>
                <w:color w:val="auto"/>
              </w:rPr>
              <w:t>0.</w:t>
            </w:r>
            <w:r>
              <w:rPr>
                <w:color w:val="auto"/>
              </w:rPr>
              <w:t>1</w:t>
            </w:r>
            <w:r>
              <w:rPr>
                <w:rFonts w:hint="eastAsia"/>
                <w:color w:val="auto"/>
              </w:rPr>
              <w:t>00</w:t>
            </w:r>
            <w:r>
              <w:rPr>
                <w:color w:val="auto"/>
              </w:rPr>
              <w:t>～</w:t>
            </w:r>
            <w:r>
              <w:rPr>
                <w:rFonts w:hint="eastAsia"/>
                <w:color w:val="auto"/>
              </w:rPr>
              <w:t>0.</w:t>
            </w:r>
            <w:r>
              <w:rPr>
                <w:color w:val="auto"/>
              </w:rPr>
              <w:t>1</w:t>
            </w:r>
            <w:r>
              <w:rPr>
                <w:rFonts w:hint="eastAsia"/>
                <w:color w:val="auto"/>
              </w:rPr>
              <w:t>09</w:t>
            </w:r>
          </w:p>
        </w:tc>
        <w:tc>
          <w:tcPr>
            <w:tcW w:w="1600" w:type="dxa"/>
            <w:vAlign w:val="center"/>
          </w:tcPr>
          <w:p w14:paraId="4F7C053D">
            <w:pPr>
              <w:pStyle w:val="751"/>
              <w:rPr>
                <w:color w:val="auto"/>
              </w:rPr>
            </w:pPr>
            <w:r>
              <w:rPr>
                <w:rFonts w:hint="eastAsia"/>
                <w:color w:val="auto"/>
              </w:rPr>
              <w:t>0.833~0.907</w:t>
            </w:r>
          </w:p>
        </w:tc>
        <w:tc>
          <w:tcPr>
            <w:tcW w:w="1217" w:type="dxa"/>
            <w:vAlign w:val="center"/>
          </w:tcPr>
          <w:p w14:paraId="587427B2">
            <w:pPr>
              <w:pStyle w:val="751"/>
              <w:rPr>
                <w:color w:val="auto"/>
              </w:rPr>
            </w:pPr>
            <w:r>
              <w:rPr>
                <w:color w:val="auto"/>
              </w:rPr>
              <w:t>0</w:t>
            </w:r>
          </w:p>
        </w:tc>
        <w:tc>
          <w:tcPr>
            <w:tcW w:w="1217" w:type="dxa"/>
            <w:vAlign w:val="center"/>
          </w:tcPr>
          <w:p w14:paraId="20D01C1B">
            <w:pPr>
              <w:pStyle w:val="751"/>
              <w:rPr>
                <w:color w:val="auto"/>
              </w:rPr>
            </w:pPr>
            <w:r>
              <w:rPr>
                <w:rFonts w:hint="eastAsia"/>
                <w:color w:val="auto"/>
              </w:rPr>
              <w:t>达标</w:t>
            </w:r>
          </w:p>
        </w:tc>
      </w:tr>
      <w:tr w14:paraId="13FA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91" w:type="dxa"/>
            <w:vMerge w:val="continue"/>
            <w:vAlign w:val="center"/>
          </w:tcPr>
          <w:p w14:paraId="354A2CBC">
            <w:pPr>
              <w:pStyle w:val="751"/>
              <w:rPr>
                <w:color w:val="auto"/>
              </w:rPr>
            </w:pPr>
          </w:p>
        </w:tc>
        <w:tc>
          <w:tcPr>
            <w:tcW w:w="1200" w:type="dxa"/>
            <w:vAlign w:val="center"/>
          </w:tcPr>
          <w:p w14:paraId="0A42869E">
            <w:pPr>
              <w:pStyle w:val="751"/>
              <w:rPr>
                <w:color w:val="auto"/>
              </w:rPr>
            </w:pPr>
            <w:r>
              <w:rPr>
                <w:rFonts w:hint="eastAsia"/>
                <w:color w:val="auto"/>
              </w:rPr>
              <w:t>臭气浓度</w:t>
            </w:r>
          </w:p>
        </w:tc>
        <w:tc>
          <w:tcPr>
            <w:tcW w:w="1035" w:type="dxa"/>
            <w:vAlign w:val="center"/>
          </w:tcPr>
          <w:p w14:paraId="3659BF39">
            <w:pPr>
              <w:pStyle w:val="751"/>
              <w:rPr>
                <w:color w:val="auto"/>
              </w:rPr>
            </w:pPr>
            <w:r>
              <w:rPr>
                <w:color w:val="auto"/>
              </w:rPr>
              <w:t>小时</w:t>
            </w:r>
          </w:p>
        </w:tc>
        <w:tc>
          <w:tcPr>
            <w:tcW w:w="1890" w:type="dxa"/>
            <w:vAlign w:val="center"/>
          </w:tcPr>
          <w:p w14:paraId="0DAF8292">
            <w:pPr>
              <w:pStyle w:val="751"/>
              <w:rPr>
                <w:color w:val="auto"/>
              </w:rPr>
            </w:pPr>
            <w:r>
              <w:rPr>
                <w:rFonts w:hint="eastAsia"/>
                <w:color w:val="auto"/>
              </w:rPr>
              <w:t>14</w:t>
            </w:r>
          </w:p>
        </w:tc>
        <w:tc>
          <w:tcPr>
            <w:tcW w:w="1600" w:type="dxa"/>
            <w:vAlign w:val="center"/>
          </w:tcPr>
          <w:p w14:paraId="19858073">
            <w:pPr>
              <w:pStyle w:val="751"/>
              <w:rPr>
                <w:color w:val="auto"/>
              </w:rPr>
            </w:pPr>
            <w:r>
              <w:rPr>
                <w:rFonts w:hint="eastAsia"/>
                <w:color w:val="auto"/>
              </w:rPr>
              <w:t>0.143~0.2</w:t>
            </w:r>
          </w:p>
        </w:tc>
        <w:tc>
          <w:tcPr>
            <w:tcW w:w="1217" w:type="dxa"/>
            <w:vAlign w:val="center"/>
          </w:tcPr>
          <w:p w14:paraId="7C832267">
            <w:pPr>
              <w:pStyle w:val="751"/>
              <w:rPr>
                <w:color w:val="auto"/>
              </w:rPr>
            </w:pPr>
            <w:r>
              <w:rPr>
                <w:color w:val="auto"/>
              </w:rPr>
              <w:t>0</w:t>
            </w:r>
          </w:p>
        </w:tc>
        <w:tc>
          <w:tcPr>
            <w:tcW w:w="1217" w:type="dxa"/>
            <w:vAlign w:val="center"/>
          </w:tcPr>
          <w:p w14:paraId="12E41FC7">
            <w:pPr>
              <w:pStyle w:val="751"/>
              <w:rPr>
                <w:color w:val="auto"/>
              </w:rPr>
            </w:pPr>
            <w:r>
              <w:rPr>
                <w:rFonts w:hint="eastAsia"/>
                <w:color w:val="auto"/>
              </w:rPr>
              <w:t>达标</w:t>
            </w:r>
          </w:p>
        </w:tc>
      </w:tr>
    </w:tbl>
    <w:p w14:paraId="23CFBEC0">
      <w:pPr>
        <w:pStyle w:val="104"/>
      </w:pPr>
      <w:r>
        <w:rPr>
          <w:szCs w:val="24"/>
        </w:rPr>
        <w:t>（注：</w:t>
      </w:r>
      <w:r>
        <w:t>未检出按0计）</w:t>
      </w:r>
    </w:p>
    <w:p w14:paraId="31594B35">
      <w:pPr>
        <w:pStyle w:val="104"/>
        <w:jc w:val="both"/>
      </w:pPr>
      <w:r>
        <w:rPr>
          <w:szCs w:val="24"/>
        </w:rPr>
        <w:t>由结果可知，</w:t>
      </w:r>
      <w:r>
        <w:rPr>
          <w:rFonts w:hint="eastAsia"/>
          <w:szCs w:val="24"/>
        </w:rPr>
        <w:t>厂址及下风向特征污染物</w:t>
      </w:r>
      <w:r>
        <w:rPr>
          <w:szCs w:val="24"/>
        </w:rPr>
        <w:t>浓度符合《环境影响评价技术导则大气环境》（HJ2.2－2018）附录D其他污染物空气质量浓度参考限值</w:t>
      </w:r>
      <w:r>
        <w:rPr>
          <w:rFonts w:hint="eastAsia"/>
          <w:szCs w:val="24"/>
        </w:rPr>
        <w:t>、</w:t>
      </w:r>
      <w:r>
        <w:rPr>
          <w:szCs w:val="24"/>
        </w:rPr>
        <w:t>《环境空气质量标准》（</w:t>
      </w:r>
      <w:r>
        <w:rPr>
          <w:kern w:val="0"/>
          <w:szCs w:val="24"/>
          <w:lang w:bidi="ar"/>
        </w:rPr>
        <w:t>GB3095-2012）</w:t>
      </w:r>
      <w:r>
        <w:rPr>
          <w:szCs w:val="24"/>
        </w:rPr>
        <w:t>中质量浓度</w:t>
      </w:r>
      <w:r>
        <w:rPr>
          <w:rFonts w:hint="eastAsia"/>
          <w:szCs w:val="24"/>
        </w:rPr>
        <w:t>二级</w:t>
      </w:r>
      <w:r>
        <w:rPr>
          <w:szCs w:val="24"/>
        </w:rPr>
        <w:t>限值要求</w:t>
      </w:r>
      <w:bookmarkStart w:id="280" w:name="_Toc20240"/>
      <w:bookmarkStart w:id="281" w:name="_Toc398102865"/>
      <w:bookmarkStart w:id="282" w:name="_Toc407632733"/>
      <w:bookmarkStart w:id="283" w:name="_Toc413141569"/>
      <w:bookmarkStart w:id="284" w:name="_Toc407632501"/>
      <w:r>
        <w:rPr>
          <w:rFonts w:hint="eastAsia"/>
          <w:szCs w:val="24"/>
        </w:rPr>
        <w:t>；</w:t>
      </w:r>
      <w:r>
        <w:rPr>
          <w:rFonts w:hint="eastAsia"/>
          <w:lang w:bidi="ar"/>
        </w:rPr>
        <w:t>西鄂尔多斯国家级自然保护区试验区</w:t>
      </w:r>
      <w:r>
        <w:rPr>
          <w:rFonts w:hint="eastAsia"/>
          <w:szCs w:val="24"/>
        </w:rPr>
        <w:t>特征污染物</w:t>
      </w:r>
      <w:r>
        <w:rPr>
          <w:szCs w:val="24"/>
        </w:rPr>
        <w:t>浓度符合《环境影响评价技术导则大气环境》（HJ2.2－2018）附录D其他污染物空气质量浓度参考限值</w:t>
      </w:r>
      <w:r>
        <w:rPr>
          <w:rFonts w:hint="eastAsia"/>
          <w:szCs w:val="24"/>
        </w:rPr>
        <w:t>、</w:t>
      </w:r>
      <w:r>
        <w:rPr>
          <w:szCs w:val="24"/>
        </w:rPr>
        <w:t>《环境空气质量标准》（</w:t>
      </w:r>
      <w:r>
        <w:rPr>
          <w:kern w:val="0"/>
          <w:szCs w:val="24"/>
          <w:lang w:bidi="ar"/>
        </w:rPr>
        <w:t>GB3095-2012）</w:t>
      </w:r>
      <w:r>
        <w:rPr>
          <w:szCs w:val="24"/>
        </w:rPr>
        <w:t>中质量浓度</w:t>
      </w:r>
      <w:r>
        <w:rPr>
          <w:rFonts w:hint="eastAsia"/>
          <w:szCs w:val="24"/>
        </w:rPr>
        <w:t>一级</w:t>
      </w:r>
      <w:r>
        <w:rPr>
          <w:szCs w:val="24"/>
        </w:rPr>
        <w:t>限值要求。</w:t>
      </w:r>
    </w:p>
    <w:p w14:paraId="2983B04E">
      <w:pPr>
        <w:pStyle w:val="10"/>
      </w:pPr>
      <w:bookmarkStart w:id="285" w:name="_Toc166572293"/>
      <w:r>
        <w:t>4.3地下水环境质量现状监测与评价</w:t>
      </w:r>
      <w:bookmarkEnd w:id="280"/>
      <w:bookmarkEnd w:id="281"/>
      <w:bookmarkEnd w:id="282"/>
      <w:bookmarkEnd w:id="283"/>
      <w:bookmarkEnd w:id="284"/>
      <w:bookmarkEnd w:id="285"/>
    </w:p>
    <w:p w14:paraId="5A261E45">
      <w:pPr>
        <w:pStyle w:val="11"/>
      </w:pPr>
      <w:bookmarkStart w:id="286" w:name="_Toc166572294"/>
      <w:bookmarkStart w:id="287" w:name="_Toc12375"/>
      <w:bookmarkStart w:id="288" w:name="_Toc326843507"/>
      <w:bookmarkStart w:id="289" w:name="_Toc346715586"/>
      <w:bookmarkStart w:id="290" w:name="_Toc413141570"/>
      <w:bookmarkStart w:id="291" w:name="_Toc407632734"/>
      <w:bookmarkStart w:id="292" w:name="_Toc407632502"/>
      <w:bookmarkStart w:id="293" w:name="_Toc398102866"/>
      <w:r>
        <w:t>4.3.1地下水环境质量现状监测</w:t>
      </w:r>
      <w:bookmarkEnd w:id="286"/>
      <w:bookmarkEnd w:id="287"/>
    </w:p>
    <w:p w14:paraId="0315835A">
      <w:pPr>
        <w:pStyle w:val="104"/>
      </w:pPr>
      <w:r>
        <w:t>本项目</w:t>
      </w:r>
      <w:r>
        <w:rPr>
          <w:szCs w:val="24"/>
        </w:rPr>
        <w:t>委托内蒙古金玥检测技术有限公司</w:t>
      </w:r>
      <w:r>
        <w:t>于2023年6月对地下水质量进行了现状监测，以下为监测详情。</w:t>
      </w:r>
    </w:p>
    <w:bookmarkEnd w:id="288"/>
    <w:bookmarkEnd w:id="289"/>
    <w:p w14:paraId="094D066E">
      <w:pPr>
        <w:pStyle w:val="104"/>
        <w:ind w:firstLine="482"/>
        <w:rPr>
          <w:b/>
        </w:rPr>
      </w:pPr>
      <w:r>
        <w:rPr>
          <w:b/>
        </w:rPr>
        <w:t>1、监测布点</w:t>
      </w:r>
    </w:p>
    <w:p w14:paraId="3F459241">
      <w:pPr>
        <w:pStyle w:val="104"/>
      </w:pPr>
      <w:bookmarkStart w:id="294" w:name="_Hlk43343145"/>
      <w:r>
        <w:rPr>
          <w:bCs/>
        </w:rPr>
        <w:t>根据地下水流向，</w:t>
      </w:r>
      <w:r>
        <w:t>在项目区、项目区上游和下游影响区分别布设了地下水水质监测点，共计3个，水位监测点为6个，地下水监测点位布设详见表4.</w:t>
      </w:r>
      <w:r>
        <w:rPr>
          <w:rFonts w:hint="eastAsia"/>
        </w:rPr>
        <w:t>3</w:t>
      </w:r>
      <w:r>
        <w:t>-</w:t>
      </w:r>
      <w:r>
        <w:rPr>
          <w:rFonts w:hint="eastAsia"/>
        </w:rPr>
        <w:t>1</w:t>
      </w:r>
      <w:r>
        <w:t>。</w:t>
      </w:r>
    </w:p>
    <w:bookmarkEnd w:id="294"/>
    <w:p w14:paraId="205B21CE">
      <w:pPr>
        <w:pStyle w:val="743"/>
      </w:pPr>
      <w:bookmarkStart w:id="295" w:name="_Hlk43343099"/>
      <w:r>
        <w:rPr>
          <w:rFonts w:hint="eastAsia" w:cs="Times New Roman"/>
        </w:rPr>
        <w:t>表</w:t>
      </w:r>
      <w:r>
        <w:rPr>
          <w:rFonts w:cs="Times New Roman"/>
        </w:rPr>
        <w:t>4.3-1地下水监测点</w:t>
      </w:r>
      <w:r>
        <w:rPr>
          <w:rFonts w:hint="eastAsia" w:cs="Times New Roman"/>
        </w:rPr>
        <w:t>信息一览表</w:t>
      </w:r>
    </w:p>
    <w:tbl>
      <w:tblPr>
        <w:tblStyle w:val="8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670"/>
        <w:gridCol w:w="670"/>
        <w:gridCol w:w="1686"/>
        <w:gridCol w:w="1443"/>
        <w:gridCol w:w="670"/>
        <w:gridCol w:w="670"/>
        <w:gridCol w:w="670"/>
        <w:gridCol w:w="671"/>
        <w:gridCol w:w="725"/>
        <w:gridCol w:w="672"/>
      </w:tblGrid>
      <w:tr w14:paraId="3DDB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Merge w:val="restart"/>
            <w:vAlign w:val="center"/>
          </w:tcPr>
          <w:p w14:paraId="583CB1D1">
            <w:pPr>
              <w:pStyle w:val="743"/>
              <w:rPr>
                <w:rFonts w:cs="Times New Roman"/>
                <w:b w:val="0"/>
                <w:bCs/>
                <w:sz w:val="21"/>
                <w:szCs w:val="21"/>
              </w:rPr>
            </w:pPr>
            <w:r>
              <w:rPr>
                <w:rFonts w:hint="eastAsia" w:cs="Times New Roman"/>
                <w:b w:val="0"/>
                <w:bCs/>
                <w:sz w:val="21"/>
                <w:szCs w:val="21"/>
              </w:rPr>
              <w:t>点位编号</w:t>
            </w:r>
          </w:p>
        </w:tc>
        <w:tc>
          <w:tcPr>
            <w:tcW w:w="670" w:type="dxa"/>
            <w:vMerge w:val="restart"/>
            <w:vAlign w:val="center"/>
          </w:tcPr>
          <w:p w14:paraId="33EAC367">
            <w:pPr>
              <w:pStyle w:val="743"/>
              <w:rPr>
                <w:rFonts w:cs="Times New Roman"/>
                <w:b w:val="0"/>
                <w:bCs/>
                <w:sz w:val="21"/>
                <w:szCs w:val="21"/>
              </w:rPr>
            </w:pPr>
            <w:r>
              <w:rPr>
                <w:rFonts w:hint="eastAsia" w:cs="Times New Roman"/>
                <w:b w:val="0"/>
                <w:bCs/>
                <w:sz w:val="21"/>
                <w:szCs w:val="21"/>
              </w:rPr>
              <w:t>监测项目</w:t>
            </w:r>
          </w:p>
        </w:tc>
        <w:tc>
          <w:tcPr>
            <w:tcW w:w="670" w:type="dxa"/>
            <w:vMerge w:val="restart"/>
            <w:vAlign w:val="center"/>
          </w:tcPr>
          <w:p w14:paraId="38FEDA96">
            <w:pPr>
              <w:pStyle w:val="743"/>
              <w:rPr>
                <w:rFonts w:cs="Times New Roman"/>
                <w:b w:val="0"/>
                <w:bCs/>
                <w:sz w:val="21"/>
                <w:szCs w:val="21"/>
              </w:rPr>
            </w:pPr>
            <w:r>
              <w:rPr>
                <w:rFonts w:hint="eastAsia" w:cs="Times New Roman"/>
                <w:b w:val="0"/>
                <w:bCs/>
                <w:sz w:val="21"/>
                <w:szCs w:val="21"/>
              </w:rPr>
              <w:t>上下游位置关系</w:t>
            </w:r>
          </w:p>
        </w:tc>
        <w:tc>
          <w:tcPr>
            <w:tcW w:w="3129" w:type="dxa"/>
            <w:gridSpan w:val="2"/>
            <w:vAlign w:val="center"/>
          </w:tcPr>
          <w:p w14:paraId="5F5F4773">
            <w:pPr>
              <w:pStyle w:val="743"/>
              <w:rPr>
                <w:rFonts w:cs="Times New Roman"/>
                <w:b w:val="0"/>
                <w:bCs/>
                <w:sz w:val="21"/>
                <w:szCs w:val="21"/>
              </w:rPr>
            </w:pPr>
            <w:r>
              <w:rPr>
                <w:rFonts w:hint="eastAsia" w:cs="Times New Roman"/>
                <w:b w:val="0"/>
                <w:bCs/>
                <w:sz w:val="21"/>
                <w:szCs w:val="21"/>
              </w:rPr>
              <w:t>坐标</w:t>
            </w:r>
          </w:p>
        </w:tc>
        <w:tc>
          <w:tcPr>
            <w:tcW w:w="670" w:type="dxa"/>
            <w:vMerge w:val="restart"/>
            <w:vAlign w:val="center"/>
          </w:tcPr>
          <w:p w14:paraId="25752A2C">
            <w:pPr>
              <w:widowControl w:val="0"/>
              <w:adjustRightInd w:val="0"/>
              <w:snapToGrid w:val="0"/>
              <w:spacing w:line="240" w:lineRule="auto"/>
              <w:ind w:firstLine="0" w:firstLineChars="0"/>
              <w:jc w:val="center"/>
              <w:rPr>
                <w:sz w:val="21"/>
                <w:szCs w:val="21"/>
              </w:rPr>
            </w:pPr>
            <w:r>
              <w:rPr>
                <w:rFonts w:hint="eastAsia"/>
                <w:sz w:val="21"/>
                <w:szCs w:val="21"/>
              </w:rPr>
              <w:t>井口标高m</w:t>
            </w:r>
          </w:p>
        </w:tc>
        <w:tc>
          <w:tcPr>
            <w:tcW w:w="670" w:type="dxa"/>
            <w:vMerge w:val="restart"/>
            <w:vAlign w:val="center"/>
          </w:tcPr>
          <w:p w14:paraId="233123B1">
            <w:pPr>
              <w:widowControl w:val="0"/>
              <w:adjustRightInd w:val="0"/>
              <w:snapToGrid w:val="0"/>
              <w:spacing w:line="240" w:lineRule="auto"/>
              <w:ind w:firstLine="0" w:firstLineChars="0"/>
              <w:jc w:val="center"/>
              <w:rPr>
                <w:sz w:val="21"/>
                <w:szCs w:val="21"/>
              </w:rPr>
            </w:pPr>
            <w:r>
              <w:rPr>
                <w:rFonts w:hint="eastAsia"/>
                <w:sz w:val="21"/>
                <w:szCs w:val="21"/>
              </w:rPr>
              <w:t>水位埋深m</w:t>
            </w:r>
          </w:p>
        </w:tc>
        <w:tc>
          <w:tcPr>
            <w:tcW w:w="670" w:type="dxa"/>
            <w:vMerge w:val="restart"/>
            <w:vAlign w:val="center"/>
          </w:tcPr>
          <w:p w14:paraId="30A9C369">
            <w:pPr>
              <w:widowControl w:val="0"/>
              <w:adjustRightInd w:val="0"/>
              <w:snapToGrid w:val="0"/>
              <w:spacing w:line="240" w:lineRule="auto"/>
              <w:ind w:firstLine="0" w:firstLineChars="0"/>
              <w:jc w:val="center"/>
              <w:rPr>
                <w:sz w:val="21"/>
                <w:szCs w:val="21"/>
              </w:rPr>
            </w:pPr>
            <w:r>
              <w:rPr>
                <w:rFonts w:hint="eastAsia"/>
                <w:sz w:val="21"/>
                <w:szCs w:val="21"/>
              </w:rPr>
              <w:t>水位标高m</w:t>
            </w:r>
          </w:p>
        </w:tc>
        <w:tc>
          <w:tcPr>
            <w:tcW w:w="671" w:type="dxa"/>
            <w:vMerge w:val="restart"/>
            <w:vAlign w:val="center"/>
          </w:tcPr>
          <w:p w14:paraId="5DBA90A3">
            <w:pPr>
              <w:pStyle w:val="357"/>
              <w:tabs>
                <w:tab w:val="left" w:pos="0"/>
              </w:tabs>
              <w:rPr>
                <w:lang w:eastAsia="zh-CN"/>
              </w:rPr>
            </w:pPr>
            <w:r>
              <w:rPr>
                <w:rFonts w:hint="eastAsia"/>
                <w:lang w:eastAsia="zh-CN"/>
              </w:rPr>
              <w:t>相对位置</w:t>
            </w:r>
          </w:p>
        </w:tc>
        <w:tc>
          <w:tcPr>
            <w:tcW w:w="725" w:type="dxa"/>
            <w:vMerge w:val="restart"/>
            <w:vAlign w:val="center"/>
          </w:tcPr>
          <w:p w14:paraId="62654EC0">
            <w:pPr>
              <w:pStyle w:val="743"/>
              <w:rPr>
                <w:rFonts w:cs="Times New Roman"/>
                <w:b w:val="0"/>
                <w:bCs/>
                <w:sz w:val="21"/>
                <w:szCs w:val="21"/>
              </w:rPr>
            </w:pPr>
            <w:r>
              <w:rPr>
                <w:rFonts w:hint="eastAsia" w:cs="Times New Roman"/>
                <w:b w:val="0"/>
                <w:bCs/>
                <w:sz w:val="21"/>
                <w:szCs w:val="21"/>
              </w:rPr>
              <w:t>距离m</w:t>
            </w:r>
          </w:p>
        </w:tc>
        <w:tc>
          <w:tcPr>
            <w:tcW w:w="672" w:type="dxa"/>
            <w:vMerge w:val="restart"/>
            <w:vAlign w:val="center"/>
          </w:tcPr>
          <w:p w14:paraId="3A6D0BB8">
            <w:pPr>
              <w:pStyle w:val="743"/>
              <w:rPr>
                <w:rFonts w:cs="Times New Roman"/>
                <w:b w:val="0"/>
                <w:bCs/>
                <w:sz w:val="21"/>
                <w:szCs w:val="21"/>
              </w:rPr>
            </w:pPr>
            <w:r>
              <w:rPr>
                <w:rFonts w:hint="eastAsia" w:cs="Times New Roman"/>
                <w:b w:val="0"/>
                <w:bCs/>
                <w:sz w:val="21"/>
                <w:szCs w:val="21"/>
              </w:rPr>
              <w:t>功能</w:t>
            </w:r>
          </w:p>
        </w:tc>
      </w:tr>
      <w:tr w14:paraId="4D2E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Merge w:val="continue"/>
            <w:vAlign w:val="center"/>
          </w:tcPr>
          <w:p w14:paraId="1D7A50E6">
            <w:pPr>
              <w:pStyle w:val="743"/>
              <w:rPr>
                <w:rFonts w:cs="Times New Roman"/>
                <w:b w:val="0"/>
                <w:bCs/>
                <w:sz w:val="21"/>
                <w:szCs w:val="21"/>
              </w:rPr>
            </w:pPr>
          </w:p>
        </w:tc>
        <w:tc>
          <w:tcPr>
            <w:tcW w:w="670" w:type="dxa"/>
            <w:vMerge w:val="continue"/>
            <w:vAlign w:val="center"/>
          </w:tcPr>
          <w:p w14:paraId="59E4E060">
            <w:pPr>
              <w:pStyle w:val="743"/>
              <w:rPr>
                <w:rFonts w:cs="Times New Roman"/>
                <w:b w:val="0"/>
                <w:bCs/>
                <w:sz w:val="21"/>
                <w:szCs w:val="21"/>
              </w:rPr>
            </w:pPr>
          </w:p>
        </w:tc>
        <w:tc>
          <w:tcPr>
            <w:tcW w:w="670" w:type="dxa"/>
            <w:vMerge w:val="continue"/>
            <w:vAlign w:val="center"/>
          </w:tcPr>
          <w:p w14:paraId="7EB4BA16">
            <w:pPr>
              <w:pStyle w:val="743"/>
              <w:rPr>
                <w:rFonts w:cs="Times New Roman"/>
                <w:b w:val="0"/>
                <w:bCs/>
                <w:sz w:val="21"/>
                <w:szCs w:val="21"/>
              </w:rPr>
            </w:pPr>
          </w:p>
        </w:tc>
        <w:tc>
          <w:tcPr>
            <w:tcW w:w="1686" w:type="dxa"/>
            <w:vAlign w:val="center"/>
          </w:tcPr>
          <w:p w14:paraId="5C028002">
            <w:pPr>
              <w:pStyle w:val="743"/>
              <w:rPr>
                <w:rFonts w:cs="Times New Roman"/>
                <w:b w:val="0"/>
                <w:bCs/>
                <w:sz w:val="21"/>
                <w:szCs w:val="21"/>
              </w:rPr>
            </w:pPr>
            <w:r>
              <w:rPr>
                <w:rFonts w:hint="eastAsia" w:cs="Times New Roman"/>
                <w:b w:val="0"/>
                <w:bCs/>
                <w:sz w:val="21"/>
                <w:szCs w:val="21"/>
              </w:rPr>
              <w:t>东经</w:t>
            </w:r>
          </w:p>
        </w:tc>
        <w:tc>
          <w:tcPr>
            <w:tcW w:w="1443" w:type="dxa"/>
            <w:vAlign w:val="center"/>
          </w:tcPr>
          <w:p w14:paraId="6E463476">
            <w:pPr>
              <w:pStyle w:val="743"/>
              <w:rPr>
                <w:rFonts w:cs="Times New Roman"/>
                <w:b w:val="0"/>
                <w:bCs/>
                <w:sz w:val="21"/>
                <w:szCs w:val="21"/>
              </w:rPr>
            </w:pPr>
            <w:r>
              <w:rPr>
                <w:rFonts w:hint="eastAsia" w:cs="Times New Roman"/>
                <w:b w:val="0"/>
                <w:bCs/>
                <w:sz w:val="21"/>
                <w:szCs w:val="21"/>
              </w:rPr>
              <w:t>北纬</w:t>
            </w:r>
          </w:p>
        </w:tc>
        <w:tc>
          <w:tcPr>
            <w:tcW w:w="670" w:type="dxa"/>
            <w:vMerge w:val="continue"/>
            <w:vAlign w:val="center"/>
          </w:tcPr>
          <w:p w14:paraId="7625D03E">
            <w:pPr>
              <w:pStyle w:val="743"/>
              <w:rPr>
                <w:rFonts w:cs="Times New Roman"/>
                <w:b w:val="0"/>
                <w:bCs/>
                <w:sz w:val="21"/>
                <w:szCs w:val="21"/>
              </w:rPr>
            </w:pPr>
          </w:p>
        </w:tc>
        <w:tc>
          <w:tcPr>
            <w:tcW w:w="670" w:type="dxa"/>
            <w:vMerge w:val="continue"/>
            <w:vAlign w:val="center"/>
          </w:tcPr>
          <w:p w14:paraId="69337EBB">
            <w:pPr>
              <w:pStyle w:val="743"/>
              <w:rPr>
                <w:rFonts w:cs="Times New Roman"/>
                <w:b w:val="0"/>
                <w:bCs/>
                <w:sz w:val="21"/>
                <w:szCs w:val="21"/>
              </w:rPr>
            </w:pPr>
          </w:p>
        </w:tc>
        <w:tc>
          <w:tcPr>
            <w:tcW w:w="670" w:type="dxa"/>
            <w:vMerge w:val="continue"/>
            <w:vAlign w:val="center"/>
          </w:tcPr>
          <w:p w14:paraId="2A430F0F">
            <w:pPr>
              <w:pStyle w:val="743"/>
              <w:rPr>
                <w:rFonts w:cs="Times New Roman"/>
                <w:b w:val="0"/>
                <w:bCs/>
                <w:sz w:val="21"/>
                <w:szCs w:val="21"/>
              </w:rPr>
            </w:pPr>
          </w:p>
        </w:tc>
        <w:tc>
          <w:tcPr>
            <w:tcW w:w="671" w:type="dxa"/>
            <w:vMerge w:val="continue"/>
            <w:vAlign w:val="center"/>
          </w:tcPr>
          <w:p w14:paraId="74907620">
            <w:pPr>
              <w:pStyle w:val="743"/>
              <w:rPr>
                <w:rFonts w:cs="Times New Roman"/>
                <w:b w:val="0"/>
                <w:bCs/>
                <w:sz w:val="21"/>
                <w:szCs w:val="21"/>
              </w:rPr>
            </w:pPr>
          </w:p>
        </w:tc>
        <w:tc>
          <w:tcPr>
            <w:tcW w:w="725" w:type="dxa"/>
            <w:vMerge w:val="continue"/>
            <w:vAlign w:val="center"/>
          </w:tcPr>
          <w:p w14:paraId="3E02D9F6">
            <w:pPr>
              <w:pStyle w:val="743"/>
              <w:rPr>
                <w:rFonts w:cs="Times New Roman"/>
                <w:b w:val="0"/>
                <w:bCs/>
                <w:sz w:val="21"/>
                <w:szCs w:val="21"/>
              </w:rPr>
            </w:pPr>
          </w:p>
        </w:tc>
        <w:tc>
          <w:tcPr>
            <w:tcW w:w="672" w:type="dxa"/>
            <w:vMerge w:val="continue"/>
            <w:vAlign w:val="center"/>
          </w:tcPr>
          <w:p w14:paraId="2FB38EA6">
            <w:pPr>
              <w:pStyle w:val="743"/>
              <w:rPr>
                <w:rFonts w:cs="Times New Roman"/>
                <w:b w:val="0"/>
                <w:bCs/>
                <w:sz w:val="21"/>
                <w:szCs w:val="21"/>
              </w:rPr>
            </w:pPr>
          </w:p>
        </w:tc>
      </w:tr>
      <w:tr w14:paraId="3802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767DF23C">
            <w:pPr>
              <w:pStyle w:val="743"/>
              <w:rPr>
                <w:rFonts w:cs="Times New Roman"/>
                <w:b w:val="0"/>
                <w:bCs/>
                <w:sz w:val="21"/>
                <w:szCs w:val="21"/>
              </w:rPr>
            </w:pPr>
            <w:r>
              <w:rPr>
                <w:rFonts w:hint="eastAsia" w:cs="Times New Roman"/>
                <w:b w:val="0"/>
                <w:bCs/>
                <w:sz w:val="21"/>
                <w:szCs w:val="21"/>
              </w:rPr>
              <w:t>1#（灌溉1）</w:t>
            </w:r>
          </w:p>
        </w:tc>
        <w:tc>
          <w:tcPr>
            <w:tcW w:w="670" w:type="dxa"/>
            <w:vAlign w:val="center"/>
          </w:tcPr>
          <w:p w14:paraId="6789C291">
            <w:pPr>
              <w:pStyle w:val="743"/>
              <w:rPr>
                <w:rFonts w:cs="Times New Roman"/>
                <w:b w:val="0"/>
                <w:bCs/>
                <w:sz w:val="21"/>
                <w:szCs w:val="21"/>
              </w:rPr>
            </w:pPr>
            <w:r>
              <w:rPr>
                <w:rFonts w:hint="eastAsia" w:cs="Times New Roman"/>
                <w:b w:val="0"/>
                <w:bCs/>
                <w:sz w:val="21"/>
                <w:szCs w:val="21"/>
              </w:rPr>
              <w:t>水位</w:t>
            </w:r>
          </w:p>
        </w:tc>
        <w:tc>
          <w:tcPr>
            <w:tcW w:w="670" w:type="dxa"/>
            <w:vAlign w:val="center"/>
          </w:tcPr>
          <w:p w14:paraId="6338A74D">
            <w:pPr>
              <w:pStyle w:val="743"/>
              <w:rPr>
                <w:rFonts w:cs="Times New Roman"/>
                <w:b w:val="0"/>
                <w:bCs/>
                <w:sz w:val="21"/>
                <w:szCs w:val="21"/>
              </w:rPr>
            </w:pPr>
            <w:r>
              <w:rPr>
                <w:rFonts w:hint="eastAsia" w:cs="Times New Roman"/>
                <w:b w:val="0"/>
                <w:bCs/>
                <w:sz w:val="21"/>
                <w:szCs w:val="21"/>
              </w:rPr>
              <w:t>项目侧方</w:t>
            </w:r>
          </w:p>
        </w:tc>
        <w:tc>
          <w:tcPr>
            <w:tcW w:w="1686" w:type="dxa"/>
            <w:vAlign w:val="center"/>
          </w:tcPr>
          <w:p w14:paraId="1DF5C04F">
            <w:pPr>
              <w:pStyle w:val="743"/>
              <w:rPr>
                <w:rFonts w:cs="Times New Roman"/>
                <w:b w:val="0"/>
                <w:bCs/>
                <w:sz w:val="21"/>
                <w:szCs w:val="21"/>
              </w:rPr>
            </w:pPr>
            <w:r>
              <w:rPr>
                <w:rFonts w:hint="eastAsia" w:cs="Times New Roman"/>
                <w:b w:val="0"/>
                <w:bCs/>
                <w:sz w:val="21"/>
                <w:szCs w:val="21"/>
              </w:rPr>
              <w:t>106</w:t>
            </w:r>
            <w:r>
              <w:rPr>
                <w:rFonts w:cs="Times New Roman"/>
                <w:b w:val="0"/>
                <w:bCs/>
                <w:sz w:val="21"/>
                <w:szCs w:val="21"/>
              </w:rPr>
              <w:t>°</w:t>
            </w:r>
            <w:r>
              <w:rPr>
                <w:rFonts w:hint="eastAsia" w:cs="Times New Roman"/>
                <w:b w:val="0"/>
                <w:bCs/>
                <w:sz w:val="21"/>
                <w:szCs w:val="21"/>
              </w:rPr>
              <w:t>48</w:t>
            </w:r>
            <w:r>
              <w:rPr>
                <w:rFonts w:cs="Times New Roman"/>
                <w:b w:val="0"/>
                <w:bCs/>
                <w:sz w:val="21"/>
                <w:szCs w:val="21"/>
              </w:rPr>
              <w:t>'</w:t>
            </w:r>
            <w:r>
              <w:rPr>
                <w:rFonts w:hint="eastAsia" w:cs="Times New Roman"/>
                <w:b w:val="0"/>
                <w:bCs/>
                <w:sz w:val="21"/>
                <w:szCs w:val="21"/>
              </w:rPr>
              <w:t>24.86</w:t>
            </w:r>
            <w:r>
              <w:rPr>
                <w:rFonts w:cs="Times New Roman"/>
                <w:b w:val="0"/>
                <w:bCs/>
                <w:sz w:val="21"/>
                <w:szCs w:val="21"/>
              </w:rPr>
              <w:t>"</w:t>
            </w:r>
          </w:p>
        </w:tc>
        <w:tc>
          <w:tcPr>
            <w:tcW w:w="1443" w:type="dxa"/>
            <w:vAlign w:val="center"/>
          </w:tcPr>
          <w:p w14:paraId="6D344135">
            <w:pPr>
              <w:pStyle w:val="743"/>
              <w:rPr>
                <w:rFonts w:cs="Times New Roman"/>
                <w:b w:val="0"/>
                <w:bCs/>
                <w:sz w:val="21"/>
                <w:szCs w:val="21"/>
              </w:rPr>
            </w:pPr>
            <w:r>
              <w:rPr>
                <w:rFonts w:cs="Times New Roman"/>
                <w:b w:val="0"/>
                <w:bCs/>
                <w:sz w:val="21"/>
                <w:szCs w:val="21"/>
              </w:rPr>
              <w:t>40°2'</w:t>
            </w:r>
            <w:r>
              <w:rPr>
                <w:rFonts w:hint="eastAsia" w:cs="Times New Roman"/>
                <w:b w:val="0"/>
                <w:bCs/>
                <w:sz w:val="21"/>
                <w:szCs w:val="21"/>
              </w:rPr>
              <w:t>1.93</w:t>
            </w:r>
            <w:r>
              <w:rPr>
                <w:rFonts w:cs="Times New Roman"/>
                <w:b w:val="0"/>
                <w:bCs/>
                <w:sz w:val="21"/>
                <w:szCs w:val="21"/>
              </w:rPr>
              <w:t>"</w:t>
            </w:r>
          </w:p>
        </w:tc>
        <w:tc>
          <w:tcPr>
            <w:tcW w:w="670" w:type="dxa"/>
            <w:vAlign w:val="center"/>
          </w:tcPr>
          <w:p w14:paraId="299402AA">
            <w:pPr>
              <w:pStyle w:val="743"/>
              <w:rPr>
                <w:rFonts w:cs="Times New Roman"/>
                <w:b w:val="0"/>
                <w:bCs/>
                <w:sz w:val="21"/>
                <w:szCs w:val="21"/>
              </w:rPr>
            </w:pPr>
            <w:r>
              <w:rPr>
                <w:rFonts w:hint="eastAsia" w:cs="Times New Roman"/>
                <w:b w:val="0"/>
                <w:bCs/>
                <w:sz w:val="21"/>
                <w:szCs w:val="21"/>
              </w:rPr>
              <w:t>1125</w:t>
            </w:r>
          </w:p>
        </w:tc>
        <w:tc>
          <w:tcPr>
            <w:tcW w:w="670" w:type="dxa"/>
            <w:vAlign w:val="center"/>
          </w:tcPr>
          <w:p w14:paraId="3B74D1FE">
            <w:pPr>
              <w:pStyle w:val="743"/>
              <w:rPr>
                <w:rFonts w:cs="Times New Roman"/>
                <w:b w:val="0"/>
                <w:bCs/>
                <w:sz w:val="21"/>
                <w:szCs w:val="21"/>
              </w:rPr>
            </w:pPr>
            <w:r>
              <w:rPr>
                <w:rFonts w:hint="eastAsia" w:cs="Times New Roman"/>
                <w:b w:val="0"/>
                <w:bCs/>
                <w:sz w:val="21"/>
                <w:szCs w:val="21"/>
              </w:rPr>
              <w:t>35</w:t>
            </w:r>
          </w:p>
        </w:tc>
        <w:tc>
          <w:tcPr>
            <w:tcW w:w="670" w:type="dxa"/>
            <w:vAlign w:val="center"/>
          </w:tcPr>
          <w:p w14:paraId="4F3EF51B">
            <w:pPr>
              <w:pStyle w:val="743"/>
              <w:rPr>
                <w:rFonts w:cs="Times New Roman"/>
                <w:b w:val="0"/>
                <w:bCs/>
                <w:sz w:val="21"/>
                <w:szCs w:val="21"/>
              </w:rPr>
            </w:pPr>
            <w:r>
              <w:rPr>
                <w:rFonts w:hint="eastAsia" w:cs="Times New Roman"/>
                <w:b w:val="0"/>
                <w:bCs/>
                <w:sz w:val="21"/>
                <w:szCs w:val="21"/>
              </w:rPr>
              <w:t>1090</w:t>
            </w:r>
          </w:p>
        </w:tc>
        <w:tc>
          <w:tcPr>
            <w:tcW w:w="671" w:type="dxa"/>
            <w:vAlign w:val="center"/>
          </w:tcPr>
          <w:p w14:paraId="51C63794">
            <w:pPr>
              <w:pStyle w:val="743"/>
              <w:rPr>
                <w:rFonts w:cs="Times New Roman"/>
                <w:b w:val="0"/>
                <w:bCs/>
                <w:sz w:val="21"/>
                <w:szCs w:val="21"/>
              </w:rPr>
            </w:pPr>
            <w:r>
              <w:rPr>
                <w:rFonts w:hint="eastAsia" w:cs="Times New Roman"/>
                <w:b w:val="0"/>
                <w:bCs/>
                <w:sz w:val="21"/>
                <w:szCs w:val="21"/>
              </w:rPr>
              <w:t>北</w:t>
            </w:r>
          </w:p>
        </w:tc>
        <w:tc>
          <w:tcPr>
            <w:tcW w:w="725" w:type="dxa"/>
            <w:vAlign w:val="center"/>
          </w:tcPr>
          <w:p w14:paraId="10792865">
            <w:pPr>
              <w:pStyle w:val="743"/>
              <w:rPr>
                <w:rFonts w:cs="Times New Roman"/>
                <w:b w:val="0"/>
                <w:bCs/>
                <w:sz w:val="21"/>
                <w:szCs w:val="21"/>
              </w:rPr>
            </w:pPr>
            <w:r>
              <w:rPr>
                <w:rFonts w:hint="eastAsia" w:cs="Times New Roman"/>
                <w:b w:val="0"/>
                <w:bCs/>
                <w:sz w:val="21"/>
                <w:szCs w:val="21"/>
              </w:rPr>
              <w:t>1616</w:t>
            </w:r>
          </w:p>
        </w:tc>
        <w:tc>
          <w:tcPr>
            <w:tcW w:w="672" w:type="dxa"/>
            <w:vAlign w:val="center"/>
          </w:tcPr>
          <w:p w14:paraId="13B8046E">
            <w:pPr>
              <w:pStyle w:val="743"/>
              <w:rPr>
                <w:rFonts w:cs="Times New Roman"/>
                <w:b w:val="0"/>
                <w:bCs/>
                <w:sz w:val="21"/>
                <w:szCs w:val="21"/>
              </w:rPr>
            </w:pPr>
            <w:r>
              <w:rPr>
                <w:rFonts w:hint="eastAsia" w:cs="Times New Roman"/>
                <w:b w:val="0"/>
                <w:bCs/>
                <w:sz w:val="21"/>
                <w:szCs w:val="21"/>
              </w:rPr>
              <w:t>灌溉</w:t>
            </w:r>
          </w:p>
        </w:tc>
      </w:tr>
      <w:tr w14:paraId="25F0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3C86B7F2">
            <w:pPr>
              <w:pStyle w:val="743"/>
              <w:rPr>
                <w:rFonts w:cs="Times New Roman"/>
                <w:b w:val="0"/>
                <w:bCs/>
                <w:sz w:val="21"/>
                <w:szCs w:val="21"/>
              </w:rPr>
            </w:pPr>
            <w:r>
              <w:rPr>
                <w:rFonts w:hint="eastAsia" w:cs="Times New Roman"/>
                <w:b w:val="0"/>
                <w:bCs/>
                <w:sz w:val="21"/>
                <w:szCs w:val="21"/>
              </w:rPr>
              <w:t>2#（灌溉2）</w:t>
            </w:r>
          </w:p>
        </w:tc>
        <w:tc>
          <w:tcPr>
            <w:tcW w:w="670" w:type="dxa"/>
            <w:vAlign w:val="center"/>
          </w:tcPr>
          <w:p w14:paraId="4D2FD55F">
            <w:pPr>
              <w:pStyle w:val="743"/>
              <w:rPr>
                <w:rFonts w:cs="Times New Roman"/>
                <w:b w:val="0"/>
                <w:bCs/>
                <w:sz w:val="21"/>
                <w:szCs w:val="21"/>
              </w:rPr>
            </w:pPr>
            <w:r>
              <w:rPr>
                <w:rFonts w:hint="eastAsia" w:cs="Times New Roman"/>
                <w:b w:val="0"/>
                <w:bCs/>
                <w:sz w:val="21"/>
                <w:szCs w:val="21"/>
              </w:rPr>
              <w:t>水位</w:t>
            </w:r>
          </w:p>
        </w:tc>
        <w:tc>
          <w:tcPr>
            <w:tcW w:w="670" w:type="dxa"/>
            <w:vAlign w:val="center"/>
          </w:tcPr>
          <w:p w14:paraId="02DF2663">
            <w:pPr>
              <w:pStyle w:val="743"/>
              <w:rPr>
                <w:rFonts w:cs="Times New Roman"/>
                <w:b w:val="0"/>
                <w:bCs/>
                <w:sz w:val="21"/>
                <w:szCs w:val="21"/>
              </w:rPr>
            </w:pPr>
            <w:r>
              <w:rPr>
                <w:rFonts w:hint="eastAsia" w:cs="Times New Roman"/>
                <w:b w:val="0"/>
                <w:bCs/>
                <w:sz w:val="21"/>
                <w:szCs w:val="21"/>
              </w:rPr>
              <w:t>项目侧方</w:t>
            </w:r>
          </w:p>
        </w:tc>
        <w:tc>
          <w:tcPr>
            <w:tcW w:w="1686" w:type="dxa"/>
            <w:vAlign w:val="center"/>
          </w:tcPr>
          <w:p w14:paraId="6DE8C0F5">
            <w:pPr>
              <w:pStyle w:val="357"/>
              <w:tabs>
                <w:tab w:val="left" w:pos="0"/>
              </w:tabs>
              <w:rPr>
                <w:lang w:eastAsia="zh-CN"/>
              </w:rPr>
            </w:pPr>
            <w:r>
              <w:t>106°</w:t>
            </w:r>
            <w:r>
              <w:rPr>
                <w:rFonts w:hint="eastAsia"/>
                <w:lang w:eastAsia="zh-CN"/>
              </w:rPr>
              <w:t>48</w:t>
            </w:r>
            <w:r>
              <w:t>'</w:t>
            </w:r>
            <w:r>
              <w:rPr>
                <w:rFonts w:hint="eastAsia"/>
                <w:lang w:eastAsia="zh-CN"/>
              </w:rPr>
              <w:t>45.61</w:t>
            </w:r>
            <w:r>
              <w:t>"</w:t>
            </w:r>
          </w:p>
        </w:tc>
        <w:tc>
          <w:tcPr>
            <w:tcW w:w="1443" w:type="dxa"/>
            <w:vAlign w:val="center"/>
          </w:tcPr>
          <w:p w14:paraId="2CABB5EA">
            <w:pPr>
              <w:pStyle w:val="743"/>
              <w:rPr>
                <w:rFonts w:cs="Times New Roman"/>
                <w:b w:val="0"/>
                <w:bCs/>
                <w:sz w:val="21"/>
                <w:szCs w:val="21"/>
              </w:rPr>
            </w:pPr>
            <w:r>
              <w:rPr>
                <w:rFonts w:cs="Times New Roman"/>
                <w:b w:val="0"/>
                <w:bCs/>
                <w:sz w:val="21"/>
                <w:szCs w:val="21"/>
              </w:rPr>
              <w:t>40°1'</w:t>
            </w:r>
            <w:r>
              <w:rPr>
                <w:rFonts w:hint="eastAsia" w:cs="Times New Roman"/>
                <w:b w:val="0"/>
                <w:bCs/>
                <w:sz w:val="21"/>
                <w:szCs w:val="21"/>
              </w:rPr>
              <w:t>44.03</w:t>
            </w:r>
            <w:r>
              <w:rPr>
                <w:rFonts w:cs="Times New Roman"/>
                <w:b w:val="0"/>
                <w:bCs/>
                <w:sz w:val="21"/>
                <w:szCs w:val="21"/>
              </w:rPr>
              <w:t>"</w:t>
            </w:r>
          </w:p>
        </w:tc>
        <w:tc>
          <w:tcPr>
            <w:tcW w:w="670" w:type="dxa"/>
            <w:vAlign w:val="center"/>
          </w:tcPr>
          <w:p w14:paraId="3D7B12A4">
            <w:pPr>
              <w:pStyle w:val="743"/>
              <w:rPr>
                <w:rFonts w:cs="Times New Roman"/>
                <w:b w:val="0"/>
                <w:bCs/>
                <w:sz w:val="21"/>
                <w:szCs w:val="21"/>
              </w:rPr>
            </w:pPr>
            <w:r>
              <w:rPr>
                <w:rFonts w:hint="eastAsia" w:cs="Times New Roman"/>
                <w:b w:val="0"/>
                <w:bCs/>
                <w:sz w:val="21"/>
                <w:szCs w:val="21"/>
              </w:rPr>
              <w:t>1130</w:t>
            </w:r>
          </w:p>
        </w:tc>
        <w:tc>
          <w:tcPr>
            <w:tcW w:w="670" w:type="dxa"/>
            <w:vAlign w:val="center"/>
          </w:tcPr>
          <w:p w14:paraId="2D0D4BD8">
            <w:pPr>
              <w:pStyle w:val="743"/>
              <w:rPr>
                <w:rFonts w:cs="Times New Roman"/>
                <w:b w:val="0"/>
                <w:bCs/>
                <w:sz w:val="21"/>
                <w:szCs w:val="21"/>
              </w:rPr>
            </w:pPr>
            <w:r>
              <w:rPr>
                <w:rFonts w:hint="eastAsia" w:cs="Times New Roman"/>
                <w:b w:val="0"/>
                <w:bCs/>
                <w:sz w:val="21"/>
                <w:szCs w:val="21"/>
              </w:rPr>
              <w:t>36</w:t>
            </w:r>
          </w:p>
        </w:tc>
        <w:tc>
          <w:tcPr>
            <w:tcW w:w="670" w:type="dxa"/>
            <w:vAlign w:val="center"/>
          </w:tcPr>
          <w:p w14:paraId="5AEB65B1">
            <w:pPr>
              <w:pStyle w:val="743"/>
              <w:rPr>
                <w:rFonts w:cs="Times New Roman"/>
                <w:b w:val="0"/>
                <w:bCs/>
                <w:sz w:val="21"/>
                <w:szCs w:val="21"/>
              </w:rPr>
            </w:pPr>
            <w:r>
              <w:rPr>
                <w:rFonts w:hint="eastAsia" w:cs="Times New Roman"/>
                <w:b w:val="0"/>
                <w:bCs/>
                <w:sz w:val="21"/>
                <w:szCs w:val="21"/>
              </w:rPr>
              <w:t>1094</w:t>
            </w:r>
          </w:p>
        </w:tc>
        <w:tc>
          <w:tcPr>
            <w:tcW w:w="671" w:type="dxa"/>
            <w:vAlign w:val="center"/>
          </w:tcPr>
          <w:p w14:paraId="70922FAB">
            <w:pPr>
              <w:pStyle w:val="743"/>
              <w:rPr>
                <w:rFonts w:cs="Times New Roman"/>
                <w:b w:val="0"/>
                <w:bCs/>
                <w:sz w:val="21"/>
                <w:szCs w:val="21"/>
              </w:rPr>
            </w:pPr>
            <w:r>
              <w:rPr>
                <w:rFonts w:hint="eastAsia" w:cs="Times New Roman"/>
                <w:b w:val="0"/>
                <w:bCs/>
                <w:sz w:val="21"/>
                <w:szCs w:val="21"/>
              </w:rPr>
              <w:t>东北</w:t>
            </w:r>
          </w:p>
        </w:tc>
        <w:tc>
          <w:tcPr>
            <w:tcW w:w="725" w:type="dxa"/>
            <w:vAlign w:val="center"/>
          </w:tcPr>
          <w:p w14:paraId="7CBE63FA">
            <w:pPr>
              <w:pStyle w:val="743"/>
              <w:rPr>
                <w:rFonts w:cs="Times New Roman"/>
                <w:b w:val="0"/>
                <w:bCs/>
                <w:sz w:val="21"/>
                <w:szCs w:val="21"/>
              </w:rPr>
            </w:pPr>
            <w:r>
              <w:rPr>
                <w:rFonts w:hint="eastAsia" w:cs="Times New Roman"/>
                <w:b w:val="0"/>
                <w:bCs/>
                <w:sz w:val="21"/>
                <w:szCs w:val="21"/>
              </w:rPr>
              <w:t>1150</w:t>
            </w:r>
          </w:p>
        </w:tc>
        <w:tc>
          <w:tcPr>
            <w:tcW w:w="672" w:type="dxa"/>
            <w:vAlign w:val="center"/>
          </w:tcPr>
          <w:p w14:paraId="12F5FEC4">
            <w:pPr>
              <w:pStyle w:val="743"/>
              <w:rPr>
                <w:rFonts w:cs="Times New Roman"/>
                <w:b w:val="0"/>
                <w:bCs/>
                <w:sz w:val="21"/>
                <w:szCs w:val="21"/>
              </w:rPr>
            </w:pPr>
            <w:r>
              <w:rPr>
                <w:rFonts w:hint="eastAsia" w:cs="Times New Roman"/>
                <w:b w:val="0"/>
                <w:bCs/>
                <w:sz w:val="21"/>
                <w:szCs w:val="21"/>
              </w:rPr>
              <w:t>灌溉</w:t>
            </w:r>
          </w:p>
        </w:tc>
      </w:tr>
      <w:tr w14:paraId="37FA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6F5639F3">
            <w:pPr>
              <w:pStyle w:val="743"/>
              <w:rPr>
                <w:rFonts w:cs="Times New Roman"/>
                <w:b w:val="0"/>
                <w:bCs/>
                <w:sz w:val="21"/>
                <w:szCs w:val="21"/>
              </w:rPr>
            </w:pPr>
            <w:r>
              <w:rPr>
                <w:rFonts w:hint="eastAsia" w:cs="Times New Roman"/>
                <w:b w:val="0"/>
                <w:bCs/>
                <w:sz w:val="21"/>
                <w:szCs w:val="21"/>
              </w:rPr>
              <w:t>3#（牧民1）</w:t>
            </w:r>
          </w:p>
        </w:tc>
        <w:tc>
          <w:tcPr>
            <w:tcW w:w="670" w:type="dxa"/>
            <w:vAlign w:val="center"/>
          </w:tcPr>
          <w:p w14:paraId="3BC86AE9">
            <w:pPr>
              <w:pStyle w:val="743"/>
              <w:rPr>
                <w:rFonts w:cs="Times New Roman"/>
                <w:b w:val="0"/>
                <w:bCs/>
                <w:sz w:val="21"/>
                <w:szCs w:val="21"/>
              </w:rPr>
            </w:pPr>
            <w:r>
              <w:rPr>
                <w:rFonts w:hint="eastAsia" w:cs="Times New Roman"/>
                <w:b w:val="0"/>
                <w:bCs/>
                <w:sz w:val="21"/>
                <w:szCs w:val="21"/>
              </w:rPr>
              <w:t>水质</w:t>
            </w:r>
          </w:p>
          <w:p w14:paraId="565A37AD">
            <w:pPr>
              <w:pStyle w:val="743"/>
              <w:rPr>
                <w:rFonts w:cs="Times New Roman"/>
                <w:b w:val="0"/>
                <w:bCs/>
                <w:sz w:val="21"/>
                <w:szCs w:val="21"/>
              </w:rPr>
            </w:pPr>
            <w:r>
              <w:rPr>
                <w:rFonts w:hint="eastAsia" w:cs="Times New Roman"/>
                <w:b w:val="0"/>
                <w:bCs/>
                <w:sz w:val="21"/>
                <w:szCs w:val="21"/>
              </w:rPr>
              <w:t>水位</w:t>
            </w:r>
          </w:p>
        </w:tc>
        <w:tc>
          <w:tcPr>
            <w:tcW w:w="670" w:type="dxa"/>
            <w:vAlign w:val="center"/>
          </w:tcPr>
          <w:p w14:paraId="39B96328">
            <w:pPr>
              <w:pStyle w:val="743"/>
              <w:rPr>
                <w:rFonts w:cs="Times New Roman"/>
                <w:b w:val="0"/>
                <w:bCs/>
                <w:sz w:val="21"/>
                <w:szCs w:val="21"/>
              </w:rPr>
            </w:pPr>
            <w:r>
              <w:rPr>
                <w:rFonts w:hint="eastAsia" w:cs="Times New Roman"/>
                <w:b w:val="0"/>
                <w:bCs/>
                <w:sz w:val="21"/>
                <w:szCs w:val="21"/>
              </w:rPr>
              <w:t>上游</w:t>
            </w:r>
          </w:p>
        </w:tc>
        <w:tc>
          <w:tcPr>
            <w:tcW w:w="1686" w:type="dxa"/>
            <w:vAlign w:val="center"/>
          </w:tcPr>
          <w:p w14:paraId="5E0A7F15">
            <w:pPr>
              <w:pStyle w:val="357"/>
              <w:tabs>
                <w:tab w:val="left" w:pos="0"/>
              </w:tabs>
              <w:rPr>
                <w:lang w:eastAsia="zh-CN"/>
              </w:rPr>
            </w:pPr>
            <w:r>
              <w:t>106°</w:t>
            </w:r>
            <w:r>
              <w:rPr>
                <w:rFonts w:hint="eastAsia"/>
                <w:lang w:eastAsia="zh-CN"/>
              </w:rPr>
              <w:t>49</w:t>
            </w:r>
            <w:r>
              <w:t>'</w:t>
            </w:r>
            <w:r>
              <w:rPr>
                <w:rFonts w:hint="eastAsia"/>
                <w:lang w:eastAsia="zh-CN"/>
              </w:rPr>
              <w:t>18.66</w:t>
            </w:r>
            <w:r>
              <w:t>"</w:t>
            </w:r>
          </w:p>
        </w:tc>
        <w:tc>
          <w:tcPr>
            <w:tcW w:w="1443" w:type="dxa"/>
            <w:vAlign w:val="center"/>
          </w:tcPr>
          <w:p w14:paraId="5A854DC2">
            <w:pPr>
              <w:pStyle w:val="743"/>
              <w:rPr>
                <w:rFonts w:cs="Times New Roman"/>
                <w:b w:val="0"/>
                <w:bCs/>
                <w:sz w:val="21"/>
                <w:szCs w:val="21"/>
              </w:rPr>
            </w:pPr>
            <w:r>
              <w:rPr>
                <w:rFonts w:hint="eastAsia" w:cs="Times New Roman"/>
                <w:b w:val="0"/>
                <w:bCs/>
                <w:sz w:val="21"/>
                <w:szCs w:val="21"/>
              </w:rPr>
              <w:t>40</w:t>
            </w:r>
            <w:r>
              <w:rPr>
                <w:rFonts w:cs="Times New Roman"/>
                <w:b w:val="0"/>
                <w:bCs/>
                <w:sz w:val="21"/>
                <w:szCs w:val="21"/>
              </w:rPr>
              <w:t>°</w:t>
            </w:r>
            <w:r>
              <w:rPr>
                <w:rFonts w:hint="eastAsia" w:cs="Times New Roman"/>
                <w:b w:val="0"/>
                <w:bCs/>
                <w:sz w:val="21"/>
                <w:szCs w:val="21"/>
              </w:rPr>
              <w:t>1</w:t>
            </w:r>
            <w:r>
              <w:rPr>
                <w:rFonts w:cs="Times New Roman"/>
                <w:b w:val="0"/>
                <w:bCs/>
                <w:sz w:val="21"/>
                <w:szCs w:val="21"/>
              </w:rPr>
              <w:t>'</w:t>
            </w:r>
            <w:r>
              <w:rPr>
                <w:rFonts w:hint="eastAsia" w:cs="Times New Roman"/>
                <w:b w:val="0"/>
                <w:bCs/>
                <w:sz w:val="21"/>
                <w:szCs w:val="21"/>
              </w:rPr>
              <w:t>27.33</w:t>
            </w:r>
            <w:r>
              <w:rPr>
                <w:rFonts w:cs="Times New Roman"/>
                <w:b w:val="0"/>
                <w:bCs/>
                <w:sz w:val="21"/>
                <w:szCs w:val="21"/>
              </w:rPr>
              <w:t>"</w:t>
            </w:r>
          </w:p>
        </w:tc>
        <w:tc>
          <w:tcPr>
            <w:tcW w:w="670" w:type="dxa"/>
            <w:vAlign w:val="center"/>
          </w:tcPr>
          <w:p w14:paraId="34E8DFC1">
            <w:pPr>
              <w:pStyle w:val="743"/>
              <w:rPr>
                <w:rFonts w:cs="Times New Roman"/>
                <w:b w:val="0"/>
                <w:bCs/>
                <w:sz w:val="21"/>
                <w:szCs w:val="21"/>
              </w:rPr>
            </w:pPr>
            <w:r>
              <w:rPr>
                <w:rFonts w:hint="eastAsia" w:cs="Times New Roman"/>
                <w:b w:val="0"/>
                <w:bCs/>
                <w:sz w:val="21"/>
                <w:szCs w:val="21"/>
              </w:rPr>
              <w:t>1149</w:t>
            </w:r>
          </w:p>
        </w:tc>
        <w:tc>
          <w:tcPr>
            <w:tcW w:w="670" w:type="dxa"/>
            <w:vAlign w:val="center"/>
          </w:tcPr>
          <w:p w14:paraId="7C917728">
            <w:pPr>
              <w:pStyle w:val="743"/>
              <w:rPr>
                <w:rFonts w:cs="Times New Roman"/>
                <w:b w:val="0"/>
                <w:bCs/>
                <w:sz w:val="21"/>
                <w:szCs w:val="21"/>
              </w:rPr>
            </w:pPr>
            <w:r>
              <w:rPr>
                <w:rFonts w:hint="eastAsia" w:cs="Times New Roman"/>
                <w:b w:val="0"/>
                <w:bCs/>
                <w:sz w:val="21"/>
                <w:szCs w:val="21"/>
              </w:rPr>
              <w:t>25</w:t>
            </w:r>
          </w:p>
        </w:tc>
        <w:tc>
          <w:tcPr>
            <w:tcW w:w="670" w:type="dxa"/>
            <w:vAlign w:val="center"/>
          </w:tcPr>
          <w:p w14:paraId="44BBAF95">
            <w:pPr>
              <w:pStyle w:val="743"/>
              <w:rPr>
                <w:rFonts w:cs="Times New Roman"/>
                <w:b w:val="0"/>
                <w:bCs/>
                <w:sz w:val="21"/>
                <w:szCs w:val="21"/>
              </w:rPr>
            </w:pPr>
            <w:r>
              <w:rPr>
                <w:rFonts w:hint="eastAsia" w:cs="Times New Roman"/>
                <w:b w:val="0"/>
                <w:bCs/>
                <w:sz w:val="21"/>
                <w:szCs w:val="21"/>
              </w:rPr>
              <w:t>1124</w:t>
            </w:r>
          </w:p>
        </w:tc>
        <w:tc>
          <w:tcPr>
            <w:tcW w:w="671" w:type="dxa"/>
            <w:vAlign w:val="center"/>
          </w:tcPr>
          <w:p w14:paraId="0102FDA8">
            <w:pPr>
              <w:pStyle w:val="743"/>
              <w:rPr>
                <w:rFonts w:cs="Times New Roman"/>
                <w:b w:val="0"/>
                <w:bCs/>
                <w:sz w:val="21"/>
                <w:szCs w:val="21"/>
              </w:rPr>
            </w:pPr>
            <w:r>
              <w:rPr>
                <w:rFonts w:hint="eastAsia" w:cs="Times New Roman"/>
                <w:b w:val="0"/>
                <w:bCs/>
                <w:sz w:val="21"/>
                <w:szCs w:val="21"/>
              </w:rPr>
              <w:t>东</w:t>
            </w:r>
          </w:p>
        </w:tc>
        <w:tc>
          <w:tcPr>
            <w:tcW w:w="725" w:type="dxa"/>
            <w:vAlign w:val="center"/>
          </w:tcPr>
          <w:p w14:paraId="1C30FB31">
            <w:pPr>
              <w:pStyle w:val="743"/>
              <w:rPr>
                <w:rFonts w:cs="Times New Roman"/>
                <w:b w:val="0"/>
                <w:bCs/>
                <w:sz w:val="21"/>
                <w:szCs w:val="21"/>
              </w:rPr>
            </w:pPr>
            <w:r>
              <w:rPr>
                <w:rFonts w:hint="eastAsia" w:cs="Times New Roman"/>
                <w:b w:val="0"/>
                <w:bCs/>
                <w:sz w:val="21"/>
                <w:szCs w:val="21"/>
              </w:rPr>
              <w:t>1270</w:t>
            </w:r>
          </w:p>
        </w:tc>
        <w:tc>
          <w:tcPr>
            <w:tcW w:w="672" w:type="dxa"/>
            <w:vAlign w:val="center"/>
          </w:tcPr>
          <w:p w14:paraId="5BECBEF8">
            <w:pPr>
              <w:pStyle w:val="743"/>
              <w:rPr>
                <w:rFonts w:cs="Times New Roman"/>
                <w:b w:val="0"/>
                <w:bCs/>
                <w:sz w:val="21"/>
                <w:szCs w:val="21"/>
              </w:rPr>
            </w:pPr>
            <w:r>
              <w:rPr>
                <w:rFonts w:hint="eastAsia" w:cs="Times New Roman"/>
                <w:b w:val="0"/>
                <w:bCs/>
                <w:sz w:val="21"/>
                <w:szCs w:val="21"/>
              </w:rPr>
              <w:t>饮用</w:t>
            </w:r>
          </w:p>
        </w:tc>
      </w:tr>
      <w:tr w14:paraId="5A9F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4D10EA32">
            <w:pPr>
              <w:pStyle w:val="743"/>
              <w:rPr>
                <w:rFonts w:cs="Times New Roman"/>
                <w:b w:val="0"/>
                <w:bCs/>
                <w:sz w:val="21"/>
                <w:szCs w:val="21"/>
              </w:rPr>
            </w:pPr>
            <w:r>
              <w:rPr>
                <w:rFonts w:hint="eastAsia" w:cs="Times New Roman"/>
                <w:b w:val="0"/>
                <w:bCs/>
                <w:sz w:val="21"/>
                <w:szCs w:val="21"/>
              </w:rPr>
              <w:t>4#（伊克布拉格）</w:t>
            </w:r>
          </w:p>
        </w:tc>
        <w:tc>
          <w:tcPr>
            <w:tcW w:w="670" w:type="dxa"/>
            <w:vAlign w:val="center"/>
          </w:tcPr>
          <w:p w14:paraId="68B59940">
            <w:pPr>
              <w:pStyle w:val="743"/>
              <w:rPr>
                <w:rFonts w:cs="Times New Roman"/>
                <w:b w:val="0"/>
                <w:bCs/>
                <w:sz w:val="21"/>
                <w:szCs w:val="21"/>
              </w:rPr>
            </w:pPr>
            <w:r>
              <w:rPr>
                <w:rFonts w:hint="eastAsia" w:cs="Times New Roman"/>
                <w:b w:val="0"/>
                <w:bCs/>
                <w:sz w:val="21"/>
                <w:szCs w:val="21"/>
              </w:rPr>
              <w:t>水质水位</w:t>
            </w:r>
          </w:p>
        </w:tc>
        <w:tc>
          <w:tcPr>
            <w:tcW w:w="670" w:type="dxa"/>
            <w:vAlign w:val="center"/>
          </w:tcPr>
          <w:p w14:paraId="1DC2BA0A">
            <w:pPr>
              <w:pStyle w:val="743"/>
              <w:rPr>
                <w:rFonts w:cs="Times New Roman"/>
                <w:b w:val="0"/>
                <w:bCs/>
                <w:sz w:val="21"/>
                <w:szCs w:val="21"/>
              </w:rPr>
            </w:pPr>
            <w:r>
              <w:rPr>
                <w:rFonts w:hint="eastAsia" w:cs="Times New Roman"/>
                <w:b w:val="0"/>
                <w:bCs/>
                <w:sz w:val="21"/>
                <w:szCs w:val="21"/>
              </w:rPr>
              <w:t>项目侧方</w:t>
            </w:r>
          </w:p>
        </w:tc>
        <w:tc>
          <w:tcPr>
            <w:tcW w:w="1686" w:type="dxa"/>
            <w:vAlign w:val="center"/>
          </w:tcPr>
          <w:p w14:paraId="42657180">
            <w:pPr>
              <w:pStyle w:val="357"/>
              <w:tabs>
                <w:tab w:val="left" w:pos="0"/>
              </w:tabs>
              <w:rPr>
                <w:lang w:eastAsia="zh-CN"/>
              </w:rPr>
            </w:pPr>
            <w:r>
              <w:t>106°</w:t>
            </w:r>
            <w:r>
              <w:rPr>
                <w:rFonts w:hint="eastAsia"/>
                <w:lang w:eastAsia="zh-CN"/>
              </w:rPr>
              <w:t>47</w:t>
            </w:r>
            <w:r>
              <w:t>'4</w:t>
            </w:r>
            <w:r>
              <w:rPr>
                <w:rFonts w:hint="eastAsia"/>
                <w:lang w:eastAsia="zh-CN"/>
              </w:rPr>
              <w:t>8.52</w:t>
            </w:r>
            <w:r>
              <w:t>"</w:t>
            </w:r>
          </w:p>
        </w:tc>
        <w:tc>
          <w:tcPr>
            <w:tcW w:w="1443" w:type="dxa"/>
            <w:vAlign w:val="center"/>
          </w:tcPr>
          <w:p w14:paraId="3CE7FABA">
            <w:pPr>
              <w:pStyle w:val="743"/>
              <w:rPr>
                <w:rFonts w:cs="Times New Roman"/>
                <w:b w:val="0"/>
                <w:bCs/>
                <w:sz w:val="21"/>
                <w:szCs w:val="21"/>
              </w:rPr>
            </w:pPr>
            <w:r>
              <w:rPr>
                <w:rFonts w:hint="eastAsia" w:cs="Times New Roman"/>
                <w:b w:val="0"/>
                <w:bCs/>
                <w:sz w:val="21"/>
                <w:szCs w:val="21"/>
              </w:rPr>
              <w:t>40</w:t>
            </w:r>
            <w:r>
              <w:rPr>
                <w:rFonts w:cs="Times New Roman"/>
                <w:b w:val="0"/>
                <w:bCs/>
                <w:sz w:val="21"/>
                <w:szCs w:val="21"/>
              </w:rPr>
              <w:t>°</w:t>
            </w:r>
            <w:r>
              <w:rPr>
                <w:rFonts w:hint="eastAsia" w:cs="Times New Roman"/>
                <w:b w:val="0"/>
                <w:bCs/>
                <w:sz w:val="21"/>
                <w:szCs w:val="21"/>
              </w:rPr>
              <w:t>4</w:t>
            </w:r>
            <w:r>
              <w:rPr>
                <w:rFonts w:cs="Times New Roman"/>
                <w:b w:val="0"/>
                <w:bCs/>
                <w:sz w:val="21"/>
                <w:szCs w:val="21"/>
              </w:rPr>
              <w:t>'4</w:t>
            </w:r>
            <w:r>
              <w:rPr>
                <w:rFonts w:hint="eastAsia" w:cs="Times New Roman"/>
                <w:b w:val="0"/>
                <w:bCs/>
                <w:sz w:val="21"/>
                <w:szCs w:val="21"/>
              </w:rPr>
              <w:t>.2</w:t>
            </w:r>
            <w:r>
              <w:rPr>
                <w:rFonts w:cs="Times New Roman"/>
                <w:b w:val="0"/>
                <w:bCs/>
                <w:sz w:val="21"/>
                <w:szCs w:val="21"/>
              </w:rPr>
              <w:t>"</w:t>
            </w:r>
          </w:p>
        </w:tc>
        <w:tc>
          <w:tcPr>
            <w:tcW w:w="670" w:type="dxa"/>
            <w:vAlign w:val="center"/>
          </w:tcPr>
          <w:p w14:paraId="249963E2">
            <w:pPr>
              <w:pStyle w:val="743"/>
              <w:rPr>
                <w:rFonts w:cs="Times New Roman"/>
                <w:b w:val="0"/>
                <w:bCs/>
                <w:sz w:val="21"/>
                <w:szCs w:val="21"/>
              </w:rPr>
            </w:pPr>
            <w:r>
              <w:rPr>
                <w:rFonts w:hint="eastAsia" w:cs="Times New Roman"/>
                <w:b w:val="0"/>
                <w:bCs/>
                <w:sz w:val="21"/>
                <w:szCs w:val="21"/>
              </w:rPr>
              <w:t>1063</w:t>
            </w:r>
          </w:p>
        </w:tc>
        <w:tc>
          <w:tcPr>
            <w:tcW w:w="670" w:type="dxa"/>
            <w:vAlign w:val="center"/>
          </w:tcPr>
          <w:p w14:paraId="23DB2667">
            <w:pPr>
              <w:pStyle w:val="743"/>
              <w:rPr>
                <w:rFonts w:cs="Times New Roman"/>
                <w:b w:val="0"/>
                <w:bCs/>
                <w:sz w:val="21"/>
                <w:szCs w:val="21"/>
              </w:rPr>
            </w:pPr>
            <w:r>
              <w:rPr>
                <w:rFonts w:hint="eastAsia" w:cs="Times New Roman"/>
                <w:b w:val="0"/>
                <w:bCs/>
                <w:sz w:val="21"/>
                <w:szCs w:val="21"/>
              </w:rPr>
              <w:t>8</w:t>
            </w:r>
          </w:p>
        </w:tc>
        <w:tc>
          <w:tcPr>
            <w:tcW w:w="670" w:type="dxa"/>
            <w:vAlign w:val="center"/>
          </w:tcPr>
          <w:p w14:paraId="4C74F8BB">
            <w:pPr>
              <w:pStyle w:val="743"/>
              <w:rPr>
                <w:rFonts w:cs="Times New Roman"/>
                <w:b w:val="0"/>
                <w:bCs/>
                <w:sz w:val="21"/>
                <w:szCs w:val="21"/>
              </w:rPr>
            </w:pPr>
            <w:r>
              <w:rPr>
                <w:rFonts w:hint="eastAsia" w:cs="Times New Roman"/>
                <w:b w:val="0"/>
                <w:bCs/>
                <w:sz w:val="21"/>
                <w:szCs w:val="21"/>
              </w:rPr>
              <w:t>1055</w:t>
            </w:r>
          </w:p>
        </w:tc>
        <w:tc>
          <w:tcPr>
            <w:tcW w:w="671" w:type="dxa"/>
            <w:vAlign w:val="center"/>
          </w:tcPr>
          <w:p w14:paraId="70DA05CC">
            <w:pPr>
              <w:pStyle w:val="743"/>
              <w:rPr>
                <w:rFonts w:cs="Times New Roman"/>
                <w:b w:val="0"/>
                <w:bCs/>
                <w:sz w:val="21"/>
                <w:szCs w:val="21"/>
              </w:rPr>
            </w:pPr>
            <w:r>
              <w:rPr>
                <w:rFonts w:hint="eastAsia" w:cs="Times New Roman"/>
                <w:b w:val="0"/>
                <w:bCs/>
                <w:sz w:val="21"/>
                <w:szCs w:val="21"/>
              </w:rPr>
              <w:t>北</w:t>
            </w:r>
          </w:p>
        </w:tc>
        <w:tc>
          <w:tcPr>
            <w:tcW w:w="725" w:type="dxa"/>
            <w:vAlign w:val="center"/>
          </w:tcPr>
          <w:p w14:paraId="0ED25A2D">
            <w:pPr>
              <w:pStyle w:val="743"/>
              <w:rPr>
                <w:rFonts w:cs="Times New Roman"/>
                <w:b w:val="0"/>
                <w:bCs/>
                <w:sz w:val="21"/>
                <w:szCs w:val="21"/>
              </w:rPr>
            </w:pPr>
            <w:r>
              <w:rPr>
                <w:rFonts w:hint="eastAsia" w:cs="Times New Roman"/>
                <w:b w:val="0"/>
                <w:bCs/>
                <w:sz w:val="21"/>
                <w:szCs w:val="21"/>
              </w:rPr>
              <w:t>5060</w:t>
            </w:r>
          </w:p>
        </w:tc>
        <w:tc>
          <w:tcPr>
            <w:tcW w:w="672" w:type="dxa"/>
            <w:vAlign w:val="center"/>
          </w:tcPr>
          <w:p w14:paraId="54601E84">
            <w:pPr>
              <w:pStyle w:val="743"/>
              <w:rPr>
                <w:rFonts w:cs="Times New Roman"/>
                <w:b w:val="0"/>
                <w:bCs/>
                <w:sz w:val="21"/>
                <w:szCs w:val="21"/>
              </w:rPr>
            </w:pPr>
            <w:r>
              <w:rPr>
                <w:rFonts w:hint="eastAsia" w:cs="Times New Roman"/>
                <w:b w:val="0"/>
                <w:bCs/>
                <w:sz w:val="21"/>
                <w:szCs w:val="21"/>
              </w:rPr>
              <w:t>灌溉</w:t>
            </w:r>
          </w:p>
        </w:tc>
      </w:tr>
      <w:tr w14:paraId="4441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7C35FD86">
            <w:pPr>
              <w:pStyle w:val="743"/>
              <w:rPr>
                <w:rFonts w:cs="Times New Roman"/>
                <w:b w:val="0"/>
                <w:bCs/>
                <w:sz w:val="21"/>
                <w:szCs w:val="21"/>
              </w:rPr>
            </w:pPr>
            <w:r>
              <w:rPr>
                <w:rFonts w:hint="eastAsia" w:cs="Times New Roman"/>
                <w:b w:val="0"/>
                <w:bCs/>
                <w:sz w:val="21"/>
                <w:szCs w:val="21"/>
              </w:rPr>
              <w:t>5#（牧民2）</w:t>
            </w:r>
          </w:p>
        </w:tc>
        <w:tc>
          <w:tcPr>
            <w:tcW w:w="670" w:type="dxa"/>
            <w:vAlign w:val="center"/>
          </w:tcPr>
          <w:p w14:paraId="5054F408">
            <w:pPr>
              <w:pStyle w:val="743"/>
              <w:rPr>
                <w:rFonts w:cs="Times New Roman"/>
                <w:b w:val="0"/>
                <w:bCs/>
                <w:sz w:val="21"/>
                <w:szCs w:val="21"/>
              </w:rPr>
            </w:pPr>
            <w:r>
              <w:rPr>
                <w:rFonts w:hint="eastAsia" w:cs="Times New Roman"/>
                <w:b w:val="0"/>
                <w:bCs/>
                <w:sz w:val="21"/>
                <w:szCs w:val="21"/>
              </w:rPr>
              <w:t>水质水位</w:t>
            </w:r>
          </w:p>
        </w:tc>
        <w:tc>
          <w:tcPr>
            <w:tcW w:w="670" w:type="dxa"/>
            <w:vAlign w:val="center"/>
          </w:tcPr>
          <w:p w14:paraId="60A0B97B">
            <w:pPr>
              <w:pStyle w:val="743"/>
              <w:rPr>
                <w:rFonts w:cs="Times New Roman"/>
                <w:b w:val="0"/>
                <w:bCs/>
                <w:sz w:val="21"/>
                <w:szCs w:val="21"/>
              </w:rPr>
            </w:pPr>
            <w:r>
              <w:rPr>
                <w:rFonts w:hint="eastAsia" w:cs="Times New Roman"/>
                <w:b w:val="0"/>
                <w:bCs/>
                <w:sz w:val="21"/>
                <w:szCs w:val="21"/>
              </w:rPr>
              <w:t>项目侧方</w:t>
            </w:r>
          </w:p>
        </w:tc>
        <w:tc>
          <w:tcPr>
            <w:tcW w:w="1686" w:type="dxa"/>
            <w:vAlign w:val="center"/>
          </w:tcPr>
          <w:p w14:paraId="2DEEC71C">
            <w:pPr>
              <w:pStyle w:val="357"/>
              <w:tabs>
                <w:tab w:val="left" w:pos="0"/>
              </w:tabs>
              <w:rPr>
                <w:lang w:eastAsia="zh-CN"/>
              </w:rPr>
            </w:pPr>
            <w:r>
              <w:t>106°</w:t>
            </w:r>
            <w:r>
              <w:rPr>
                <w:rFonts w:hint="eastAsia"/>
                <w:lang w:eastAsia="zh-CN"/>
              </w:rPr>
              <w:t>46</w:t>
            </w:r>
            <w:r>
              <w:t>'1</w:t>
            </w:r>
            <w:r>
              <w:rPr>
                <w:rFonts w:hint="eastAsia"/>
                <w:lang w:eastAsia="zh-CN"/>
              </w:rPr>
              <w:t>55.59</w:t>
            </w:r>
            <w:r>
              <w:t>"</w:t>
            </w:r>
          </w:p>
        </w:tc>
        <w:tc>
          <w:tcPr>
            <w:tcW w:w="1443" w:type="dxa"/>
            <w:vAlign w:val="center"/>
          </w:tcPr>
          <w:p w14:paraId="14F418C8">
            <w:pPr>
              <w:pStyle w:val="743"/>
              <w:rPr>
                <w:rFonts w:cs="Times New Roman"/>
                <w:b w:val="0"/>
                <w:bCs/>
                <w:sz w:val="21"/>
                <w:szCs w:val="21"/>
              </w:rPr>
            </w:pPr>
            <w:r>
              <w:rPr>
                <w:rFonts w:cs="Times New Roman"/>
                <w:b w:val="0"/>
                <w:bCs/>
                <w:sz w:val="21"/>
                <w:szCs w:val="21"/>
              </w:rPr>
              <w:t>40°</w:t>
            </w:r>
            <w:r>
              <w:rPr>
                <w:rFonts w:hint="eastAsia" w:cs="Times New Roman"/>
                <w:b w:val="0"/>
                <w:bCs/>
                <w:sz w:val="21"/>
                <w:szCs w:val="21"/>
              </w:rPr>
              <w:t>3</w:t>
            </w:r>
            <w:r>
              <w:rPr>
                <w:rFonts w:cs="Times New Roman"/>
                <w:b w:val="0"/>
                <w:bCs/>
                <w:sz w:val="21"/>
                <w:szCs w:val="21"/>
              </w:rPr>
              <w:t>'</w:t>
            </w:r>
            <w:r>
              <w:rPr>
                <w:rFonts w:hint="eastAsia" w:cs="Times New Roman"/>
                <w:b w:val="0"/>
                <w:bCs/>
                <w:sz w:val="21"/>
                <w:szCs w:val="21"/>
              </w:rPr>
              <w:t>22.16</w:t>
            </w:r>
            <w:r>
              <w:rPr>
                <w:rFonts w:cs="Times New Roman"/>
                <w:b w:val="0"/>
                <w:bCs/>
                <w:sz w:val="21"/>
                <w:szCs w:val="21"/>
              </w:rPr>
              <w:t>"</w:t>
            </w:r>
          </w:p>
        </w:tc>
        <w:tc>
          <w:tcPr>
            <w:tcW w:w="670" w:type="dxa"/>
            <w:vAlign w:val="center"/>
          </w:tcPr>
          <w:p w14:paraId="32ECCE4A">
            <w:pPr>
              <w:pStyle w:val="743"/>
              <w:rPr>
                <w:rFonts w:cs="Times New Roman"/>
                <w:b w:val="0"/>
                <w:bCs/>
                <w:sz w:val="21"/>
                <w:szCs w:val="21"/>
              </w:rPr>
            </w:pPr>
            <w:r>
              <w:rPr>
                <w:rFonts w:hint="eastAsia" w:cs="Times New Roman"/>
                <w:b w:val="0"/>
                <w:bCs/>
                <w:sz w:val="21"/>
                <w:szCs w:val="21"/>
              </w:rPr>
              <w:t>1077</w:t>
            </w:r>
          </w:p>
        </w:tc>
        <w:tc>
          <w:tcPr>
            <w:tcW w:w="670" w:type="dxa"/>
            <w:vAlign w:val="center"/>
          </w:tcPr>
          <w:p w14:paraId="7EB5E971">
            <w:pPr>
              <w:pStyle w:val="743"/>
              <w:rPr>
                <w:rFonts w:cs="Times New Roman"/>
                <w:b w:val="0"/>
                <w:bCs/>
                <w:sz w:val="21"/>
                <w:szCs w:val="21"/>
              </w:rPr>
            </w:pPr>
            <w:r>
              <w:rPr>
                <w:rFonts w:hint="eastAsia" w:cs="Times New Roman"/>
                <w:b w:val="0"/>
                <w:bCs/>
                <w:sz w:val="21"/>
                <w:szCs w:val="21"/>
              </w:rPr>
              <w:t>10</w:t>
            </w:r>
          </w:p>
        </w:tc>
        <w:tc>
          <w:tcPr>
            <w:tcW w:w="670" w:type="dxa"/>
            <w:vAlign w:val="center"/>
          </w:tcPr>
          <w:p w14:paraId="5A195EBF">
            <w:pPr>
              <w:pStyle w:val="743"/>
              <w:rPr>
                <w:rFonts w:cs="Times New Roman"/>
                <w:b w:val="0"/>
                <w:bCs/>
                <w:sz w:val="21"/>
                <w:szCs w:val="21"/>
              </w:rPr>
            </w:pPr>
            <w:r>
              <w:rPr>
                <w:rFonts w:hint="eastAsia" w:cs="Times New Roman"/>
                <w:b w:val="0"/>
                <w:bCs/>
                <w:sz w:val="21"/>
                <w:szCs w:val="21"/>
              </w:rPr>
              <w:t>1057</w:t>
            </w:r>
          </w:p>
        </w:tc>
        <w:tc>
          <w:tcPr>
            <w:tcW w:w="671" w:type="dxa"/>
            <w:vAlign w:val="center"/>
          </w:tcPr>
          <w:p w14:paraId="16B0E22F">
            <w:pPr>
              <w:pStyle w:val="743"/>
              <w:rPr>
                <w:rFonts w:cs="Times New Roman"/>
                <w:b w:val="0"/>
                <w:bCs/>
                <w:sz w:val="21"/>
                <w:szCs w:val="21"/>
              </w:rPr>
            </w:pPr>
            <w:r>
              <w:rPr>
                <w:rFonts w:hint="eastAsia" w:cs="Times New Roman"/>
                <w:b w:val="0"/>
                <w:bCs/>
                <w:sz w:val="21"/>
                <w:szCs w:val="21"/>
              </w:rPr>
              <w:t>西北</w:t>
            </w:r>
          </w:p>
        </w:tc>
        <w:tc>
          <w:tcPr>
            <w:tcW w:w="725" w:type="dxa"/>
            <w:vAlign w:val="center"/>
          </w:tcPr>
          <w:p w14:paraId="43C37D0E">
            <w:pPr>
              <w:pStyle w:val="743"/>
              <w:rPr>
                <w:rFonts w:cs="Times New Roman"/>
                <w:b w:val="0"/>
                <w:bCs/>
                <w:sz w:val="21"/>
                <w:szCs w:val="21"/>
              </w:rPr>
            </w:pPr>
            <w:r>
              <w:rPr>
                <w:rFonts w:hint="eastAsia" w:cs="Times New Roman"/>
                <w:b w:val="0"/>
                <w:bCs/>
                <w:sz w:val="21"/>
                <w:szCs w:val="21"/>
              </w:rPr>
              <w:t>4070</w:t>
            </w:r>
          </w:p>
        </w:tc>
        <w:tc>
          <w:tcPr>
            <w:tcW w:w="672" w:type="dxa"/>
            <w:vAlign w:val="center"/>
          </w:tcPr>
          <w:p w14:paraId="60003AFD">
            <w:pPr>
              <w:pStyle w:val="743"/>
              <w:rPr>
                <w:rFonts w:cs="Times New Roman"/>
                <w:b w:val="0"/>
                <w:bCs/>
                <w:sz w:val="21"/>
                <w:szCs w:val="21"/>
              </w:rPr>
            </w:pPr>
            <w:r>
              <w:rPr>
                <w:rFonts w:hint="eastAsia" w:cs="Times New Roman"/>
                <w:b w:val="0"/>
                <w:bCs/>
                <w:sz w:val="21"/>
                <w:szCs w:val="21"/>
              </w:rPr>
              <w:t>饮用</w:t>
            </w:r>
          </w:p>
        </w:tc>
      </w:tr>
      <w:tr w14:paraId="449C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3A3BBB8E">
            <w:pPr>
              <w:pStyle w:val="743"/>
              <w:rPr>
                <w:rFonts w:cs="Times New Roman"/>
                <w:b w:val="0"/>
                <w:bCs/>
                <w:sz w:val="21"/>
                <w:szCs w:val="21"/>
              </w:rPr>
            </w:pPr>
            <w:r>
              <w:rPr>
                <w:b w:val="0"/>
                <w:bCs/>
              </w:rPr>
              <w:t>6#</w:t>
            </w:r>
            <w:r>
              <w:rPr>
                <w:rFonts w:hint="eastAsia"/>
                <w:b w:val="0"/>
                <w:bCs/>
              </w:rPr>
              <w:t>（牧民3）</w:t>
            </w:r>
          </w:p>
        </w:tc>
        <w:tc>
          <w:tcPr>
            <w:tcW w:w="670" w:type="dxa"/>
            <w:vAlign w:val="center"/>
          </w:tcPr>
          <w:p w14:paraId="4363E0D5">
            <w:pPr>
              <w:pStyle w:val="743"/>
              <w:rPr>
                <w:rFonts w:cs="Times New Roman"/>
                <w:b w:val="0"/>
                <w:bCs/>
                <w:sz w:val="21"/>
                <w:szCs w:val="21"/>
              </w:rPr>
            </w:pPr>
            <w:r>
              <w:rPr>
                <w:rFonts w:hint="eastAsia" w:cs="Times New Roman"/>
                <w:b w:val="0"/>
                <w:bCs/>
                <w:sz w:val="21"/>
                <w:szCs w:val="21"/>
              </w:rPr>
              <w:t>水位</w:t>
            </w:r>
          </w:p>
        </w:tc>
        <w:tc>
          <w:tcPr>
            <w:tcW w:w="670" w:type="dxa"/>
            <w:vAlign w:val="center"/>
          </w:tcPr>
          <w:p w14:paraId="16DFF2CC">
            <w:pPr>
              <w:pStyle w:val="743"/>
              <w:rPr>
                <w:rFonts w:cs="Times New Roman"/>
                <w:b w:val="0"/>
                <w:bCs/>
                <w:sz w:val="21"/>
                <w:szCs w:val="21"/>
              </w:rPr>
            </w:pPr>
            <w:r>
              <w:rPr>
                <w:rFonts w:hint="eastAsia" w:cs="Times New Roman"/>
                <w:b w:val="0"/>
                <w:bCs/>
                <w:sz w:val="21"/>
                <w:szCs w:val="21"/>
              </w:rPr>
              <w:t>上游</w:t>
            </w:r>
          </w:p>
        </w:tc>
        <w:tc>
          <w:tcPr>
            <w:tcW w:w="1686" w:type="dxa"/>
            <w:vAlign w:val="center"/>
          </w:tcPr>
          <w:p w14:paraId="01437941">
            <w:pPr>
              <w:pStyle w:val="357"/>
              <w:tabs>
                <w:tab w:val="left" w:pos="0"/>
              </w:tabs>
              <w:rPr>
                <w:lang w:eastAsia="zh-CN"/>
              </w:rPr>
            </w:pPr>
            <w:r>
              <w:t>106°</w:t>
            </w:r>
            <w:r>
              <w:rPr>
                <w:rFonts w:hint="eastAsia"/>
                <w:lang w:eastAsia="zh-CN"/>
              </w:rPr>
              <w:t>46</w:t>
            </w:r>
            <w:r>
              <w:t>'</w:t>
            </w:r>
            <w:r>
              <w:rPr>
                <w:rFonts w:hint="eastAsia"/>
                <w:lang w:eastAsia="zh-CN"/>
              </w:rPr>
              <w:t>47.64</w:t>
            </w:r>
            <w:r>
              <w:t>"</w:t>
            </w:r>
          </w:p>
        </w:tc>
        <w:tc>
          <w:tcPr>
            <w:tcW w:w="1443" w:type="dxa"/>
            <w:vAlign w:val="center"/>
          </w:tcPr>
          <w:p w14:paraId="5DC34F94">
            <w:pPr>
              <w:pStyle w:val="743"/>
              <w:rPr>
                <w:rFonts w:cs="Times New Roman"/>
                <w:b w:val="0"/>
                <w:bCs/>
                <w:sz w:val="21"/>
                <w:szCs w:val="21"/>
              </w:rPr>
            </w:pPr>
            <w:r>
              <w:rPr>
                <w:rFonts w:cs="Times New Roman"/>
                <w:b w:val="0"/>
                <w:bCs/>
                <w:sz w:val="21"/>
                <w:szCs w:val="21"/>
              </w:rPr>
              <w:t>40°</w:t>
            </w:r>
            <w:r>
              <w:rPr>
                <w:rFonts w:hint="eastAsia" w:cs="Times New Roman"/>
                <w:b w:val="0"/>
                <w:bCs/>
                <w:sz w:val="21"/>
                <w:szCs w:val="21"/>
              </w:rPr>
              <w:t>2</w:t>
            </w:r>
            <w:r>
              <w:rPr>
                <w:rFonts w:cs="Times New Roman"/>
                <w:b w:val="0"/>
                <w:bCs/>
                <w:sz w:val="21"/>
                <w:szCs w:val="21"/>
              </w:rPr>
              <w:t>'</w:t>
            </w:r>
            <w:r>
              <w:rPr>
                <w:rFonts w:hint="eastAsia" w:cs="Times New Roman"/>
                <w:b w:val="0"/>
                <w:bCs/>
                <w:sz w:val="21"/>
                <w:szCs w:val="21"/>
              </w:rPr>
              <w:t>47.64</w:t>
            </w:r>
            <w:r>
              <w:rPr>
                <w:rFonts w:cs="Times New Roman"/>
                <w:b w:val="0"/>
                <w:bCs/>
                <w:sz w:val="21"/>
                <w:szCs w:val="21"/>
              </w:rPr>
              <w:t>"</w:t>
            </w:r>
          </w:p>
        </w:tc>
        <w:tc>
          <w:tcPr>
            <w:tcW w:w="670" w:type="dxa"/>
            <w:vAlign w:val="center"/>
          </w:tcPr>
          <w:p w14:paraId="301C0243">
            <w:pPr>
              <w:pStyle w:val="743"/>
              <w:rPr>
                <w:rFonts w:cs="Times New Roman"/>
                <w:b w:val="0"/>
                <w:bCs/>
                <w:sz w:val="21"/>
                <w:szCs w:val="21"/>
              </w:rPr>
            </w:pPr>
            <w:r>
              <w:rPr>
                <w:rFonts w:hint="eastAsia" w:cs="Times New Roman"/>
                <w:b w:val="0"/>
                <w:bCs/>
                <w:sz w:val="21"/>
                <w:szCs w:val="21"/>
              </w:rPr>
              <w:t>1091</w:t>
            </w:r>
          </w:p>
        </w:tc>
        <w:tc>
          <w:tcPr>
            <w:tcW w:w="670" w:type="dxa"/>
            <w:vAlign w:val="center"/>
          </w:tcPr>
          <w:p w14:paraId="7F85D794">
            <w:pPr>
              <w:pStyle w:val="743"/>
              <w:rPr>
                <w:rFonts w:cs="Times New Roman"/>
                <w:b w:val="0"/>
                <w:bCs/>
                <w:sz w:val="21"/>
                <w:szCs w:val="21"/>
              </w:rPr>
            </w:pPr>
            <w:r>
              <w:rPr>
                <w:rFonts w:hint="eastAsia" w:cs="Times New Roman"/>
                <w:b w:val="0"/>
                <w:bCs/>
                <w:sz w:val="21"/>
                <w:szCs w:val="21"/>
              </w:rPr>
              <w:t>15</w:t>
            </w:r>
          </w:p>
        </w:tc>
        <w:tc>
          <w:tcPr>
            <w:tcW w:w="670" w:type="dxa"/>
            <w:vAlign w:val="center"/>
          </w:tcPr>
          <w:p w14:paraId="433F0BF1">
            <w:pPr>
              <w:pStyle w:val="743"/>
              <w:rPr>
                <w:rFonts w:cs="Times New Roman"/>
                <w:b w:val="0"/>
                <w:bCs/>
                <w:sz w:val="21"/>
                <w:szCs w:val="21"/>
              </w:rPr>
            </w:pPr>
            <w:r>
              <w:rPr>
                <w:rFonts w:hint="eastAsia" w:cs="Times New Roman"/>
                <w:b w:val="0"/>
                <w:bCs/>
                <w:sz w:val="21"/>
                <w:szCs w:val="21"/>
              </w:rPr>
              <w:t>1076</w:t>
            </w:r>
          </w:p>
        </w:tc>
        <w:tc>
          <w:tcPr>
            <w:tcW w:w="671" w:type="dxa"/>
            <w:vAlign w:val="center"/>
          </w:tcPr>
          <w:p w14:paraId="1EA52076">
            <w:pPr>
              <w:pStyle w:val="743"/>
              <w:rPr>
                <w:rFonts w:cs="Times New Roman"/>
                <w:b w:val="0"/>
                <w:bCs/>
                <w:sz w:val="21"/>
                <w:szCs w:val="21"/>
              </w:rPr>
            </w:pPr>
            <w:r>
              <w:rPr>
                <w:rFonts w:hint="eastAsia" w:cs="Times New Roman"/>
                <w:b w:val="0"/>
                <w:bCs/>
                <w:sz w:val="21"/>
                <w:szCs w:val="21"/>
              </w:rPr>
              <w:t>西北</w:t>
            </w:r>
          </w:p>
        </w:tc>
        <w:tc>
          <w:tcPr>
            <w:tcW w:w="725" w:type="dxa"/>
            <w:vAlign w:val="center"/>
          </w:tcPr>
          <w:p w14:paraId="74235942">
            <w:pPr>
              <w:pStyle w:val="743"/>
              <w:rPr>
                <w:rFonts w:cs="Times New Roman"/>
                <w:b w:val="0"/>
                <w:bCs/>
                <w:sz w:val="21"/>
                <w:szCs w:val="21"/>
              </w:rPr>
            </w:pPr>
            <w:r>
              <w:rPr>
                <w:rFonts w:hint="eastAsia" w:cs="Times New Roman"/>
                <w:b w:val="0"/>
                <w:bCs/>
                <w:sz w:val="21"/>
                <w:szCs w:val="21"/>
              </w:rPr>
              <w:t>3216</w:t>
            </w:r>
          </w:p>
        </w:tc>
        <w:tc>
          <w:tcPr>
            <w:tcW w:w="672" w:type="dxa"/>
            <w:vAlign w:val="center"/>
          </w:tcPr>
          <w:p w14:paraId="6136C1BA">
            <w:pPr>
              <w:pStyle w:val="743"/>
              <w:rPr>
                <w:rFonts w:cs="Times New Roman"/>
                <w:b w:val="0"/>
                <w:bCs/>
                <w:sz w:val="21"/>
                <w:szCs w:val="21"/>
              </w:rPr>
            </w:pPr>
            <w:r>
              <w:rPr>
                <w:rFonts w:hint="eastAsia" w:cs="Times New Roman"/>
                <w:b w:val="0"/>
                <w:bCs/>
                <w:sz w:val="21"/>
                <w:szCs w:val="21"/>
              </w:rPr>
              <w:t>饮用</w:t>
            </w:r>
          </w:p>
        </w:tc>
      </w:tr>
    </w:tbl>
    <w:p w14:paraId="235CEF60">
      <w:pPr>
        <w:pStyle w:val="104"/>
        <w:ind w:firstLine="0" w:firstLineChars="0"/>
        <w:rPr>
          <w:bCs/>
          <w:sz w:val="10"/>
          <w:szCs w:val="10"/>
        </w:rPr>
      </w:pPr>
    </w:p>
    <w:p w14:paraId="39973780">
      <w:pPr>
        <w:pStyle w:val="104"/>
        <w:ind w:firstLine="0" w:firstLineChars="0"/>
        <w:jc w:val="center"/>
        <w:rPr>
          <w:bCs/>
        </w:rPr>
      </w:pPr>
      <w:r>
        <w:rPr>
          <w:rFonts w:hint="eastAsia"/>
          <w:bCs/>
        </w:rPr>
        <w:drawing>
          <wp:inline distT="0" distB="0" distL="114300" distR="114300">
            <wp:extent cx="5151755" cy="5930265"/>
            <wp:effectExtent l="0" t="0" r="4445" b="635"/>
            <wp:docPr id="88" name="图片 88" descr="E:/11/养鸡/复核/图/地下水布点.png地下水布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E:/11/养鸡/复核/图/地下水布点.png地下水布点"/>
                    <pic:cNvPicPr>
                      <a:picLocks noChangeAspect="1"/>
                    </pic:cNvPicPr>
                  </pic:nvPicPr>
                  <pic:blipFill>
                    <a:blip r:embed="rId46"/>
                    <a:srcRect t="517" b="70"/>
                    <a:stretch>
                      <a:fillRect/>
                    </a:stretch>
                  </pic:blipFill>
                  <pic:spPr>
                    <a:xfrm>
                      <a:off x="0" y="0"/>
                      <a:ext cx="5151755" cy="5930265"/>
                    </a:xfrm>
                    <a:prstGeom prst="rect">
                      <a:avLst/>
                    </a:prstGeom>
                  </pic:spPr>
                </pic:pic>
              </a:graphicData>
            </a:graphic>
          </wp:inline>
        </w:drawing>
      </w:r>
    </w:p>
    <w:p w14:paraId="56780E6F">
      <w:pPr>
        <w:pStyle w:val="743"/>
      </w:pPr>
      <w:r>
        <w:rPr>
          <w:rFonts w:hint="eastAsia"/>
        </w:rPr>
        <w:t>图4.3-1 地下水现状监测布点图</w:t>
      </w:r>
    </w:p>
    <w:bookmarkEnd w:id="295"/>
    <w:p w14:paraId="2AB76E4E">
      <w:pPr>
        <w:pStyle w:val="104"/>
        <w:ind w:firstLine="482"/>
        <w:rPr>
          <w:b/>
        </w:rPr>
      </w:pPr>
      <w:r>
        <w:rPr>
          <w:b/>
        </w:rPr>
        <w:t>2、监测时间及频次</w:t>
      </w:r>
    </w:p>
    <w:p w14:paraId="50F9398D">
      <w:pPr>
        <w:pStyle w:val="105"/>
        <w:ind w:firstLine="480"/>
        <w:rPr>
          <w:kern w:val="24"/>
          <w:lang w:bidi="en-US"/>
        </w:rPr>
      </w:pPr>
      <w:r>
        <w:rPr>
          <w:kern w:val="24"/>
          <w:lang w:bidi="en-US"/>
        </w:rPr>
        <w:t>监测时间为</w:t>
      </w:r>
      <w:r>
        <w:rPr>
          <w:szCs w:val="22"/>
        </w:rPr>
        <w:t>2023年6月</w:t>
      </w:r>
      <w:r>
        <w:rPr>
          <w:kern w:val="24"/>
          <w:lang w:bidi="en-US"/>
        </w:rPr>
        <w:t>，取样监测1次。</w:t>
      </w:r>
    </w:p>
    <w:p w14:paraId="61609CD8">
      <w:pPr>
        <w:pStyle w:val="104"/>
        <w:ind w:firstLine="482"/>
        <w:rPr>
          <w:b/>
        </w:rPr>
      </w:pPr>
      <w:bookmarkStart w:id="296" w:name="_Toc19829"/>
      <w:r>
        <w:rPr>
          <w:b/>
        </w:rPr>
        <w:t>3、监测项目及分析方法</w:t>
      </w:r>
    </w:p>
    <w:p w14:paraId="54695BC2">
      <w:pPr>
        <w:pStyle w:val="105"/>
        <w:ind w:firstLine="480"/>
      </w:pPr>
      <w:r>
        <w:t>地下水监测项目及分析方法详见表4.3-2。</w:t>
      </w:r>
    </w:p>
    <w:p w14:paraId="2D2925C8">
      <w:pPr>
        <w:pStyle w:val="756"/>
        <w:rPr>
          <w:szCs w:val="24"/>
        </w:rPr>
      </w:pPr>
      <w:r>
        <w:rPr>
          <w:szCs w:val="24"/>
        </w:rPr>
        <w:t xml:space="preserve">表4.3-2  </w:t>
      </w:r>
      <w:r>
        <w:t>检测项目、分析方法、仪器设备和检出限</w:t>
      </w:r>
    </w:p>
    <w:tbl>
      <w:tblPr>
        <w:tblStyle w:val="82"/>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577"/>
        <w:gridCol w:w="5440"/>
        <w:gridCol w:w="1573"/>
      </w:tblGrid>
      <w:tr w14:paraId="286A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64" w:type="dxa"/>
            <w:vAlign w:val="center"/>
          </w:tcPr>
          <w:p w14:paraId="63D4FA3E">
            <w:pPr>
              <w:pStyle w:val="751"/>
              <w:rPr>
                <w:bCs/>
                <w:color w:val="auto"/>
              </w:rPr>
            </w:pPr>
            <w:r>
              <w:rPr>
                <w:color w:val="auto"/>
              </w:rPr>
              <w:t>序号</w:t>
            </w:r>
          </w:p>
        </w:tc>
        <w:tc>
          <w:tcPr>
            <w:tcW w:w="1577" w:type="dxa"/>
            <w:vAlign w:val="center"/>
          </w:tcPr>
          <w:p w14:paraId="7C289F59">
            <w:pPr>
              <w:pStyle w:val="751"/>
              <w:rPr>
                <w:bCs/>
                <w:color w:val="auto"/>
              </w:rPr>
            </w:pPr>
            <w:r>
              <w:rPr>
                <w:color w:val="auto"/>
              </w:rPr>
              <w:t>检测项目</w:t>
            </w:r>
          </w:p>
        </w:tc>
        <w:tc>
          <w:tcPr>
            <w:tcW w:w="5440" w:type="dxa"/>
            <w:vAlign w:val="center"/>
          </w:tcPr>
          <w:p w14:paraId="088E60A5">
            <w:pPr>
              <w:pStyle w:val="751"/>
              <w:rPr>
                <w:bCs/>
                <w:color w:val="auto"/>
              </w:rPr>
            </w:pPr>
            <w:r>
              <w:rPr>
                <w:color w:val="auto"/>
              </w:rPr>
              <w:t>方法</w:t>
            </w:r>
          </w:p>
        </w:tc>
        <w:tc>
          <w:tcPr>
            <w:tcW w:w="1573" w:type="dxa"/>
            <w:vAlign w:val="center"/>
          </w:tcPr>
          <w:p w14:paraId="56E4AF24">
            <w:pPr>
              <w:pStyle w:val="751"/>
              <w:rPr>
                <w:bCs/>
                <w:color w:val="auto"/>
              </w:rPr>
            </w:pPr>
            <w:r>
              <w:rPr>
                <w:color w:val="auto"/>
              </w:rPr>
              <w:t>检出限</w:t>
            </w:r>
          </w:p>
        </w:tc>
      </w:tr>
      <w:tr w14:paraId="4BE4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103D25E1">
            <w:pPr>
              <w:pStyle w:val="751"/>
              <w:rPr>
                <w:b/>
                <w:color w:val="auto"/>
              </w:rPr>
            </w:pPr>
            <w:r>
              <w:rPr>
                <w:color w:val="auto"/>
              </w:rPr>
              <w:t>1</w:t>
            </w:r>
          </w:p>
        </w:tc>
        <w:tc>
          <w:tcPr>
            <w:tcW w:w="1577" w:type="dxa"/>
            <w:vAlign w:val="center"/>
          </w:tcPr>
          <w:p w14:paraId="7C6BCA39">
            <w:pPr>
              <w:pStyle w:val="751"/>
              <w:rPr>
                <w:b/>
                <w:color w:val="auto"/>
              </w:rPr>
            </w:pPr>
            <w:r>
              <w:rPr>
                <w:rFonts w:hint="eastAsia"/>
                <w:color w:val="auto"/>
              </w:rPr>
              <w:t>钾</w:t>
            </w:r>
          </w:p>
        </w:tc>
        <w:tc>
          <w:tcPr>
            <w:tcW w:w="5440" w:type="dxa"/>
            <w:vAlign w:val="center"/>
          </w:tcPr>
          <w:p w14:paraId="5D55356A">
            <w:pPr>
              <w:pStyle w:val="751"/>
              <w:rPr>
                <w:b/>
                <w:color w:val="auto"/>
              </w:rPr>
            </w:pPr>
            <w:r>
              <w:rPr>
                <w:rFonts w:hint="eastAsia"/>
                <w:color w:val="auto"/>
                <w:spacing w:val="-11"/>
              </w:rPr>
              <w:t>《水质 32种元素的测定 电感耦合等离子体发射光谱法》HJ776-2015</w:t>
            </w:r>
          </w:p>
        </w:tc>
        <w:tc>
          <w:tcPr>
            <w:tcW w:w="1573" w:type="dxa"/>
            <w:vAlign w:val="center"/>
          </w:tcPr>
          <w:p w14:paraId="5A5D1143">
            <w:pPr>
              <w:pStyle w:val="751"/>
              <w:rPr>
                <w:b/>
                <w:color w:val="auto"/>
              </w:rPr>
            </w:pPr>
            <w:r>
              <w:rPr>
                <w:rFonts w:hint="eastAsia"/>
                <w:color w:val="auto"/>
              </w:rPr>
              <w:t>0.05mg/L</w:t>
            </w:r>
          </w:p>
        </w:tc>
      </w:tr>
      <w:tr w14:paraId="6705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557F04C1">
            <w:pPr>
              <w:pStyle w:val="751"/>
              <w:rPr>
                <w:b/>
                <w:color w:val="auto"/>
              </w:rPr>
            </w:pPr>
            <w:r>
              <w:rPr>
                <w:color w:val="auto"/>
              </w:rPr>
              <w:t>2</w:t>
            </w:r>
          </w:p>
        </w:tc>
        <w:tc>
          <w:tcPr>
            <w:tcW w:w="1577" w:type="dxa"/>
            <w:vAlign w:val="center"/>
          </w:tcPr>
          <w:p w14:paraId="17382EB6">
            <w:pPr>
              <w:pStyle w:val="751"/>
              <w:rPr>
                <w:b/>
                <w:color w:val="auto"/>
              </w:rPr>
            </w:pPr>
            <w:r>
              <w:rPr>
                <w:rFonts w:hint="eastAsia"/>
                <w:color w:val="auto"/>
                <w:position w:val="-4"/>
              </w:rPr>
              <w:t>钠</w:t>
            </w:r>
          </w:p>
        </w:tc>
        <w:tc>
          <w:tcPr>
            <w:tcW w:w="5440" w:type="dxa"/>
            <w:vAlign w:val="center"/>
          </w:tcPr>
          <w:p w14:paraId="19F4C28E">
            <w:pPr>
              <w:pStyle w:val="751"/>
              <w:rPr>
                <w:b/>
                <w:color w:val="auto"/>
              </w:rPr>
            </w:pPr>
            <w:r>
              <w:rPr>
                <w:rFonts w:hint="eastAsia"/>
                <w:color w:val="auto"/>
                <w:spacing w:val="-11"/>
              </w:rPr>
              <w:t>《水质 32种元素的测定 电感耦合等离子体发射光谱法》HJ776-2015</w:t>
            </w:r>
          </w:p>
        </w:tc>
        <w:tc>
          <w:tcPr>
            <w:tcW w:w="1573" w:type="dxa"/>
            <w:vAlign w:val="center"/>
          </w:tcPr>
          <w:p w14:paraId="278CA238">
            <w:pPr>
              <w:pStyle w:val="751"/>
              <w:rPr>
                <w:b/>
                <w:color w:val="auto"/>
              </w:rPr>
            </w:pPr>
            <w:r>
              <w:rPr>
                <w:rFonts w:hint="eastAsia"/>
                <w:color w:val="auto"/>
              </w:rPr>
              <w:t>0.12mg/L</w:t>
            </w:r>
          </w:p>
        </w:tc>
      </w:tr>
      <w:tr w14:paraId="786D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1F9409D4">
            <w:pPr>
              <w:pStyle w:val="751"/>
              <w:rPr>
                <w:b/>
                <w:color w:val="auto"/>
              </w:rPr>
            </w:pPr>
            <w:r>
              <w:rPr>
                <w:color w:val="auto"/>
              </w:rPr>
              <w:t>3</w:t>
            </w:r>
          </w:p>
        </w:tc>
        <w:tc>
          <w:tcPr>
            <w:tcW w:w="1577" w:type="dxa"/>
            <w:vAlign w:val="center"/>
          </w:tcPr>
          <w:p w14:paraId="4C6FA197">
            <w:pPr>
              <w:pStyle w:val="751"/>
              <w:rPr>
                <w:b/>
                <w:color w:val="auto"/>
              </w:rPr>
            </w:pPr>
            <w:r>
              <w:rPr>
                <w:rFonts w:hint="eastAsia"/>
                <w:color w:val="auto"/>
              </w:rPr>
              <w:t>钙</w:t>
            </w:r>
          </w:p>
        </w:tc>
        <w:tc>
          <w:tcPr>
            <w:tcW w:w="5440" w:type="dxa"/>
            <w:vAlign w:val="center"/>
          </w:tcPr>
          <w:p w14:paraId="735150A4">
            <w:pPr>
              <w:pStyle w:val="751"/>
              <w:rPr>
                <w:b/>
                <w:color w:val="auto"/>
              </w:rPr>
            </w:pPr>
            <w:r>
              <w:rPr>
                <w:rFonts w:hint="eastAsia"/>
                <w:color w:val="auto"/>
                <w:spacing w:val="-11"/>
              </w:rPr>
              <w:t>《水质 32种元素的测定 电感耦合等离子体发射光谱法》HJ776-2015</w:t>
            </w:r>
          </w:p>
        </w:tc>
        <w:tc>
          <w:tcPr>
            <w:tcW w:w="1573" w:type="dxa"/>
            <w:vAlign w:val="center"/>
          </w:tcPr>
          <w:p w14:paraId="40D9ECF2">
            <w:pPr>
              <w:pStyle w:val="751"/>
              <w:rPr>
                <w:b/>
                <w:color w:val="auto"/>
              </w:rPr>
            </w:pPr>
            <w:r>
              <w:rPr>
                <w:rFonts w:hint="eastAsia"/>
                <w:color w:val="auto"/>
              </w:rPr>
              <w:t>0.02mg/L</w:t>
            </w:r>
          </w:p>
        </w:tc>
      </w:tr>
      <w:tr w14:paraId="5EBA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1B44E713">
            <w:pPr>
              <w:pStyle w:val="751"/>
              <w:rPr>
                <w:b/>
                <w:color w:val="auto"/>
              </w:rPr>
            </w:pPr>
            <w:r>
              <w:rPr>
                <w:color w:val="auto"/>
              </w:rPr>
              <w:t>4</w:t>
            </w:r>
          </w:p>
        </w:tc>
        <w:tc>
          <w:tcPr>
            <w:tcW w:w="1577" w:type="dxa"/>
            <w:vAlign w:val="center"/>
          </w:tcPr>
          <w:p w14:paraId="47628DFE">
            <w:pPr>
              <w:pStyle w:val="751"/>
              <w:rPr>
                <w:b/>
                <w:color w:val="auto"/>
              </w:rPr>
            </w:pPr>
            <w:r>
              <w:rPr>
                <w:rFonts w:hint="eastAsia"/>
                <w:color w:val="auto"/>
              </w:rPr>
              <w:t>镁</w:t>
            </w:r>
          </w:p>
        </w:tc>
        <w:tc>
          <w:tcPr>
            <w:tcW w:w="5440" w:type="dxa"/>
            <w:vAlign w:val="center"/>
          </w:tcPr>
          <w:p w14:paraId="025E862A">
            <w:pPr>
              <w:pStyle w:val="751"/>
              <w:rPr>
                <w:b/>
                <w:color w:val="auto"/>
              </w:rPr>
            </w:pPr>
            <w:r>
              <w:rPr>
                <w:rFonts w:hint="eastAsia"/>
                <w:color w:val="auto"/>
                <w:spacing w:val="-11"/>
              </w:rPr>
              <w:t>《水质 32种元素的测定 电感耦合等离子体发射光谱法》HJ776-2015</w:t>
            </w:r>
          </w:p>
        </w:tc>
        <w:tc>
          <w:tcPr>
            <w:tcW w:w="1573" w:type="dxa"/>
            <w:vAlign w:val="center"/>
          </w:tcPr>
          <w:p w14:paraId="63E34DC5">
            <w:pPr>
              <w:pStyle w:val="751"/>
              <w:rPr>
                <w:b/>
                <w:color w:val="auto"/>
              </w:rPr>
            </w:pPr>
            <w:r>
              <w:rPr>
                <w:rFonts w:hint="eastAsia"/>
                <w:color w:val="auto"/>
              </w:rPr>
              <w:t>0.003mg/L</w:t>
            </w:r>
          </w:p>
        </w:tc>
      </w:tr>
      <w:tr w14:paraId="62CE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64" w:type="dxa"/>
            <w:vAlign w:val="center"/>
          </w:tcPr>
          <w:p w14:paraId="7F082200">
            <w:pPr>
              <w:pStyle w:val="751"/>
              <w:rPr>
                <w:b/>
                <w:color w:val="auto"/>
              </w:rPr>
            </w:pPr>
            <w:r>
              <w:rPr>
                <w:color w:val="auto"/>
              </w:rPr>
              <w:t>5</w:t>
            </w:r>
          </w:p>
        </w:tc>
        <w:tc>
          <w:tcPr>
            <w:tcW w:w="1577" w:type="dxa"/>
            <w:vAlign w:val="center"/>
          </w:tcPr>
          <w:p w14:paraId="64CA22F3">
            <w:pPr>
              <w:pStyle w:val="751"/>
              <w:rPr>
                <w:b/>
                <w:color w:val="auto"/>
              </w:rPr>
            </w:pPr>
            <w:r>
              <w:rPr>
                <w:color w:val="auto"/>
              </w:rPr>
              <w:t>碳酸盐</w:t>
            </w:r>
          </w:p>
        </w:tc>
        <w:tc>
          <w:tcPr>
            <w:tcW w:w="5440" w:type="dxa"/>
            <w:vAlign w:val="center"/>
          </w:tcPr>
          <w:p w14:paraId="7969B9B8">
            <w:pPr>
              <w:pStyle w:val="751"/>
              <w:rPr>
                <w:b/>
                <w:color w:val="auto"/>
              </w:rPr>
            </w:pPr>
            <w:r>
              <w:rPr>
                <w:rFonts w:hint="eastAsia"/>
                <w:color w:val="auto"/>
              </w:rPr>
              <w:t>《地下水质分析方法 第49部分:碳酸根、重碳酸根和氢氧根离子的测定滴定法》DZ/T0064.49-2021</w:t>
            </w:r>
          </w:p>
        </w:tc>
        <w:tc>
          <w:tcPr>
            <w:tcW w:w="1573" w:type="dxa"/>
            <w:vAlign w:val="center"/>
          </w:tcPr>
          <w:p w14:paraId="3DB6DC8C">
            <w:pPr>
              <w:pStyle w:val="751"/>
              <w:rPr>
                <w:b/>
                <w:color w:val="auto"/>
              </w:rPr>
            </w:pPr>
            <w:r>
              <w:rPr>
                <w:rFonts w:hint="eastAsia"/>
                <w:color w:val="auto"/>
              </w:rPr>
              <w:t>5</w:t>
            </w:r>
            <w:r>
              <w:rPr>
                <w:color w:val="auto"/>
              </w:rPr>
              <w:t>mg/L</w:t>
            </w:r>
          </w:p>
        </w:tc>
      </w:tr>
      <w:tr w14:paraId="3E16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64" w:type="dxa"/>
            <w:vAlign w:val="center"/>
          </w:tcPr>
          <w:p w14:paraId="74A1E27E">
            <w:pPr>
              <w:pStyle w:val="751"/>
              <w:rPr>
                <w:b/>
                <w:color w:val="auto"/>
              </w:rPr>
            </w:pPr>
            <w:r>
              <w:rPr>
                <w:color w:val="auto"/>
              </w:rPr>
              <w:t>6</w:t>
            </w:r>
          </w:p>
        </w:tc>
        <w:tc>
          <w:tcPr>
            <w:tcW w:w="1577" w:type="dxa"/>
            <w:vAlign w:val="center"/>
          </w:tcPr>
          <w:p w14:paraId="2424351F">
            <w:pPr>
              <w:pStyle w:val="751"/>
              <w:rPr>
                <w:b/>
                <w:color w:val="auto"/>
              </w:rPr>
            </w:pPr>
            <w:r>
              <w:rPr>
                <w:color w:val="auto"/>
              </w:rPr>
              <w:t>重碳酸盐</w:t>
            </w:r>
          </w:p>
        </w:tc>
        <w:tc>
          <w:tcPr>
            <w:tcW w:w="5440" w:type="dxa"/>
            <w:vAlign w:val="center"/>
          </w:tcPr>
          <w:p w14:paraId="7DFFFE96">
            <w:pPr>
              <w:pStyle w:val="751"/>
              <w:rPr>
                <w:b/>
                <w:color w:val="auto"/>
              </w:rPr>
            </w:pPr>
            <w:r>
              <w:rPr>
                <w:rFonts w:hint="eastAsia"/>
                <w:color w:val="auto"/>
              </w:rPr>
              <w:t>《地下水质分析方法 第49部分:碳酸根、重碳酸根和氢氧根离子的测定滴定法》DZ/T0064.49-2021</w:t>
            </w:r>
          </w:p>
        </w:tc>
        <w:tc>
          <w:tcPr>
            <w:tcW w:w="1573" w:type="dxa"/>
            <w:vAlign w:val="center"/>
          </w:tcPr>
          <w:p w14:paraId="12A0CBDF">
            <w:pPr>
              <w:pStyle w:val="751"/>
              <w:rPr>
                <w:b/>
                <w:color w:val="auto"/>
              </w:rPr>
            </w:pPr>
            <w:r>
              <w:rPr>
                <w:rFonts w:hint="eastAsia"/>
                <w:color w:val="auto"/>
              </w:rPr>
              <w:t>5</w:t>
            </w:r>
            <w:r>
              <w:rPr>
                <w:color w:val="auto"/>
              </w:rPr>
              <w:t>mg/L</w:t>
            </w:r>
          </w:p>
        </w:tc>
      </w:tr>
      <w:tr w14:paraId="7E75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664" w:type="dxa"/>
            <w:vAlign w:val="center"/>
          </w:tcPr>
          <w:p w14:paraId="70FD9063">
            <w:pPr>
              <w:pStyle w:val="751"/>
              <w:rPr>
                <w:b/>
                <w:color w:val="auto"/>
              </w:rPr>
            </w:pPr>
            <w:r>
              <w:rPr>
                <w:color w:val="auto"/>
              </w:rPr>
              <w:t>7</w:t>
            </w:r>
          </w:p>
        </w:tc>
        <w:tc>
          <w:tcPr>
            <w:tcW w:w="1577" w:type="dxa"/>
            <w:vAlign w:val="center"/>
          </w:tcPr>
          <w:p w14:paraId="026CB506">
            <w:pPr>
              <w:pStyle w:val="751"/>
              <w:rPr>
                <w:b/>
                <w:color w:val="auto"/>
              </w:rPr>
            </w:pPr>
            <w:r>
              <w:rPr>
                <w:rFonts w:hint="eastAsia"/>
                <w:color w:val="auto"/>
              </w:rPr>
              <w:t>氯化物（</w:t>
            </w:r>
            <w:r>
              <w:rPr>
                <w:color w:val="auto"/>
                <w:spacing w:val="-11"/>
              </w:rPr>
              <w:t>Cl</w:t>
            </w:r>
            <w:r>
              <w:rPr>
                <w:color w:val="auto"/>
                <w:spacing w:val="-11"/>
                <w:vertAlign w:val="superscript"/>
              </w:rPr>
              <w:t>-</w:t>
            </w:r>
            <w:r>
              <w:rPr>
                <w:rFonts w:hint="eastAsia"/>
                <w:color w:val="auto"/>
                <w:spacing w:val="-11"/>
              </w:rPr>
              <w:t>）</w:t>
            </w:r>
          </w:p>
        </w:tc>
        <w:tc>
          <w:tcPr>
            <w:tcW w:w="5440" w:type="dxa"/>
            <w:vAlign w:val="center"/>
          </w:tcPr>
          <w:p w14:paraId="0E7603B9">
            <w:pPr>
              <w:pStyle w:val="751"/>
              <w:rPr>
                <w:b/>
                <w:color w:val="auto"/>
              </w:rPr>
            </w:pPr>
            <w:r>
              <w:rPr>
                <w:color w:val="auto"/>
                <w:spacing w:val="-11"/>
              </w:rPr>
              <w:t>《水质 无机阴离子（F</w:t>
            </w:r>
            <w:r>
              <w:rPr>
                <w:color w:val="auto"/>
                <w:spacing w:val="-11"/>
                <w:vertAlign w:val="superscript"/>
              </w:rPr>
              <w:t>-</w:t>
            </w:r>
            <w:r>
              <w:rPr>
                <w:color w:val="auto"/>
                <w:spacing w:val="-11"/>
              </w:rPr>
              <w:t>、Cl</w:t>
            </w:r>
            <w:r>
              <w:rPr>
                <w:color w:val="auto"/>
                <w:spacing w:val="-11"/>
                <w:vertAlign w:val="superscript"/>
              </w:rPr>
              <w:t>-</w:t>
            </w:r>
            <w:r>
              <w:rPr>
                <w:color w:val="auto"/>
                <w:spacing w:val="-11"/>
              </w:rPr>
              <w:t>、NO</w:t>
            </w:r>
            <w:r>
              <w:rPr>
                <w:color w:val="auto"/>
                <w:spacing w:val="-11"/>
                <w:vertAlign w:val="subscript"/>
              </w:rPr>
              <w:t>2</w:t>
            </w:r>
            <w:r>
              <w:rPr>
                <w:color w:val="auto"/>
                <w:spacing w:val="-11"/>
                <w:vertAlign w:val="superscript"/>
              </w:rPr>
              <w:t>-</w:t>
            </w:r>
            <w:r>
              <w:rPr>
                <w:color w:val="auto"/>
                <w:spacing w:val="-11"/>
              </w:rPr>
              <w:t>、Br</w:t>
            </w:r>
            <w:r>
              <w:rPr>
                <w:rFonts w:hint="eastAsia"/>
                <w:color w:val="auto"/>
                <w:spacing w:val="-11"/>
              </w:rPr>
              <w:t xml:space="preserve"> </w:t>
            </w:r>
            <w:r>
              <w:rPr>
                <w:color w:val="auto"/>
                <w:spacing w:val="-11"/>
                <w:vertAlign w:val="superscript"/>
              </w:rPr>
              <w:t>-</w:t>
            </w:r>
            <w:r>
              <w:rPr>
                <w:color w:val="auto"/>
                <w:spacing w:val="-11"/>
              </w:rPr>
              <w:t>、NO</w:t>
            </w:r>
            <w:r>
              <w:rPr>
                <w:color w:val="auto"/>
                <w:spacing w:val="-11"/>
                <w:vertAlign w:val="subscript"/>
              </w:rPr>
              <w:t>3</w:t>
            </w:r>
            <w:r>
              <w:rPr>
                <w:color w:val="auto"/>
                <w:spacing w:val="-11"/>
                <w:vertAlign w:val="superscript"/>
              </w:rPr>
              <w:t>-</w:t>
            </w:r>
            <w:r>
              <w:rPr>
                <w:color w:val="auto"/>
                <w:spacing w:val="-11"/>
              </w:rPr>
              <w:t>、PO</w:t>
            </w:r>
            <w:r>
              <w:rPr>
                <w:color w:val="auto"/>
                <w:spacing w:val="-11"/>
                <w:vertAlign w:val="subscript"/>
              </w:rPr>
              <w:t>4</w:t>
            </w:r>
            <w:r>
              <w:rPr>
                <w:color w:val="auto"/>
                <w:spacing w:val="-11"/>
                <w:vertAlign w:val="superscript"/>
              </w:rPr>
              <w:t>3-</w:t>
            </w:r>
            <w:r>
              <w:rPr>
                <w:color w:val="auto"/>
                <w:spacing w:val="-11"/>
              </w:rPr>
              <w:t>、SO</w:t>
            </w:r>
            <w:r>
              <w:rPr>
                <w:color w:val="auto"/>
                <w:spacing w:val="-11"/>
                <w:vertAlign w:val="subscript"/>
              </w:rPr>
              <w:t>3</w:t>
            </w:r>
            <w:r>
              <w:rPr>
                <w:color w:val="auto"/>
                <w:spacing w:val="-11"/>
                <w:vertAlign w:val="superscript"/>
              </w:rPr>
              <w:t>2-</w:t>
            </w:r>
            <w:r>
              <w:rPr>
                <w:color w:val="auto"/>
                <w:spacing w:val="-11"/>
              </w:rPr>
              <w:t>、SO</w:t>
            </w:r>
            <w:r>
              <w:rPr>
                <w:color w:val="auto"/>
                <w:spacing w:val="-11"/>
                <w:vertAlign w:val="subscript"/>
              </w:rPr>
              <w:t>4</w:t>
            </w:r>
            <w:r>
              <w:rPr>
                <w:color w:val="auto"/>
                <w:spacing w:val="-11"/>
                <w:vertAlign w:val="superscript"/>
              </w:rPr>
              <w:t>2-</w:t>
            </w:r>
            <w:r>
              <w:rPr>
                <w:color w:val="auto"/>
                <w:spacing w:val="-11"/>
              </w:rPr>
              <w:t>）的测定离子色谱法》HJ/T 84-2016</w:t>
            </w:r>
          </w:p>
        </w:tc>
        <w:tc>
          <w:tcPr>
            <w:tcW w:w="1573" w:type="dxa"/>
            <w:vAlign w:val="center"/>
          </w:tcPr>
          <w:p w14:paraId="3DB67622">
            <w:pPr>
              <w:pStyle w:val="751"/>
              <w:rPr>
                <w:b/>
                <w:color w:val="auto"/>
              </w:rPr>
            </w:pPr>
            <w:r>
              <w:rPr>
                <w:color w:val="auto"/>
              </w:rPr>
              <w:t>0.</w:t>
            </w:r>
            <w:r>
              <w:rPr>
                <w:rFonts w:hint="eastAsia"/>
                <w:color w:val="auto"/>
              </w:rPr>
              <w:t>007</w:t>
            </w:r>
            <w:r>
              <w:rPr>
                <w:color w:val="auto"/>
              </w:rPr>
              <w:t>mg/L</w:t>
            </w:r>
          </w:p>
        </w:tc>
      </w:tr>
      <w:tr w14:paraId="39B7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664" w:type="dxa"/>
            <w:vAlign w:val="center"/>
          </w:tcPr>
          <w:p w14:paraId="3AC7FF76">
            <w:pPr>
              <w:pStyle w:val="751"/>
              <w:rPr>
                <w:b/>
                <w:color w:val="auto"/>
              </w:rPr>
            </w:pPr>
            <w:r>
              <w:rPr>
                <w:color w:val="auto"/>
              </w:rPr>
              <w:t>8</w:t>
            </w:r>
          </w:p>
        </w:tc>
        <w:tc>
          <w:tcPr>
            <w:tcW w:w="1577" w:type="dxa"/>
            <w:vAlign w:val="center"/>
          </w:tcPr>
          <w:p w14:paraId="053599B4">
            <w:pPr>
              <w:pStyle w:val="751"/>
              <w:rPr>
                <w:b/>
                <w:color w:val="auto"/>
              </w:rPr>
            </w:pPr>
            <w:r>
              <w:rPr>
                <w:rFonts w:hint="eastAsia"/>
                <w:color w:val="auto"/>
              </w:rPr>
              <w:t>硫酸盐(SO</w:t>
            </w:r>
            <w:r>
              <w:rPr>
                <w:rFonts w:hint="eastAsia"/>
                <w:color w:val="auto"/>
                <w:vertAlign w:val="subscript"/>
              </w:rPr>
              <w:t>4</w:t>
            </w:r>
            <w:r>
              <w:rPr>
                <w:rFonts w:hint="eastAsia"/>
                <w:color w:val="auto"/>
                <w:vertAlign w:val="superscript"/>
              </w:rPr>
              <w:t>2-</w:t>
            </w:r>
            <w:r>
              <w:rPr>
                <w:rFonts w:hint="eastAsia"/>
                <w:color w:val="auto"/>
              </w:rPr>
              <w:t>)</w:t>
            </w:r>
          </w:p>
        </w:tc>
        <w:tc>
          <w:tcPr>
            <w:tcW w:w="5440" w:type="dxa"/>
            <w:vAlign w:val="center"/>
          </w:tcPr>
          <w:p w14:paraId="795007F8">
            <w:pPr>
              <w:pStyle w:val="751"/>
              <w:rPr>
                <w:b/>
                <w:color w:val="auto"/>
              </w:rPr>
            </w:pPr>
            <w:r>
              <w:rPr>
                <w:rFonts w:hint="eastAsia"/>
                <w:color w:val="auto"/>
              </w:rPr>
              <w:t>《水质 无机阴离子（F</w:t>
            </w:r>
            <w:r>
              <w:rPr>
                <w:rFonts w:hint="eastAsia"/>
                <w:color w:val="auto"/>
                <w:vertAlign w:val="superscript"/>
              </w:rPr>
              <w:t>-</w:t>
            </w:r>
            <w:r>
              <w:rPr>
                <w:rFonts w:hint="eastAsia"/>
                <w:color w:val="auto"/>
              </w:rPr>
              <w:t>、Cl</w:t>
            </w:r>
            <w:r>
              <w:rPr>
                <w:rFonts w:hint="eastAsia"/>
                <w:color w:val="auto"/>
                <w:vertAlign w:val="superscript"/>
              </w:rPr>
              <w:t>-</w:t>
            </w:r>
            <w:r>
              <w:rPr>
                <w:rFonts w:hint="eastAsia"/>
                <w:color w:val="auto"/>
              </w:rPr>
              <w:t>、NO</w:t>
            </w:r>
            <w:r>
              <w:rPr>
                <w:rFonts w:hint="eastAsia"/>
                <w:color w:val="auto"/>
                <w:vertAlign w:val="subscript"/>
              </w:rPr>
              <w:t>2</w:t>
            </w:r>
            <w:r>
              <w:rPr>
                <w:rFonts w:hint="eastAsia"/>
                <w:color w:val="auto"/>
                <w:vertAlign w:val="superscript"/>
              </w:rPr>
              <w:t>-</w:t>
            </w:r>
            <w:r>
              <w:rPr>
                <w:rFonts w:hint="eastAsia"/>
                <w:color w:val="auto"/>
              </w:rPr>
              <w:t>、Br</w:t>
            </w:r>
            <w:r>
              <w:rPr>
                <w:rFonts w:hint="eastAsia"/>
                <w:color w:val="auto"/>
                <w:vertAlign w:val="superscript"/>
              </w:rPr>
              <w:t>-</w:t>
            </w:r>
            <w:r>
              <w:rPr>
                <w:rFonts w:hint="eastAsia"/>
                <w:color w:val="auto"/>
              </w:rPr>
              <w:t>、NO</w:t>
            </w:r>
            <w:r>
              <w:rPr>
                <w:rFonts w:hint="eastAsia"/>
                <w:color w:val="auto"/>
                <w:vertAlign w:val="subscript"/>
              </w:rPr>
              <w:t>3</w:t>
            </w:r>
            <w:r>
              <w:rPr>
                <w:rFonts w:hint="eastAsia"/>
                <w:color w:val="auto"/>
                <w:vertAlign w:val="superscript"/>
              </w:rPr>
              <w:t>-</w:t>
            </w:r>
            <w:r>
              <w:rPr>
                <w:rFonts w:hint="eastAsia"/>
                <w:color w:val="auto"/>
              </w:rPr>
              <w:t>、PO</w:t>
            </w:r>
            <w:r>
              <w:rPr>
                <w:rFonts w:hint="eastAsia"/>
                <w:color w:val="auto"/>
                <w:vertAlign w:val="subscript"/>
              </w:rPr>
              <w:t>4</w:t>
            </w:r>
            <w:r>
              <w:rPr>
                <w:rFonts w:hint="eastAsia"/>
                <w:color w:val="auto"/>
                <w:vertAlign w:val="superscript"/>
              </w:rPr>
              <w:t>3-</w:t>
            </w:r>
            <w:r>
              <w:rPr>
                <w:rFonts w:hint="eastAsia"/>
                <w:color w:val="auto"/>
              </w:rPr>
              <w:t>、SO</w:t>
            </w:r>
            <w:r>
              <w:rPr>
                <w:rFonts w:hint="eastAsia"/>
                <w:color w:val="auto"/>
                <w:vertAlign w:val="subscript"/>
              </w:rPr>
              <w:t>3</w:t>
            </w:r>
            <w:r>
              <w:rPr>
                <w:rFonts w:hint="eastAsia"/>
                <w:color w:val="auto"/>
                <w:vertAlign w:val="superscript"/>
              </w:rPr>
              <w:t>2-</w:t>
            </w:r>
            <w:r>
              <w:rPr>
                <w:rFonts w:hint="eastAsia"/>
                <w:color w:val="auto"/>
              </w:rPr>
              <w:t>、SO</w:t>
            </w:r>
            <w:r>
              <w:rPr>
                <w:rFonts w:hint="eastAsia"/>
                <w:color w:val="auto"/>
                <w:vertAlign w:val="subscript"/>
              </w:rPr>
              <w:t>4</w:t>
            </w:r>
            <w:r>
              <w:rPr>
                <w:rFonts w:hint="eastAsia"/>
                <w:color w:val="auto"/>
                <w:vertAlign w:val="superscript"/>
              </w:rPr>
              <w:t>2-</w:t>
            </w:r>
            <w:r>
              <w:rPr>
                <w:rFonts w:hint="eastAsia"/>
                <w:color w:val="auto"/>
              </w:rPr>
              <w:t>）的测定离子色谱法》HJ/T 84-2016</w:t>
            </w:r>
          </w:p>
        </w:tc>
        <w:tc>
          <w:tcPr>
            <w:tcW w:w="1573" w:type="dxa"/>
            <w:vAlign w:val="center"/>
          </w:tcPr>
          <w:p w14:paraId="1B457A85">
            <w:pPr>
              <w:pStyle w:val="751"/>
              <w:rPr>
                <w:b/>
                <w:color w:val="auto"/>
              </w:rPr>
            </w:pPr>
            <w:r>
              <w:rPr>
                <w:rFonts w:hint="eastAsia"/>
                <w:color w:val="auto"/>
              </w:rPr>
              <w:t>0.018mg/L</w:t>
            </w:r>
          </w:p>
        </w:tc>
      </w:tr>
      <w:tr w14:paraId="392C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64" w:type="dxa"/>
            <w:vAlign w:val="center"/>
          </w:tcPr>
          <w:p w14:paraId="4829FBD8">
            <w:pPr>
              <w:pStyle w:val="751"/>
              <w:rPr>
                <w:b/>
                <w:color w:val="auto"/>
              </w:rPr>
            </w:pPr>
            <w:r>
              <w:rPr>
                <w:color w:val="auto"/>
              </w:rPr>
              <w:t>9</w:t>
            </w:r>
          </w:p>
        </w:tc>
        <w:tc>
          <w:tcPr>
            <w:tcW w:w="1577" w:type="dxa"/>
            <w:vAlign w:val="center"/>
          </w:tcPr>
          <w:p w14:paraId="4B49E379">
            <w:pPr>
              <w:pStyle w:val="751"/>
              <w:rPr>
                <w:b/>
                <w:color w:val="auto"/>
              </w:rPr>
            </w:pPr>
            <w:r>
              <w:rPr>
                <w:rFonts w:hint="eastAsia"/>
                <w:color w:val="auto"/>
              </w:rPr>
              <w:t>p</w:t>
            </w:r>
            <w:r>
              <w:rPr>
                <w:color w:val="auto"/>
              </w:rPr>
              <w:t>H值</w:t>
            </w:r>
          </w:p>
        </w:tc>
        <w:tc>
          <w:tcPr>
            <w:tcW w:w="5440" w:type="dxa"/>
            <w:vAlign w:val="center"/>
          </w:tcPr>
          <w:p w14:paraId="2B2661FE">
            <w:pPr>
              <w:pStyle w:val="751"/>
              <w:rPr>
                <w:b/>
                <w:color w:val="auto"/>
              </w:rPr>
            </w:pPr>
            <w:r>
              <w:rPr>
                <w:color w:val="auto"/>
              </w:rPr>
              <w:t>《水质PH</w:t>
            </w:r>
            <w:r>
              <w:rPr>
                <w:rFonts w:hint="eastAsia"/>
                <w:color w:val="auto"/>
              </w:rPr>
              <w:t>值</w:t>
            </w:r>
            <w:r>
              <w:rPr>
                <w:color w:val="auto"/>
              </w:rPr>
              <w:t>的测定》</w:t>
            </w:r>
            <w:r>
              <w:rPr>
                <w:rFonts w:hint="eastAsia"/>
                <w:color w:val="auto"/>
              </w:rPr>
              <w:t>HJ1147-2020</w:t>
            </w:r>
          </w:p>
        </w:tc>
        <w:tc>
          <w:tcPr>
            <w:tcW w:w="1573" w:type="dxa"/>
            <w:vAlign w:val="center"/>
          </w:tcPr>
          <w:p w14:paraId="407833CD">
            <w:pPr>
              <w:pStyle w:val="751"/>
              <w:rPr>
                <w:b/>
                <w:color w:val="auto"/>
              </w:rPr>
            </w:pPr>
            <w:r>
              <w:rPr>
                <w:color w:val="auto"/>
              </w:rPr>
              <w:t>--</w:t>
            </w:r>
          </w:p>
        </w:tc>
      </w:tr>
      <w:tr w14:paraId="3A83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64" w:type="dxa"/>
            <w:vAlign w:val="center"/>
          </w:tcPr>
          <w:p w14:paraId="0AA079B8">
            <w:pPr>
              <w:pStyle w:val="751"/>
              <w:rPr>
                <w:b/>
                <w:color w:val="auto"/>
              </w:rPr>
            </w:pPr>
            <w:r>
              <w:rPr>
                <w:color w:val="auto"/>
              </w:rPr>
              <w:t>10</w:t>
            </w:r>
          </w:p>
        </w:tc>
        <w:tc>
          <w:tcPr>
            <w:tcW w:w="1577" w:type="dxa"/>
            <w:vAlign w:val="center"/>
          </w:tcPr>
          <w:p w14:paraId="2EA6B1FA">
            <w:pPr>
              <w:pStyle w:val="751"/>
              <w:rPr>
                <w:b/>
                <w:color w:val="auto"/>
              </w:rPr>
            </w:pPr>
            <w:r>
              <w:rPr>
                <w:color w:val="auto"/>
              </w:rPr>
              <w:t>总硬度</w:t>
            </w:r>
          </w:p>
        </w:tc>
        <w:tc>
          <w:tcPr>
            <w:tcW w:w="5440" w:type="dxa"/>
            <w:vAlign w:val="center"/>
          </w:tcPr>
          <w:p w14:paraId="0A5B464B">
            <w:pPr>
              <w:pStyle w:val="751"/>
              <w:rPr>
                <w:b/>
                <w:color w:val="auto"/>
              </w:rPr>
            </w:pPr>
            <w:r>
              <w:rPr>
                <w:color w:val="auto"/>
              </w:rPr>
              <w:t>《水质钙和镁总量的测定 EDTA滴定法》GB 7477-1987</w:t>
            </w:r>
          </w:p>
        </w:tc>
        <w:tc>
          <w:tcPr>
            <w:tcW w:w="1573" w:type="dxa"/>
            <w:vAlign w:val="center"/>
          </w:tcPr>
          <w:p w14:paraId="243D2CA5">
            <w:pPr>
              <w:pStyle w:val="751"/>
              <w:rPr>
                <w:b/>
                <w:color w:val="auto"/>
              </w:rPr>
            </w:pPr>
            <w:r>
              <w:rPr>
                <w:color w:val="auto"/>
              </w:rPr>
              <w:t>5mg/L</w:t>
            </w:r>
          </w:p>
        </w:tc>
      </w:tr>
      <w:tr w14:paraId="73DB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64" w:type="dxa"/>
            <w:vAlign w:val="center"/>
          </w:tcPr>
          <w:p w14:paraId="0CD08461">
            <w:pPr>
              <w:pStyle w:val="751"/>
              <w:rPr>
                <w:b/>
                <w:color w:val="auto"/>
              </w:rPr>
            </w:pPr>
            <w:r>
              <w:rPr>
                <w:color w:val="auto"/>
              </w:rPr>
              <w:t>11</w:t>
            </w:r>
          </w:p>
        </w:tc>
        <w:tc>
          <w:tcPr>
            <w:tcW w:w="1577" w:type="dxa"/>
            <w:vAlign w:val="center"/>
          </w:tcPr>
          <w:p w14:paraId="0703A219">
            <w:pPr>
              <w:pStyle w:val="751"/>
              <w:rPr>
                <w:b/>
                <w:color w:val="auto"/>
              </w:rPr>
            </w:pPr>
            <w:r>
              <w:rPr>
                <w:bCs/>
                <w:color w:val="auto"/>
              </w:rPr>
              <w:t>溶解性总固体</w:t>
            </w:r>
          </w:p>
        </w:tc>
        <w:tc>
          <w:tcPr>
            <w:tcW w:w="5440" w:type="dxa"/>
            <w:vAlign w:val="center"/>
          </w:tcPr>
          <w:p w14:paraId="2DB4F07F">
            <w:pPr>
              <w:pStyle w:val="751"/>
              <w:rPr>
                <w:b/>
                <w:color w:val="auto"/>
              </w:rPr>
            </w:pPr>
            <w:r>
              <w:rPr>
                <w:color w:val="auto"/>
              </w:rPr>
              <w:t>《生活饮用水标准检验方法感官性状和物理指标》 GB/T 5750.4-2006（8.1称量法）</w:t>
            </w:r>
          </w:p>
        </w:tc>
        <w:tc>
          <w:tcPr>
            <w:tcW w:w="1573" w:type="dxa"/>
            <w:vAlign w:val="center"/>
          </w:tcPr>
          <w:p w14:paraId="579C11A0">
            <w:pPr>
              <w:pStyle w:val="751"/>
              <w:rPr>
                <w:b/>
                <w:color w:val="auto"/>
              </w:rPr>
            </w:pPr>
            <w:r>
              <w:rPr>
                <w:color w:val="auto"/>
              </w:rPr>
              <w:t>--</w:t>
            </w:r>
          </w:p>
        </w:tc>
      </w:tr>
      <w:tr w14:paraId="2D2B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664" w:type="dxa"/>
            <w:vAlign w:val="center"/>
          </w:tcPr>
          <w:p w14:paraId="341BF7FE">
            <w:pPr>
              <w:pStyle w:val="751"/>
              <w:rPr>
                <w:b/>
                <w:color w:val="auto"/>
              </w:rPr>
            </w:pPr>
            <w:r>
              <w:rPr>
                <w:color w:val="auto"/>
              </w:rPr>
              <w:t>12</w:t>
            </w:r>
          </w:p>
        </w:tc>
        <w:tc>
          <w:tcPr>
            <w:tcW w:w="1577" w:type="dxa"/>
            <w:vAlign w:val="center"/>
          </w:tcPr>
          <w:p w14:paraId="3D530CDC">
            <w:pPr>
              <w:pStyle w:val="751"/>
              <w:rPr>
                <w:b/>
                <w:bCs/>
                <w:color w:val="auto"/>
              </w:rPr>
            </w:pPr>
            <w:r>
              <w:rPr>
                <w:color w:val="auto"/>
              </w:rPr>
              <w:t>氟</w:t>
            </w:r>
            <w:r>
              <w:rPr>
                <w:rFonts w:hint="eastAsia"/>
                <w:color w:val="auto"/>
              </w:rPr>
              <w:t>化物（</w:t>
            </w:r>
            <w:r>
              <w:rPr>
                <w:color w:val="auto"/>
                <w:spacing w:val="-11"/>
              </w:rPr>
              <w:t>F</w:t>
            </w:r>
            <w:r>
              <w:rPr>
                <w:color w:val="auto"/>
                <w:spacing w:val="-11"/>
                <w:vertAlign w:val="superscript"/>
              </w:rPr>
              <w:t>-</w:t>
            </w:r>
            <w:r>
              <w:rPr>
                <w:rFonts w:hint="eastAsia"/>
                <w:color w:val="auto"/>
                <w:spacing w:val="-11"/>
              </w:rPr>
              <w:t>）</w:t>
            </w:r>
          </w:p>
        </w:tc>
        <w:tc>
          <w:tcPr>
            <w:tcW w:w="5440" w:type="dxa"/>
            <w:vAlign w:val="center"/>
          </w:tcPr>
          <w:p w14:paraId="3BB29116">
            <w:pPr>
              <w:pStyle w:val="751"/>
              <w:rPr>
                <w:b/>
                <w:bCs/>
                <w:color w:val="auto"/>
              </w:rPr>
            </w:pPr>
            <w:r>
              <w:rPr>
                <w:color w:val="auto"/>
                <w:spacing w:val="-11"/>
              </w:rPr>
              <w:t>《水质 无机阴离子（F</w:t>
            </w:r>
            <w:r>
              <w:rPr>
                <w:color w:val="auto"/>
                <w:spacing w:val="-11"/>
                <w:vertAlign w:val="superscript"/>
              </w:rPr>
              <w:t>-</w:t>
            </w:r>
            <w:r>
              <w:rPr>
                <w:color w:val="auto"/>
                <w:spacing w:val="-11"/>
              </w:rPr>
              <w:t>、Cl</w:t>
            </w:r>
            <w:r>
              <w:rPr>
                <w:color w:val="auto"/>
                <w:spacing w:val="-11"/>
                <w:vertAlign w:val="superscript"/>
              </w:rPr>
              <w:t>-</w:t>
            </w:r>
            <w:r>
              <w:rPr>
                <w:color w:val="auto"/>
                <w:spacing w:val="-11"/>
              </w:rPr>
              <w:t>、NO</w:t>
            </w:r>
            <w:r>
              <w:rPr>
                <w:color w:val="auto"/>
                <w:spacing w:val="-11"/>
                <w:vertAlign w:val="subscript"/>
              </w:rPr>
              <w:t>2</w:t>
            </w:r>
            <w:r>
              <w:rPr>
                <w:color w:val="auto"/>
                <w:spacing w:val="-11"/>
                <w:vertAlign w:val="superscript"/>
              </w:rPr>
              <w:t>-</w:t>
            </w:r>
            <w:r>
              <w:rPr>
                <w:color w:val="auto"/>
                <w:spacing w:val="-11"/>
              </w:rPr>
              <w:t>、Br</w:t>
            </w:r>
            <w:r>
              <w:rPr>
                <w:color w:val="auto"/>
                <w:spacing w:val="-11"/>
                <w:vertAlign w:val="superscript"/>
              </w:rPr>
              <w:t>-</w:t>
            </w:r>
            <w:r>
              <w:rPr>
                <w:color w:val="auto"/>
                <w:spacing w:val="-11"/>
              </w:rPr>
              <w:t>、NO</w:t>
            </w:r>
            <w:r>
              <w:rPr>
                <w:color w:val="auto"/>
                <w:spacing w:val="-11"/>
                <w:vertAlign w:val="subscript"/>
              </w:rPr>
              <w:t>3</w:t>
            </w:r>
            <w:r>
              <w:rPr>
                <w:color w:val="auto"/>
                <w:spacing w:val="-11"/>
                <w:vertAlign w:val="superscript"/>
              </w:rPr>
              <w:t>-</w:t>
            </w:r>
            <w:r>
              <w:rPr>
                <w:color w:val="auto"/>
                <w:spacing w:val="-11"/>
              </w:rPr>
              <w:t>、PO</w:t>
            </w:r>
            <w:r>
              <w:rPr>
                <w:color w:val="auto"/>
                <w:spacing w:val="-11"/>
                <w:vertAlign w:val="subscript"/>
              </w:rPr>
              <w:t>4</w:t>
            </w:r>
            <w:r>
              <w:rPr>
                <w:color w:val="auto"/>
                <w:spacing w:val="-11"/>
                <w:vertAlign w:val="superscript"/>
              </w:rPr>
              <w:t>3-</w:t>
            </w:r>
            <w:r>
              <w:rPr>
                <w:color w:val="auto"/>
                <w:spacing w:val="-11"/>
              </w:rPr>
              <w:t>、SO</w:t>
            </w:r>
            <w:r>
              <w:rPr>
                <w:color w:val="auto"/>
                <w:spacing w:val="-11"/>
                <w:vertAlign w:val="subscript"/>
              </w:rPr>
              <w:t>3</w:t>
            </w:r>
            <w:r>
              <w:rPr>
                <w:color w:val="auto"/>
                <w:spacing w:val="-11"/>
                <w:vertAlign w:val="superscript"/>
              </w:rPr>
              <w:t>2-</w:t>
            </w:r>
            <w:r>
              <w:rPr>
                <w:color w:val="auto"/>
                <w:spacing w:val="-11"/>
              </w:rPr>
              <w:t>、SO</w:t>
            </w:r>
            <w:r>
              <w:rPr>
                <w:color w:val="auto"/>
                <w:spacing w:val="-11"/>
                <w:vertAlign w:val="subscript"/>
              </w:rPr>
              <w:t>4</w:t>
            </w:r>
            <w:r>
              <w:rPr>
                <w:color w:val="auto"/>
                <w:spacing w:val="-11"/>
                <w:vertAlign w:val="superscript"/>
              </w:rPr>
              <w:t>2-</w:t>
            </w:r>
            <w:r>
              <w:rPr>
                <w:color w:val="auto"/>
                <w:spacing w:val="-11"/>
              </w:rPr>
              <w:t>）的测定离子色谱法》HJ/T 84-2016</w:t>
            </w:r>
          </w:p>
        </w:tc>
        <w:tc>
          <w:tcPr>
            <w:tcW w:w="1573" w:type="dxa"/>
            <w:vAlign w:val="center"/>
          </w:tcPr>
          <w:p w14:paraId="7689F912">
            <w:pPr>
              <w:pStyle w:val="751"/>
              <w:rPr>
                <w:b/>
                <w:bCs/>
                <w:color w:val="auto"/>
              </w:rPr>
            </w:pPr>
            <w:r>
              <w:rPr>
                <w:color w:val="auto"/>
              </w:rPr>
              <w:t>0.006mg/L</w:t>
            </w:r>
          </w:p>
        </w:tc>
      </w:tr>
      <w:tr w14:paraId="23C8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64" w:type="dxa"/>
            <w:vAlign w:val="center"/>
          </w:tcPr>
          <w:p w14:paraId="027F6DCB">
            <w:pPr>
              <w:pStyle w:val="751"/>
              <w:rPr>
                <w:b/>
                <w:color w:val="auto"/>
              </w:rPr>
            </w:pPr>
            <w:r>
              <w:rPr>
                <w:color w:val="auto"/>
              </w:rPr>
              <w:t>13</w:t>
            </w:r>
          </w:p>
        </w:tc>
        <w:tc>
          <w:tcPr>
            <w:tcW w:w="1577" w:type="dxa"/>
            <w:vAlign w:val="center"/>
          </w:tcPr>
          <w:p w14:paraId="65630ABA">
            <w:pPr>
              <w:pStyle w:val="751"/>
              <w:rPr>
                <w:b/>
                <w:bCs/>
                <w:color w:val="auto"/>
              </w:rPr>
            </w:pPr>
            <w:r>
              <w:rPr>
                <w:color w:val="auto"/>
              </w:rPr>
              <w:t>氨氮</w:t>
            </w:r>
          </w:p>
        </w:tc>
        <w:tc>
          <w:tcPr>
            <w:tcW w:w="5440" w:type="dxa"/>
            <w:vAlign w:val="center"/>
          </w:tcPr>
          <w:p w14:paraId="749A04E0">
            <w:pPr>
              <w:pStyle w:val="751"/>
              <w:rPr>
                <w:b/>
                <w:bCs/>
                <w:color w:val="auto"/>
              </w:rPr>
            </w:pPr>
            <w:r>
              <w:rPr>
                <w:color w:val="auto"/>
              </w:rPr>
              <w:t>《水质氨氮的测定纳氏试剂分光光度法》HJ 535-2009</w:t>
            </w:r>
          </w:p>
        </w:tc>
        <w:tc>
          <w:tcPr>
            <w:tcW w:w="1573" w:type="dxa"/>
            <w:vAlign w:val="center"/>
          </w:tcPr>
          <w:p w14:paraId="11319290">
            <w:pPr>
              <w:pStyle w:val="751"/>
              <w:rPr>
                <w:b/>
                <w:bCs/>
                <w:color w:val="auto"/>
              </w:rPr>
            </w:pPr>
            <w:r>
              <w:rPr>
                <w:color w:val="auto"/>
              </w:rPr>
              <w:t>0.025mg/L</w:t>
            </w:r>
          </w:p>
        </w:tc>
      </w:tr>
      <w:tr w14:paraId="7E37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Align w:val="center"/>
          </w:tcPr>
          <w:p w14:paraId="1B3E0202">
            <w:pPr>
              <w:pStyle w:val="751"/>
              <w:rPr>
                <w:b/>
                <w:color w:val="auto"/>
              </w:rPr>
            </w:pPr>
            <w:r>
              <w:rPr>
                <w:color w:val="auto"/>
              </w:rPr>
              <w:t>14</w:t>
            </w:r>
          </w:p>
        </w:tc>
        <w:tc>
          <w:tcPr>
            <w:tcW w:w="1577" w:type="dxa"/>
            <w:vAlign w:val="center"/>
          </w:tcPr>
          <w:p w14:paraId="3A385909">
            <w:pPr>
              <w:pStyle w:val="751"/>
              <w:rPr>
                <w:b/>
                <w:bCs/>
                <w:color w:val="auto"/>
              </w:rPr>
            </w:pPr>
            <w:r>
              <w:rPr>
                <w:color w:val="auto"/>
              </w:rPr>
              <w:t>砷</w:t>
            </w:r>
            <w:r>
              <w:rPr>
                <w:rFonts w:hint="eastAsia"/>
                <w:color w:val="auto"/>
              </w:rPr>
              <w:t xml:space="preserve">    </w:t>
            </w:r>
          </w:p>
        </w:tc>
        <w:tc>
          <w:tcPr>
            <w:tcW w:w="5440" w:type="dxa"/>
            <w:vAlign w:val="center"/>
          </w:tcPr>
          <w:p w14:paraId="3C1982FE">
            <w:pPr>
              <w:pStyle w:val="751"/>
              <w:rPr>
                <w:b/>
                <w:bCs/>
                <w:color w:val="auto"/>
              </w:rPr>
            </w:pPr>
            <w:r>
              <w:rPr>
                <w:color w:val="auto"/>
              </w:rPr>
              <w:t>《水质汞、砷、硒、铋和锑的测定原子荧光法》HJ694-2014</w:t>
            </w:r>
          </w:p>
        </w:tc>
        <w:tc>
          <w:tcPr>
            <w:tcW w:w="1573" w:type="dxa"/>
            <w:vAlign w:val="center"/>
          </w:tcPr>
          <w:p w14:paraId="24A5E9A0">
            <w:pPr>
              <w:pStyle w:val="751"/>
              <w:rPr>
                <w:b/>
                <w:bCs/>
                <w:color w:val="auto"/>
              </w:rPr>
            </w:pPr>
            <w:r>
              <w:rPr>
                <w:color w:val="auto"/>
              </w:rPr>
              <w:t>0.3</w:t>
            </w:r>
            <w:r>
              <w:rPr>
                <w:bCs/>
                <w:color w:val="auto"/>
              </w:rPr>
              <w:t>×10</w:t>
            </w:r>
            <w:r>
              <w:rPr>
                <w:bCs/>
                <w:color w:val="auto"/>
                <w:vertAlign w:val="superscript"/>
              </w:rPr>
              <w:t>-3</w:t>
            </w:r>
            <w:r>
              <w:rPr>
                <w:rFonts w:hint="eastAsia"/>
                <w:color w:val="auto"/>
              </w:rPr>
              <w:t>m</w:t>
            </w:r>
            <w:r>
              <w:rPr>
                <w:color w:val="auto"/>
              </w:rPr>
              <w:t>g/L</w:t>
            </w:r>
          </w:p>
        </w:tc>
      </w:tr>
      <w:tr w14:paraId="6DEE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664" w:type="dxa"/>
            <w:vAlign w:val="center"/>
          </w:tcPr>
          <w:p w14:paraId="48A84C6B">
            <w:pPr>
              <w:pStyle w:val="751"/>
              <w:rPr>
                <w:b/>
                <w:color w:val="auto"/>
              </w:rPr>
            </w:pPr>
            <w:r>
              <w:rPr>
                <w:color w:val="auto"/>
              </w:rPr>
              <w:t>15</w:t>
            </w:r>
          </w:p>
        </w:tc>
        <w:tc>
          <w:tcPr>
            <w:tcW w:w="1577" w:type="dxa"/>
            <w:vAlign w:val="center"/>
          </w:tcPr>
          <w:p w14:paraId="4C8B0F8A">
            <w:pPr>
              <w:pStyle w:val="751"/>
              <w:rPr>
                <w:b/>
                <w:bCs/>
                <w:color w:val="auto"/>
              </w:rPr>
            </w:pPr>
            <w:r>
              <w:rPr>
                <w:color w:val="auto"/>
              </w:rPr>
              <w:t>挥发酚</w:t>
            </w:r>
          </w:p>
        </w:tc>
        <w:tc>
          <w:tcPr>
            <w:tcW w:w="5440" w:type="dxa"/>
            <w:vAlign w:val="center"/>
          </w:tcPr>
          <w:p w14:paraId="236B2CF5">
            <w:pPr>
              <w:pStyle w:val="751"/>
              <w:rPr>
                <w:color w:val="auto"/>
              </w:rPr>
            </w:pPr>
            <w:r>
              <w:rPr>
                <w:color w:val="auto"/>
              </w:rPr>
              <w:t>《水质挥发酚的测定 4-氨基安替吡啉分光光度法》HJ 503-2009</w:t>
            </w:r>
          </w:p>
        </w:tc>
        <w:tc>
          <w:tcPr>
            <w:tcW w:w="1573" w:type="dxa"/>
            <w:vAlign w:val="center"/>
          </w:tcPr>
          <w:p w14:paraId="1B36CDD1">
            <w:pPr>
              <w:pStyle w:val="751"/>
              <w:rPr>
                <w:b/>
                <w:bCs/>
                <w:color w:val="auto"/>
              </w:rPr>
            </w:pPr>
            <w:r>
              <w:rPr>
                <w:color w:val="auto"/>
              </w:rPr>
              <w:t>0.0003mg/L</w:t>
            </w:r>
          </w:p>
        </w:tc>
      </w:tr>
      <w:tr w14:paraId="32C8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4" w:type="dxa"/>
            <w:vAlign w:val="center"/>
          </w:tcPr>
          <w:p w14:paraId="0AD9F6A2">
            <w:pPr>
              <w:pStyle w:val="751"/>
              <w:rPr>
                <w:b/>
                <w:color w:val="auto"/>
              </w:rPr>
            </w:pPr>
            <w:r>
              <w:rPr>
                <w:color w:val="auto"/>
              </w:rPr>
              <w:t>16</w:t>
            </w:r>
          </w:p>
        </w:tc>
        <w:tc>
          <w:tcPr>
            <w:tcW w:w="1577" w:type="dxa"/>
            <w:vAlign w:val="center"/>
          </w:tcPr>
          <w:p w14:paraId="61E89871">
            <w:pPr>
              <w:pStyle w:val="751"/>
              <w:rPr>
                <w:b/>
                <w:bCs/>
                <w:color w:val="auto"/>
              </w:rPr>
            </w:pPr>
            <w:r>
              <w:rPr>
                <w:color w:val="auto"/>
              </w:rPr>
              <w:t>亚硝酸盐氮</w:t>
            </w:r>
          </w:p>
        </w:tc>
        <w:tc>
          <w:tcPr>
            <w:tcW w:w="5440" w:type="dxa"/>
            <w:vAlign w:val="center"/>
          </w:tcPr>
          <w:p w14:paraId="3AC62869">
            <w:pPr>
              <w:pStyle w:val="751"/>
              <w:rPr>
                <w:b/>
                <w:bCs/>
                <w:color w:val="auto"/>
              </w:rPr>
            </w:pPr>
            <w:r>
              <w:rPr>
                <w:color w:val="auto"/>
                <w:spacing w:val="-11"/>
              </w:rPr>
              <w:t>《水质 无机阴离子（F</w:t>
            </w:r>
            <w:r>
              <w:rPr>
                <w:color w:val="auto"/>
                <w:spacing w:val="-11"/>
                <w:vertAlign w:val="superscript"/>
              </w:rPr>
              <w:t>-</w:t>
            </w:r>
            <w:r>
              <w:rPr>
                <w:color w:val="auto"/>
                <w:spacing w:val="-11"/>
              </w:rPr>
              <w:t>、Cl</w:t>
            </w:r>
            <w:r>
              <w:rPr>
                <w:color w:val="auto"/>
                <w:spacing w:val="-11"/>
                <w:vertAlign w:val="superscript"/>
              </w:rPr>
              <w:t>-</w:t>
            </w:r>
            <w:r>
              <w:rPr>
                <w:color w:val="auto"/>
                <w:spacing w:val="-11"/>
              </w:rPr>
              <w:t>、NO</w:t>
            </w:r>
            <w:r>
              <w:rPr>
                <w:color w:val="auto"/>
                <w:spacing w:val="-11"/>
                <w:vertAlign w:val="subscript"/>
              </w:rPr>
              <w:t>2</w:t>
            </w:r>
            <w:r>
              <w:rPr>
                <w:color w:val="auto"/>
                <w:spacing w:val="-11"/>
                <w:vertAlign w:val="superscript"/>
              </w:rPr>
              <w:t>-</w:t>
            </w:r>
            <w:r>
              <w:rPr>
                <w:color w:val="auto"/>
                <w:spacing w:val="-11"/>
              </w:rPr>
              <w:t>、Br</w:t>
            </w:r>
            <w:r>
              <w:rPr>
                <w:rFonts w:hint="eastAsia"/>
                <w:color w:val="auto"/>
                <w:spacing w:val="-11"/>
              </w:rPr>
              <w:t xml:space="preserve"> </w:t>
            </w:r>
            <w:r>
              <w:rPr>
                <w:color w:val="auto"/>
                <w:spacing w:val="-11"/>
                <w:vertAlign w:val="superscript"/>
              </w:rPr>
              <w:t>-</w:t>
            </w:r>
            <w:r>
              <w:rPr>
                <w:color w:val="auto"/>
                <w:spacing w:val="-11"/>
              </w:rPr>
              <w:t>、NO</w:t>
            </w:r>
            <w:r>
              <w:rPr>
                <w:color w:val="auto"/>
                <w:spacing w:val="-11"/>
                <w:vertAlign w:val="subscript"/>
              </w:rPr>
              <w:t>3</w:t>
            </w:r>
            <w:r>
              <w:rPr>
                <w:color w:val="auto"/>
                <w:spacing w:val="-11"/>
                <w:vertAlign w:val="superscript"/>
              </w:rPr>
              <w:t>-</w:t>
            </w:r>
            <w:r>
              <w:rPr>
                <w:color w:val="auto"/>
                <w:spacing w:val="-11"/>
              </w:rPr>
              <w:t>、PO</w:t>
            </w:r>
            <w:r>
              <w:rPr>
                <w:color w:val="auto"/>
                <w:spacing w:val="-11"/>
                <w:vertAlign w:val="subscript"/>
              </w:rPr>
              <w:t>4</w:t>
            </w:r>
            <w:r>
              <w:rPr>
                <w:color w:val="auto"/>
                <w:spacing w:val="-11"/>
                <w:vertAlign w:val="superscript"/>
              </w:rPr>
              <w:t>3-</w:t>
            </w:r>
            <w:r>
              <w:rPr>
                <w:color w:val="auto"/>
                <w:spacing w:val="-11"/>
              </w:rPr>
              <w:t>、SO</w:t>
            </w:r>
            <w:r>
              <w:rPr>
                <w:color w:val="auto"/>
                <w:spacing w:val="-11"/>
                <w:vertAlign w:val="subscript"/>
              </w:rPr>
              <w:t>3</w:t>
            </w:r>
            <w:r>
              <w:rPr>
                <w:color w:val="auto"/>
                <w:spacing w:val="-11"/>
                <w:vertAlign w:val="superscript"/>
              </w:rPr>
              <w:t>2-</w:t>
            </w:r>
            <w:r>
              <w:rPr>
                <w:color w:val="auto"/>
                <w:spacing w:val="-11"/>
              </w:rPr>
              <w:t>、SO</w:t>
            </w:r>
            <w:r>
              <w:rPr>
                <w:color w:val="auto"/>
                <w:spacing w:val="-11"/>
                <w:vertAlign w:val="subscript"/>
              </w:rPr>
              <w:t>4</w:t>
            </w:r>
            <w:r>
              <w:rPr>
                <w:color w:val="auto"/>
                <w:spacing w:val="-11"/>
                <w:vertAlign w:val="superscript"/>
              </w:rPr>
              <w:t>2-</w:t>
            </w:r>
            <w:r>
              <w:rPr>
                <w:color w:val="auto"/>
                <w:spacing w:val="-11"/>
              </w:rPr>
              <w:t>）的测定离子色谱法》HJ/T 84-2016</w:t>
            </w:r>
          </w:p>
        </w:tc>
        <w:tc>
          <w:tcPr>
            <w:tcW w:w="1573" w:type="dxa"/>
            <w:vAlign w:val="center"/>
          </w:tcPr>
          <w:p w14:paraId="0472C180">
            <w:pPr>
              <w:pStyle w:val="751"/>
              <w:rPr>
                <w:b/>
                <w:bCs/>
                <w:color w:val="auto"/>
              </w:rPr>
            </w:pPr>
            <w:r>
              <w:rPr>
                <w:color w:val="auto"/>
              </w:rPr>
              <w:t>0.0</w:t>
            </w:r>
            <w:r>
              <w:rPr>
                <w:rFonts w:hint="eastAsia"/>
                <w:color w:val="auto"/>
              </w:rPr>
              <w:t>16</w:t>
            </w:r>
            <w:r>
              <w:rPr>
                <w:color w:val="auto"/>
              </w:rPr>
              <w:t>mg/L</w:t>
            </w:r>
          </w:p>
        </w:tc>
      </w:tr>
      <w:tr w14:paraId="7EF5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4" w:type="dxa"/>
            <w:vAlign w:val="center"/>
          </w:tcPr>
          <w:p w14:paraId="66164321">
            <w:pPr>
              <w:pStyle w:val="751"/>
              <w:rPr>
                <w:b/>
                <w:color w:val="auto"/>
              </w:rPr>
            </w:pPr>
            <w:r>
              <w:rPr>
                <w:color w:val="auto"/>
              </w:rPr>
              <w:t>17</w:t>
            </w:r>
          </w:p>
        </w:tc>
        <w:tc>
          <w:tcPr>
            <w:tcW w:w="1577" w:type="dxa"/>
            <w:vAlign w:val="center"/>
          </w:tcPr>
          <w:p w14:paraId="02347194">
            <w:pPr>
              <w:pStyle w:val="751"/>
              <w:rPr>
                <w:b/>
                <w:bCs/>
                <w:color w:val="auto"/>
              </w:rPr>
            </w:pPr>
            <w:r>
              <w:rPr>
                <w:bCs/>
                <w:color w:val="auto"/>
              </w:rPr>
              <w:t>硝酸盐氮</w:t>
            </w:r>
          </w:p>
        </w:tc>
        <w:tc>
          <w:tcPr>
            <w:tcW w:w="5440" w:type="dxa"/>
            <w:vAlign w:val="center"/>
          </w:tcPr>
          <w:p w14:paraId="1EFB6BD0">
            <w:pPr>
              <w:pStyle w:val="751"/>
              <w:rPr>
                <w:b/>
                <w:bCs/>
                <w:color w:val="auto"/>
              </w:rPr>
            </w:pPr>
            <w:r>
              <w:rPr>
                <w:color w:val="auto"/>
                <w:spacing w:val="-11"/>
              </w:rPr>
              <w:t>《水质 无机阴离子（F</w:t>
            </w:r>
            <w:r>
              <w:rPr>
                <w:color w:val="auto"/>
                <w:spacing w:val="-11"/>
                <w:vertAlign w:val="superscript"/>
              </w:rPr>
              <w:t>-</w:t>
            </w:r>
            <w:r>
              <w:rPr>
                <w:color w:val="auto"/>
                <w:spacing w:val="-11"/>
              </w:rPr>
              <w:t>、Cl</w:t>
            </w:r>
            <w:r>
              <w:rPr>
                <w:color w:val="auto"/>
                <w:spacing w:val="-11"/>
                <w:vertAlign w:val="superscript"/>
              </w:rPr>
              <w:t>-</w:t>
            </w:r>
            <w:r>
              <w:rPr>
                <w:color w:val="auto"/>
                <w:spacing w:val="-11"/>
              </w:rPr>
              <w:t>、NO</w:t>
            </w:r>
            <w:r>
              <w:rPr>
                <w:color w:val="auto"/>
                <w:spacing w:val="-11"/>
                <w:vertAlign w:val="subscript"/>
              </w:rPr>
              <w:t>2</w:t>
            </w:r>
            <w:r>
              <w:rPr>
                <w:color w:val="auto"/>
                <w:spacing w:val="-11"/>
                <w:vertAlign w:val="superscript"/>
              </w:rPr>
              <w:t>-</w:t>
            </w:r>
            <w:r>
              <w:rPr>
                <w:color w:val="auto"/>
                <w:spacing w:val="-11"/>
              </w:rPr>
              <w:t>、Br</w:t>
            </w:r>
            <w:r>
              <w:rPr>
                <w:rFonts w:hint="eastAsia"/>
                <w:color w:val="auto"/>
                <w:spacing w:val="-11"/>
              </w:rPr>
              <w:t xml:space="preserve"> </w:t>
            </w:r>
            <w:r>
              <w:rPr>
                <w:color w:val="auto"/>
                <w:spacing w:val="-11"/>
                <w:vertAlign w:val="superscript"/>
              </w:rPr>
              <w:t>-</w:t>
            </w:r>
            <w:r>
              <w:rPr>
                <w:color w:val="auto"/>
                <w:spacing w:val="-11"/>
              </w:rPr>
              <w:t>、NO</w:t>
            </w:r>
            <w:r>
              <w:rPr>
                <w:color w:val="auto"/>
                <w:spacing w:val="-11"/>
                <w:vertAlign w:val="subscript"/>
              </w:rPr>
              <w:t>3</w:t>
            </w:r>
            <w:r>
              <w:rPr>
                <w:color w:val="auto"/>
                <w:spacing w:val="-11"/>
                <w:vertAlign w:val="superscript"/>
              </w:rPr>
              <w:t>-</w:t>
            </w:r>
            <w:r>
              <w:rPr>
                <w:color w:val="auto"/>
                <w:spacing w:val="-11"/>
              </w:rPr>
              <w:t>、PO</w:t>
            </w:r>
            <w:r>
              <w:rPr>
                <w:color w:val="auto"/>
                <w:spacing w:val="-11"/>
                <w:vertAlign w:val="subscript"/>
              </w:rPr>
              <w:t>4</w:t>
            </w:r>
            <w:r>
              <w:rPr>
                <w:color w:val="auto"/>
                <w:spacing w:val="-11"/>
                <w:vertAlign w:val="superscript"/>
              </w:rPr>
              <w:t>3-</w:t>
            </w:r>
            <w:r>
              <w:rPr>
                <w:color w:val="auto"/>
                <w:spacing w:val="-11"/>
              </w:rPr>
              <w:t>、SO</w:t>
            </w:r>
            <w:r>
              <w:rPr>
                <w:color w:val="auto"/>
                <w:spacing w:val="-11"/>
                <w:vertAlign w:val="subscript"/>
              </w:rPr>
              <w:t>3</w:t>
            </w:r>
            <w:r>
              <w:rPr>
                <w:color w:val="auto"/>
                <w:spacing w:val="-11"/>
                <w:vertAlign w:val="superscript"/>
              </w:rPr>
              <w:t>2-</w:t>
            </w:r>
            <w:r>
              <w:rPr>
                <w:color w:val="auto"/>
                <w:spacing w:val="-11"/>
              </w:rPr>
              <w:t>、SO</w:t>
            </w:r>
            <w:r>
              <w:rPr>
                <w:color w:val="auto"/>
                <w:spacing w:val="-11"/>
                <w:vertAlign w:val="subscript"/>
              </w:rPr>
              <w:t>4</w:t>
            </w:r>
            <w:r>
              <w:rPr>
                <w:color w:val="auto"/>
                <w:spacing w:val="-11"/>
                <w:vertAlign w:val="superscript"/>
              </w:rPr>
              <w:t>2-</w:t>
            </w:r>
            <w:r>
              <w:rPr>
                <w:color w:val="auto"/>
                <w:spacing w:val="-11"/>
              </w:rPr>
              <w:t>）的测定离子色谱法》HJ/T 84-2016</w:t>
            </w:r>
          </w:p>
        </w:tc>
        <w:tc>
          <w:tcPr>
            <w:tcW w:w="1573" w:type="dxa"/>
            <w:vAlign w:val="center"/>
          </w:tcPr>
          <w:p w14:paraId="240BFFF8">
            <w:pPr>
              <w:pStyle w:val="751"/>
              <w:rPr>
                <w:b/>
                <w:bCs/>
                <w:color w:val="auto"/>
              </w:rPr>
            </w:pPr>
            <w:r>
              <w:rPr>
                <w:color w:val="auto"/>
              </w:rPr>
              <w:t>0.</w:t>
            </w:r>
            <w:r>
              <w:rPr>
                <w:rFonts w:hint="eastAsia"/>
                <w:color w:val="auto"/>
              </w:rPr>
              <w:t>016</w:t>
            </w:r>
            <w:r>
              <w:rPr>
                <w:color w:val="auto"/>
              </w:rPr>
              <w:t>mg/L</w:t>
            </w:r>
          </w:p>
        </w:tc>
      </w:tr>
      <w:tr w14:paraId="2221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Align w:val="center"/>
          </w:tcPr>
          <w:p w14:paraId="7DFF8DF1">
            <w:pPr>
              <w:pStyle w:val="751"/>
              <w:rPr>
                <w:b/>
                <w:color w:val="auto"/>
              </w:rPr>
            </w:pPr>
            <w:r>
              <w:rPr>
                <w:color w:val="auto"/>
              </w:rPr>
              <w:t>18</w:t>
            </w:r>
          </w:p>
        </w:tc>
        <w:tc>
          <w:tcPr>
            <w:tcW w:w="1577" w:type="dxa"/>
            <w:vAlign w:val="center"/>
          </w:tcPr>
          <w:p w14:paraId="27F57CD7">
            <w:pPr>
              <w:pStyle w:val="751"/>
              <w:rPr>
                <w:b/>
                <w:bCs/>
                <w:color w:val="auto"/>
              </w:rPr>
            </w:pPr>
            <w:r>
              <w:rPr>
                <w:rFonts w:hint="eastAsia"/>
                <w:color w:val="auto"/>
              </w:rPr>
              <w:t>铅</w:t>
            </w:r>
          </w:p>
        </w:tc>
        <w:tc>
          <w:tcPr>
            <w:tcW w:w="5440" w:type="dxa"/>
            <w:vAlign w:val="center"/>
          </w:tcPr>
          <w:p w14:paraId="4F0B7F46">
            <w:pPr>
              <w:pStyle w:val="751"/>
              <w:rPr>
                <w:b/>
                <w:bCs/>
                <w:color w:val="auto"/>
              </w:rPr>
            </w:pPr>
            <w:r>
              <w:rPr>
                <w:rFonts w:hint="eastAsia"/>
                <w:bCs/>
                <w:color w:val="auto"/>
                <w:kern w:val="2"/>
              </w:rPr>
              <w:t>《水和废水监测分析方法》（第四版增补版）国家环境保护局总局（2002年）第三篇第四章七（四）石墨炉原子吸收法测定镉、铜和钱（B）</w:t>
            </w:r>
          </w:p>
        </w:tc>
        <w:tc>
          <w:tcPr>
            <w:tcW w:w="1573" w:type="dxa"/>
            <w:vAlign w:val="center"/>
          </w:tcPr>
          <w:p w14:paraId="0533CCF4">
            <w:pPr>
              <w:pStyle w:val="751"/>
              <w:rPr>
                <w:b/>
                <w:bCs/>
                <w:color w:val="auto"/>
              </w:rPr>
            </w:pPr>
            <w:r>
              <w:rPr>
                <w:rFonts w:hint="eastAsia"/>
                <w:color w:val="auto"/>
              </w:rPr>
              <w:t>0.001</w:t>
            </w:r>
            <w:r>
              <w:rPr>
                <w:color w:val="auto"/>
              </w:rPr>
              <w:t>mg</w:t>
            </w:r>
            <w:r>
              <w:rPr>
                <w:rFonts w:hint="eastAsia"/>
                <w:color w:val="auto"/>
              </w:rPr>
              <w:t>/</w:t>
            </w:r>
            <w:r>
              <w:rPr>
                <w:color w:val="auto"/>
              </w:rPr>
              <w:t>L</w:t>
            </w:r>
          </w:p>
        </w:tc>
      </w:tr>
      <w:tr w14:paraId="47A6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64" w:type="dxa"/>
            <w:vAlign w:val="center"/>
          </w:tcPr>
          <w:p w14:paraId="25B8B7C6">
            <w:pPr>
              <w:pStyle w:val="751"/>
              <w:rPr>
                <w:b/>
                <w:color w:val="auto"/>
              </w:rPr>
            </w:pPr>
            <w:r>
              <w:rPr>
                <w:color w:val="auto"/>
              </w:rPr>
              <w:t>19</w:t>
            </w:r>
          </w:p>
        </w:tc>
        <w:tc>
          <w:tcPr>
            <w:tcW w:w="1577" w:type="dxa"/>
            <w:vAlign w:val="center"/>
          </w:tcPr>
          <w:p w14:paraId="71991A0F">
            <w:pPr>
              <w:pStyle w:val="751"/>
              <w:rPr>
                <w:b/>
                <w:bCs/>
                <w:color w:val="auto"/>
              </w:rPr>
            </w:pPr>
            <w:r>
              <w:rPr>
                <w:color w:val="auto"/>
              </w:rPr>
              <w:t>氰化物</w:t>
            </w:r>
          </w:p>
        </w:tc>
        <w:tc>
          <w:tcPr>
            <w:tcW w:w="5440" w:type="dxa"/>
            <w:vAlign w:val="center"/>
          </w:tcPr>
          <w:p w14:paraId="5D92BC70">
            <w:pPr>
              <w:pStyle w:val="751"/>
              <w:rPr>
                <w:b/>
                <w:bCs/>
                <w:color w:val="auto"/>
              </w:rPr>
            </w:pPr>
            <w:r>
              <w:rPr>
                <w:bCs/>
                <w:color w:val="auto"/>
              </w:rPr>
              <w:t>《生活饮用水标准检验方法 无机非金属指标》GB/T 5750.5-2006(4.1 异烟酸-吡啶铜分光光度法)</w:t>
            </w:r>
          </w:p>
        </w:tc>
        <w:tc>
          <w:tcPr>
            <w:tcW w:w="1573" w:type="dxa"/>
            <w:vAlign w:val="center"/>
          </w:tcPr>
          <w:p w14:paraId="69F16DF8">
            <w:pPr>
              <w:pStyle w:val="751"/>
              <w:rPr>
                <w:b/>
                <w:bCs/>
                <w:color w:val="auto"/>
              </w:rPr>
            </w:pPr>
            <w:r>
              <w:rPr>
                <w:color w:val="auto"/>
              </w:rPr>
              <w:t>0.002mg/L</w:t>
            </w:r>
          </w:p>
        </w:tc>
      </w:tr>
      <w:tr w14:paraId="7FE9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664" w:type="dxa"/>
            <w:vAlign w:val="center"/>
          </w:tcPr>
          <w:p w14:paraId="4641B5D1">
            <w:pPr>
              <w:pStyle w:val="751"/>
              <w:rPr>
                <w:b/>
                <w:color w:val="auto"/>
              </w:rPr>
            </w:pPr>
            <w:r>
              <w:rPr>
                <w:color w:val="auto"/>
              </w:rPr>
              <w:t>20</w:t>
            </w:r>
          </w:p>
        </w:tc>
        <w:tc>
          <w:tcPr>
            <w:tcW w:w="1577" w:type="dxa"/>
            <w:vAlign w:val="center"/>
          </w:tcPr>
          <w:p w14:paraId="1298B3CE">
            <w:pPr>
              <w:pStyle w:val="751"/>
              <w:rPr>
                <w:b/>
                <w:bCs/>
                <w:color w:val="auto"/>
              </w:rPr>
            </w:pPr>
            <w:r>
              <w:rPr>
                <w:rFonts w:hint="eastAsia"/>
                <w:color w:val="auto"/>
              </w:rPr>
              <w:t>耗氧量</w:t>
            </w:r>
          </w:p>
        </w:tc>
        <w:tc>
          <w:tcPr>
            <w:tcW w:w="5440" w:type="dxa"/>
            <w:vAlign w:val="center"/>
          </w:tcPr>
          <w:p w14:paraId="16145B5D">
            <w:pPr>
              <w:pStyle w:val="751"/>
              <w:rPr>
                <w:b/>
                <w:bCs/>
                <w:color w:val="auto"/>
              </w:rPr>
            </w:pPr>
            <w:r>
              <w:rPr>
                <w:color w:val="auto"/>
              </w:rPr>
              <w:t>《生活饮用水标准检验方法 有机物综合指标》GB/T 5750.7-2006(1.1 酸性高锰酸钾滴定法)</w:t>
            </w:r>
          </w:p>
        </w:tc>
        <w:tc>
          <w:tcPr>
            <w:tcW w:w="1573" w:type="dxa"/>
            <w:vAlign w:val="center"/>
          </w:tcPr>
          <w:p w14:paraId="04565CC4">
            <w:pPr>
              <w:pStyle w:val="751"/>
              <w:rPr>
                <w:b/>
                <w:bCs/>
                <w:color w:val="auto"/>
              </w:rPr>
            </w:pPr>
            <w:r>
              <w:rPr>
                <w:rFonts w:hint="eastAsia"/>
                <w:color w:val="auto"/>
              </w:rPr>
              <w:t>0.05</w:t>
            </w:r>
            <w:r>
              <w:rPr>
                <w:color w:val="auto"/>
              </w:rPr>
              <w:t>mg/L</w:t>
            </w:r>
          </w:p>
        </w:tc>
      </w:tr>
      <w:tr w14:paraId="0811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64" w:type="dxa"/>
            <w:vAlign w:val="center"/>
          </w:tcPr>
          <w:p w14:paraId="6A193B87">
            <w:pPr>
              <w:pStyle w:val="751"/>
              <w:rPr>
                <w:b/>
                <w:color w:val="auto"/>
              </w:rPr>
            </w:pPr>
            <w:r>
              <w:rPr>
                <w:color w:val="auto"/>
              </w:rPr>
              <w:t>21</w:t>
            </w:r>
          </w:p>
        </w:tc>
        <w:tc>
          <w:tcPr>
            <w:tcW w:w="1577" w:type="dxa"/>
            <w:vAlign w:val="center"/>
          </w:tcPr>
          <w:p w14:paraId="3E90E20B">
            <w:pPr>
              <w:pStyle w:val="751"/>
              <w:rPr>
                <w:b/>
                <w:bCs/>
                <w:color w:val="auto"/>
              </w:rPr>
            </w:pPr>
            <w:r>
              <w:rPr>
                <w:color w:val="auto"/>
              </w:rPr>
              <w:t>汞</w:t>
            </w:r>
          </w:p>
        </w:tc>
        <w:tc>
          <w:tcPr>
            <w:tcW w:w="5440" w:type="dxa"/>
            <w:vAlign w:val="center"/>
          </w:tcPr>
          <w:p w14:paraId="43CB1654">
            <w:pPr>
              <w:pStyle w:val="751"/>
              <w:rPr>
                <w:b/>
                <w:bCs/>
                <w:color w:val="auto"/>
              </w:rPr>
            </w:pPr>
            <w:r>
              <w:rPr>
                <w:color w:val="auto"/>
              </w:rPr>
              <w:t>《水质汞、砷、硒、铋和锑的测定原子荧光法》 HJ694-2014</w:t>
            </w:r>
          </w:p>
        </w:tc>
        <w:tc>
          <w:tcPr>
            <w:tcW w:w="1573" w:type="dxa"/>
            <w:vAlign w:val="center"/>
          </w:tcPr>
          <w:p w14:paraId="1DBE8742">
            <w:pPr>
              <w:pStyle w:val="751"/>
              <w:rPr>
                <w:b/>
                <w:bCs/>
                <w:color w:val="auto"/>
              </w:rPr>
            </w:pPr>
            <w:r>
              <w:rPr>
                <w:color w:val="auto"/>
              </w:rPr>
              <w:t>0.04</w:t>
            </w:r>
            <w:r>
              <w:rPr>
                <w:bCs/>
                <w:color w:val="auto"/>
              </w:rPr>
              <w:t>×10</w:t>
            </w:r>
            <w:r>
              <w:rPr>
                <w:bCs/>
                <w:color w:val="auto"/>
                <w:vertAlign w:val="superscript"/>
              </w:rPr>
              <w:t>-3</w:t>
            </w:r>
            <w:r>
              <w:rPr>
                <w:rFonts w:hint="eastAsia"/>
                <w:color w:val="auto"/>
              </w:rPr>
              <w:t>m</w:t>
            </w:r>
            <w:r>
              <w:rPr>
                <w:color w:val="auto"/>
              </w:rPr>
              <w:t>g/L</w:t>
            </w:r>
          </w:p>
        </w:tc>
      </w:tr>
      <w:tr w14:paraId="23FA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42F4DAC1">
            <w:pPr>
              <w:pStyle w:val="751"/>
              <w:rPr>
                <w:b/>
                <w:color w:val="auto"/>
              </w:rPr>
            </w:pPr>
            <w:r>
              <w:rPr>
                <w:color w:val="auto"/>
              </w:rPr>
              <w:t>22</w:t>
            </w:r>
          </w:p>
        </w:tc>
        <w:tc>
          <w:tcPr>
            <w:tcW w:w="1577" w:type="dxa"/>
            <w:vAlign w:val="center"/>
          </w:tcPr>
          <w:p w14:paraId="39AA2AD1">
            <w:pPr>
              <w:pStyle w:val="751"/>
              <w:rPr>
                <w:b/>
                <w:bCs/>
                <w:color w:val="auto"/>
              </w:rPr>
            </w:pPr>
            <w:r>
              <w:rPr>
                <w:rFonts w:hint="eastAsia"/>
                <w:color w:val="auto"/>
              </w:rPr>
              <w:t>镉</w:t>
            </w:r>
          </w:p>
        </w:tc>
        <w:tc>
          <w:tcPr>
            <w:tcW w:w="5440" w:type="dxa"/>
            <w:vAlign w:val="center"/>
          </w:tcPr>
          <w:p w14:paraId="5F2D2671">
            <w:pPr>
              <w:pStyle w:val="751"/>
              <w:rPr>
                <w:b/>
                <w:bCs/>
                <w:color w:val="auto"/>
              </w:rPr>
            </w:pPr>
            <w:r>
              <w:rPr>
                <w:rFonts w:hint="eastAsia"/>
                <w:bCs/>
                <w:color w:val="auto"/>
                <w:kern w:val="2"/>
              </w:rPr>
              <w:t>《水质 32种元素的测定 电感耦合等离子体发射光谱法》HJ776-2015</w:t>
            </w:r>
          </w:p>
        </w:tc>
        <w:tc>
          <w:tcPr>
            <w:tcW w:w="1573" w:type="dxa"/>
            <w:vAlign w:val="center"/>
          </w:tcPr>
          <w:p w14:paraId="0F0C1278">
            <w:pPr>
              <w:pStyle w:val="751"/>
              <w:rPr>
                <w:b/>
                <w:bCs/>
                <w:color w:val="auto"/>
              </w:rPr>
            </w:pPr>
            <w:r>
              <w:rPr>
                <w:rFonts w:hint="eastAsia"/>
                <w:color w:val="auto"/>
              </w:rPr>
              <w:t>0.005</w:t>
            </w:r>
            <w:r>
              <w:rPr>
                <w:color w:val="auto"/>
              </w:rPr>
              <w:t>mg</w:t>
            </w:r>
            <w:r>
              <w:rPr>
                <w:rFonts w:hint="eastAsia"/>
                <w:color w:val="auto"/>
              </w:rPr>
              <w:t>/</w:t>
            </w:r>
            <w:r>
              <w:rPr>
                <w:color w:val="auto"/>
              </w:rPr>
              <w:t>L</w:t>
            </w:r>
          </w:p>
        </w:tc>
      </w:tr>
      <w:tr w14:paraId="0106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1CBA5886">
            <w:pPr>
              <w:pStyle w:val="751"/>
              <w:rPr>
                <w:b/>
                <w:color w:val="auto"/>
              </w:rPr>
            </w:pPr>
            <w:r>
              <w:rPr>
                <w:color w:val="auto"/>
              </w:rPr>
              <w:t>23</w:t>
            </w:r>
          </w:p>
        </w:tc>
        <w:tc>
          <w:tcPr>
            <w:tcW w:w="1577" w:type="dxa"/>
            <w:vAlign w:val="center"/>
          </w:tcPr>
          <w:p w14:paraId="3D5B7DF6">
            <w:pPr>
              <w:pStyle w:val="751"/>
              <w:rPr>
                <w:b/>
                <w:bCs/>
                <w:color w:val="auto"/>
              </w:rPr>
            </w:pPr>
            <w:r>
              <w:rPr>
                <w:color w:val="auto"/>
              </w:rPr>
              <w:t>铁</w:t>
            </w:r>
          </w:p>
        </w:tc>
        <w:tc>
          <w:tcPr>
            <w:tcW w:w="5440" w:type="dxa"/>
            <w:vAlign w:val="center"/>
          </w:tcPr>
          <w:p w14:paraId="1A7D7B17">
            <w:pPr>
              <w:pStyle w:val="751"/>
              <w:rPr>
                <w:bCs/>
                <w:color w:val="auto"/>
              </w:rPr>
            </w:pPr>
            <w:r>
              <w:rPr>
                <w:rFonts w:hint="eastAsia"/>
                <w:bCs/>
                <w:color w:val="auto"/>
                <w:kern w:val="2"/>
              </w:rPr>
              <w:t>《水质 32种元素的测定 电感耦合等离子体发射光谱法》HJ776-2015</w:t>
            </w:r>
          </w:p>
        </w:tc>
        <w:tc>
          <w:tcPr>
            <w:tcW w:w="1573" w:type="dxa"/>
            <w:vAlign w:val="center"/>
          </w:tcPr>
          <w:p w14:paraId="525B9665">
            <w:pPr>
              <w:pStyle w:val="751"/>
              <w:rPr>
                <w:b/>
                <w:bCs/>
                <w:color w:val="auto"/>
              </w:rPr>
            </w:pPr>
            <w:r>
              <w:rPr>
                <w:rFonts w:hint="eastAsia"/>
                <w:color w:val="auto"/>
              </w:rPr>
              <w:t>0.02</w:t>
            </w:r>
            <w:r>
              <w:rPr>
                <w:color w:val="auto"/>
              </w:rPr>
              <w:t>mg/L</w:t>
            </w:r>
          </w:p>
        </w:tc>
      </w:tr>
      <w:tr w14:paraId="2923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64" w:type="dxa"/>
            <w:vAlign w:val="center"/>
          </w:tcPr>
          <w:p w14:paraId="620A36C6">
            <w:pPr>
              <w:pStyle w:val="751"/>
              <w:rPr>
                <w:b/>
                <w:color w:val="auto"/>
              </w:rPr>
            </w:pPr>
            <w:r>
              <w:rPr>
                <w:color w:val="auto"/>
              </w:rPr>
              <w:t>24</w:t>
            </w:r>
          </w:p>
        </w:tc>
        <w:tc>
          <w:tcPr>
            <w:tcW w:w="1577" w:type="dxa"/>
            <w:vAlign w:val="center"/>
          </w:tcPr>
          <w:p w14:paraId="32BE5982">
            <w:pPr>
              <w:pStyle w:val="751"/>
              <w:rPr>
                <w:b/>
                <w:bCs/>
                <w:color w:val="auto"/>
              </w:rPr>
            </w:pPr>
            <w:r>
              <w:rPr>
                <w:color w:val="auto"/>
              </w:rPr>
              <w:t>锰</w:t>
            </w:r>
          </w:p>
        </w:tc>
        <w:tc>
          <w:tcPr>
            <w:tcW w:w="5440" w:type="dxa"/>
            <w:vAlign w:val="center"/>
          </w:tcPr>
          <w:p w14:paraId="01BF3C3C">
            <w:pPr>
              <w:pStyle w:val="751"/>
              <w:rPr>
                <w:b/>
                <w:bCs/>
                <w:color w:val="auto"/>
              </w:rPr>
            </w:pPr>
            <w:r>
              <w:rPr>
                <w:rFonts w:hint="eastAsia"/>
                <w:bCs/>
                <w:color w:val="auto"/>
                <w:kern w:val="2"/>
              </w:rPr>
              <w:t>《水质 32种元素的测定 电感耦合等离子体发射光谱法》HJ776-2015</w:t>
            </w:r>
          </w:p>
        </w:tc>
        <w:tc>
          <w:tcPr>
            <w:tcW w:w="1573" w:type="dxa"/>
            <w:vAlign w:val="center"/>
          </w:tcPr>
          <w:p w14:paraId="1EBEBBE5">
            <w:pPr>
              <w:pStyle w:val="751"/>
              <w:rPr>
                <w:b/>
                <w:bCs/>
                <w:color w:val="auto"/>
              </w:rPr>
            </w:pPr>
            <w:r>
              <w:rPr>
                <w:rFonts w:hint="eastAsia"/>
                <w:color w:val="auto"/>
              </w:rPr>
              <w:t>0.004</w:t>
            </w:r>
            <w:r>
              <w:rPr>
                <w:color w:val="auto"/>
              </w:rPr>
              <w:t>mg/L</w:t>
            </w:r>
          </w:p>
        </w:tc>
      </w:tr>
      <w:tr w14:paraId="748B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Align w:val="center"/>
          </w:tcPr>
          <w:p w14:paraId="4B9DA471">
            <w:pPr>
              <w:pStyle w:val="751"/>
              <w:rPr>
                <w:b/>
                <w:color w:val="auto"/>
              </w:rPr>
            </w:pPr>
            <w:r>
              <w:rPr>
                <w:color w:val="auto"/>
              </w:rPr>
              <w:t>25</w:t>
            </w:r>
          </w:p>
        </w:tc>
        <w:tc>
          <w:tcPr>
            <w:tcW w:w="1577" w:type="dxa"/>
            <w:vAlign w:val="center"/>
          </w:tcPr>
          <w:p w14:paraId="0606B3CB">
            <w:pPr>
              <w:pStyle w:val="751"/>
              <w:rPr>
                <w:b/>
                <w:bCs/>
                <w:color w:val="auto"/>
              </w:rPr>
            </w:pPr>
            <w:r>
              <w:rPr>
                <w:rFonts w:hint="eastAsia"/>
                <w:color w:val="auto"/>
              </w:rPr>
              <w:t>六价铬</w:t>
            </w:r>
          </w:p>
        </w:tc>
        <w:tc>
          <w:tcPr>
            <w:tcW w:w="5440" w:type="dxa"/>
            <w:vAlign w:val="center"/>
          </w:tcPr>
          <w:p w14:paraId="6E23CD9D">
            <w:pPr>
              <w:pStyle w:val="751"/>
              <w:rPr>
                <w:bCs/>
                <w:color w:val="auto"/>
              </w:rPr>
            </w:pPr>
            <w:r>
              <w:rPr>
                <w:color w:val="auto"/>
              </w:rPr>
              <w:t>《生活饮用水标准检验方法 金属指标》GB/T5750.6-2006(10.1  二苯碳酰二肼分光光度法)</w:t>
            </w:r>
          </w:p>
        </w:tc>
        <w:tc>
          <w:tcPr>
            <w:tcW w:w="1573" w:type="dxa"/>
            <w:vAlign w:val="center"/>
          </w:tcPr>
          <w:p w14:paraId="224D9C1D">
            <w:pPr>
              <w:pStyle w:val="751"/>
              <w:rPr>
                <w:b/>
                <w:bCs/>
                <w:color w:val="auto"/>
              </w:rPr>
            </w:pPr>
            <w:r>
              <w:rPr>
                <w:rFonts w:hint="eastAsia"/>
                <w:color w:val="auto"/>
              </w:rPr>
              <w:t>0.004</w:t>
            </w:r>
            <w:r>
              <w:rPr>
                <w:color w:val="auto"/>
              </w:rPr>
              <w:t>mg/L</w:t>
            </w:r>
          </w:p>
        </w:tc>
      </w:tr>
      <w:tr w14:paraId="4C27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664" w:type="dxa"/>
            <w:vAlign w:val="center"/>
          </w:tcPr>
          <w:p w14:paraId="748B2377">
            <w:pPr>
              <w:pStyle w:val="751"/>
              <w:rPr>
                <w:b/>
                <w:color w:val="auto"/>
              </w:rPr>
            </w:pPr>
            <w:r>
              <w:rPr>
                <w:color w:val="auto"/>
              </w:rPr>
              <w:t>26</w:t>
            </w:r>
          </w:p>
        </w:tc>
        <w:tc>
          <w:tcPr>
            <w:tcW w:w="1577" w:type="dxa"/>
            <w:vAlign w:val="center"/>
          </w:tcPr>
          <w:p w14:paraId="72B4F730">
            <w:pPr>
              <w:pStyle w:val="751"/>
              <w:rPr>
                <w:b/>
                <w:bCs/>
                <w:color w:val="auto"/>
              </w:rPr>
            </w:pPr>
            <w:r>
              <w:rPr>
                <w:bCs/>
                <w:color w:val="auto"/>
              </w:rPr>
              <w:t>总大肠菌群</w:t>
            </w:r>
          </w:p>
        </w:tc>
        <w:tc>
          <w:tcPr>
            <w:tcW w:w="5440" w:type="dxa"/>
            <w:vAlign w:val="center"/>
          </w:tcPr>
          <w:p w14:paraId="50E40342">
            <w:pPr>
              <w:pStyle w:val="751"/>
              <w:rPr>
                <w:b/>
                <w:bCs/>
                <w:color w:val="auto"/>
              </w:rPr>
            </w:pPr>
            <w:r>
              <w:rPr>
                <w:color w:val="auto"/>
              </w:rPr>
              <w:t>《水和废水监测分析方法》（第四版增补版）国家环境保护局总局（2002年）第五篇第二章五水中</w:t>
            </w:r>
            <w:r>
              <w:rPr>
                <w:rFonts w:hint="eastAsia"/>
                <w:color w:val="auto"/>
              </w:rPr>
              <w:t>总</w:t>
            </w:r>
            <w:r>
              <w:rPr>
                <w:color w:val="auto"/>
              </w:rPr>
              <w:t>大肠菌群的测定（B）多管发酵法</w:t>
            </w:r>
          </w:p>
        </w:tc>
        <w:tc>
          <w:tcPr>
            <w:tcW w:w="1573" w:type="dxa"/>
            <w:vAlign w:val="center"/>
          </w:tcPr>
          <w:p w14:paraId="423831C6">
            <w:pPr>
              <w:pStyle w:val="751"/>
              <w:rPr>
                <w:b/>
                <w:bCs/>
                <w:color w:val="auto"/>
              </w:rPr>
            </w:pPr>
            <w:r>
              <w:rPr>
                <w:color w:val="auto"/>
              </w:rPr>
              <w:t>2</w:t>
            </w:r>
            <w:r>
              <w:rPr>
                <w:rFonts w:hint="eastAsia"/>
                <w:color w:val="auto"/>
              </w:rPr>
              <w:t>CFU</w:t>
            </w:r>
            <w:r>
              <w:rPr>
                <w:color w:val="auto"/>
              </w:rPr>
              <w:t>/mL</w:t>
            </w:r>
          </w:p>
        </w:tc>
      </w:tr>
      <w:tr w14:paraId="4E89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4" w:type="dxa"/>
            <w:vAlign w:val="center"/>
          </w:tcPr>
          <w:p w14:paraId="052F51E1">
            <w:pPr>
              <w:pStyle w:val="751"/>
              <w:rPr>
                <w:b/>
                <w:color w:val="auto"/>
              </w:rPr>
            </w:pPr>
            <w:r>
              <w:rPr>
                <w:color w:val="auto"/>
              </w:rPr>
              <w:t>27</w:t>
            </w:r>
          </w:p>
        </w:tc>
        <w:tc>
          <w:tcPr>
            <w:tcW w:w="1577" w:type="dxa"/>
            <w:vAlign w:val="center"/>
          </w:tcPr>
          <w:p w14:paraId="1B41DD4B">
            <w:pPr>
              <w:pStyle w:val="751"/>
              <w:rPr>
                <w:b/>
                <w:bCs/>
                <w:color w:val="auto"/>
              </w:rPr>
            </w:pPr>
            <w:r>
              <w:rPr>
                <w:rFonts w:hint="eastAsia"/>
                <w:color w:val="auto"/>
                <w:spacing w:val="-11"/>
              </w:rPr>
              <w:t>细菌总数</w:t>
            </w:r>
          </w:p>
        </w:tc>
        <w:tc>
          <w:tcPr>
            <w:tcW w:w="5440" w:type="dxa"/>
            <w:vAlign w:val="center"/>
          </w:tcPr>
          <w:p w14:paraId="4EDB3F1B">
            <w:pPr>
              <w:pStyle w:val="751"/>
              <w:rPr>
                <w:color w:val="auto"/>
              </w:rPr>
            </w:pPr>
            <w:r>
              <w:rPr>
                <w:color w:val="auto"/>
                <w:spacing w:val="-11"/>
              </w:rPr>
              <w:t>《水质 细菌总数的测定 平皿计数法》HJ1000-2018</w:t>
            </w:r>
          </w:p>
        </w:tc>
        <w:tc>
          <w:tcPr>
            <w:tcW w:w="1573" w:type="dxa"/>
            <w:vAlign w:val="center"/>
          </w:tcPr>
          <w:p w14:paraId="6F45050C">
            <w:pPr>
              <w:pStyle w:val="751"/>
              <w:rPr>
                <w:b/>
                <w:bCs/>
                <w:color w:val="auto"/>
              </w:rPr>
            </w:pPr>
            <w:r>
              <w:rPr>
                <w:color w:val="auto"/>
                <w:spacing w:val="-11"/>
              </w:rPr>
              <w:t>--</w:t>
            </w:r>
          </w:p>
        </w:tc>
      </w:tr>
      <w:tr w14:paraId="6647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4" w:type="dxa"/>
            <w:vAlign w:val="center"/>
          </w:tcPr>
          <w:p w14:paraId="72F8DD86">
            <w:pPr>
              <w:pStyle w:val="751"/>
              <w:rPr>
                <w:color w:val="auto"/>
              </w:rPr>
            </w:pPr>
            <w:r>
              <w:rPr>
                <w:rFonts w:hint="eastAsia"/>
                <w:color w:val="auto"/>
              </w:rPr>
              <w:t>2</w:t>
            </w:r>
            <w:r>
              <w:rPr>
                <w:color w:val="auto"/>
              </w:rPr>
              <w:t>8</w:t>
            </w:r>
          </w:p>
        </w:tc>
        <w:tc>
          <w:tcPr>
            <w:tcW w:w="1577" w:type="dxa"/>
            <w:vAlign w:val="center"/>
          </w:tcPr>
          <w:p w14:paraId="0E6D4D0C">
            <w:pPr>
              <w:pStyle w:val="751"/>
              <w:rPr>
                <w:color w:val="auto"/>
                <w:spacing w:val="-11"/>
              </w:rPr>
            </w:pPr>
            <w:r>
              <w:rPr>
                <w:color w:val="auto"/>
              </w:rPr>
              <w:t>色度</w:t>
            </w:r>
          </w:p>
        </w:tc>
        <w:tc>
          <w:tcPr>
            <w:tcW w:w="5440" w:type="dxa"/>
            <w:vAlign w:val="center"/>
          </w:tcPr>
          <w:p w14:paraId="2F530FCE">
            <w:pPr>
              <w:pStyle w:val="751"/>
              <w:rPr>
                <w:color w:val="auto"/>
              </w:rPr>
            </w:pPr>
            <w:r>
              <w:rPr>
                <w:color w:val="auto"/>
              </w:rPr>
              <w:t>《水质 色度的测定 稀释倍数法》HJ 1182-2021</w:t>
            </w:r>
          </w:p>
        </w:tc>
        <w:tc>
          <w:tcPr>
            <w:tcW w:w="1573" w:type="dxa"/>
            <w:vAlign w:val="center"/>
          </w:tcPr>
          <w:p w14:paraId="4FD6B27B">
            <w:pPr>
              <w:pStyle w:val="751"/>
              <w:rPr>
                <w:color w:val="auto"/>
              </w:rPr>
            </w:pPr>
            <w:r>
              <w:rPr>
                <w:rFonts w:hint="eastAsia"/>
                <w:color w:val="auto"/>
              </w:rPr>
              <w:t>2倍</w:t>
            </w:r>
          </w:p>
        </w:tc>
      </w:tr>
      <w:tr w14:paraId="3827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664" w:type="dxa"/>
            <w:vAlign w:val="center"/>
          </w:tcPr>
          <w:p w14:paraId="5449F708">
            <w:pPr>
              <w:pStyle w:val="751"/>
              <w:rPr>
                <w:color w:val="auto"/>
              </w:rPr>
            </w:pPr>
            <w:r>
              <w:rPr>
                <w:rFonts w:hint="eastAsia"/>
                <w:color w:val="auto"/>
              </w:rPr>
              <w:t>2</w:t>
            </w:r>
            <w:r>
              <w:rPr>
                <w:color w:val="auto"/>
              </w:rPr>
              <w:t>9</w:t>
            </w:r>
          </w:p>
        </w:tc>
        <w:tc>
          <w:tcPr>
            <w:tcW w:w="1577" w:type="dxa"/>
            <w:vAlign w:val="center"/>
          </w:tcPr>
          <w:p w14:paraId="08A5BDBB">
            <w:pPr>
              <w:pStyle w:val="751"/>
              <w:rPr>
                <w:color w:val="auto"/>
              </w:rPr>
            </w:pPr>
            <w:r>
              <w:rPr>
                <w:rFonts w:hint="eastAsia"/>
                <w:color w:val="auto"/>
              </w:rPr>
              <w:t>臭和味</w:t>
            </w:r>
          </w:p>
        </w:tc>
        <w:tc>
          <w:tcPr>
            <w:tcW w:w="5440" w:type="dxa"/>
            <w:vAlign w:val="center"/>
          </w:tcPr>
          <w:p w14:paraId="7CEB49BC">
            <w:pPr>
              <w:pStyle w:val="751"/>
              <w:rPr>
                <w:color w:val="auto"/>
              </w:rPr>
            </w:pPr>
            <w:r>
              <w:rPr>
                <w:color w:val="auto"/>
              </w:rPr>
              <w:t>《生活饮用水标准检验方法 感官性状和物理指标》GB/T 5750.4-2006（3.1 嗅气和尝味法）</w:t>
            </w:r>
          </w:p>
        </w:tc>
        <w:tc>
          <w:tcPr>
            <w:tcW w:w="1573" w:type="dxa"/>
            <w:vAlign w:val="center"/>
          </w:tcPr>
          <w:p w14:paraId="4AD43DC2">
            <w:pPr>
              <w:pStyle w:val="751"/>
              <w:rPr>
                <w:color w:val="auto"/>
              </w:rPr>
            </w:pPr>
            <w:r>
              <w:rPr>
                <w:rFonts w:hint="eastAsia"/>
                <w:color w:val="auto"/>
              </w:rPr>
              <w:t>--</w:t>
            </w:r>
          </w:p>
        </w:tc>
      </w:tr>
      <w:tr w14:paraId="4637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664" w:type="dxa"/>
            <w:vAlign w:val="center"/>
          </w:tcPr>
          <w:p w14:paraId="5485BDE2">
            <w:pPr>
              <w:pStyle w:val="751"/>
              <w:rPr>
                <w:color w:val="auto"/>
              </w:rPr>
            </w:pPr>
            <w:r>
              <w:rPr>
                <w:rFonts w:hint="eastAsia"/>
                <w:color w:val="auto"/>
              </w:rPr>
              <w:t>3</w:t>
            </w:r>
            <w:r>
              <w:rPr>
                <w:color w:val="auto"/>
              </w:rPr>
              <w:t>0</w:t>
            </w:r>
          </w:p>
        </w:tc>
        <w:tc>
          <w:tcPr>
            <w:tcW w:w="1577" w:type="dxa"/>
            <w:vAlign w:val="center"/>
          </w:tcPr>
          <w:p w14:paraId="3AF218BD">
            <w:pPr>
              <w:pStyle w:val="751"/>
              <w:rPr>
                <w:color w:val="auto"/>
              </w:rPr>
            </w:pPr>
            <w:r>
              <w:rPr>
                <w:rFonts w:hint="eastAsia"/>
                <w:color w:val="auto"/>
              </w:rPr>
              <w:t>浑浊度</w:t>
            </w:r>
          </w:p>
        </w:tc>
        <w:tc>
          <w:tcPr>
            <w:tcW w:w="5440" w:type="dxa"/>
            <w:vAlign w:val="center"/>
          </w:tcPr>
          <w:p w14:paraId="2EFFED77">
            <w:pPr>
              <w:pStyle w:val="751"/>
              <w:rPr>
                <w:color w:val="auto"/>
              </w:rPr>
            </w:pPr>
            <w:r>
              <w:rPr>
                <w:color w:val="auto"/>
              </w:rPr>
              <w:t>《生活饮用水标准检验方法 感官性状和物理指标》GB/T 5750.4-2006(2.2 目视比浊法--福尔马肼标准)</w:t>
            </w:r>
            <w:r>
              <w:rPr>
                <w:rFonts w:hint="eastAsia"/>
                <w:color w:val="auto"/>
              </w:rPr>
              <w:t xml:space="preserve">                                                                                                                                                                                                                                                                                                                                                                                                                                        </w:t>
            </w:r>
          </w:p>
        </w:tc>
        <w:tc>
          <w:tcPr>
            <w:tcW w:w="1573" w:type="dxa"/>
            <w:vAlign w:val="center"/>
          </w:tcPr>
          <w:p w14:paraId="1AAAFE3E">
            <w:pPr>
              <w:pStyle w:val="751"/>
              <w:rPr>
                <w:color w:val="auto"/>
              </w:rPr>
            </w:pPr>
            <w:r>
              <w:rPr>
                <w:rFonts w:hint="eastAsia"/>
                <w:color w:val="auto"/>
              </w:rPr>
              <w:t>1NTU</w:t>
            </w:r>
          </w:p>
        </w:tc>
      </w:tr>
      <w:tr w14:paraId="25D6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4" w:type="dxa"/>
            <w:vAlign w:val="center"/>
          </w:tcPr>
          <w:p w14:paraId="2A819EE7">
            <w:pPr>
              <w:pStyle w:val="751"/>
              <w:rPr>
                <w:color w:val="auto"/>
              </w:rPr>
            </w:pPr>
            <w:r>
              <w:rPr>
                <w:rFonts w:hint="eastAsia"/>
                <w:color w:val="auto"/>
              </w:rPr>
              <w:t>3</w:t>
            </w:r>
            <w:r>
              <w:rPr>
                <w:color w:val="auto"/>
              </w:rPr>
              <w:t>1</w:t>
            </w:r>
          </w:p>
        </w:tc>
        <w:tc>
          <w:tcPr>
            <w:tcW w:w="1577" w:type="dxa"/>
            <w:vAlign w:val="center"/>
          </w:tcPr>
          <w:p w14:paraId="26109B18">
            <w:pPr>
              <w:pStyle w:val="751"/>
              <w:rPr>
                <w:color w:val="auto"/>
              </w:rPr>
            </w:pPr>
            <w:r>
              <w:rPr>
                <w:rFonts w:hint="eastAsia"/>
                <w:color w:val="auto"/>
              </w:rPr>
              <w:t>肉眼可见物</w:t>
            </w:r>
          </w:p>
        </w:tc>
        <w:tc>
          <w:tcPr>
            <w:tcW w:w="5440" w:type="dxa"/>
            <w:vAlign w:val="center"/>
          </w:tcPr>
          <w:p w14:paraId="5D1EE542">
            <w:pPr>
              <w:pStyle w:val="751"/>
              <w:rPr>
                <w:color w:val="auto"/>
              </w:rPr>
            </w:pPr>
            <w:r>
              <w:rPr>
                <w:color w:val="auto"/>
              </w:rPr>
              <w:t>《生活饮用水标准检验方法 感官性状和物理指标》GB/T 5750.4-2006(4.1 直接观察法)</w:t>
            </w:r>
          </w:p>
        </w:tc>
        <w:tc>
          <w:tcPr>
            <w:tcW w:w="1573" w:type="dxa"/>
            <w:vAlign w:val="center"/>
          </w:tcPr>
          <w:p w14:paraId="50E43817">
            <w:pPr>
              <w:pStyle w:val="751"/>
              <w:rPr>
                <w:color w:val="auto"/>
              </w:rPr>
            </w:pPr>
            <w:r>
              <w:rPr>
                <w:rFonts w:hint="eastAsia"/>
                <w:color w:val="auto"/>
              </w:rPr>
              <w:t>--</w:t>
            </w:r>
          </w:p>
        </w:tc>
      </w:tr>
      <w:tr w14:paraId="2664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5732C95D">
            <w:pPr>
              <w:pStyle w:val="751"/>
              <w:rPr>
                <w:color w:val="auto"/>
              </w:rPr>
            </w:pPr>
            <w:r>
              <w:rPr>
                <w:rFonts w:hint="eastAsia"/>
                <w:color w:val="auto"/>
              </w:rPr>
              <w:t>3</w:t>
            </w:r>
            <w:r>
              <w:rPr>
                <w:color w:val="auto"/>
              </w:rPr>
              <w:t>2</w:t>
            </w:r>
          </w:p>
        </w:tc>
        <w:tc>
          <w:tcPr>
            <w:tcW w:w="1577" w:type="dxa"/>
            <w:vAlign w:val="center"/>
          </w:tcPr>
          <w:p w14:paraId="0AF22BA6">
            <w:pPr>
              <w:pStyle w:val="751"/>
              <w:rPr>
                <w:color w:val="auto"/>
              </w:rPr>
            </w:pPr>
            <w:r>
              <w:rPr>
                <w:color w:val="auto"/>
              </w:rPr>
              <w:t>阴离子表面活性剂</w:t>
            </w:r>
          </w:p>
        </w:tc>
        <w:tc>
          <w:tcPr>
            <w:tcW w:w="5440" w:type="dxa"/>
            <w:vAlign w:val="center"/>
          </w:tcPr>
          <w:p w14:paraId="0C458628">
            <w:pPr>
              <w:pStyle w:val="751"/>
              <w:rPr>
                <w:color w:val="auto"/>
              </w:rPr>
            </w:pPr>
            <w:r>
              <w:rPr>
                <w:color w:val="auto"/>
              </w:rPr>
              <w:t>《水质阴离子表面活性剂亚甲蓝分光光度法》GB 7494-87</w:t>
            </w:r>
          </w:p>
        </w:tc>
        <w:tc>
          <w:tcPr>
            <w:tcW w:w="1573" w:type="dxa"/>
            <w:vAlign w:val="center"/>
          </w:tcPr>
          <w:p w14:paraId="4F1169B4">
            <w:pPr>
              <w:pStyle w:val="751"/>
              <w:rPr>
                <w:color w:val="auto"/>
              </w:rPr>
            </w:pPr>
            <w:r>
              <w:rPr>
                <w:color w:val="auto"/>
              </w:rPr>
              <w:t>0.05mg/L</w:t>
            </w:r>
          </w:p>
        </w:tc>
      </w:tr>
      <w:tr w14:paraId="4FC5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64" w:type="dxa"/>
            <w:vAlign w:val="center"/>
          </w:tcPr>
          <w:p w14:paraId="4266A646">
            <w:pPr>
              <w:pStyle w:val="751"/>
              <w:rPr>
                <w:color w:val="auto"/>
              </w:rPr>
            </w:pPr>
            <w:r>
              <w:rPr>
                <w:rFonts w:hint="eastAsia"/>
                <w:color w:val="auto"/>
              </w:rPr>
              <w:t>3</w:t>
            </w:r>
            <w:r>
              <w:rPr>
                <w:color w:val="auto"/>
              </w:rPr>
              <w:t>3</w:t>
            </w:r>
          </w:p>
        </w:tc>
        <w:tc>
          <w:tcPr>
            <w:tcW w:w="1577" w:type="dxa"/>
            <w:vAlign w:val="center"/>
          </w:tcPr>
          <w:p w14:paraId="537A20B8">
            <w:pPr>
              <w:pStyle w:val="751"/>
              <w:rPr>
                <w:color w:val="auto"/>
              </w:rPr>
            </w:pPr>
            <w:r>
              <w:rPr>
                <w:color w:val="auto"/>
              </w:rPr>
              <w:t>硫化物</w:t>
            </w:r>
          </w:p>
        </w:tc>
        <w:tc>
          <w:tcPr>
            <w:tcW w:w="5440" w:type="dxa"/>
            <w:vAlign w:val="center"/>
          </w:tcPr>
          <w:p w14:paraId="64106C96">
            <w:pPr>
              <w:pStyle w:val="751"/>
              <w:rPr>
                <w:color w:val="auto"/>
              </w:rPr>
            </w:pPr>
            <w:r>
              <w:rPr>
                <w:color w:val="auto"/>
              </w:rPr>
              <w:t>《水质硫化物的测定亚甲基蓝分光光度法》HJ1226-2021</w:t>
            </w:r>
          </w:p>
        </w:tc>
        <w:tc>
          <w:tcPr>
            <w:tcW w:w="1573" w:type="dxa"/>
            <w:vAlign w:val="center"/>
          </w:tcPr>
          <w:p w14:paraId="4203005F">
            <w:pPr>
              <w:pStyle w:val="751"/>
              <w:rPr>
                <w:color w:val="auto"/>
              </w:rPr>
            </w:pPr>
            <w:r>
              <w:rPr>
                <w:rFonts w:hint="eastAsia"/>
                <w:color w:val="auto"/>
              </w:rPr>
              <w:t>0.01</w:t>
            </w:r>
            <w:r>
              <w:rPr>
                <w:color w:val="auto"/>
              </w:rPr>
              <w:t>mg/L</w:t>
            </w:r>
          </w:p>
        </w:tc>
      </w:tr>
      <w:tr w14:paraId="6B73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664" w:type="dxa"/>
            <w:vAlign w:val="center"/>
          </w:tcPr>
          <w:p w14:paraId="561CBCF5">
            <w:pPr>
              <w:pStyle w:val="751"/>
              <w:rPr>
                <w:color w:val="auto"/>
              </w:rPr>
            </w:pPr>
            <w:r>
              <w:rPr>
                <w:rFonts w:hint="eastAsia"/>
                <w:color w:val="auto"/>
              </w:rPr>
              <w:t>3</w:t>
            </w:r>
            <w:r>
              <w:rPr>
                <w:color w:val="auto"/>
              </w:rPr>
              <w:t>4</w:t>
            </w:r>
          </w:p>
        </w:tc>
        <w:tc>
          <w:tcPr>
            <w:tcW w:w="1577" w:type="dxa"/>
            <w:vAlign w:val="center"/>
          </w:tcPr>
          <w:p w14:paraId="33A37644">
            <w:pPr>
              <w:pStyle w:val="751"/>
              <w:rPr>
                <w:color w:val="auto"/>
              </w:rPr>
            </w:pPr>
            <w:r>
              <w:rPr>
                <w:color w:val="auto"/>
              </w:rPr>
              <w:t>碘</w:t>
            </w:r>
            <w:r>
              <w:rPr>
                <w:rFonts w:hint="eastAsia"/>
                <w:color w:val="auto"/>
              </w:rPr>
              <w:t>化物</w:t>
            </w:r>
          </w:p>
        </w:tc>
        <w:tc>
          <w:tcPr>
            <w:tcW w:w="5440" w:type="dxa"/>
            <w:vAlign w:val="center"/>
          </w:tcPr>
          <w:p w14:paraId="022A080F">
            <w:pPr>
              <w:pStyle w:val="751"/>
              <w:rPr>
                <w:color w:val="auto"/>
              </w:rPr>
            </w:pPr>
            <w:r>
              <w:rPr>
                <w:bCs/>
                <w:color w:val="auto"/>
              </w:rPr>
              <w:t>《地下水质</w:t>
            </w:r>
            <w:r>
              <w:rPr>
                <w:rFonts w:hint="eastAsia"/>
                <w:bCs/>
                <w:color w:val="auto"/>
              </w:rPr>
              <w:t>分析</w:t>
            </w:r>
            <w:r>
              <w:rPr>
                <w:bCs/>
                <w:color w:val="auto"/>
              </w:rPr>
              <w:t>方法</w:t>
            </w:r>
            <w:r>
              <w:rPr>
                <w:rFonts w:hint="eastAsia"/>
                <w:bCs/>
                <w:color w:val="auto"/>
              </w:rPr>
              <w:t>第56部分：碘化物的测定</w:t>
            </w:r>
            <w:r>
              <w:rPr>
                <w:bCs/>
                <w:color w:val="auto"/>
              </w:rPr>
              <w:t>淀粉</w:t>
            </w:r>
            <w:r>
              <w:rPr>
                <w:rFonts w:hint="eastAsia"/>
                <w:bCs/>
                <w:color w:val="auto"/>
              </w:rPr>
              <w:t>分光光度法</w:t>
            </w:r>
            <w:r>
              <w:rPr>
                <w:bCs/>
                <w:color w:val="auto"/>
              </w:rPr>
              <w:t>》DZ/T0064.56-</w:t>
            </w:r>
            <w:r>
              <w:rPr>
                <w:rFonts w:hint="eastAsia"/>
                <w:bCs/>
                <w:color w:val="auto"/>
              </w:rPr>
              <w:t>2021</w:t>
            </w:r>
          </w:p>
        </w:tc>
        <w:tc>
          <w:tcPr>
            <w:tcW w:w="1573" w:type="dxa"/>
            <w:vAlign w:val="center"/>
          </w:tcPr>
          <w:p w14:paraId="20648124">
            <w:pPr>
              <w:pStyle w:val="751"/>
              <w:rPr>
                <w:color w:val="auto"/>
              </w:rPr>
            </w:pPr>
            <w:r>
              <w:rPr>
                <w:bCs/>
                <w:color w:val="auto"/>
              </w:rPr>
              <w:t>2.5×10</w:t>
            </w:r>
            <w:r>
              <w:rPr>
                <w:bCs/>
                <w:color w:val="auto"/>
                <w:vertAlign w:val="superscript"/>
              </w:rPr>
              <w:t>-2</w:t>
            </w:r>
            <w:r>
              <w:rPr>
                <w:color w:val="auto"/>
              </w:rPr>
              <w:t>mg/L</w:t>
            </w:r>
          </w:p>
        </w:tc>
      </w:tr>
      <w:tr w14:paraId="5C8D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64" w:type="dxa"/>
            <w:vAlign w:val="center"/>
          </w:tcPr>
          <w:p w14:paraId="2B246F40">
            <w:pPr>
              <w:pStyle w:val="751"/>
              <w:rPr>
                <w:color w:val="auto"/>
              </w:rPr>
            </w:pPr>
            <w:r>
              <w:rPr>
                <w:rFonts w:hint="eastAsia"/>
                <w:color w:val="auto"/>
              </w:rPr>
              <w:t>3</w:t>
            </w:r>
            <w:r>
              <w:rPr>
                <w:color w:val="auto"/>
              </w:rPr>
              <w:t>5</w:t>
            </w:r>
          </w:p>
        </w:tc>
        <w:tc>
          <w:tcPr>
            <w:tcW w:w="1577" w:type="dxa"/>
            <w:vAlign w:val="center"/>
          </w:tcPr>
          <w:p w14:paraId="66135127">
            <w:pPr>
              <w:pStyle w:val="751"/>
              <w:rPr>
                <w:color w:val="auto"/>
              </w:rPr>
            </w:pPr>
            <w:r>
              <w:rPr>
                <w:color w:val="auto"/>
              </w:rPr>
              <w:t>硒</w:t>
            </w:r>
          </w:p>
        </w:tc>
        <w:tc>
          <w:tcPr>
            <w:tcW w:w="5440" w:type="dxa"/>
            <w:vAlign w:val="center"/>
          </w:tcPr>
          <w:p w14:paraId="50E7E128">
            <w:pPr>
              <w:pStyle w:val="751"/>
              <w:rPr>
                <w:color w:val="auto"/>
              </w:rPr>
            </w:pPr>
            <w:r>
              <w:rPr>
                <w:color w:val="auto"/>
              </w:rPr>
              <w:t>《水质汞、砷、硒、铋和锑的测定原子荧光法》 HJ694-2014</w:t>
            </w:r>
          </w:p>
        </w:tc>
        <w:tc>
          <w:tcPr>
            <w:tcW w:w="1573" w:type="dxa"/>
            <w:vAlign w:val="center"/>
          </w:tcPr>
          <w:p w14:paraId="238961CB">
            <w:pPr>
              <w:pStyle w:val="751"/>
              <w:rPr>
                <w:color w:val="auto"/>
              </w:rPr>
            </w:pPr>
            <w:r>
              <w:rPr>
                <w:color w:val="auto"/>
              </w:rPr>
              <w:t>0.4×10</w:t>
            </w:r>
            <w:r>
              <w:rPr>
                <w:color w:val="auto"/>
                <w:vertAlign w:val="superscript"/>
              </w:rPr>
              <w:t>-3</w:t>
            </w:r>
            <w:r>
              <w:rPr>
                <w:color w:val="auto"/>
              </w:rPr>
              <w:t>mg/L</w:t>
            </w:r>
          </w:p>
        </w:tc>
      </w:tr>
      <w:tr w14:paraId="6C2B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4" w:type="dxa"/>
            <w:vAlign w:val="center"/>
          </w:tcPr>
          <w:p w14:paraId="2FE80E25">
            <w:pPr>
              <w:pStyle w:val="751"/>
              <w:rPr>
                <w:color w:val="auto"/>
              </w:rPr>
            </w:pPr>
            <w:r>
              <w:rPr>
                <w:rFonts w:hint="eastAsia"/>
                <w:color w:val="auto"/>
              </w:rPr>
              <w:t>3</w:t>
            </w:r>
            <w:r>
              <w:rPr>
                <w:color w:val="auto"/>
              </w:rPr>
              <w:t>6</w:t>
            </w:r>
          </w:p>
        </w:tc>
        <w:tc>
          <w:tcPr>
            <w:tcW w:w="1577" w:type="dxa"/>
            <w:vAlign w:val="center"/>
          </w:tcPr>
          <w:p w14:paraId="7A1F622E">
            <w:pPr>
              <w:pStyle w:val="751"/>
              <w:rPr>
                <w:color w:val="auto"/>
              </w:rPr>
            </w:pPr>
            <w:r>
              <w:rPr>
                <w:rFonts w:hint="eastAsia"/>
                <w:bCs/>
                <w:color w:val="auto"/>
                <w:kern w:val="2"/>
              </w:rPr>
              <w:t>铝</w:t>
            </w:r>
          </w:p>
        </w:tc>
        <w:tc>
          <w:tcPr>
            <w:tcW w:w="5440" w:type="dxa"/>
            <w:vAlign w:val="center"/>
          </w:tcPr>
          <w:p w14:paraId="3C5671FC">
            <w:pPr>
              <w:pStyle w:val="751"/>
              <w:rPr>
                <w:color w:val="auto"/>
              </w:rPr>
            </w:pPr>
            <w:r>
              <w:rPr>
                <w:rFonts w:hint="eastAsia"/>
                <w:bCs/>
                <w:color w:val="auto"/>
                <w:kern w:val="2"/>
              </w:rPr>
              <w:t>《水质 32种元素的测定 电感耦合等离子体发射光谱法》HJ776-2015</w:t>
            </w:r>
          </w:p>
        </w:tc>
        <w:tc>
          <w:tcPr>
            <w:tcW w:w="1573" w:type="dxa"/>
            <w:vAlign w:val="center"/>
          </w:tcPr>
          <w:p w14:paraId="1BCED8AE">
            <w:pPr>
              <w:pStyle w:val="751"/>
              <w:rPr>
                <w:color w:val="auto"/>
              </w:rPr>
            </w:pPr>
            <w:r>
              <w:rPr>
                <w:rFonts w:hint="eastAsia"/>
                <w:color w:val="auto"/>
              </w:rPr>
              <w:t>0.07mg/L</w:t>
            </w:r>
          </w:p>
        </w:tc>
      </w:tr>
      <w:tr w14:paraId="19AB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4" w:type="dxa"/>
            <w:vAlign w:val="center"/>
          </w:tcPr>
          <w:p w14:paraId="09551F20">
            <w:pPr>
              <w:pStyle w:val="751"/>
              <w:rPr>
                <w:color w:val="auto"/>
              </w:rPr>
            </w:pPr>
            <w:r>
              <w:rPr>
                <w:rFonts w:hint="eastAsia"/>
                <w:color w:val="auto"/>
              </w:rPr>
              <w:t>3</w:t>
            </w:r>
            <w:r>
              <w:rPr>
                <w:color w:val="auto"/>
              </w:rPr>
              <w:t>7</w:t>
            </w:r>
          </w:p>
        </w:tc>
        <w:tc>
          <w:tcPr>
            <w:tcW w:w="1577" w:type="dxa"/>
            <w:vAlign w:val="center"/>
          </w:tcPr>
          <w:p w14:paraId="16BF9282">
            <w:pPr>
              <w:pStyle w:val="751"/>
              <w:rPr>
                <w:bCs/>
                <w:color w:val="auto"/>
                <w:kern w:val="2"/>
              </w:rPr>
            </w:pPr>
            <w:r>
              <w:rPr>
                <w:color w:val="auto"/>
              </w:rPr>
              <w:t>苯</w:t>
            </w:r>
          </w:p>
        </w:tc>
        <w:tc>
          <w:tcPr>
            <w:tcW w:w="5440" w:type="dxa"/>
            <w:vAlign w:val="center"/>
          </w:tcPr>
          <w:p w14:paraId="5A95D225">
            <w:pPr>
              <w:pStyle w:val="751"/>
              <w:rPr>
                <w:color w:val="auto"/>
              </w:rPr>
            </w:pPr>
            <w:r>
              <w:rPr>
                <w:color w:val="auto"/>
                <w:spacing w:val="-11"/>
              </w:rPr>
              <w:t>《水质 苯系物的测定 顶空/气相色谱法》HJ 1067-2019</w:t>
            </w:r>
          </w:p>
        </w:tc>
        <w:tc>
          <w:tcPr>
            <w:tcW w:w="1573" w:type="dxa"/>
            <w:vAlign w:val="center"/>
          </w:tcPr>
          <w:p w14:paraId="29204E41">
            <w:pPr>
              <w:pStyle w:val="751"/>
              <w:rPr>
                <w:color w:val="auto"/>
              </w:rPr>
            </w:pPr>
            <w:r>
              <w:rPr>
                <w:rFonts w:hint="eastAsia"/>
                <w:color w:val="auto"/>
              </w:rPr>
              <w:t>2</w:t>
            </w:r>
            <w:r>
              <w:rPr>
                <w:color w:val="auto"/>
              </w:rPr>
              <w:t>×10</w:t>
            </w:r>
            <w:r>
              <w:rPr>
                <w:color w:val="auto"/>
                <w:vertAlign w:val="superscript"/>
              </w:rPr>
              <w:t>-3</w:t>
            </w:r>
            <w:r>
              <w:rPr>
                <w:color w:val="auto"/>
              </w:rPr>
              <w:t>mg/L</w:t>
            </w:r>
          </w:p>
        </w:tc>
      </w:tr>
      <w:tr w14:paraId="4B3A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4" w:type="dxa"/>
            <w:vAlign w:val="center"/>
          </w:tcPr>
          <w:p w14:paraId="2629080A">
            <w:pPr>
              <w:pStyle w:val="751"/>
              <w:rPr>
                <w:color w:val="auto"/>
              </w:rPr>
            </w:pPr>
            <w:r>
              <w:rPr>
                <w:rFonts w:hint="eastAsia"/>
                <w:color w:val="auto"/>
              </w:rPr>
              <w:t>3</w:t>
            </w:r>
            <w:r>
              <w:rPr>
                <w:color w:val="auto"/>
              </w:rPr>
              <w:t>8</w:t>
            </w:r>
          </w:p>
        </w:tc>
        <w:tc>
          <w:tcPr>
            <w:tcW w:w="1577" w:type="dxa"/>
            <w:vAlign w:val="center"/>
          </w:tcPr>
          <w:p w14:paraId="750DE6E1">
            <w:pPr>
              <w:pStyle w:val="751"/>
              <w:rPr>
                <w:color w:val="auto"/>
              </w:rPr>
            </w:pPr>
            <w:r>
              <w:rPr>
                <w:color w:val="auto"/>
              </w:rPr>
              <w:t>甲苯</w:t>
            </w:r>
          </w:p>
        </w:tc>
        <w:tc>
          <w:tcPr>
            <w:tcW w:w="5440" w:type="dxa"/>
            <w:vAlign w:val="center"/>
          </w:tcPr>
          <w:p w14:paraId="7F5FFFBB">
            <w:pPr>
              <w:pStyle w:val="751"/>
              <w:rPr>
                <w:color w:val="auto"/>
              </w:rPr>
            </w:pPr>
            <w:r>
              <w:rPr>
                <w:color w:val="auto"/>
                <w:spacing w:val="-11"/>
              </w:rPr>
              <w:t>《水质 苯系物的测定 顶空/气相色谱法》HJ 1067-2019</w:t>
            </w:r>
          </w:p>
        </w:tc>
        <w:tc>
          <w:tcPr>
            <w:tcW w:w="1573" w:type="dxa"/>
            <w:vAlign w:val="center"/>
          </w:tcPr>
          <w:p w14:paraId="69BEBFC8">
            <w:pPr>
              <w:pStyle w:val="751"/>
              <w:rPr>
                <w:color w:val="auto"/>
              </w:rPr>
            </w:pPr>
            <w:r>
              <w:rPr>
                <w:rFonts w:hint="eastAsia"/>
                <w:color w:val="auto"/>
              </w:rPr>
              <w:t>2</w:t>
            </w:r>
            <w:r>
              <w:rPr>
                <w:color w:val="auto"/>
              </w:rPr>
              <w:t>×10</w:t>
            </w:r>
            <w:r>
              <w:rPr>
                <w:color w:val="auto"/>
                <w:vertAlign w:val="superscript"/>
              </w:rPr>
              <w:t>-3</w:t>
            </w:r>
            <w:r>
              <w:rPr>
                <w:color w:val="auto"/>
              </w:rPr>
              <w:t>mg/L</w:t>
            </w:r>
          </w:p>
        </w:tc>
      </w:tr>
      <w:tr w14:paraId="0877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64" w:type="dxa"/>
            <w:vAlign w:val="center"/>
          </w:tcPr>
          <w:p w14:paraId="07A31E53">
            <w:pPr>
              <w:pStyle w:val="751"/>
              <w:rPr>
                <w:color w:val="auto"/>
              </w:rPr>
            </w:pPr>
            <w:r>
              <w:rPr>
                <w:rFonts w:hint="eastAsia"/>
                <w:color w:val="auto"/>
              </w:rPr>
              <w:t>3</w:t>
            </w:r>
            <w:r>
              <w:rPr>
                <w:color w:val="auto"/>
              </w:rPr>
              <w:t>9</w:t>
            </w:r>
          </w:p>
        </w:tc>
        <w:tc>
          <w:tcPr>
            <w:tcW w:w="1577" w:type="dxa"/>
            <w:vAlign w:val="center"/>
          </w:tcPr>
          <w:p w14:paraId="2C4CF4B0">
            <w:pPr>
              <w:pStyle w:val="751"/>
              <w:rPr>
                <w:color w:val="auto"/>
              </w:rPr>
            </w:pPr>
            <w:r>
              <w:rPr>
                <w:rFonts w:hint="eastAsia"/>
                <w:color w:val="auto"/>
                <w:kern w:val="2"/>
              </w:rPr>
              <w:t>三氯甲烷</w:t>
            </w:r>
          </w:p>
        </w:tc>
        <w:tc>
          <w:tcPr>
            <w:tcW w:w="5440" w:type="dxa"/>
            <w:vAlign w:val="center"/>
          </w:tcPr>
          <w:p w14:paraId="2485EC80">
            <w:pPr>
              <w:pStyle w:val="751"/>
              <w:rPr>
                <w:color w:val="auto"/>
              </w:rPr>
            </w:pPr>
            <w:r>
              <w:rPr>
                <w:rFonts w:hint="eastAsia"/>
                <w:color w:val="auto"/>
              </w:rPr>
              <w:t>《水质 挥发性卤代烃的测定 顶空气相色谱法》HJ620-2011</w:t>
            </w:r>
          </w:p>
        </w:tc>
        <w:tc>
          <w:tcPr>
            <w:tcW w:w="1573" w:type="dxa"/>
            <w:vAlign w:val="center"/>
          </w:tcPr>
          <w:p w14:paraId="491FCA79">
            <w:pPr>
              <w:pStyle w:val="751"/>
              <w:rPr>
                <w:color w:val="auto"/>
              </w:rPr>
            </w:pPr>
            <w:r>
              <w:rPr>
                <w:rFonts w:hint="eastAsia"/>
                <w:color w:val="auto"/>
                <w:kern w:val="2"/>
              </w:rPr>
              <w:t>0.02</w:t>
            </w:r>
            <w:r>
              <w:rPr>
                <w:color w:val="auto"/>
              </w:rPr>
              <w:t>×10</w:t>
            </w:r>
            <w:r>
              <w:rPr>
                <w:color w:val="auto"/>
                <w:vertAlign w:val="superscript"/>
              </w:rPr>
              <w:t>-3</w:t>
            </w:r>
            <w:r>
              <w:rPr>
                <w:color w:val="auto"/>
              </w:rPr>
              <w:t>mg/L</w:t>
            </w:r>
          </w:p>
        </w:tc>
      </w:tr>
      <w:tr w14:paraId="6423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64" w:type="dxa"/>
            <w:vAlign w:val="center"/>
          </w:tcPr>
          <w:p w14:paraId="3F6E5891">
            <w:pPr>
              <w:pStyle w:val="751"/>
              <w:rPr>
                <w:color w:val="auto"/>
              </w:rPr>
            </w:pPr>
            <w:r>
              <w:rPr>
                <w:rFonts w:hint="eastAsia"/>
                <w:color w:val="auto"/>
              </w:rPr>
              <w:t>4</w:t>
            </w:r>
            <w:r>
              <w:rPr>
                <w:color w:val="auto"/>
              </w:rPr>
              <w:t>0</w:t>
            </w:r>
          </w:p>
        </w:tc>
        <w:tc>
          <w:tcPr>
            <w:tcW w:w="1577" w:type="dxa"/>
            <w:vAlign w:val="center"/>
          </w:tcPr>
          <w:p w14:paraId="511AAC5A">
            <w:pPr>
              <w:pStyle w:val="751"/>
              <w:rPr>
                <w:color w:val="auto"/>
                <w:kern w:val="2"/>
              </w:rPr>
            </w:pPr>
            <w:r>
              <w:rPr>
                <w:rFonts w:hint="eastAsia"/>
                <w:color w:val="auto"/>
                <w:spacing w:val="-11"/>
              </w:rPr>
              <w:t>四氯化碳</w:t>
            </w:r>
          </w:p>
        </w:tc>
        <w:tc>
          <w:tcPr>
            <w:tcW w:w="5440" w:type="dxa"/>
            <w:vAlign w:val="center"/>
          </w:tcPr>
          <w:p w14:paraId="1A824017">
            <w:pPr>
              <w:pStyle w:val="751"/>
              <w:rPr>
                <w:color w:val="auto"/>
              </w:rPr>
            </w:pPr>
            <w:r>
              <w:rPr>
                <w:rFonts w:hint="eastAsia"/>
                <w:color w:val="auto"/>
              </w:rPr>
              <w:t>《水质 挥发性卤代烃的测定 顶空气相色谱法》HJ620-2011</w:t>
            </w:r>
          </w:p>
        </w:tc>
        <w:tc>
          <w:tcPr>
            <w:tcW w:w="1573" w:type="dxa"/>
            <w:vAlign w:val="center"/>
          </w:tcPr>
          <w:p w14:paraId="6D40A146">
            <w:pPr>
              <w:pStyle w:val="751"/>
              <w:rPr>
                <w:color w:val="auto"/>
              </w:rPr>
            </w:pPr>
            <w:r>
              <w:rPr>
                <w:rFonts w:hint="eastAsia"/>
                <w:color w:val="auto"/>
                <w:kern w:val="2"/>
              </w:rPr>
              <w:t>0.03</w:t>
            </w:r>
            <w:r>
              <w:rPr>
                <w:color w:val="auto"/>
              </w:rPr>
              <w:t>×10</w:t>
            </w:r>
            <w:r>
              <w:rPr>
                <w:color w:val="auto"/>
                <w:vertAlign w:val="superscript"/>
              </w:rPr>
              <w:t>-3</w:t>
            </w:r>
            <w:r>
              <w:rPr>
                <w:color w:val="auto"/>
              </w:rPr>
              <w:t>mg/L</w:t>
            </w:r>
          </w:p>
        </w:tc>
      </w:tr>
      <w:tr w14:paraId="373E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64" w:type="dxa"/>
            <w:vAlign w:val="center"/>
          </w:tcPr>
          <w:p w14:paraId="01452379">
            <w:pPr>
              <w:pStyle w:val="751"/>
              <w:rPr>
                <w:color w:val="auto"/>
              </w:rPr>
            </w:pPr>
            <w:r>
              <w:rPr>
                <w:rFonts w:hint="eastAsia"/>
                <w:color w:val="auto"/>
              </w:rPr>
              <w:t>4</w:t>
            </w:r>
            <w:r>
              <w:rPr>
                <w:color w:val="auto"/>
              </w:rPr>
              <w:t>1</w:t>
            </w:r>
          </w:p>
        </w:tc>
        <w:tc>
          <w:tcPr>
            <w:tcW w:w="1577" w:type="dxa"/>
            <w:vAlign w:val="center"/>
          </w:tcPr>
          <w:p w14:paraId="399B2849">
            <w:pPr>
              <w:pStyle w:val="751"/>
              <w:rPr>
                <w:color w:val="auto"/>
                <w:spacing w:val="-11"/>
              </w:rPr>
            </w:pPr>
            <w:r>
              <w:rPr>
                <w:rFonts w:hint="eastAsia"/>
                <w:color w:val="auto"/>
                <w:spacing w:val="-11"/>
              </w:rPr>
              <w:t>铜</w:t>
            </w:r>
          </w:p>
        </w:tc>
        <w:tc>
          <w:tcPr>
            <w:tcW w:w="5440" w:type="dxa"/>
            <w:vMerge w:val="restart"/>
            <w:vAlign w:val="center"/>
          </w:tcPr>
          <w:p w14:paraId="152CF5F7">
            <w:pPr>
              <w:pStyle w:val="751"/>
              <w:rPr>
                <w:color w:val="auto"/>
              </w:rPr>
            </w:pPr>
            <w:r>
              <w:rPr>
                <w:rFonts w:hint="eastAsia"/>
                <w:bCs/>
                <w:color w:val="auto"/>
                <w:kern w:val="2"/>
              </w:rPr>
              <w:t>《水质 32种元素的测定 电感耦合等离子体发射光谱法》HJ776-2015</w:t>
            </w:r>
          </w:p>
        </w:tc>
        <w:tc>
          <w:tcPr>
            <w:tcW w:w="1573" w:type="dxa"/>
            <w:vAlign w:val="center"/>
          </w:tcPr>
          <w:p w14:paraId="1941B358">
            <w:pPr>
              <w:pStyle w:val="751"/>
              <w:rPr>
                <w:color w:val="auto"/>
              </w:rPr>
            </w:pPr>
            <w:r>
              <w:rPr>
                <w:rFonts w:hint="eastAsia"/>
                <w:color w:val="auto"/>
              </w:rPr>
              <w:t>0.006mg/L</w:t>
            </w:r>
          </w:p>
        </w:tc>
      </w:tr>
      <w:tr w14:paraId="0B1F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64" w:type="dxa"/>
            <w:vAlign w:val="center"/>
          </w:tcPr>
          <w:p w14:paraId="3D59AC53">
            <w:pPr>
              <w:pStyle w:val="751"/>
              <w:rPr>
                <w:color w:val="auto"/>
              </w:rPr>
            </w:pPr>
            <w:r>
              <w:rPr>
                <w:rFonts w:hint="eastAsia"/>
                <w:color w:val="auto"/>
              </w:rPr>
              <w:t>4</w:t>
            </w:r>
            <w:r>
              <w:rPr>
                <w:color w:val="auto"/>
              </w:rPr>
              <w:t>2</w:t>
            </w:r>
          </w:p>
        </w:tc>
        <w:tc>
          <w:tcPr>
            <w:tcW w:w="1577" w:type="dxa"/>
            <w:vAlign w:val="center"/>
          </w:tcPr>
          <w:p w14:paraId="048D95D5">
            <w:pPr>
              <w:pStyle w:val="751"/>
              <w:rPr>
                <w:color w:val="auto"/>
                <w:spacing w:val="-11"/>
              </w:rPr>
            </w:pPr>
            <w:r>
              <w:rPr>
                <w:rFonts w:hint="eastAsia"/>
                <w:color w:val="auto"/>
                <w:spacing w:val="-11"/>
              </w:rPr>
              <w:t>锌</w:t>
            </w:r>
          </w:p>
        </w:tc>
        <w:tc>
          <w:tcPr>
            <w:tcW w:w="5440" w:type="dxa"/>
            <w:vMerge w:val="continue"/>
            <w:vAlign w:val="center"/>
          </w:tcPr>
          <w:p w14:paraId="5B712739">
            <w:pPr>
              <w:pStyle w:val="751"/>
              <w:rPr>
                <w:color w:val="auto"/>
              </w:rPr>
            </w:pPr>
          </w:p>
        </w:tc>
        <w:tc>
          <w:tcPr>
            <w:tcW w:w="1573" w:type="dxa"/>
            <w:vAlign w:val="center"/>
          </w:tcPr>
          <w:p w14:paraId="38B124B6">
            <w:pPr>
              <w:pStyle w:val="751"/>
              <w:rPr>
                <w:color w:val="auto"/>
              </w:rPr>
            </w:pPr>
            <w:r>
              <w:rPr>
                <w:rFonts w:hint="eastAsia"/>
                <w:color w:val="auto"/>
              </w:rPr>
              <w:t>0.004mg/L</w:t>
            </w:r>
          </w:p>
        </w:tc>
      </w:tr>
    </w:tbl>
    <w:p w14:paraId="2347A632">
      <w:pPr>
        <w:pStyle w:val="104"/>
        <w:ind w:firstLine="482"/>
        <w:rPr>
          <w:b/>
        </w:rPr>
      </w:pPr>
      <w:r>
        <w:rPr>
          <w:b/>
        </w:rPr>
        <w:t>4、监测结果</w:t>
      </w:r>
    </w:p>
    <w:p w14:paraId="36D45373">
      <w:pPr>
        <w:pStyle w:val="105"/>
        <w:ind w:firstLine="480"/>
      </w:pPr>
      <w:r>
        <w:t>地下水</w:t>
      </w:r>
      <w:r>
        <w:rPr>
          <w:rFonts w:hint="eastAsia"/>
        </w:rPr>
        <w:t>水位、水质</w:t>
      </w:r>
      <w:r>
        <w:t>监测结果见表4.3-3</w:t>
      </w:r>
      <w:r>
        <w:rPr>
          <w:rFonts w:hint="eastAsia"/>
        </w:rPr>
        <w:t>和表4.3-4</w:t>
      </w:r>
      <w:r>
        <w:t>。</w:t>
      </w:r>
    </w:p>
    <w:p w14:paraId="493CA7E0">
      <w:pPr>
        <w:pStyle w:val="756"/>
      </w:pPr>
      <w:r>
        <w:rPr>
          <w:rFonts w:hint="eastAsia"/>
        </w:rPr>
        <w:t>表4.3-3 地下水水位监测结果一览表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5"/>
        <w:gridCol w:w="1340"/>
        <w:gridCol w:w="1548"/>
        <w:gridCol w:w="1548"/>
        <w:gridCol w:w="1548"/>
        <w:gridCol w:w="1548"/>
      </w:tblGrid>
      <w:tr w14:paraId="2505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0EBB60AF">
            <w:pPr>
              <w:pStyle w:val="756"/>
              <w:rPr>
                <w:b w:val="0"/>
                <w:bCs/>
                <w:sz w:val="21"/>
                <w:szCs w:val="21"/>
              </w:rPr>
            </w:pPr>
            <w:r>
              <w:rPr>
                <w:rFonts w:hint="eastAsia"/>
                <w:b w:val="0"/>
                <w:bCs/>
                <w:sz w:val="21"/>
                <w:szCs w:val="21"/>
              </w:rPr>
              <w:t>点位编号</w:t>
            </w:r>
          </w:p>
        </w:tc>
        <w:tc>
          <w:tcPr>
            <w:tcW w:w="1340" w:type="dxa"/>
          </w:tcPr>
          <w:p w14:paraId="02D68B38">
            <w:pPr>
              <w:pStyle w:val="756"/>
              <w:rPr>
                <w:b w:val="0"/>
                <w:bCs/>
                <w:sz w:val="21"/>
                <w:szCs w:val="21"/>
              </w:rPr>
            </w:pPr>
            <w:r>
              <w:rPr>
                <w:rFonts w:hint="eastAsia"/>
                <w:b w:val="0"/>
                <w:bCs/>
                <w:sz w:val="21"/>
                <w:szCs w:val="21"/>
              </w:rPr>
              <w:t>井口标高/m</w:t>
            </w:r>
          </w:p>
        </w:tc>
        <w:tc>
          <w:tcPr>
            <w:tcW w:w="1548" w:type="dxa"/>
          </w:tcPr>
          <w:p w14:paraId="1FF41221">
            <w:pPr>
              <w:pStyle w:val="756"/>
              <w:rPr>
                <w:b w:val="0"/>
                <w:bCs/>
                <w:sz w:val="21"/>
                <w:szCs w:val="21"/>
              </w:rPr>
            </w:pPr>
            <w:r>
              <w:rPr>
                <w:rFonts w:hint="eastAsia"/>
                <w:b w:val="0"/>
                <w:bCs/>
                <w:sz w:val="21"/>
                <w:szCs w:val="21"/>
              </w:rPr>
              <w:t>井深/m</w:t>
            </w:r>
          </w:p>
        </w:tc>
        <w:tc>
          <w:tcPr>
            <w:tcW w:w="1548" w:type="dxa"/>
          </w:tcPr>
          <w:p w14:paraId="456E9C32">
            <w:pPr>
              <w:pStyle w:val="756"/>
              <w:rPr>
                <w:b w:val="0"/>
                <w:bCs/>
                <w:sz w:val="21"/>
                <w:szCs w:val="21"/>
              </w:rPr>
            </w:pPr>
            <w:r>
              <w:rPr>
                <w:rFonts w:hint="eastAsia"/>
                <w:b w:val="0"/>
                <w:bCs/>
                <w:sz w:val="21"/>
                <w:szCs w:val="21"/>
              </w:rPr>
              <w:t>水位埋深/m</w:t>
            </w:r>
          </w:p>
        </w:tc>
        <w:tc>
          <w:tcPr>
            <w:tcW w:w="1548" w:type="dxa"/>
          </w:tcPr>
          <w:p w14:paraId="4C7F148A">
            <w:pPr>
              <w:pStyle w:val="756"/>
              <w:rPr>
                <w:b w:val="0"/>
                <w:bCs/>
                <w:sz w:val="21"/>
                <w:szCs w:val="21"/>
              </w:rPr>
            </w:pPr>
            <w:r>
              <w:rPr>
                <w:rFonts w:hint="eastAsia"/>
                <w:b w:val="0"/>
                <w:bCs/>
                <w:sz w:val="21"/>
                <w:szCs w:val="21"/>
              </w:rPr>
              <w:t>水位标高/m</w:t>
            </w:r>
          </w:p>
        </w:tc>
        <w:tc>
          <w:tcPr>
            <w:tcW w:w="1548" w:type="dxa"/>
          </w:tcPr>
          <w:p w14:paraId="1760D662">
            <w:pPr>
              <w:pStyle w:val="756"/>
              <w:rPr>
                <w:b w:val="0"/>
                <w:bCs/>
                <w:sz w:val="21"/>
                <w:szCs w:val="21"/>
              </w:rPr>
            </w:pPr>
            <w:r>
              <w:rPr>
                <w:rFonts w:hint="eastAsia"/>
                <w:b w:val="0"/>
                <w:bCs/>
                <w:sz w:val="21"/>
                <w:szCs w:val="21"/>
              </w:rPr>
              <w:t>监测层位</w:t>
            </w:r>
          </w:p>
        </w:tc>
      </w:tr>
      <w:tr w14:paraId="58F2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141F4C5A">
            <w:pPr>
              <w:pStyle w:val="756"/>
              <w:rPr>
                <w:b w:val="0"/>
                <w:bCs/>
                <w:sz w:val="21"/>
                <w:szCs w:val="21"/>
              </w:rPr>
            </w:pPr>
            <w:r>
              <w:rPr>
                <w:rFonts w:hint="eastAsia"/>
                <w:b w:val="0"/>
                <w:bCs/>
                <w:sz w:val="21"/>
                <w:szCs w:val="21"/>
              </w:rPr>
              <w:t>1#（灌溉1）</w:t>
            </w:r>
          </w:p>
        </w:tc>
        <w:tc>
          <w:tcPr>
            <w:tcW w:w="1340" w:type="dxa"/>
          </w:tcPr>
          <w:p w14:paraId="60403D7B">
            <w:pPr>
              <w:pStyle w:val="756"/>
              <w:rPr>
                <w:b w:val="0"/>
                <w:bCs/>
                <w:sz w:val="21"/>
                <w:szCs w:val="21"/>
              </w:rPr>
            </w:pPr>
            <w:r>
              <w:rPr>
                <w:rFonts w:hint="eastAsia"/>
                <w:b w:val="0"/>
                <w:bCs/>
                <w:sz w:val="21"/>
                <w:szCs w:val="21"/>
              </w:rPr>
              <w:t>1125</w:t>
            </w:r>
          </w:p>
        </w:tc>
        <w:tc>
          <w:tcPr>
            <w:tcW w:w="1548" w:type="dxa"/>
          </w:tcPr>
          <w:p w14:paraId="5D1DDB34">
            <w:pPr>
              <w:pStyle w:val="756"/>
              <w:rPr>
                <w:b w:val="0"/>
                <w:bCs/>
                <w:sz w:val="21"/>
                <w:szCs w:val="21"/>
              </w:rPr>
            </w:pPr>
            <w:r>
              <w:rPr>
                <w:rFonts w:hint="eastAsia"/>
                <w:b w:val="0"/>
                <w:bCs/>
                <w:sz w:val="21"/>
                <w:szCs w:val="21"/>
              </w:rPr>
              <w:t>150</w:t>
            </w:r>
          </w:p>
        </w:tc>
        <w:tc>
          <w:tcPr>
            <w:tcW w:w="1548" w:type="dxa"/>
          </w:tcPr>
          <w:p w14:paraId="483CB1BC">
            <w:pPr>
              <w:pStyle w:val="756"/>
              <w:rPr>
                <w:b w:val="0"/>
                <w:bCs/>
                <w:sz w:val="21"/>
                <w:szCs w:val="21"/>
              </w:rPr>
            </w:pPr>
            <w:r>
              <w:rPr>
                <w:rFonts w:hint="eastAsia"/>
                <w:b w:val="0"/>
                <w:bCs/>
                <w:sz w:val="21"/>
                <w:szCs w:val="21"/>
              </w:rPr>
              <w:t>35</w:t>
            </w:r>
          </w:p>
        </w:tc>
        <w:tc>
          <w:tcPr>
            <w:tcW w:w="1548" w:type="dxa"/>
          </w:tcPr>
          <w:p w14:paraId="7E971604">
            <w:pPr>
              <w:pStyle w:val="756"/>
              <w:rPr>
                <w:b w:val="0"/>
                <w:bCs/>
                <w:sz w:val="21"/>
                <w:szCs w:val="21"/>
              </w:rPr>
            </w:pPr>
            <w:r>
              <w:rPr>
                <w:rFonts w:hint="eastAsia"/>
                <w:b w:val="0"/>
                <w:bCs/>
                <w:sz w:val="21"/>
                <w:szCs w:val="21"/>
              </w:rPr>
              <w:t>1090</w:t>
            </w:r>
          </w:p>
        </w:tc>
        <w:tc>
          <w:tcPr>
            <w:tcW w:w="1548" w:type="dxa"/>
          </w:tcPr>
          <w:p w14:paraId="63B93CF4">
            <w:pPr>
              <w:pStyle w:val="756"/>
              <w:rPr>
                <w:b w:val="0"/>
                <w:bCs/>
                <w:sz w:val="21"/>
                <w:szCs w:val="21"/>
              </w:rPr>
            </w:pPr>
            <w:r>
              <w:rPr>
                <w:rFonts w:hint="eastAsia"/>
                <w:b w:val="0"/>
                <w:bCs/>
                <w:sz w:val="21"/>
                <w:szCs w:val="21"/>
              </w:rPr>
              <w:t>潜水含水层</w:t>
            </w:r>
          </w:p>
        </w:tc>
      </w:tr>
      <w:tr w14:paraId="1846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6EB16161">
            <w:pPr>
              <w:pStyle w:val="756"/>
              <w:rPr>
                <w:b w:val="0"/>
                <w:bCs/>
                <w:sz w:val="21"/>
                <w:szCs w:val="21"/>
              </w:rPr>
            </w:pPr>
            <w:r>
              <w:rPr>
                <w:rFonts w:hint="eastAsia"/>
                <w:b w:val="0"/>
                <w:bCs/>
                <w:sz w:val="21"/>
                <w:szCs w:val="21"/>
              </w:rPr>
              <w:t>2#（灌溉2）</w:t>
            </w:r>
          </w:p>
        </w:tc>
        <w:tc>
          <w:tcPr>
            <w:tcW w:w="1340" w:type="dxa"/>
          </w:tcPr>
          <w:p w14:paraId="7364031B">
            <w:pPr>
              <w:pStyle w:val="756"/>
              <w:rPr>
                <w:b w:val="0"/>
                <w:bCs/>
                <w:sz w:val="21"/>
                <w:szCs w:val="21"/>
              </w:rPr>
            </w:pPr>
            <w:r>
              <w:rPr>
                <w:rFonts w:hint="eastAsia"/>
                <w:b w:val="0"/>
                <w:bCs/>
                <w:sz w:val="21"/>
                <w:szCs w:val="21"/>
              </w:rPr>
              <w:t>1130</w:t>
            </w:r>
          </w:p>
        </w:tc>
        <w:tc>
          <w:tcPr>
            <w:tcW w:w="1548" w:type="dxa"/>
          </w:tcPr>
          <w:p w14:paraId="7A288B56">
            <w:pPr>
              <w:pStyle w:val="756"/>
              <w:rPr>
                <w:b w:val="0"/>
                <w:bCs/>
                <w:sz w:val="21"/>
                <w:szCs w:val="21"/>
              </w:rPr>
            </w:pPr>
            <w:r>
              <w:rPr>
                <w:rFonts w:hint="eastAsia"/>
                <w:b w:val="0"/>
                <w:bCs/>
                <w:sz w:val="21"/>
                <w:szCs w:val="21"/>
              </w:rPr>
              <w:t>150</w:t>
            </w:r>
          </w:p>
        </w:tc>
        <w:tc>
          <w:tcPr>
            <w:tcW w:w="1548" w:type="dxa"/>
          </w:tcPr>
          <w:p w14:paraId="6C3155FD">
            <w:pPr>
              <w:pStyle w:val="756"/>
              <w:rPr>
                <w:b w:val="0"/>
                <w:bCs/>
                <w:sz w:val="21"/>
                <w:szCs w:val="21"/>
              </w:rPr>
            </w:pPr>
            <w:r>
              <w:rPr>
                <w:rFonts w:hint="eastAsia"/>
                <w:b w:val="0"/>
                <w:bCs/>
                <w:sz w:val="21"/>
                <w:szCs w:val="21"/>
              </w:rPr>
              <w:t>36</w:t>
            </w:r>
          </w:p>
        </w:tc>
        <w:tc>
          <w:tcPr>
            <w:tcW w:w="1548" w:type="dxa"/>
          </w:tcPr>
          <w:p w14:paraId="1B8998DA">
            <w:pPr>
              <w:pStyle w:val="756"/>
              <w:rPr>
                <w:b w:val="0"/>
                <w:bCs/>
                <w:sz w:val="21"/>
                <w:szCs w:val="21"/>
              </w:rPr>
            </w:pPr>
            <w:r>
              <w:rPr>
                <w:rFonts w:hint="eastAsia"/>
                <w:b w:val="0"/>
                <w:bCs/>
                <w:sz w:val="21"/>
                <w:szCs w:val="21"/>
              </w:rPr>
              <w:t>1094</w:t>
            </w:r>
          </w:p>
        </w:tc>
        <w:tc>
          <w:tcPr>
            <w:tcW w:w="1548" w:type="dxa"/>
          </w:tcPr>
          <w:p w14:paraId="78BA36E3">
            <w:pPr>
              <w:pStyle w:val="756"/>
              <w:rPr>
                <w:b w:val="0"/>
                <w:bCs/>
                <w:sz w:val="21"/>
                <w:szCs w:val="21"/>
              </w:rPr>
            </w:pPr>
            <w:r>
              <w:rPr>
                <w:rFonts w:hint="eastAsia"/>
                <w:b w:val="0"/>
                <w:bCs/>
                <w:sz w:val="21"/>
                <w:szCs w:val="21"/>
              </w:rPr>
              <w:t>潜水含水层</w:t>
            </w:r>
          </w:p>
        </w:tc>
      </w:tr>
      <w:tr w14:paraId="0B23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2F26ECA9">
            <w:pPr>
              <w:pStyle w:val="756"/>
              <w:rPr>
                <w:b w:val="0"/>
                <w:bCs/>
                <w:sz w:val="21"/>
                <w:szCs w:val="21"/>
              </w:rPr>
            </w:pPr>
            <w:r>
              <w:rPr>
                <w:rFonts w:hint="eastAsia"/>
                <w:b w:val="0"/>
                <w:bCs/>
                <w:sz w:val="21"/>
                <w:szCs w:val="21"/>
              </w:rPr>
              <w:t>3#（牧民1）</w:t>
            </w:r>
          </w:p>
        </w:tc>
        <w:tc>
          <w:tcPr>
            <w:tcW w:w="1340" w:type="dxa"/>
          </w:tcPr>
          <w:p w14:paraId="3D93D94B">
            <w:pPr>
              <w:pStyle w:val="756"/>
              <w:rPr>
                <w:b w:val="0"/>
                <w:bCs/>
                <w:sz w:val="21"/>
                <w:szCs w:val="21"/>
              </w:rPr>
            </w:pPr>
            <w:r>
              <w:rPr>
                <w:rFonts w:hint="eastAsia"/>
                <w:b w:val="0"/>
                <w:bCs/>
                <w:sz w:val="21"/>
                <w:szCs w:val="21"/>
              </w:rPr>
              <w:t>1149</w:t>
            </w:r>
          </w:p>
        </w:tc>
        <w:tc>
          <w:tcPr>
            <w:tcW w:w="1548" w:type="dxa"/>
          </w:tcPr>
          <w:p w14:paraId="30EC3EFF">
            <w:pPr>
              <w:pStyle w:val="756"/>
              <w:rPr>
                <w:b w:val="0"/>
                <w:bCs/>
                <w:sz w:val="21"/>
                <w:szCs w:val="21"/>
              </w:rPr>
            </w:pPr>
            <w:r>
              <w:rPr>
                <w:rFonts w:hint="eastAsia"/>
                <w:b w:val="0"/>
                <w:bCs/>
                <w:sz w:val="21"/>
                <w:szCs w:val="21"/>
              </w:rPr>
              <w:t>100</w:t>
            </w:r>
          </w:p>
        </w:tc>
        <w:tc>
          <w:tcPr>
            <w:tcW w:w="1548" w:type="dxa"/>
          </w:tcPr>
          <w:p w14:paraId="52525AD5">
            <w:pPr>
              <w:pStyle w:val="756"/>
              <w:rPr>
                <w:b w:val="0"/>
                <w:bCs/>
                <w:sz w:val="21"/>
                <w:szCs w:val="21"/>
              </w:rPr>
            </w:pPr>
            <w:r>
              <w:rPr>
                <w:rFonts w:hint="eastAsia"/>
                <w:b w:val="0"/>
                <w:bCs/>
                <w:sz w:val="21"/>
                <w:szCs w:val="21"/>
              </w:rPr>
              <w:t>25</w:t>
            </w:r>
          </w:p>
        </w:tc>
        <w:tc>
          <w:tcPr>
            <w:tcW w:w="1548" w:type="dxa"/>
          </w:tcPr>
          <w:p w14:paraId="6C01F558">
            <w:pPr>
              <w:pStyle w:val="756"/>
              <w:rPr>
                <w:b w:val="0"/>
                <w:bCs/>
                <w:sz w:val="21"/>
                <w:szCs w:val="21"/>
              </w:rPr>
            </w:pPr>
            <w:r>
              <w:rPr>
                <w:rFonts w:hint="eastAsia"/>
                <w:b w:val="0"/>
                <w:bCs/>
                <w:sz w:val="21"/>
                <w:szCs w:val="21"/>
              </w:rPr>
              <w:t>1124</w:t>
            </w:r>
          </w:p>
        </w:tc>
        <w:tc>
          <w:tcPr>
            <w:tcW w:w="1548" w:type="dxa"/>
          </w:tcPr>
          <w:p w14:paraId="79B52B62">
            <w:pPr>
              <w:pStyle w:val="756"/>
              <w:rPr>
                <w:b w:val="0"/>
                <w:bCs/>
                <w:sz w:val="21"/>
                <w:szCs w:val="21"/>
              </w:rPr>
            </w:pPr>
            <w:r>
              <w:rPr>
                <w:rFonts w:hint="eastAsia"/>
                <w:b w:val="0"/>
                <w:bCs/>
                <w:sz w:val="21"/>
                <w:szCs w:val="21"/>
              </w:rPr>
              <w:t>潜水含水层</w:t>
            </w:r>
          </w:p>
        </w:tc>
      </w:tr>
      <w:tr w14:paraId="1247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10D737E9">
            <w:pPr>
              <w:pStyle w:val="756"/>
              <w:rPr>
                <w:b w:val="0"/>
                <w:bCs/>
                <w:sz w:val="21"/>
                <w:szCs w:val="21"/>
              </w:rPr>
            </w:pPr>
            <w:r>
              <w:rPr>
                <w:rFonts w:hint="eastAsia"/>
                <w:b w:val="0"/>
                <w:bCs/>
                <w:sz w:val="21"/>
                <w:szCs w:val="21"/>
              </w:rPr>
              <w:t>4#（伊克布拉格）</w:t>
            </w:r>
          </w:p>
        </w:tc>
        <w:tc>
          <w:tcPr>
            <w:tcW w:w="1340" w:type="dxa"/>
          </w:tcPr>
          <w:p w14:paraId="437AF732">
            <w:pPr>
              <w:pStyle w:val="756"/>
              <w:rPr>
                <w:b w:val="0"/>
                <w:bCs/>
                <w:sz w:val="21"/>
                <w:szCs w:val="21"/>
              </w:rPr>
            </w:pPr>
            <w:r>
              <w:rPr>
                <w:rFonts w:hint="eastAsia"/>
                <w:b w:val="0"/>
                <w:bCs/>
                <w:sz w:val="21"/>
                <w:szCs w:val="21"/>
              </w:rPr>
              <w:t>1063</w:t>
            </w:r>
          </w:p>
        </w:tc>
        <w:tc>
          <w:tcPr>
            <w:tcW w:w="1548" w:type="dxa"/>
          </w:tcPr>
          <w:p w14:paraId="4F539060">
            <w:pPr>
              <w:pStyle w:val="756"/>
              <w:rPr>
                <w:b w:val="0"/>
                <w:bCs/>
                <w:sz w:val="21"/>
                <w:szCs w:val="21"/>
              </w:rPr>
            </w:pPr>
            <w:r>
              <w:rPr>
                <w:rFonts w:hint="eastAsia"/>
                <w:b w:val="0"/>
                <w:bCs/>
                <w:sz w:val="21"/>
                <w:szCs w:val="21"/>
              </w:rPr>
              <w:t>10</w:t>
            </w:r>
          </w:p>
        </w:tc>
        <w:tc>
          <w:tcPr>
            <w:tcW w:w="1548" w:type="dxa"/>
          </w:tcPr>
          <w:p w14:paraId="2E103E72">
            <w:pPr>
              <w:pStyle w:val="756"/>
              <w:rPr>
                <w:b w:val="0"/>
                <w:bCs/>
                <w:sz w:val="21"/>
                <w:szCs w:val="21"/>
              </w:rPr>
            </w:pPr>
            <w:r>
              <w:rPr>
                <w:rFonts w:hint="eastAsia"/>
                <w:b w:val="0"/>
                <w:bCs/>
                <w:sz w:val="21"/>
                <w:szCs w:val="21"/>
              </w:rPr>
              <w:t>8</w:t>
            </w:r>
          </w:p>
        </w:tc>
        <w:tc>
          <w:tcPr>
            <w:tcW w:w="1548" w:type="dxa"/>
          </w:tcPr>
          <w:p w14:paraId="414FDCB0">
            <w:pPr>
              <w:pStyle w:val="756"/>
              <w:rPr>
                <w:b w:val="0"/>
                <w:bCs/>
                <w:sz w:val="21"/>
                <w:szCs w:val="21"/>
              </w:rPr>
            </w:pPr>
            <w:r>
              <w:rPr>
                <w:rFonts w:hint="eastAsia"/>
                <w:b w:val="0"/>
                <w:bCs/>
                <w:sz w:val="21"/>
                <w:szCs w:val="21"/>
              </w:rPr>
              <w:t>1055</w:t>
            </w:r>
          </w:p>
        </w:tc>
        <w:tc>
          <w:tcPr>
            <w:tcW w:w="1548" w:type="dxa"/>
          </w:tcPr>
          <w:p w14:paraId="183EEF58">
            <w:pPr>
              <w:pStyle w:val="756"/>
              <w:rPr>
                <w:b w:val="0"/>
                <w:bCs/>
                <w:sz w:val="21"/>
                <w:szCs w:val="21"/>
              </w:rPr>
            </w:pPr>
            <w:r>
              <w:rPr>
                <w:rFonts w:hint="eastAsia"/>
                <w:b w:val="0"/>
                <w:bCs/>
                <w:sz w:val="21"/>
                <w:szCs w:val="21"/>
              </w:rPr>
              <w:t>潜水含水层</w:t>
            </w:r>
          </w:p>
        </w:tc>
      </w:tr>
      <w:tr w14:paraId="70C1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19675174">
            <w:pPr>
              <w:pStyle w:val="756"/>
              <w:rPr>
                <w:b w:val="0"/>
                <w:bCs/>
                <w:sz w:val="21"/>
                <w:szCs w:val="21"/>
              </w:rPr>
            </w:pPr>
            <w:r>
              <w:rPr>
                <w:rFonts w:hint="eastAsia"/>
                <w:b w:val="0"/>
                <w:bCs/>
                <w:sz w:val="21"/>
                <w:szCs w:val="21"/>
              </w:rPr>
              <w:t>5#（牧民2）</w:t>
            </w:r>
          </w:p>
        </w:tc>
        <w:tc>
          <w:tcPr>
            <w:tcW w:w="1340" w:type="dxa"/>
          </w:tcPr>
          <w:p w14:paraId="25C305C9">
            <w:pPr>
              <w:pStyle w:val="756"/>
              <w:rPr>
                <w:b w:val="0"/>
                <w:bCs/>
                <w:sz w:val="21"/>
                <w:szCs w:val="21"/>
              </w:rPr>
            </w:pPr>
            <w:r>
              <w:rPr>
                <w:rFonts w:hint="eastAsia"/>
                <w:b w:val="0"/>
                <w:bCs/>
                <w:sz w:val="21"/>
                <w:szCs w:val="21"/>
              </w:rPr>
              <w:t>1077</w:t>
            </w:r>
          </w:p>
        </w:tc>
        <w:tc>
          <w:tcPr>
            <w:tcW w:w="1548" w:type="dxa"/>
          </w:tcPr>
          <w:p w14:paraId="52A74E95">
            <w:pPr>
              <w:pStyle w:val="756"/>
              <w:rPr>
                <w:b w:val="0"/>
                <w:bCs/>
                <w:sz w:val="21"/>
                <w:szCs w:val="21"/>
              </w:rPr>
            </w:pPr>
            <w:r>
              <w:rPr>
                <w:rFonts w:hint="eastAsia"/>
                <w:b w:val="0"/>
                <w:bCs/>
                <w:sz w:val="21"/>
                <w:szCs w:val="21"/>
              </w:rPr>
              <w:t>200</w:t>
            </w:r>
          </w:p>
        </w:tc>
        <w:tc>
          <w:tcPr>
            <w:tcW w:w="1548" w:type="dxa"/>
          </w:tcPr>
          <w:p w14:paraId="68D54A0F">
            <w:pPr>
              <w:pStyle w:val="756"/>
              <w:rPr>
                <w:b w:val="0"/>
                <w:bCs/>
                <w:sz w:val="21"/>
                <w:szCs w:val="21"/>
              </w:rPr>
            </w:pPr>
            <w:r>
              <w:rPr>
                <w:rFonts w:hint="eastAsia"/>
                <w:b w:val="0"/>
                <w:bCs/>
                <w:sz w:val="21"/>
                <w:szCs w:val="21"/>
              </w:rPr>
              <w:t>10</w:t>
            </w:r>
          </w:p>
        </w:tc>
        <w:tc>
          <w:tcPr>
            <w:tcW w:w="1548" w:type="dxa"/>
          </w:tcPr>
          <w:p w14:paraId="6C7A924A">
            <w:pPr>
              <w:pStyle w:val="756"/>
              <w:rPr>
                <w:b w:val="0"/>
                <w:bCs/>
                <w:sz w:val="21"/>
                <w:szCs w:val="21"/>
              </w:rPr>
            </w:pPr>
            <w:r>
              <w:rPr>
                <w:rFonts w:hint="eastAsia"/>
                <w:b w:val="0"/>
                <w:bCs/>
                <w:sz w:val="21"/>
                <w:szCs w:val="21"/>
              </w:rPr>
              <w:t>1057</w:t>
            </w:r>
          </w:p>
        </w:tc>
        <w:tc>
          <w:tcPr>
            <w:tcW w:w="1548" w:type="dxa"/>
          </w:tcPr>
          <w:p w14:paraId="1D202F2B">
            <w:pPr>
              <w:pStyle w:val="756"/>
              <w:rPr>
                <w:b w:val="0"/>
                <w:bCs/>
                <w:sz w:val="21"/>
                <w:szCs w:val="21"/>
              </w:rPr>
            </w:pPr>
            <w:r>
              <w:rPr>
                <w:rFonts w:hint="eastAsia"/>
                <w:b w:val="0"/>
                <w:bCs/>
                <w:sz w:val="21"/>
                <w:szCs w:val="21"/>
              </w:rPr>
              <w:t>潜水含水层</w:t>
            </w:r>
          </w:p>
        </w:tc>
      </w:tr>
      <w:tr w14:paraId="6CD9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7B8C37F6">
            <w:pPr>
              <w:pStyle w:val="756"/>
              <w:rPr>
                <w:b w:val="0"/>
                <w:bCs/>
                <w:sz w:val="21"/>
                <w:szCs w:val="21"/>
              </w:rPr>
            </w:pPr>
            <w:r>
              <w:rPr>
                <w:rFonts w:hint="eastAsia"/>
                <w:b w:val="0"/>
                <w:bCs/>
                <w:sz w:val="21"/>
                <w:szCs w:val="21"/>
              </w:rPr>
              <w:t>6#（牧民3）</w:t>
            </w:r>
          </w:p>
        </w:tc>
        <w:tc>
          <w:tcPr>
            <w:tcW w:w="1340" w:type="dxa"/>
          </w:tcPr>
          <w:p w14:paraId="125B4105">
            <w:pPr>
              <w:pStyle w:val="756"/>
              <w:rPr>
                <w:b w:val="0"/>
                <w:bCs/>
                <w:sz w:val="21"/>
                <w:szCs w:val="21"/>
              </w:rPr>
            </w:pPr>
            <w:r>
              <w:rPr>
                <w:rFonts w:hint="eastAsia"/>
                <w:b w:val="0"/>
                <w:bCs/>
                <w:sz w:val="21"/>
                <w:szCs w:val="21"/>
              </w:rPr>
              <w:t>1091</w:t>
            </w:r>
          </w:p>
        </w:tc>
        <w:tc>
          <w:tcPr>
            <w:tcW w:w="1548" w:type="dxa"/>
          </w:tcPr>
          <w:p w14:paraId="1A84E653">
            <w:pPr>
              <w:pStyle w:val="756"/>
              <w:rPr>
                <w:b w:val="0"/>
                <w:bCs/>
                <w:sz w:val="21"/>
                <w:szCs w:val="21"/>
              </w:rPr>
            </w:pPr>
            <w:r>
              <w:rPr>
                <w:rFonts w:hint="eastAsia"/>
                <w:b w:val="0"/>
                <w:bCs/>
                <w:sz w:val="21"/>
                <w:szCs w:val="21"/>
              </w:rPr>
              <w:t>20</w:t>
            </w:r>
          </w:p>
        </w:tc>
        <w:tc>
          <w:tcPr>
            <w:tcW w:w="1548" w:type="dxa"/>
          </w:tcPr>
          <w:p w14:paraId="161A986C">
            <w:pPr>
              <w:pStyle w:val="756"/>
              <w:rPr>
                <w:b w:val="0"/>
                <w:bCs/>
                <w:sz w:val="21"/>
                <w:szCs w:val="21"/>
              </w:rPr>
            </w:pPr>
            <w:r>
              <w:rPr>
                <w:rFonts w:hint="eastAsia"/>
                <w:b w:val="0"/>
                <w:bCs/>
                <w:sz w:val="21"/>
                <w:szCs w:val="21"/>
              </w:rPr>
              <w:t>15</w:t>
            </w:r>
          </w:p>
        </w:tc>
        <w:tc>
          <w:tcPr>
            <w:tcW w:w="1548" w:type="dxa"/>
          </w:tcPr>
          <w:p w14:paraId="49B26564">
            <w:pPr>
              <w:pStyle w:val="756"/>
              <w:rPr>
                <w:b w:val="0"/>
                <w:bCs/>
                <w:sz w:val="21"/>
                <w:szCs w:val="21"/>
              </w:rPr>
            </w:pPr>
            <w:r>
              <w:rPr>
                <w:rFonts w:hint="eastAsia"/>
                <w:b w:val="0"/>
                <w:bCs/>
                <w:sz w:val="21"/>
                <w:szCs w:val="21"/>
              </w:rPr>
              <w:t>1076</w:t>
            </w:r>
          </w:p>
        </w:tc>
        <w:tc>
          <w:tcPr>
            <w:tcW w:w="1548" w:type="dxa"/>
          </w:tcPr>
          <w:p w14:paraId="1D130378">
            <w:pPr>
              <w:pStyle w:val="756"/>
              <w:rPr>
                <w:b w:val="0"/>
                <w:bCs/>
                <w:sz w:val="21"/>
                <w:szCs w:val="21"/>
              </w:rPr>
            </w:pPr>
            <w:r>
              <w:rPr>
                <w:rFonts w:hint="eastAsia"/>
                <w:b w:val="0"/>
                <w:bCs/>
                <w:sz w:val="21"/>
                <w:szCs w:val="21"/>
              </w:rPr>
              <w:t>潜水含水层</w:t>
            </w:r>
          </w:p>
        </w:tc>
      </w:tr>
    </w:tbl>
    <w:p w14:paraId="60D80467">
      <w:pPr>
        <w:pStyle w:val="756"/>
      </w:pPr>
      <w:r>
        <w:t>表4.3-</w:t>
      </w:r>
      <w:r>
        <w:rPr>
          <w:rFonts w:hint="eastAsia"/>
        </w:rPr>
        <w:t>4</w:t>
      </w:r>
      <w:r>
        <w:t xml:space="preserve">  地下水水质监测结果</w:t>
      </w:r>
    </w:p>
    <w:tbl>
      <w:tblPr>
        <w:tblStyle w:val="8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1396"/>
        <w:gridCol w:w="1354"/>
        <w:gridCol w:w="1354"/>
        <w:gridCol w:w="1420"/>
        <w:gridCol w:w="1411"/>
        <w:gridCol w:w="817"/>
      </w:tblGrid>
      <w:tr w14:paraId="2C0E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75" w:type="pct"/>
            <w:gridSpan w:val="2"/>
            <w:vAlign w:val="center"/>
          </w:tcPr>
          <w:p w14:paraId="1CC7D25E">
            <w:pPr>
              <w:pStyle w:val="751"/>
              <w:rPr>
                <w:color w:val="auto"/>
              </w:rPr>
            </w:pPr>
            <w:r>
              <w:rPr>
                <w:color w:val="auto"/>
              </w:rPr>
              <w:t>检测点位</w:t>
            </w:r>
          </w:p>
        </w:tc>
        <w:tc>
          <w:tcPr>
            <w:tcW w:w="729" w:type="pct"/>
            <w:vMerge w:val="restart"/>
            <w:vAlign w:val="center"/>
          </w:tcPr>
          <w:p w14:paraId="6A2A796C">
            <w:pPr>
              <w:pStyle w:val="751"/>
              <w:rPr>
                <w:color w:val="auto"/>
              </w:rPr>
            </w:pPr>
            <w:r>
              <w:rPr>
                <w:rFonts w:hint="eastAsia"/>
                <w:color w:val="auto"/>
              </w:rPr>
              <w:t>标准值</w:t>
            </w:r>
          </w:p>
        </w:tc>
        <w:tc>
          <w:tcPr>
            <w:tcW w:w="729" w:type="pct"/>
            <w:vAlign w:val="center"/>
          </w:tcPr>
          <w:p w14:paraId="1E4C9FB7">
            <w:pPr>
              <w:pStyle w:val="751"/>
              <w:rPr>
                <w:color w:val="auto"/>
              </w:rPr>
            </w:pPr>
            <w:r>
              <w:rPr>
                <w:rFonts w:hint="eastAsia"/>
                <w:color w:val="auto"/>
              </w:rPr>
              <w:t>3</w:t>
            </w:r>
            <w:r>
              <w:rPr>
                <w:color w:val="auto"/>
              </w:rPr>
              <w:t>#</w:t>
            </w:r>
          </w:p>
        </w:tc>
        <w:tc>
          <w:tcPr>
            <w:tcW w:w="765" w:type="pct"/>
            <w:vAlign w:val="center"/>
          </w:tcPr>
          <w:p w14:paraId="43B54A2D">
            <w:pPr>
              <w:pStyle w:val="751"/>
              <w:rPr>
                <w:color w:val="auto"/>
              </w:rPr>
            </w:pPr>
            <w:r>
              <w:rPr>
                <w:rFonts w:hint="eastAsia"/>
                <w:color w:val="auto"/>
              </w:rPr>
              <w:t>4</w:t>
            </w:r>
            <w:r>
              <w:rPr>
                <w:color w:val="auto"/>
              </w:rPr>
              <w:t>#</w:t>
            </w:r>
          </w:p>
        </w:tc>
        <w:tc>
          <w:tcPr>
            <w:tcW w:w="760" w:type="pct"/>
            <w:vAlign w:val="center"/>
          </w:tcPr>
          <w:p w14:paraId="4CCB893B">
            <w:pPr>
              <w:pStyle w:val="751"/>
              <w:rPr>
                <w:color w:val="auto"/>
              </w:rPr>
            </w:pPr>
            <w:r>
              <w:rPr>
                <w:rFonts w:hint="eastAsia"/>
                <w:color w:val="auto"/>
              </w:rPr>
              <w:t>5</w:t>
            </w:r>
            <w:r>
              <w:rPr>
                <w:color w:val="auto"/>
              </w:rPr>
              <w:t>#</w:t>
            </w:r>
          </w:p>
        </w:tc>
        <w:tc>
          <w:tcPr>
            <w:tcW w:w="440" w:type="pct"/>
            <w:vMerge w:val="restart"/>
            <w:vAlign w:val="center"/>
          </w:tcPr>
          <w:p w14:paraId="1DB561C0">
            <w:pPr>
              <w:pStyle w:val="751"/>
              <w:rPr>
                <w:color w:val="auto"/>
              </w:rPr>
            </w:pPr>
            <w:r>
              <w:rPr>
                <w:rFonts w:hint="eastAsia"/>
                <w:color w:val="auto"/>
              </w:rPr>
              <w:t>达标情况</w:t>
            </w:r>
          </w:p>
        </w:tc>
      </w:tr>
      <w:tr w14:paraId="3105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3F267856">
            <w:pPr>
              <w:pStyle w:val="751"/>
              <w:rPr>
                <w:color w:val="auto"/>
              </w:rPr>
            </w:pPr>
            <w:r>
              <w:rPr>
                <w:color w:val="auto"/>
              </w:rPr>
              <w:t>检测项目</w:t>
            </w:r>
          </w:p>
        </w:tc>
        <w:tc>
          <w:tcPr>
            <w:tcW w:w="752" w:type="pct"/>
            <w:vAlign w:val="center"/>
          </w:tcPr>
          <w:p w14:paraId="1ECFE6F2">
            <w:pPr>
              <w:pStyle w:val="751"/>
              <w:rPr>
                <w:color w:val="auto"/>
              </w:rPr>
            </w:pPr>
            <w:r>
              <w:rPr>
                <w:color w:val="auto"/>
              </w:rPr>
              <w:t>单位</w:t>
            </w:r>
          </w:p>
        </w:tc>
        <w:tc>
          <w:tcPr>
            <w:tcW w:w="729" w:type="pct"/>
            <w:vMerge w:val="continue"/>
            <w:vAlign w:val="center"/>
          </w:tcPr>
          <w:p w14:paraId="367F4633">
            <w:pPr>
              <w:pStyle w:val="751"/>
              <w:rPr>
                <w:color w:val="auto"/>
              </w:rPr>
            </w:pPr>
          </w:p>
        </w:tc>
        <w:tc>
          <w:tcPr>
            <w:tcW w:w="2254" w:type="pct"/>
            <w:gridSpan w:val="3"/>
            <w:vAlign w:val="center"/>
          </w:tcPr>
          <w:p w14:paraId="40F6911B">
            <w:pPr>
              <w:pStyle w:val="751"/>
              <w:rPr>
                <w:bCs/>
                <w:color w:val="auto"/>
              </w:rPr>
            </w:pPr>
            <w:r>
              <w:rPr>
                <w:bCs/>
                <w:color w:val="auto"/>
              </w:rPr>
              <w:t>检测结果</w:t>
            </w:r>
          </w:p>
        </w:tc>
        <w:tc>
          <w:tcPr>
            <w:tcW w:w="440" w:type="pct"/>
            <w:vMerge w:val="continue"/>
            <w:vAlign w:val="center"/>
          </w:tcPr>
          <w:p w14:paraId="6FF1FC04">
            <w:pPr>
              <w:pStyle w:val="751"/>
              <w:rPr>
                <w:color w:val="auto"/>
              </w:rPr>
            </w:pPr>
          </w:p>
        </w:tc>
      </w:tr>
      <w:tr w14:paraId="2DD0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36774F1A">
            <w:pPr>
              <w:pStyle w:val="751"/>
              <w:rPr>
                <w:color w:val="auto"/>
                <w:vertAlign w:val="subscript"/>
              </w:rPr>
            </w:pPr>
            <w:r>
              <w:rPr>
                <w:rFonts w:hint="eastAsia"/>
                <w:color w:val="auto"/>
              </w:rPr>
              <w:t>钾</w:t>
            </w:r>
          </w:p>
        </w:tc>
        <w:tc>
          <w:tcPr>
            <w:tcW w:w="752" w:type="pct"/>
            <w:vAlign w:val="center"/>
          </w:tcPr>
          <w:p w14:paraId="43CE0801">
            <w:pPr>
              <w:pStyle w:val="751"/>
              <w:rPr>
                <w:color w:val="auto"/>
              </w:rPr>
            </w:pPr>
            <w:r>
              <w:rPr>
                <w:rFonts w:hint="eastAsia"/>
                <w:color w:val="auto"/>
              </w:rPr>
              <w:t>mg/L</w:t>
            </w:r>
          </w:p>
        </w:tc>
        <w:tc>
          <w:tcPr>
            <w:tcW w:w="729" w:type="pct"/>
            <w:vAlign w:val="center"/>
          </w:tcPr>
          <w:p w14:paraId="36966489">
            <w:pPr>
              <w:pStyle w:val="751"/>
              <w:rPr>
                <w:color w:val="auto"/>
              </w:rPr>
            </w:pPr>
            <w:r>
              <w:rPr>
                <w:rFonts w:hint="eastAsia"/>
                <w:color w:val="auto"/>
              </w:rPr>
              <w:t>/</w:t>
            </w:r>
          </w:p>
        </w:tc>
        <w:tc>
          <w:tcPr>
            <w:tcW w:w="729" w:type="pct"/>
            <w:vAlign w:val="center"/>
          </w:tcPr>
          <w:p w14:paraId="1CB4D45F">
            <w:pPr>
              <w:pStyle w:val="751"/>
              <w:rPr>
                <w:color w:val="auto"/>
              </w:rPr>
            </w:pPr>
            <w:r>
              <w:rPr>
                <w:rFonts w:hint="eastAsia"/>
                <w:bCs/>
                <w:color w:val="auto"/>
              </w:rPr>
              <w:t>2.58</w:t>
            </w:r>
          </w:p>
        </w:tc>
        <w:tc>
          <w:tcPr>
            <w:tcW w:w="765" w:type="pct"/>
            <w:vAlign w:val="center"/>
          </w:tcPr>
          <w:p w14:paraId="1276B489">
            <w:pPr>
              <w:pStyle w:val="751"/>
              <w:rPr>
                <w:color w:val="auto"/>
              </w:rPr>
            </w:pPr>
            <w:r>
              <w:rPr>
                <w:rFonts w:hint="eastAsia"/>
                <w:bCs/>
                <w:color w:val="auto"/>
              </w:rPr>
              <w:t>3.26</w:t>
            </w:r>
          </w:p>
        </w:tc>
        <w:tc>
          <w:tcPr>
            <w:tcW w:w="760" w:type="pct"/>
            <w:vAlign w:val="center"/>
          </w:tcPr>
          <w:p w14:paraId="716A4B6F">
            <w:pPr>
              <w:pStyle w:val="751"/>
              <w:rPr>
                <w:color w:val="auto"/>
              </w:rPr>
            </w:pPr>
            <w:r>
              <w:rPr>
                <w:rFonts w:hint="eastAsia"/>
                <w:bCs/>
                <w:color w:val="auto"/>
              </w:rPr>
              <w:t>3.61</w:t>
            </w:r>
          </w:p>
        </w:tc>
        <w:tc>
          <w:tcPr>
            <w:tcW w:w="440" w:type="pct"/>
            <w:vAlign w:val="center"/>
          </w:tcPr>
          <w:p w14:paraId="19D635FA">
            <w:pPr>
              <w:pStyle w:val="751"/>
              <w:rPr>
                <w:color w:val="auto"/>
              </w:rPr>
            </w:pPr>
            <w:r>
              <w:rPr>
                <w:rFonts w:hint="eastAsia"/>
                <w:color w:val="auto"/>
              </w:rPr>
              <w:t>/</w:t>
            </w:r>
          </w:p>
        </w:tc>
      </w:tr>
      <w:tr w14:paraId="0B2D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7C0F9B33">
            <w:pPr>
              <w:pStyle w:val="751"/>
              <w:rPr>
                <w:color w:val="auto"/>
              </w:rPr>
            </w:pPr>
            <w:r>
              <w:rPr>
                <w:rFonts w:hint="eastAsia"/>
                <w:color w:val="auto"/>
                <w:position w:val="-4"/>
              </w:rPr>
              <w:t>钠</w:t>
            </w:r>
          </w:p>
        </w:tc>
        <w:tc>
          <w:tcPr>
            <w:tcW w:w="752" w:type="pct"/>
            <w:vAlign w:val="center"/>
          </w:tcPr>
          <w:p w14:paraId="7CE671EF">
            <w:pPr>
              <w:pStyle w:val="751"/>
              <w:rPr>
                <w:color w:val="auto"/>
              </w:rPr>
            </w:pPr>
            <w:r>
              <w:rPr>
                <w:rFonts w:hint="eastAsia"/>
                <w:color w:val="auto"/>
              </w:rPr>
              <w:t>mg/L</w:t>
            </w:r>
          </w:p>
        </w:tc>
        <w:tc>
          <w:tcPr>
            <w:tcW w:w="729" w:type="pct"/>
            <w:vAlign w:val="center"/>
          </w:tcPr>
          <w:p w14:paraId="5C3D1BC2">
            <w:pPr>
              <w:pStyle w:val="751"/>
              <w:rPr>
                <w:color w:val="auto"/>
              </w:rPr>
            </w:pPr>
            <w:r>
              <w:rPr>
                <w:rFonts w:hint="eastAsia"/>
                <w:color w:val="auto"/>
              </w:rPr>
              <w:t>200</w:t>
            </w:r>
          </w:p>
        </w:tc>
        <w:tc>
          <w:tcPr>
            <w:tcW w:w="729" w:type="pct"/>
            <w:vAlign w:val="center"/>
          </w:tcPr>
          <w:p w14:paraId="7E299618">
            <w:pPr>
              <w:pStyle w:val="751"/>
              <w:rPr>
                <w:color w:val="auto"/>
              </w:rPr>
            </w:pPr>
            <w:r>
              <w:rPr>
                <w:rFonts w:hint="eastAsia"/>
                <w:bCs/>
                <w:color w:val="auto"/>
              </w:rPr>
              <w:t>170</w:t>
            </w:r>
          </w:p>
        </w:tc>
        <w:tc>
          <w:tcPr>
            <w:tcW w:w="765" w:type="pct"/>
            <w:vAlign w:val="center"/>
          </w:tcPr>
          <w:p w14:paraId="3E75C3FB">
            <w:pPr>
              <w:pStyle w:val="751"/>
              <w:rPr>
                <w:color w:val="auto"/>
              </w:rPr>
            </w:pPr>
            <w:r>
              <w:rPr>
                <w:rFonts w:hint="eastAsia"/>
                <w:bCs/>
                <w:color w:val="auto"/>
              </w:rPr>
              <w:t>118</w:t>
            </w:r>
          </w:p>
        </w:tc>
        <w:tc>
          <w:tcPr>
            <w:tcW w:w="760" w:type="pct"/>
            <w:vAlign w:val="center"/>
          </w:tcPr>
          <w:p w14:paraId="49E1917C">
            <w:pPr>
              <w:pStyle w:val="751"/>
              <w:rPr>
                <w:color w:val="auto"/>
              </w:rPr>
            </w:pPr>
            <w:r>
              <w:rPr>
                <w:rFonts w:hint="eastAsia"/>
                <w:bCs/>
                <w:color w:val="auto"/>
              </w:rPr>
              <w:t>170</w:t>
            </w:r>
          </w:p>
        </w:tc>
        <w:tc>
          <w:tcPr>
            <w:tcW w:w="440" w:type="pct"/>
            <w:vAlign w:val="center"/>
          </w:tcPr>
          <w:p w14:paraId="705B584F">
            <w:pPr>
              <w:pStyle w:val="751"/>
              <w:rPr>
                <w:color w:val="auto"/>
              </w:rPr>
            </w:pPr>
            <w:r>
              <w:rPr>
                <w:color w:val="auto"/>
              </w:rPr>
              <w:t>达标</w:t>
            </w:r>
          </w:p>
        </w:tc>
      </w:tr>
      <w:tr w14:paraId="3664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3" w:type="pct"/>
            <w:vAlign w:val="center"/>
          </w:tcPr>
          <w:p w14:paraId="33CB60BE">
            <w:pPr>
              <w:pStyle w:val="751"/>
              <w:rPr>
                <w:color w:val="auto"/>
              </w:rPr>
            </w:pPr>
            <w:r>
              <w:rPr>
                <w:rFonts w:hint="eastAsia"/>
                <w:color w:val="auto"/>
              </w:rPr>
              <w:t>钙</w:t>
            </w:r>
          </w:p>
        </w:tc>
        <w:tc>
          <w:tcPr>
            <w:tcW w:w="752" w:type="pct"/>
            <w:vAlign w:val="center"/>
          </w:tcPr>
          <w:p w14:paraId="2C11301F">
            <w:pPr>
              <w:pStyle w:val="751"/>
              <w:rPr>
                <w:color w:val="auto"/>
              </w:rPr>
            </w:pPr>
            <w:r>
              <w:rPr>
                <w:bCs/>
                <w:color w:val="auto"/>
              </w:rPr>
              <w:t>mg/L</w:t>
            </w:r>
          </w:p>
        </w:tc>
        <w:tc>
          <w:tcPr>
            <w:tcW w:w="729" w:type="pct"/>
            <w:vAlign w:val="center"/>
          </w:tcPr>
          <w:p w14:paraId="68DDDC55">
            <w:pPr>
              <w:pStyle w:val="751"/>
              <w:rPr>
                <w:bCs/>
                <w:color w:val="auto"/>
              </w:rPr>
            </w:pPr>
            <w:r>
              <w:rPr>
                <w:rFonts w:hint="eastAsia"/>
                <w:bCs/>
                <w:color w:val="auto"/>
              </w:rPr>
              <w:t>/</w:t>
            </w:r>
          </w:p>
        </w:tc>
        <w:tc>
          <w:tcPr>
            <w:tcW w:w="729" w:type="pct"/>
            <w:vAlign w:val="center"/>
          </w:tcPr>
          <w:p w14:paraId="0F885998">
            <w:pPr>
              <w:pStyle w:val="751"/>
              <w:rPr>
                <w:color w:val="auto"/>
              </w:rPr>
            </w:pPr>
            <w:r>
              <w:rPr>
                <w:rFonts w:hint="eastAsia"/>
                <w:color w:val="auto"/>
              </w:rPr>
              <w:t>113</w:t>
            </w:r>
          </w:p>
        </w:tc>
        <w:tc>
          <w:tcPr>
            <w:tcW w:w="765" w:type="pct"/>
            <w:vAlign w:val="center"/>
          </w:tcPr>
          <w:p w14:paraId="15BA5461">
            <w:pPr>
              <w:pStyle w:val="751"/>
              <w:rPr>
                <w:color w:val="auto"/>
              </w:rPr>
            </w:pPr>
            <w:r>
              <w:rPr>
                <w:rFonts w:hint="eastAsia"/>
                <w:color w:val="auto"/>
              </w:rPr>
              <w:t>126</w:t>
            </w:r>
          </w:p>
        </w:tc>
        <w:tc>
          <w:tcPr>
            <w:tcW w:w="760" w:type="pct"/>
            <w:vAlign w:val="center"/>
          </w:tcPr>
          <w:p w14:paraId="67028CCC">
            <w:pPr>
              <w:pStyle w:val="751"/>
              <w:rPr>
                <w:color w:val="auto"/>
              </w:rPr>
            </w:pPr>
            <w:r>
              <w:rPr>
                <w:rFonts w:hint="eastAsia"/>
                <w:color w:val="auto"/>
              </w:rPr>
              <w:t>120</w:t>
            </w:r>
          </w:p>
        </w:tc>
        <w:tc>
          <w:tcPr>
            <w:tcW w:w="440" w:type="pct"/>
            <w:vAlign w:val="center"/>
          </w:tcPr>
          <w:p w14:paraId="2913A5F0">
            <w:pPr>
              <w:pStyle w:val="751"/>
              <w:rPr>
                <w:color w:val="auto"/>
              </w:rPr>
            </w:pPr>
            <w:r>
              <w:rPr>
                <w:rFonts w:hint="eastAsia"/>
                <w:color w:val="auto"/>
              </w:rPr>
              <w:t>/</w:t>
            </w:r>
          </w:p>
        </w:tc>
      </w:tr>
      <w:tr w14:paraId="2567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0E2344A5">
            <w:pPr>
              <w:pStyle w:val="751"/>
              <w:rPr>
                <w:color w:val="auto"/>
              </w:rPr>
            </w:pPr>
            <w:r>
              <w:rPr>
                <w:rFonts w:hint="eastAsia"/>
                <w:color w:val="auto"/>
              </w:rPr>
              <w:t>镁</w:t>
            </w:r>
          </w:p>
        </w:tc>
        <w:tc>
          <w:tcPr>
            <w:tcW w:w="752" w:type="pct"/>
            <w:vAlign w:val="center"/>
          </w:tcPr>
          <w:p w14:paraId="0237B5CD">
            <w:pPr>
              <w:pStyle w:val="751"/>
              <w:rPr>
                <w:color w:val="auto"/>
              </w:rPr>
            </w:pPr>
            <w:r>
              <w:rPr>
                <w:rFonts w:hint="eastAsia"/>
                <w:color w:val="auto"/>
              </w:rPr>
              <w:t>mg/L</w:t>
            </w:r>
          </w:p>
        </w:tc>
        <w:tc>
          <w:tcPr>
            <w:tcW w:w="729" w:type="pct"/>
            <w:vAlign w:val="center"/>
          </w:tcPr>
          <w:p w14:paraId="701742AB">
            <w:pPr>
              <w:pStyle w:val="751"/>
              <w:rPr>
                <w:color w:val="auto"/>
              </w:rPr>
            </w:pPr>
            <w:r>
              <w:rPr>
                <w:rFonts w:hint="eastAsia"/>
                <w:color w:val="auto"/>
              </w:rPr>
              <w:t>/</w:t>
            </w:r>
          </w:p>
        </w:tc>
        <w:tc>
          <w:tcPr>
            <w:tcW w:w="729" w:type="pct"/>
            <w:vAlign w:val="center"/>
          </w:tcPr>
          <w:p w14:paraId="48A97510">
            <w:pPr>
              <w:pStyle w:val="751"/>
              <w:rPr>
                <w:color w:val="auto"/>
              </w:rPr>
            </w:pPr>
            <w:r>
              <w:rPr>
                <w:rFonts w:hint="eastAsia"/>
                <w:bCs/>
                <w:color w:val="auto"/>
              </w:rPr>
              <w:t>46.5</w:t>
            </w:r>
          </w:p>
        </w:tc>
        <w:tc>
          <w:tcPr>
            <w:tcW w:w="765" w:type="pct"/>
            <w:vAlign w:val="center"/>
          </w:tcPr>
          <w:p w14:paraId="2FD6DF96">
            <w:pPr>
              <w:pStyle w:val="751"/>
              <w:rPr>
                <w:color w:val="auto"/>
              </w:rPr>
            </w:pPr>
            <w:r>
              <w:rPr>
                <w:rFonts w:hint="eastAsia"/>
                <w:bCs/>
                <w:color w:val="auto"/>
              </w:rPr>
              <w:t xml:space="preserve">22.0 </w:t>
            </w:r>
          </w:p>
        </w:tc>
        <w:tc>
          <w:tcPr>
            <w:tcW w:w="760" w:type="pct"/>
            <w:vAlign w:val="center"/>
          </w:tcPr>
          <w:p w14:paraId="649DC2CE">
            <w:pPr>
              <w:pStyle w:val="751"/>
              <w:rPr>
                <w:color w:val="auto"/>
              </w:rPr>
            </w:pPr>
            <w:r>
              <w:rPr>
                <w:rFonts w:hint="eastAsia"/>
                <w:bCs/>
                <w:color w:val="auto"/>
              </w:rPr>
              <w:t>48.3</w:t>
            </w:r>
          </w:p>
        </w:tc>
        <w:tc>
          <w:tcPr>
            <w:tcW w:w="440" w:type="pct"/>
            <w:vAlign w:val="center"/>
          </w:tcPr>
          <w:p w14:paraId="373B4A50">
            <w:pPr>
              <w:pStyle w:val="751"/>
              <w:rPr>
                <w:color w:val="auto"/>
              </w:rPr>
            </w:pPr>
            <w:r>
              <w:rPr>
                <w:rFonts w:hint="eastAsia"/>
                <w:color w:val="auto"/>
              </w:rPr>
              <w:t>/</w:t>
            </w:r>
          </w:p>
        </w:tc>
      </w:tr>
      <w:tr w14:paraId="00A3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69BCBFE8">
            <w:pPr>
              <w:pStyle w:val="751"/>
              <w:rPr>
                <w:color w:val="auto"/>
              </w:rPr>
            </w:pPr>
            <w:r>
              <w:rPr>
                <w:color w:val="auto"/>
              </w:rPr>
              <w:t>碳酸盐</w:t>
            </w:r>
          </w:p>
        </w:tc>
        <w:tc>
          <w:tcPr>
            <w:tcW w:w="752" w:type="pct"/>
            <w:vAlign w:val="center"/>
          </w:tcPr>
          <w:p w14:paraId="273B726F">
            <w:pPr>
              <w:pStyle w:val="751"/>
              <w:rPr>
                <w:color w:val="auto"/>
              </w:rPr>
            </w:pPr>
            <w:r>
              <w:rPr>
                <w:rFonts w:hint="eastAsia"/>
                <w:color w:val="auto"/>
              </w:rPr>
              <w:t>mg/L</w:t>
            </w:r>
          </w:p>
        </w:tc>
        <w:tc>
          <w:tcPr>
            <w:tcW w:w="729" w:type="pct"/>
            <w:vAlign w:val="center"/>
          </w:tcPr>
          <w:p w14:paraId="40DE87FA">
            <w:pPr>
              <w:pStyle w:val="751"/>
              <w:rPr>
                <w:color w:val="auto"/>
              </w:rPr>
            </w:pPr>
            <w:r>
              <w:rPr>
                <w:rFonts w:hint="eastAsia"/>
                <w:color w:val="auto"/>
              </w:rPr>
              <w:t>/</w:t>
            </w:r>
          </w:p>
        </w:tc>
        <w:tc>
          <w:tcPr>
            <w:tcW w:w="729" w:type="pct"/>
            <w:vAlign w:val="center"/>
          </w:tcPr>
          <w:p w14:paraId="5098474C">
            <w:pPr>
              <w:pStyle w:val="751"/>
              <w:rPr>
                <w:color w:val="auto"/>
              </w:rPr>
            </w:pPr>
            <w:r>
              <w:rPr>
                <w:rFonts w:hint="eastAsia"/>
                <w:bCs/>
                <w:color w:val="auto"/>
              </w:rPr>
              <w:t>5L</w:t>
            </w:r>
          </w:p>
        </w:tc>
        <w:tc>
          <w:tcPr>
            <w:tcW w:w="765" w:type="pct"/>
            <w:vAlign w:val="center"/>
          </w:tcPr>
          <w:p w14:paraId="304014EF">
            <w:pPr>
              <w:pStyle w:val="751"/>
              <w:rPr>
                <w:color w:val="auto"/>
              </w:rPr>
            </w:pPr>
            <w:r>
              <w:rPr>
                <w:rFonts w:hint="eastAsia"/>
                <w:bCs/>
                <w:color w:val="auto"/>
              </w:rPr>
              <w:t>5L</w:t>
            </w:r>
          </w:p>
        </w:tc>
        <w:tc>
          <w:tcPr>
            <w:tcW w:w="760" w:type="pct"/>
            <w:vAlign w:val="center"/>
          </w:tcPr>
          <w:p w14:paraId="3E1A8199">
            <w:pPr>
              <w:pStyle w:val="751"/>
              <w:rPr>
                <w:color w:val="auto"/>
              </w:rPr>
            </w:pPr>
            <w:r>
              <w:rPr>
                <w:rFonts w:hint="eastAsia"/>
                <w:bCs/>
                <w:color w:val="auto"/>
              </w:rPr>
              <w:t>5L</w:t>
            </w:r>
          </w:p>
        </w:tc>
        <w:tc>
          <w:tcPr>
            <w:tcW w:w="440" w:type="pct"/>
            <w:vAlign w:val="center"/>
          </w:tcPr>
          <w:p w14:paraId="02AF61AB">
            <w:pPr>
              <w:pStyle w:val="751"/>
              <w:rPr>
                <w:color w:val="auto"/>
              </w:rPr>
            </w:pPr>
            <w:r>
              <w:rPr>
                <w:rFonts w:hint="eastAsia"/>
                <w:color w:val="auto"/>
              </w:rPr>
              <w:t>/</w:t>
            </w:r>
          </w:p>
        </w:tc>
      </w:tr>
      <w:tr w14:paraId="6243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10296733">
            <w:pPr>
              <w:pStyle w:val="751"/>
              <w:rPr>
                <w:color w:val="auto"/>
              </w:rPr>
            </w:pPr>
            <w:r>
              <w:rPr>
                <w:color w:val="auto"/>
              </w:rPr>
              <w:t>重碳酸盐</w:t>
            </w:r>
          </w:p>
        </w:tc>
        <w:tc>
          <w:tcPr>
            <w:tcW w:w="752" w:type="pct"/>
            <w:vAlign w:val="center"/>
          </w:tcPr>
          <w:p w14:paraId="3E64A089">
            <w:pPr>
              <w:pStyle w:val="751"/>
              <w:rPr>
                <w:color w:val="auto"/>
              </w:rPr>
            </w:pPr>
            <w:r>
              <w:rPr>
                <w:rFonts w:hint="eastAsia"/>
                <w:color w:val="auto"/>
              </w:rPr>
              <w:t>mg/L</w:t>
            </w:r>
          </w:p>
        </w:tc>
        <w:tc>
          <w:tcPr>
            <w:tcW w:w="729" w:type="pct"/>
            <w:vAlign w:val="center"/>
          </w:tcPr>
          <w:p w14:paraId="434A7CF5">
            <w:pPr>
              <w:pStyle w:val="751"/>
              <w:rPr>
                <w:color w:val="auto"/>
              </w:rPr>
            </w:pPr>
            <w:r>
              <w:rPr>
                <w:rFonts w:hint="eastAsia"/>
                <w:color w:val="auto"/>
              </w:rPr>
              <w:t>/</w:t>
            </w:r>
          </w:p>
        </w:tc>
        <w:tc>
          <w:tcPr>
            <w:tcW w:w="729" w:type="pct"/>
            <w:vAlign w:val="center"/>
          </w:tcPr>
          <w:p w14:paraId="7BF69A36">
            <w:pPr>
              <w:pStyle w:val="751"/>
              <w:rPr>
                <w:color w:val="auto"/>
              </w:rPr>
            </w:pPr>
            <w:r>
              <w:rPr>
                <w:rFonts w:hint="eastAsia"/>
                <w:bCs/>
                <w:color w:val="auto"/>
              </w:rPr>
              <w:t>178</w:t>
            </w:r>
          </w:p>
        </w:tc>
        <w:tc>
          <w:tcPr>
            <w:tcW w:w="765" w:type="pct"/>
            <w:vAlign w:val="center"/>
          </w:tcPr>
          <w:p w14:paraId="670FF790">
            <w:pPr>
              <w:pStyle w:val="751"/>
              <w:rPr>
                <w:color w:val="auto"/>
              </w:rPr>
            </w:pPr>
            <w:r>
              <w:rPr>
                <w:rFonts w:hint="eastAsia"/>
                <w:bCs/>
                <w:color w:val="auto"/>
              </w:rPr>
              <w:t>388</w:t>
            </w:r>
          </w:p>
        </w:tc>
        <w:tc>
          <w:tcPr>
            <w:tcW w:w="760" w:type="pct"/>
            <w:vAlign w:val="center"/>
          </w:tcPr>
          <w:p w14:paraId="477B14FF">
            <w:pPr>
              <w:pStyle w:val="751"/>
              <w:rPr>
                <w:color w:val="auto"/>
              </w:rPr>
            </w:pPr>
            <w:r>
              <w:rPr>
                <w:rFonts w:hint="eastAsia"/>
                <w:bCs/>
                <w:color w:val="auto"/>
              </w:rPr>
              <w:t>455</w:t>
            </w:r>
          </w:p>
        </w:tc>
        <w:tc>
          <w:tcPr>
            <w:tcW w:w="440" w:type="pct"/>
            <w:vAlign w:val="center"/>
          </w:tcPr>
          <w:p w14:paraId="22E3C281">
            <w:pPr>
              <w:pStyle w:val="751"/>
              <w:rPr>
                <w:color w:val="auto"/>
              </w:rPr>
            </w:pPr>
            <w:r>
              <w:rPr>
                <w:rFonts w:hint="eastAsia"/>
                <w:color w:val="auto"/>
              </w:rPr>
              <w:t>/</w:t>
            </w:r>
          </w:p>
        </w:tc>
      </w:tr>
      <w:tr w14:paraId="0998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388391DF">
            <w:pPr>
              <w:pStyle w:val="751"/>
              <w:rPr>
                <w:color w:val="auto"/>
              </w:rPr>
            </w:pPr>
            <w:r>
              <w:rPr>
                <w:rFonts w:hint="eastAsia"/>
                <w:color w:val="auto"/>
              </w:rPr>
              <w:t>氯化物（</w:t>
            </w:r>
            <w:r>
              <w:rPr>
                <w:color w:val="auto"/>
                <w:spacing w:val="-11"/>
              </w:rPr>
              <w:t>Cl</w:t>
            </w:r>
            <w:r>
              <w:rPr>
                <w:color w:val="auto"/>
                <w:spacing w:val="-11"/>
                <w:vertAlign w:val="superscript"/>
              </w:rPr>
              <w:t>-</w:t>
            </w:r>
            <w:r>
              <w:rPr>
                <w:rFonts w:hint="eastAsia"/>
                <w:color w:val="auto"/>
                <w:spacing w:val="-11"/>
              </w:rPr>
              <w:t>）</w:t>
            </w:r>
          </w:p>
        </w:tc>
        <w:tc>
          <w:tcPr>
            <w:tcW w:w="752" w:type="pct"/>
            <w:vAlign w:val="center"/>
          </w:tcPr>
          <w:p w14:paraId="015B5269">
            <w:pPr>
              <w:pStyle w:val="751"/>
              <w:rPr>
                <w:color w:val="auto"/>
              </w:rPr>
            </w:pPr>
            <w:r>
              <w:rPr>
                <w:rFonts w:hint="eastAsia"/>
                <w:color w:val="auto"/>
              </w:rPr>
              <w:t>mg/L</w:t>
            </w:r>
          </w:p>
        </w:tc>
        <w:tc>
          <w:tcPr>
            <w:tcW w:w="729" w:type="pct"/>
            <w:vAlign w:val="center"/>
          </w:tcPr>
          <w:p w14:paraId="03877FAE">
            <w:pPr>
              <w:pStyle w:val="751"/>
              <w:rPr>
                <w:color w:val="auto"/>
              </w:rPr>
            </w:pPr>
            <w:r>
              <w:rPr>
                <w:rFonts w:hint="eastAsia"/>
                <w:color w:val="auto"/>
              </w:rPr>
              <w:t>250</w:t>
            </w:r>
          </w:p>
        </w:tc>
        <w:tc>
          <w:tcPr>
            <w:tcW w:w="729" w:type="pct"/>
            <w:vAlign w:val="center"/>
          </w:tcPr>
          <w:p w14:paraId="3F122CC4">
            <w:pPr>
              <w:pStyle w:val="751"/>
              <w:rPr>
                <w:color w:val="auto"/>
              </w:rPr>
            </w:pPr>
            <w:r>
              <w:rPr>
                <w:rFonts w:hint="eastAsia"/>
                <w:bCs/>
                <w:color w:val="auto"/>
              </w:rPr>
              <w:t>236</w:t>
            </w:r>
          </w:p>
        </w:tc>
        <w:tc>
          <w:tcPr>
            <w:tcW w:w="765" w:type="pct"/>
            <w:vAlign w:val="center"/>
          </w:tcPr>
          <w:p w14:paraId="72A5AAC7">
            <w:pPr>
              <w:pStyle w:val="751"/>
              <w:rPr>
                <w:color w:val="auto"/>
              </w:rPr>
            </w:pPr>
            <w:r>
              <w:rPr>
                <w:rFonts w:hint="eastAsia"/>
                <w:bCs/>
                <w:color w:val="auto"/>
              </w:rPr>
              <w:t>139</w:t>
            </w:r>
          </w:p>
        </w:tc>
        <w:tc>
          <w:tcPr>
            <w:tcW w:w="760" w:type="pct"/>
            <w:vAlign w:val="center"/>
          </w:tcPr>
          <w:p w14:paraId="5F7AA045">
            <w:pPr>
              <w:pStyle w:val="751"/>
              <w:rPr>
                <w:color w:val="auto"/>
              </w:rPr>
            </w:pPr>
            <w:r>
              <w:rPr>
                <w:rFonts w:hint="eastAsia"/>
                <w:bCs/>
                <w:color w:val="auto"/>
              </w:rPr>
              <w:t>224</w:t>
            </w:r>
          </w:p>
        </w:tc>
        <w:tc>
          <w:tcPr>
            <w:tcW w:w="440" w:type="pct"/>
            <w:vAlign w:val="center"/>
          </w:tcPr>
          <w:p w14:paraId="10E51D93">
            <w:pPr>
              <w:pStyle w:val="751"/>
              <w:rPr>
                <w:color w:val="auto"/>
              </w:rPr>
            </w:pPr>
            <w:r>
              <w:rPr>
                <w:color w:val="auto"/>
              </w:rPr>
              <w:t>达标</w:t>
            </w:r>
          </w:p>
        </w:tc>
      </w:tr>
      <w:tr w14:paraId="510B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6D7D900A">
            <w:pPr>
              <w:pStyle w:val="751"/>
              <w:rPr>
                <w:color w:val="auto"/>
              </w:rPr>
            </w:pPr>
            <w:r>
              <w:rPr>
                <w:rFonts w:hint="eastAsia"/>
                <w:color w:val="auto"/>
              </w:rPr>
              <w:t>硫酸盐（</w:t>
            </w:r>
            <w:r>
              <w:rPr>
                <w:color w:val="auto"/>
                <w:spacing w:val="-11"/>
              </w:rPr>
              <w:t>SO</w:t>
            </w:r>
            <w:r>
              <w:rPr>
                <w:color w:val="auto"/>
                <w:spacing w:val="-11"/>
                <w:vertAlign w:val="subscript"/>
              </w:rPr>
              <w:t>4</w:t>
            </w:r>
            <w:r>
              <w:rPr>
                <w:color w:val="auto"/>
                <w:spacing w:val="-11"/>
                <w:vertAlign w:val="superscript"/>
              </w:rPr>
              <w:t>2-</w:t>
            </w:r>
            <w:r>
              <w:rPr>
                <w:rFonts w:hint="eastAsia"/>
                <w:color w:val="auto"/>
                <w:spacing w:val="-11"/>
              </w:rPr>
              <w:t>）</w:t>
            </w:r>
          </w:p>
        </w:tc>
        <w:tc>
          <w:tcPr>
            <w:tcW w:w="752" w:type="pct"/>
            <w:vAlign w:val="center"/>
          </w:tcPr>
          <w:p w14:paraId="34E18587">
            <w:pPr>
              <w:pStyle w:val="751"/>
              <w:rPr>
                <w:color w:val="auto"/>
              </w:rPr>
            </w:pPr>
            <w:r>
              <w:rPr>
                <w:rFonts w:hint="eastAsia"/>
                <w:color w:val="auto"/>
              </w:rPr>
              <w:t>mg/L</w:t>
            </w:r>
          </w:p>
        </w:tc>
        <w:tc>
          <w:tcPr>
            <w:tcW w:w="729" w:type="pct"/>
            <w:vAlign w:val="center"/>
          </w:tcPr>
          <w:p w14:paraId="11953E21">
            <w:pPr>
              <w:pStyle w:val="751"/>
              <w:rPr>
                <w:color w:val="auto"/>
              </w:rPr>
            </w:pPr>
            <w:r>
              <w:rPr>
                <w:rFonts w:hint="eastAsia"/>
                <w:color w:val="auto"/>
              </w:rPr>
              <w:t>250</w:t>
            </w:r>
          </w:p>
        </w:tc>
        <w:tc>
          <w:tcPr>
            <w:tcW w:w="729" w:type="pct"/>
            <w:vAlign w:val="center"/>
          </w:tcPr>
          <w:p w14:paraId="3401A2AE">
            <w:pPr>
              <w:pStyle w:val="751"/>
              <w:rPr>
                <w:color w:val="auto"/>
              </w:rPr>
            </w:pPr>
            <w:r>
              <w:rPr>
                <w:rFonts w:hint="eastAsia"/>
                <w:bCs/>
                <w:color w:val="auto"/>
              </w:rPr>
              <w:t>225</w:t>
            </w:r>
          </w:p>
        </w:tc>
        <w:tc>
          <w:tcPr>
            <w:tcW w:w="765" w:type="pct"/>
            <w:vAlign w:val="center"/>
          </w:tcPr>
          <w:p w14:paraId="66E53062">
            <w:pPr>
              <w:pStyle w:val="751"/>
              <w:rPr>
                <w:color w:val="auto"/>
              </w:rPr>
            </w:pPr>
            <w:r>
              <w:rPr>
                <w:rFonts w:hint="eastAsia"/>
                <w:bCs/>
                <w:color w:val="auto"/>
              </w:rPr>
              <w:t>112</w:t>
            </w:r>
          </w:p>
        </w:tc>
        <w:tc>
          <w:tcPr>
            <w:tcW w:w="760" w:type="pct"/>
            <w:vAlign w:val="center"/>
          </w:tcPr>
          <w:p w14:paraId="65168527">
            <w:pPr>
              <w:pStyle w:val="751"/>
              <w:rPr>
                <w:color w:val="auto"/>
              </w:rPr>
            </w:pPr>
            <w:r>
              <w:rPr>
                <w:rFonts w:hint="eastAsia"/>
                <w:bCs/>
                <w:color w:val="auto"/>
              </w:rPr>
              <w:t>223</w:t>
            </w:r>
          </w:p>
        </w:tc>
        <w:tc>
          <w:tcPr>
            <w:tcW w:w="440" w:type="pct"/>
            <w:vAlign w:val="center"/>
          </w:tcPr>
          <w:p w14:paraId="06B32FCB">
            <w:pPr>
              <w:pStyle w:val="751"/>
              <w:rPr>
                <w:color w:val="auto"/>
              </w:rPr>
            </w:pPr>
            <w:r>
              <w:rPr>
                <w:color w:val="auto"/>
              </w:rPr>
              <w:t>达标</w:t>
            </w:r>
          </w:p>
        </w:tc>
      </w:tr>
      <w:tr w14:paraId="6C16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2DA2D120">
            <w:pPr>
              <w:pStyle w:val="751"/>
              <w:rPr>
                <w:color w:val="auto"/>
              </w:rPr>
            </w:pPr>
            <w:r>
              <w:rPr>
                <w:rFonts w:hint="eastAsia"/>
                <w:color w:val="auto"/>
              </w:rPr>
              <w:t>p</w:t>
            </w:r>
            <w:r>
              <w:rPr>
                <w:color w:val="auto"/>
              </w:rPr>
              <w:t>H值</w:t>
            </w:r>
          </w:p>
        </w:tc>
        <w:tc>
          <w:tcPr>
            <w:tcW w:w="752" w:type="pct"/>
            <w:vAlign w:val="center"/>
          </w:tcPr>
          <w:p w14:paraId="4573D3C3">
            <w:pPr>
              <w:pStyle w:val="751"/>
              <w:rPr>
                <w:color w:val="auto"/>
              </w:rPr>
            </w:pPr>
            <w:r>
              <w:rPr>
                <w:rFonts w:hint="eastAsia"/>
                <w:color w:val="auto"/>
              </w:rPr>
              <w:t>--</w:t>
            </w:r>
          </w:p>
        </w:tc>
        <w:tc>
          <w:tcPr>
            <w:tcW w:w="729" w:type="pct"/>
            <w:vAlign w:val="center"/>
          </w:tcPr>
          <w:p w14:paraId="70AB50C0">
            <w:pPr>
              <w:pStyle w:val="751"/>
              <w:rPr>
                <w:color w:val="auto"/>
              </w:rPr>
            </w:pPr>
            <w:r>
              <w:rPr>
                <w:rFonts w:hint="eastAsia"/>
                <w:color w:val="auto"/>
              </w:rPr>
              <w:t>6.5~8.5</w:t>
            </w:r>
          </w:p>
        </w:tc>
        <w:tc>
          <w:tcPr>
            <w:tcW w:w="729" w:type="pct"/>
            <w:vAlign w:val="center"/>
          </w:tcPr>
          <w:p w14:paraId="47704BC9">
            <w:pPr>
              <w:pStyle w:val="751"/>
              <w:rPr>
                <w:color w:val="auto"/>
              </w:rPr>
            </w:pPr>
            <w:r>
              <w:rPr>
                <w:rFonts w:hint="eastAsia"/>
                <w:color w:val="auto"/>
              </w:rPr>
              <w:t>7.1</w:t>
            </w:r>
          </w:p>
        </w:tc>
        <w:tc>
          <w:tcPr>
            <w:tcW w:w="765" w:type="pct"/>
            <w:vAlign w:val="center"/>
          </w:tcPr>
          <w:p w14:paraId="2F22566C">
            <w:pPr>
              <w:pStyle w:val="751"/>
              <w:rPr>
                <w:color w:val="auto"/>
              </w:rPr>
            </w:pPr>
            <w:r>
              <w:rPr>
                <w:rFonts w:hint="eastAsia"/>
                <w:color w:val="auto"/>
              </w:rPr>
              <w:t>7.0</w:t>
            </w:r>
          </w:p>
        </w:tc>
        <w:tc>
          <w:tcPr>
            <w:tcW w:w="760" w:type="pct"/>
            <w:vAlign w:val="center"/>
          </w:tcPr>
          <w:p w14:paraId="383A831E">
            <w:pPr>
              <w:pStyle w:val="751"/>
              <w:rPr>
                <w:color w:val="auto"/>
              </w:rPr>
            </w:pPr>
            <w:r>
              <w:rPr>
                <w:rFonts w:hint="eastAsia"/>
                <w:color w:val="auto"/>
              </w:rPr>
              <w:t>7.1</w:t>
            </w:r>
          </w:p>
        </w:tc>
        <w:tc>
          <w:tcPr>
            <w:tcW w:w="440" w:type="pct"/>
            <w:vAlign w:val="center"/>
          </w:tcPr>
          <w:p w14:paraId="55F0E80C">
            <w:pPr>
              <w:pStyle w:val="751"/>
              <w:rPr>
                <w:color w:val="auto"/>
              </w:rPr>
            </w:pPr>
            <w:r>
              <w:rPr>
                <w:color w:val="auto"/>
              </w:rPr>
              <w:t>达标</w:t>
            </w:r>
          </w:p>
        </w:tc>
      </w:tr>
      <w:tr w14:paraId="7A6B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16FF546C">
            <w:pPr>
              <w:pStyle w:val="751"/>
              <w:rPr>
                <w:color w:val="auto"/>
              </w:rPr>
            </w:pPr>
            <w:r>
              <w:rPr>
                <w:color w:val="auto"/>
              </w:rPr>
              <w:t>总硬度</w:t>
            </w:r>
          </w:p>
        </w:tc>
        <w:tc>
          <w:tcPr>
            <w:tcW w:w="752" w:type="pct"/>
            <w:vAlign w:val="center"/>
          </w:tcPr>
          <w:p w14:paraId="01243944">
            <w:pPr>
              <w:pStyle w:val="751"/>
              <w:rPr>
                <w:color w:val="auto"/>
              </w:rPr>
            </w:pPr>
            <w:r>
              <w:rPr>
                <w:rFonts w:hint="eastAsia"/>
                <w:color w:val="auto"/>
              </w:rPr>
              <w:t>mg/L</w:t>
            </w:r>
          </w:p>
        </w:tc>
        <w:tc>
          <w:tcPr>
            <w:tcW w:w="729" w:type="pct"/>
            <w:vAlign w:val="center"/>
          </w:tcPr>
          <w:p w14:paraId="60EBC5B7">
            <w:pPr>
              <w:pStyle w:val="751"/>
              <w:rPr>
                <w:color w:val="auto"/>
              </w:rPr>
            </w:pPr>
            <w:r>
              <w:rPr>
                <w:rFonts w:hint="eastAsia"/>
                <w:color w:val="auto"/>
              </w:rPr>
              <w:t>450</w:t>
            </w:r>
          </w:p>
        </w:tc>
        <w:tc>
          <w:tcPr>
            <w:tcW w:w="729" w:type="pct"/>
            <w:vAlign w:val="center"/>
          </w:tcPr>
          <w:p w14:paraId="778FE3EE">
            <w:pPr>
              <w:pStyle w:val="751"/>
              <w:rPr>
                <w:color w:val="auto"/>
              </w:rPr>
            </w:pPr>
            <w:r>
              <w:rPr>
                <w:rFonts w:hint="eastAsia"/>
                <w:color w:val="auto"/>
              </w:rPr>
              <w:t>340</w:t>
            </w:r>
          </w:p>
        </w:tc>
        <w:tc>
          <w:tcPr>
            <w:tcW w:w="765" w:type="pct"/>
            <w:vAlign w:val="center"/>
          </w:tcPr>
          <w:p w14:paraId="68EEA7AD">
            <w:pPr>
              <w:pStyle w:val="751"/>
              <w:rPr>
                <w:color w:val="auto"/>
              </w:rPr>
            </w:pPr>
            <w:r>
              <w:rPr>
                <w:rFonts w:hint="eastAsia"/>
                <w:color w:val="auto"/>
              </w:rPr>
              <w:t>405</w:t>
            </w:r>
          </w:p>
        </w:tc>
        <w:tc>
          <w:tcPr>
            <w:tcW w:w="760" w:type="pct"/>
            <w:vAlign w:val="center"/>
          </w:tcPr>
          <w:p w14:paraId="23B47F89">
            <w:pPr>
              <w:pStyle w:val="751"/>
              <w:rPr>
                <w:color w:val="auto"/>
              </w:rPr>
            </w:pPr>
            <w:r>
              <w:rPr>
                <w:rFonts w:hint="eastAsia"/>
                <w:color w:val="auto"/>
              </w:rPr>
              <w:t>354</w:t>
            </w:r>
          </w:p>
        </w:tc>
        <w:tc>
          <w:tcPr>
            <w:tcW w:w="440" w:type="pct"/>
            <w:vAlign w:val="center"/>
          </w:tcPr>
          <w:p w14:paraId="5B50D380">
            <w:pPr>
              <w:pStyle w:val="751"/>
              <w:rPr>
                <w:color w:val="auto"/>
              </w:rPr>
            </w:pPr>
            <w:r>
              <w:rPr>
                <w:color w:val="auto"/>
              </w:rPr>
              <w:t>达标</w:t>
            </w:r>
          </w:p>
        </w:tc>
      </w:tr>
      <w:tr w14:paraId="0833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73D0462D">
            <w:pPr>
              <w:pStyle w:val="751"/>
              <w:rPr>
                <w:color w:val="auto"/>
              </w:rPr>
            </w:pPr>
            <w:r>
              <w:rPr>
                <w:bCs/>
                <w:color w:val="auto"/>
              </w:rPr>
              <w:t>溶解性总固体</w:t>
            </w:r>
          </w:p>
        </w:tc>
        <w:tc>
          <w:tcPr>
            <w:tcW w:w="752" w:type="pct"/>
            <w:vAlign w:val="center"/>
          </w:tcPr>
          <w:p w14:paraId="3A68DCE1">
            <w:pPr>
              <w:pStyle w:val="751"/>
              <w:rPr>
                <w:color w:val="auto"/>
              </w:rPr>
            </w:pPr>
            <w:r>
              <w:rPr>
                <w:rFonts w:hint="eastAsia"/>
                <w:color w:val="auto"/>
              </w:rPr>
              <w:t>mg/L</w:t>
            </w:r>
          </w:p>
        </w:tc>
        <w:tc>
          <w:tcPr>
            <w:tcW w:w="729" w:type="pct"/>
            <w:vAlign w:val="center"/>
          </w:tcPr>
          <w:p w14:paraId="5698179F">
            <w:pPr>
              <w:pStyle w:val="751"/>
              <w:rPr>
                <w:color w:val="auto"/>
              </w:rPr>
            </w:pPr>
            <w:r>
              <w:rPr>
                <w:rFonts w:hint="eastAsia"/>
                <w:color w:val="auto"/>
              </w:rPr>
              <w:t>1000</w:t>
            </w:r>
          </w:p>
        </w:tc>
        <w:tc>
          <w:tcPr>
            <w:tcW w:w="729" w:type="pct"/>
            <w:vAlign w:val="center"/>
          </w:tcPr>
          <w:p w14:paraId="3C440A7C">
            <w:pPr>
              <w:pStyle w:val="751"/>
              <w:rPr>
                <w:color w:val="auto"/>
                <w:vertAlign w:val="superscript"/>
              </w:rPr>
            </w:pPr>
            <w:r>
              <w:rPr>
                <w:rFonts w:hint="eastAsia"/>
                <w:bCs/>
                <w:color w:val="auto"/>
              </w:rPr>
              <w:t>694</w:t>
            </w:r>
          </w:p>
        </w:tc>
        <w:tc>
          <w:tcPr>
            <w:tcW w:w="765" w:type="pct"/>
            <w:vAlign w:val="center"/>
          </w:tcPr>
          <w:p w14:paraId="04BFB475">
            <w:pPr>
              <w:pStyle w:val="751"/>
              <w:rPr>
                <w:color w:val="auto"/>
              </w:rPr>
            </w:pPr>
            <w:r>
              <w:rPr>
                <w:rFonts w:hint="eastAsia"/>
                <w:bCs/>
                <w:color w:val="auto"/>
              </w:rPr>
              <w:t>720</w:t>
            </w:r>
          </w:p>
        </w:tc>
        <w:tc>
          <w:tcPr>
            <w:tcW w:w="760" w:type="pct"/>
            <w:vAlign w:val="center"/>
          </w:tcPr>
          <w:p w14:paraId="1DDC4907">
            <w:pPr>
              <w:pStyle w:val="751"/>
              <w:rPr>
                <w:color w:val="auto"/>
              </w:rPr>
            </w:pPr>
            <w:r>
              <w:rPr>
                <w:rFonts w:hint="eastAsia"/>
                <w:bCs/>
                <w:color w:val="auto"/>
              </w:rPr>
              <w:t>970</w:t>
            </w:r>
          </w:p>
        </w:tc>
        <w:tc>
          <w:tcPr>
            <w:tcW w:w="440" w:type="pct"/>
            <w:vAlign w:val="center"/>
          </w:tcPr>
          <w:p w14:paraId="1688D079">
            <w:pPr>
              <w:pStyle w:val="751"/>
              <w:rPr>
                <w:color w:val="auto"/>
              </w:rPr>
            </w:pPr>
            <w:r>
              <w:rPr>
                <w:color w:val="auto"/>
              </w:rPr>
              <w:t>达标</w:t>
            </w:r>
          </w:p>
        </w:tc>
      </w:tr>
      <w:tr w14:paraId="6020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6EB07B5E">
            <w:pPr>
              <w:pStyle w:val="751"/>
              <w:rPr>
                <w:color w:val="auto"/>
              </w:rPr>
            </w:pPr>
            <w:r>
              <w:rPr>
                <w:color w:val="auto"/>
              </w:rPr>
              <w:t>氟</w:t>
            </w:r>
            <w:r>
              <w:rPr>
                <w:rFonts w:hint="eastAsia"/>
                <w:color w:val="auto"/>
              </w:rPr>
              <w:t>化物（</w:t>
            </w:r>
            <w:r>
              <w:rPr>
                <w:color w:val="auto"/>
                <w:spacing w:val="-11"/>
              </w:rPr>
              <w:t>F</w:t>
            </w:r>
            <w:r>
              <w:rPr>
                <w:color w:val="auto"/>
                <w:spacing w:val="-11"/>
                <w:vertAlign w:val="superscript"/>
              </w:rPr>
              <w:t>-</w:t>
            </w:r>
            <w:r>
              <w:rPr>
                <w:rFonts w:hint="eastAsia"/>
                <w:color w:val="auto"/>
                <w:spacing w:val="-11"/>
              </w:rPr>
              <w:t>）</w:t>
            </w:r>
          </w:p>
        </w:tc>
        <w:tc>
          <w:tcPr>
            <w:tcW w:w="752" w:type="pct"/>
            <w:vAlign w:val="center"/>
          </w:tcPr>
          <w:p w14:paraId="6208B3A4">
            <w:pPr>
              <w:pStyle w:val="751"/>
              <w:rPr>
                <w:color w:val="auto"/>
              </w:rPr>
            </w:pPr>
            <w:r>
              <w:rPr>
                <w:rFonts w:hint="eastAsia"/>
                <w:color w:val="auto"/>
              </w:rPr>
              <w:t>mg/L</w:t>
            </w:r>
          </w:p>
        </w:tc>
        <w:tc>
          <w:tcPr>
            <w:tcW w:w="729" w:type="pct"/>
            <w:vAlign w:val="center"/>
          </w:tcPr>
          <w:p w14:paraId="7ECA193F">
            <w:pPr>
              <w:pStyle w:val="751"/>
              <w:rPr>
                <w:color w:val="auto"/>
              </w:rPr>
            </w:pPr>
            <w:r>
              <w:rPr>
                <w:rFonts w:hint="eastAsia"/>
                <w:color w:val="auto"/>
              </w:rPr>
              <w:t>1.0</w:t>
            </w:r>
          </w:p>
        </w:tc>
        <w:tc>
          <w:tcPr>
            <w:tcW w:w="729" w:type="pct"/>
            <w:vAlign w:val="center"/>
          </w:tcPr>
          <w:p w14:paraId="316C7FCC">
            <w:pPr>
              <w:pStyle w:val="751"/>
              <w:rPr>
                <w:color w:val="auto"/>
              </w:rPr>
            </w:pPr>
            <w:r>
              <w:rPr>
                <w:rFonts w:hint="eastAsia"/>
                <w:color w:val="auto"/>
              </w:rPr>
              <w:t>0.505</w:t>
            </w:r>
          </w:p>
        </w:tc>
        <w:tc>
          <w:tcPr>
            <w:tcW w:w="765" w:type="pct"/>
            <w:vAlign w:val="center"/>
          </w:tcPr>
          <w:p w14:paraId="0F15BB29">
            <w:pPr>
              <w:pStyle w:val="751"/>
              <w:rPr>
                <w:color w:val="auto"/>
              </w:rPr>
            </w:pPr>
            <w:r>
              <w:rPr>
                <w:rFonts w:hint="eastAsia"/>
                <w:color w:val="auto"/>
              </w:rPr>
              <w:t>0.268</w:t>
            </w:r>
          </w:p>
        </w:tc>
        <w:tc>
          <w:tcPr>
            <w:tcW w:w="760" w:type="pct"/>
            <w:vAlign w:val="center"/>
          </w:tcPr>
          <w:p w14:paraId="141AB4B4">
            <w:pPr>
              <w:pStyle w:val="751"/>
              <w:rPr>
                <w:color w:val="auto"/>
              </w:rPr>
            </w:pPr>
            <w:r>
              <w:rPr>
                <w:rFonts w:hint="eastAsia"/>
                <w:color w:val="auto"/>
              </w:rPr>
              <w:t>0.530</w:t>
            </w:r>
          </w:p>
        </w:tc>
        <w:tc>
          <w:tcPr>
            <w:tcW w:w="440" w:type="pct"/>
            <w:vAlign w:val="center"/>
          </w:tcPr>
          <w:p w14:paraId="613410DA">
            <w:pPr>
              <w:pStyle w:val="751"/>
              <w:rPr>
                <w:color w:val="auto"/>
              </w:rPr>
            </w:pPr>
            <w:r>
              <w:rPr>
                <w:color w:val="auto"/>
              </w:rPr>
              <w:t>达标</w:t>
            </w:r>
          </w:p>
        </w:tc>
      </w:tr>
      <w:tr w14:paraId="2BBA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77147FB">
            <w:pPr>
              <w:pStyle w:val="751"/>
              <w:rPr>
                <w:color w:val="auto"/>
              </w:rPr>
            </w:pPr>
            <w:r>
              <w:rPr>
                <w:color w:val="auto"/>
              </w:rPr>
              <w:t>氨氮</w:t>
            </w:r>
          </w:p>
        </w:tc>
        <w:tc>
          <w:tcPr>
            <w:tcW w:w="752" w:type="pct"/>
            <w:vAlign w:val="center"/>
          </w:tcPr>
          <w:p w14:paraId="1DA1D3EE">
            <w:pPr>
              <w:pStyle w:val="751"/>
              <w:rPr>
                <w:color w:val="auto"/>
              </w:rPr>
            </w:pPr>
            <w:r>
              <w:rPr>
                <w:rFonts w:hint="eastAsia"/>
                <w:color w:val="auto"/>
              </w:rPr>
              <w:t>mg/L</w:t>
            </w:r>
          </w:p>
        </w:tc>
        <w:tc>
          <w:tcPr>
            <w:tcW w:w="729" w:type="pct"/>
            <w:vAlign w:val="center"/>
          </w:tcPr>
          <w:p w14:paraId="2A875BC1">
            <w:pPr>
              <w:pStyle w:val="751"/>
              <w:rPr>
                <w:color w:val="auto"/>
              </w:rPr>
            </w:pPr>
            <w:r>
              <w:rPr>
                <w:rFonts w:hint="eastAsia"/>
                <w:color w:val="auto"/>
              </w:rPr>
              <w:t>0.50</w:t>
            </w:r>
          </w:p>
        </w:tc>
        <w:tc>
          <w:tcPr>
            <w:tcW w:w="729" w:type="pct"/>
            <w:vAlign w:val="center"/>
          </w:tcPr>
          <w:p w14:paraId="2639DACB">
            <w:pPr>
              <w:pStyle w:val="751"/>
              <w:rPr>
                <w:color w:val="auto"/>
              </w:rPr>
            </w:pPr>
            <w:r>
              <w:rPr>
                <w:rFonts w:hint="eastAsia"/>
                <w:color w:val="auto"/>
              </w:rPr>
              <w:t>0.025L</w:t>
            </w:r>
          </w:p>
        </w:tc>
        <w:tc>
          <w:tcPr>
            <w:tcW w:w="765" w:type="pct"/>
            <w:vAlign w:val="center"/>
          </w:tcPr>
          <w:p w14:paraId="7D8332BF">
            <w:pPr>
              <w:pStyle w:val="751"/>
              <w:rPr>
                <w:color w:val="auto"/>
              </w:rPr>
            </w:pPr>
            <w:r>
              <w:rPr>
                <w:rFonts w:hint="eastAsia"/>
                <w:color w:val="auto"/>
              </w:rPr>
              <w:t>0.025L</w:t>
            </w:r>
          </w:p>
        </w:tc>
        <w:tc>
          <w:tcPr>
            <w:tcW w:w="760" w:type="pct"/>
            <w:vAlign w:val="center"/>
          </w:tcPr>
          <w:p w14:paraId="36B645ED">
            <w:pPr>
              <w:pStyle w:val="751"/>
              <w:rPr>
                <w:color w:val="auto"/>
              </w:rPr>
            </w:pPr>
            <w:r>
              <w:rPr>
                <w:rFonts w:hint="eastAsia"/>
                <w:color w:val="auto"/>
              </w:rPr>
              <w:t>0.025L</w:t>
            </w:r>
          </w:p>
        </w:tc>
        <w:tc>
          <w:tcPr>
            <w:tcW w:w="440" w:type="pct"/>
            <w:vAlign w:val="center"/>
          </w:tcPr>
          <w:p w14:paraId="5AD01CA2">
            <w:pPr>
              <w:pStyle w:val="751"/>
              <w:rPr>
                <w:color w:val="auto"/>
              </w:rPr>
            </w:pPr>
            <w:r>
              <w:rPr>
                <w:color w:val="auto"/>
              </w:rPr>
              <w:t>达标</w:t>
            </w:r>
          </w:p>
        </w:tc>
      </w:tr>
      <w:tr w14:paraId="333F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340FA495">
            <w:pPr>
              <w:pStyle w:val="751"/>
              <w:rPr>
                <w:color w:val="auto"/>
              </w:rPr>
            </w:pPr>
            <w:r>
              <w:rPr>
                <w:color w:val="auto"/>
              </w:rPr>
              <w:t>砷</w:t>
            </w:r>
          </w:p>
        </w:tc>
        <w:tc>
          <w:tcPr>
            <w:tcW w:w="752" w:type="pct"/>
            <w:vAlign w:val="center"/>
          </w:tcPr>
          <w:p w14:paraId="2FC77AF4">
            <w:pPr>
              <w:pStyle w:val="751"/>
              <w:rPr>
                <w:color w:val="auto"/>
              </w:rPr>
            </w:pPr>
            <w:r>
              <w:rPr>
                <w:rFonts w:hint="eastAsia"/>
                <w:color w:val="auto"/>
              </w:rPr>
              <w:t>mg/L</w:t>
            </w:r>
          </w:p>
        </w:tc>
        <w:tc>
          <w:tcPr>
            <w:tcW w:w="729" w:type="pct"/>
            <w:vAlign w:val="center"/>
          </w:tcPr>
          <w:p w14:paraId="7147A572">
            <w:pPr>
              <w:pStyle w:val="751"/>
              <w:rPr>
                <w:color w:val="auto"/>
              </w:rPr>
            </w:pPr>
            <w:r>
              <w:rPr>
                <w:rFonts w:hint="eastAsia"/>
                <w:color w:val="auto"/>
              </w:rPr>
              <w:t>0.01</w:t>
            </w:r>
          </w:p>
        </w:tc>
        <w:tc>
          <w:tcPr>
            <w:tcW w:w="729" w:type="pct"/>
            <w:vAlign w:val="center"/>
          </w:tcPr>
          <w:p w14:paraId="72009657">
            <w:pPr>
              <w:pStyle w:val="751"/>
              <w:rPr>
                <w:color w:val="auto"/>
              </w:rPr>
            </w:pPr>
            <w:r>
              <w:rPr>
                <w:color w:val="auto"/>
              </w:rPr>
              <w:t>0.3</w:t>
            </w:r>
            <w:r>
              <w:rPr>
                <w:bCs/>
                <w:color w:val="auto"/>
              </w:rPr>
              <w:t>×10</w:t>
            </w:r>
            <w:r>
              <w:rPr>
                <w:bCs/>
                <w:color w:val="auto"/>
                <w:vertAlign w:val="superscript"/>
              </w:rPr>
              <w:t>-3</w:t>
            </w:r>
            <w:r>
              <w:rPr>
                <w:rFonts w:hint="eastAsia"/>
                <w:color w:val="auto"/>
              </w:rPr>
              <w:t>L</w:t>
            </w:r>
          </w:p>
        </w:tc>
        <w:tc>
          <w:tcPr>
            <w:tcW w:w="765" w:type="pct"/>
            <w:vAlign w:val="center"/>
          </w:tcPr>
          <w:p w14:paraId="7B55008B">
            <w:pPr>
              <w:pStyle w:val="751"/>
              <w:rPr>
                <w:color w:val="auto"/>
              </w:rPr>
            </w:pPr>
            <w:r>
              <w:rPr>
                <w:color w:val="auto"/>
              </w:rPr>
              <w:t>0.3</w:t>
            </w:r>
            <w:r>
              <w:rPr>
                <w:bCs/>
                <w:color w:val="auto"/>
              </w:rPr>
              <w:t>×10</w:t>
            </w:r>
            <w:r>
              <w:rPr>
                <w:bCs/>
                <w:color w:val="auto"/>
                <w:vertAlign w:val="superscript"/>
              </w:rPr>
              <w:t>-3</w:t>
            </w:r>
            <w:r>
              <w:rPr>
                <w:rFonts w:hint="eastAsia"/>
                <w:color w:val="auto"/>
              </w:rPr>
              <w:t>L</w:t>
            </w:r>
          </w:p>
        </w:tc>
        <w:tc>
          <w:tcPr>
            <w:tcW w:w="760" w:type="pct"/>
            <w:vAlign w:val="center"/>
          </w:tcPr>
          <w:p w14:paraId="57D39CE4">
            <w:pPr>
              <w:pStyle w:val="751"/>
              <w:rPr>
                <w:color w:val="auto"/>
              </w:rPr>
            </w:pPr>
            <w:r>
              <w:rPr>
                <w:color w:val="auto"/>
              </w:rPr>
              <w:t>0.3</w:t>
            </w:r>
            <w:r>
              <w:rPr>
                <w:bCs/>
                <w:color w:val="auto"/>
              </w:rPr>
              <w:t>×10</w:t>
            </w:r>
            <w:r>
              <w:rPr>
                <w:bCs/>
                <w:color w:val="auto"/>
                <w:vertAlign w:val="superscript"/>
              </w:rPr>
              <w:t>-3</w:t>
            </w:r>
            <w:r>
              <w:rPr>
                <w:rFonts w:hint="eastAsia"/>
                <w:color w:val="auto"/>
              </w:rPr>
              <w:t>L</w:t>
            </w:r>
          </w:p>
        </w:tc>
        <w:tc>
          <w:tcPr>
            <w:tcW w:w="440" w:type="pct"/>
            <w:vAlign w:val="center"/>
          </w:tcPr>
          <w:p w14:paraId="7CD50D5F">
            <w:pPr>
              <w:pStyle w:val="751"/>
              <w:rPr>
                <w:color w:val="auto"/>
              </w:rPr>
            </w:pPr>
            <w:r>
              <w:rPr>
                <w:color w:val="auto"/>
              </w:rPr>
              <w:t>达标</w:t>
            </w:r>
          </w:p>
        </w:tc>
      </w:tr>
      <w:tr w14:paraId="00AC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711DADA2">
            <w:pPr>
              <w:pStyle w:val="751"/>
              <w:rPr>
                <w:color w:val="auto"/>
              </w:rPr>
            </w:pPr>
            <w:r>
              <w:rPr>
                <w:color w:val="auto"/>
              </w:rPr>
              <w:t>挥发酚</w:t>
            </w:r>
          </w:p>
        </w:tc>
        <w:tc>
          <w:tcPr>
            <w:tcW w:w="752" w:type="pct"/>
            <w:vAlign w:val="center"/>
          </w:tcPr>
          <w:p w14:paraId="752D7C93">
            <w:pPr>
              <w:pStyle w:val="751"/>
              <w:rPr>
                <w:color w:val="auto"/>
              </w:rPr>
            </w:pPr>
            <w:r>
              <w:rPr>
                <w:rFonts w:hint="eastAsia"/>
                <w:color w:val="auto"/>
              </w:rPr>
              <w:t>mg/L</w:t>
            </w:r>
          </w:p>
        </w:tc>
        <w:tc>
          <w:tcPr>
            <w:tcW w:w="729" w:type="pct"/>
            <w:vAlign w:val="center"/>
          </w:tcPr>
          <w:p w14:paraId="2149F576">
            <w:pPr>
              <w:pStyle w:val="751"/>
              <w:rPr>
                <w:color w:val="auto"/>
              </w:rPr>
            </w:pPr>
            <w:r>
              <w:rPr>
                <w:rFonts w:hint="eastAsia"/>
                <w:color w:val="auto"/>
              </w:rPr>
              <w:t>0.002</w:t>
            </w:r>
          </w:p>
        </w:tc>
        <w:tc>
          <w:tcPr>
            <w:tcW w:w="729" w:type="pct"/>
            <w:vAlign w:val="center"/>
          </w:tcPr>
          <w:p w14:paraId="45502C78">
            <w:pPr>
              <w:pStyle w:val="751"/>
              <w:rPr>
                <w:color w:val="auto"/>
              </w:rPr>
            </w:pPr>
            <w:r>
              <w:rPr>
                <w:rFonts w:hint="eastAsia"/>
                <w:color w:val="auto"/>
              </w:rPr>
              <w:t>0.0003L</w:t>
            </w:r>
          </w:p>
        </w:tc>
        <w:tc>
          <w:tcPr>
            <w:tcW w:w="765" w:type="pct"/>
            <w:vAlign w:val="center"/>
          </w:tcPr>
          <w:p w14:paraId="43943882">
            <w:pPr>
              <w:pStyle w:val="751"/>
              <w:rPr>
                <w:color w:val="auto"/>
              </w:rPr>
            </w:pPr>
            <w:r>
              <w:rPr>
                <w:rFonts w:hint="eastAsia"/>
                <w:color w:val="auto"/>
              </w:rPr>
              <w:t>0.0003L</w:t>
            </w:r>
          </w:p>
        </w:tc>
        <w:tc>
          <w:tcPr>
            <w:tcW w:w="760" w:type="pct"/>
            <w:vAlign w:val="center"/>
          </w:tcPr>
          <w:p w14:paraId="2A643245">
            <w:pPr>
              <w:pStyle w:val="751"/>
              <w:rPr>
                <w:color w:val="auto"/>
              </w:rPr>
            </w:pPr>
            <w:r>
              <w:rPr>
                <w:rFonts w:hint="eastAsia"/>
                <w:color w:val="auto"/>
              </w:rPr>
              <w:t>0.0003L</w:t>
            </w:r>
          </w:p>
        </w:tc>
        <w:tc>
          <w:tcPr>
            <w:tcW w:w="440" w:type="pct"/>
            <w:vAlign w:val="center"/>
          </w:tcPr>
          <w:p w14:paraId="49CA6DE1">
            <w:pPr>
              <w:pStyle w:val="751"/>
              <w:rPr>
                <w:color w:val="auto"/>
              </w:rPr>
            </w:pPr>
            <w:r>
              <w:rPr>
                <w:color w:val="auto"/>
              </w:rPr>
              <w:t>达标</w:t>
            </w:r>
          </w:p>
        </w:tc>
      </w:tr>
      <w:tr w14:paraId="0014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1DADD1A6">
            <w:pPr>
              <w:pStyle w:val="751"/>
              <w:rPr>
                <w:color w:val="auto"/>
              </w:rPr>
            </w:pPr>
            <w:r>
              <w:rPr>
                <w:color w:val="auto"/>
              </w:rPr>
              <w:t>亚硝酸盐氮</w:t>
            </w:r>
          </w:p>
        </w:tc>
        <w:tc>
          <w:tcPr>
            <w:tcW w:w="752" w:type="pct"/>
            <w:vAlign w:val="center"/>
          </w:tcPr>
          <w:p w14:paraId="79D1658A">
            <w:pPr>
              <w:pStyle w:val="751"/>
              <w:rPr>
                <w:color w:val="auto"/>
              </w:rPr>
            </w:pPr>
            <w:r>
              <w:rPr>
                <w:rFonts w:hint="eastAsia"/>
                <w:color w:val="auto"/>
              </w:rPr>
              <w:t>mg/L</w:t>
            </w:r>
          </w:p>
        </w:tc>
        <w:tc>
          <w:tcPr>
            <w:tcW w:w="729" w:type="pct"/>
            <w:vAlign w:val="center"/>
          </w:tcPr>
          <w:p w14:paraId="2701669E">
            <w:pPr>
              <w:pStyle w:val="751"/>
              <w:rPr>
                <w:color w:val="auto"/>
              </w:rPr>
            </w:pPr>
            <w:r>
              <w:rPr>
                <w:rFonts w:hint="eastAsia"/>
                <w:color w:val="auto"/>
              </w:rPr>
              <w:t>1.00</w:t>
            </w:r>
          </w:p>
        </w:tc>
        <w:tc>
          <w:tcPr>
            <w:tcW w:w="729" w:type="pct"/>
            <w:vAlign w:val="center"/>
          </w:tcPr>
          <w:p w14:paraId="3303228C">
            <w:pPr>
              <w:pStyle w:val="751"/>
              <w:rPr>
                <w:color w:val="auto"/>
              </w:rPr>
            </w:pPr>
            <w:r>
              <w:rPr>
                <w:color w:val="auto"/>
              </w:rPr>
              <w:t>0.0</w:t>
            </w:r>
            <w:r>
              <w:rPr>
                <w:rFonts w:hint="eastAsia"/>
                <w:color w:val="auto"/>
              </w:rPr>
              <w:t>16L</w:t>
            </w:r>
          </w:p>
        </w:tc>
        <w:tc>
          <w:tcPr>
            <w:tcW w:w="765" w:type="pct"/>
            <w:vAlign w:val="center"/>
          </w:tcPr>
          <w:p w14:paraId="0F7D1871">
            <w:pPr>
              <w:pStyle w:val="751"/>
              <w:rPr>
                <w:color w:val="auto"/>
              </w:rPr>
            </w:pPr>
            <w:r>
              <w:rPr>
                <w:color w:val="auto"/>
              </w:rPr>
              <w:t>0.0</w:t>
            </w:r>
            <w:r>
              <w:rPr>
                <w:rFonts w:hint="eastAsia"/>
                <w:color w:val="auto"/>
              </w:rPr>
              <w:t>16L</w:t>
            </w:r>
          </w:p>
        </w:tc>
        <w:tc>
          <w:tcPr>
            <w:tcW w:w="760" w:type="pct"/>
            <w:vAlign w:val="center"/>
          </w:tcPr>
          <w:p w14:paraId="7786EAA7">
            <w:pPr>
              <w:pStyle w:val="751"/>
              <w:rPr>
                <w:color w:val="auto"/>
              </w:rPr>
            </w:pPr>
            <w:r>
              <w:rPr>
                <w:color w:val="auto"/>
              </w:rPr>
              <w:t>0.0</w:t>
            </w:r>
            <w:r>
              <w:rPr>
                <w:rFonts w:hint="eastAsia"/>
                <w:color w:val="auto"/>
              </w:rPr>
              <w:t>16L</w:t>
            </w:r>
          </w:p>
        </w:tc>
        <w:tc>
          <w:tcPr>
            <w:tcW w:w="440" w:type="pct"/>
            <w:vAlign w:val="center"/>
          </w:tcPr>
          <w:p w14:paraId="55336874">
            <w:pPr>
              <w:pStyle w:val="751"/>
              <w:rPr>
                <w:color w:val="auto"/>
              </w:rPr>
            </w:pPr>
            <w:r>
              <w:rPr>
                <w:color w:val="auto"/>
              </w:rPr>
              <w:t>达标</w:t>
            </w:r>
          </w:p>
        </w:tc>
      </w:tr>
      <w:tr w14:paraId="5515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39BDBB46">
            <w:pPr>
              <w:pStyle w:val="751"/>
              <w:rPr>
                <w:color w:val="auto"/>
              </w:rPr>
            </w:pPr>
            <w:r>
              <w:rPr>
                <w:bCs/>
                <w:color w:val="auto"/>
              </w:rPr>
              <w:t>硝酸盐氮</w:t>
            </w:r>
          </w:p>
        </w:tc>
        <w:tc>
          <w:tcPr>
            <w:tcW w:w="752" w:type="pct"/>
            <w:vAlign w:val="center"/>
          </w:tcPr>
          <w:p w14:paraId="4CA533A8">
            <w:pPr>
              <w:pStyle w:val="751"/>
              <w:rPr>
                <w:color w:val="auto"/>
              </w:rPr>
            </w:pPr>
            <w:r>
              <w:rPr>
                <w:rFonts w:hint="eastAsia"/>
                <w:color w:val="auto"/>
              </w:rPr>
              <w:t>mg/L</w:t>
            </w:r>
          </w:p>
        </w:tc>
        <w:tc>
          <w:tcPr>
            <w:tcW w:w="729" w:type="pct"/>
            <w:vAlign w:val="center"/>
          </w:tcPr>
          <w:p w14:paraId="4EFFF459">
            <w:pPr>
              <w:pStyle w:val="751"/>
              <w:rPr>
                <w:color w:val="auto"/>
              </w:rPr>
            </w:pPr>
            <w:r>
              <w:rPr>
                <w:rFonts w:hint="eastAsia"/>
                <w:color w:val="auto"/>
              </w:rPr>
              <w:t>20.0</w:t>
            </w:r>
          </w:p>
        </w:tc>
        <w:tc>
          <w:tcPr>
            <w:tcW w:w="729" w:type="pct"/>
            <w:vAlign w:val="center"/>
          </w:tcPr>
          <w:p w14:paraId="6A15B578">
            <w:pPr>
              <w:pStyle w:val="751"/>
              <w:rPr>
                <w:color w:val="auto"/>
              </w:rPr>
            </w:pPr>
            <w:r>
              <w:rPr>
                <w:rFonts w:hint="eastAsia"/>
                <w:bCs/>
                <w:color w:val="auto"/>
              </w:rPr>
              <w:t>19.4</w:t>
            </w:r>
          </w:p>
        </w:tc>
        <w:tc>
          <w:tcPr>
            <w:tcW w:w="765" w:type="pct"/>
            <w:vAlign w:val="center"/>
          </w:tcPr>
          <w:p w14:paraId="005B1986">
            <w:pPr>
              <w:pStyle w:val="751"/>
              <w:rPr>
                <w:color w:val="auto"/>
              </w:rPr>
            </w:pPr>
            <w:r>
              <w:rPr>
                <w:rFonts w:hint="eastAsia"/>
                <w:bCs/>
                <w:color w:val="auto"/>
              </w:rPr>
              <w:t>5.48</w:t>
            </w:r>
          </w:p>
        </w:tc>
        <w:tc>
          <w:tcPr>
            <w:tcW w:w="760" w:type="pct"/>
            <w:vAlign w:val="center"/>
          </w:tcPr>
          <w:p w14:paraId="2809596B">
            <w:pPr>
              <w:pStyle w:val="751"/>
              <w:rPr>
                <w:color w:val="auto"/>
              </w:rPr>
            </w:pPr>
            <w:r>
              <w:rPr>
                <w:rFonts w:hint="eastAsia"/>
                <w:bCs/>
                <w:color w:val="auto"/>
              </w:rPr>
              <w:t>13.1</w:t>
            </w:r>
          </w:p>
        </w:tc>
        <w:tc>
          <w:tcPr>
            <w:tcW w:w="440" w:type="pct"/>
            <w:vAlign w:val="center"/>
          </w:tcPr>
          <w:p w14:paraId="5D14370F">
            <w:pPr>
              <w:pStyle w:val="751"/>
              <w:rPr>
                <w:color w:val="auto"/>
              </w:rPr>
            </w:pPr>
            <w:r>
              <w:rPr>
                <w:color w:val="auto"/>
              </w:rPr>
              <w:t>达标</w:t>
            </w:r>
          </w:p>
        </w:tc>
      </w:tr>
      <w:tr w14:paraId="0F8F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210F5E45">
            <w:pPr>
              <w:pStyle w:val="751"/>
              <w:rPr>
                <w:color w:val="auto"/>
              </w:rPr>
            </w:pPr>
            <w:r>
              <w:rPr>
                <w:rFonts w:hint="eastAsia"/>
                <w:color w:val="auto"/>
              </w:rPr>
              <w:t>铅</w:t>
            </w:r>
          </w:p>
        </w:tc>
        <w:tc>
          <w:tcPr>
            <w:tcW w:w="752" w:type="pct"/>
            <w:vAlign w:val="center"/>
          </w:tcPr>
          <w:p w14:paraId="7E945284">
            <w:pPr>
              <w:pStyle w:val="751"/>
              <w:rPr>
                <w:b/>
                <w:bCs/>
                <w:color w:val="auto"/>
              </w:rPr>
            </w:pPr>
            <w:r>
              <w:rPr>
                <w:rFonts w:hint="eastAsia"/>
                <w:color w:val="auto"/>
              </w:rPr>
              <w:t>mg/L</w:t>
            </w:r>
          </w:p>
        </w:tc>
        <w:tc>
          <w:tcPr>
            <w:tcW w:w="729" w:type="pct"/>
            <w:vAlign w:val="center"/>
          </w:tcPr>
          <w:p w14:paraId="6EF7B038">
            <w:pPr>
              <w:pStyle w:val="751"/>
              <w:rPr>
                <w:color w:val="auto"/>
              </w:rPr>
            </w:pPr>
            <w:r>
              <w:rPr>
                <w:rFonts w:hint="eastAsia"/>
                <w:color w:val="auto"/>
              </w:rPr>
              <w:t>0.01</w:t>
            </w:r>
          </w:p>
        </w:tc>
        <w:tc>
          <w:tcPr>
            <w:tcW w:w="729" w:type="pct"/>
            <w:vAlign w:val="center"/>
          </w:tcPr>
          <w:p w14:paraId="3DC85A7F">
            <w:pPr>
              <w:pStyle w:val="751"/>
              <w:rPr>
                <w:color w:val="auto"/>
              </w:rPr>
            </w:pPr>
            <w:r>
              <w:rPr>
                <w:rFonts w:hint="eastAsia"/>
                <w:color w:val="auto"/>
              </w:rPr>
              <w:t>0.001L</w:t>
            </w:r>
          </w:p>
        </w:tc>
        <w:tc>
          <w:tcPr>
            <w:tcW w:w="765" w:type="pct"/>
            <w:vAlign w:val="center"/>
          </w:tcPr>
          <w:p w14:paraId="646C6908">
            <w:pPr>
              <w:pStyle w:val="751"/>
              <w:rPr>
                <w:color w:val="auto"/>
              </w:rPr>
            </w:pPr>
            <w:r>
              <w:rPr>
                <w:rFonts w:hint="eastAsia"/>
                <w:color w:val="auto"/>
              </w:rPr>
              <w:t>0.001L</w:t>
            </w:r>
          </w:p>
        </w:tc>
        <w:tc>
          <w:tcPr>
            <w:tcW w:w="760" w:type="pct"/>
            <w:vAlign w:val="center"/>
          </w:tcPr>
          <w:p w14:paraId="5E2222E2">
            <w:pPr>
              <w:pStyle w:val="751"/>
              <w:rPr>
                <w:color w:val="auto"/>
              </w:rPr>
            </w:pPr>
            <w:r>
              <w:rPr>
                <w:rFonts w:hint="eastAsia"/>
                <w:color w:val="auto"/>
              </w:rPr>
              <w:t>0.001L</w:t>
            </w:r>
          </w:p>
        </w:tc>
        <w:tc>
          <w:tcPr>
            <w:tcW w:w="440" w:type="pct"/>
            <w:vAlign w:val="center"/>
          </w:tcPr>
          <w:p w14:paraId="4A6E9173">
            <w:pPr>
              <w:pStyle w:val="751"/>
              <w:rPr>
                <w:color w:val="auto"/>
              </w:rPr>
            </w:pPr>
            <w:r>
              <w:rPr>
                <w:color w:val="auto"/>
              </w:rPr>
              <w:t>达标</w:t>
            </w:r>
          </w:p>
        </w:tc>
      </w:tr>
      <w:tr w14:paraId="3152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2058514E">
            <w:pPr>
              <w:pStyle w:val="751"/>
              <w:rPr>
                <w:color w:val="auto"/>
              </w:rPr>
            </w:pPr>
            <w:r>
              <w:rPr>
                <w:color w:val="auto"/>
              </w:rPr>
              <w:t>氰化物</w:t>
            </w:r>
          </w:p>
        </w:tc>
        <w:tc>
          <w:tcPr>
            <w:tcW w:w="752" w:type="pct"/>
            <w:vAlign w:val="center"/>
          </w:tcPr>
          <w:p w14:paraId="26C7DA68">
            <w:pPr>
              <w:pStyle w:val="751"/>
              <w:rPr>
                <w:b/>
                <w:bCs/>
                <w:color w:val="auto"/>
              </w:rPr>
            </w:pPr>
            <w:r>
              <w:rPr>
                <w:rFonts w:hint="eastAsia"/>
                <w:color w:val="auto"/>
              </w:rPr>
              <w:t>mg/L</w:t>
            </w:r>
          </w:p>
        </w:tc>
        <w:tc>
          <w:tcPr>
            <w:tcW w:w="729" w:type="pct"/>
            <w:vAlign w:val="center"/>
          </w:tcPr>
          <w:p w14:paraId="18F4459F">
            <w:pPr>
              <w:pStyle w:val="751"/>
              <w:rPr>
                <w:color w:val="auto"/>
              </w:rPr>
            </w:pPr>
            <w:r>
              <w:rPr>
                <w:rFonts w:hint="eastAsia"/>
                <w:color w:val="auto"/>
              </w:rPr>
              <w:t>0.05</w:t>
            </w:r>
          </w:p>
        </w:tc>
        <w:tc>
          <w:tcPr>
            <w:tcW w:w="729" w:type="pct"/>
            <w:vAlign w:val="center"/>
          </w:tcPr>
          <w:p w14:paraId="05FB214D">
            <w:pPr>
              <w:pStyle w:val="751"/>
              <w:rPr>
                <w:color w:val="auto"/>
              </w:rPr>
            </w:pPr>
            <w:r>
              <w:rPr>
                <w:rFonts w:hint="eastAsia"/>
                <w:color w:val="auto"/>
              </w:rPr>
              <w:t>0.002L</w:t>
            </w:r>
          </w:p>
        </w:tc>
        <w:tc>
          <w:tcPr>
            <w:tcW w:w="765" w:type="pct"/>
            <w:vAlign w:val="center"/>
          </w:tcPr>
          <w:p w14:paraId="19333FC2">
            <w:pPr>
              <w:pStyle w:val="751"/>
              <w:rPr>
                <w:color w:val="auto"/>
              </w:rPr>
            </w:pPr>
            <w:r>
              <w:rPr>
                <w:rFonts w:hint="eastAsia"/>
                <w:color w:val="auto"/>
              </w:rPr>
              <w:t>0.002L</w:t>
            </w:r>
          </w:p>
        </w:tc>
        <w:tc>
          <w:tcPr>
            <w:tcW w:w="760" w:type="pct"/>
            <w:vAlign w:val="center"/>
          </w:tcPr>
          <w:p w14:paraId="043D7380">
            <w:pPr>
              <w:pStyle w:val="751"/>
              <w:rPr>
                <w:color w:val="auto"/>
              </w:rPr>
            </w:pPr>
            <w:r>
              <w:rPr>
                <w:rFonts w:hint="eastAsia"/>
                <w:color w:val="auto"/>
              </w:rPr>
              <w:t>0.002L</w:t>
            </w:r>
          </w:p>
        </w:tc>
        <w:tc>
          <w:tcPr>
            <w:tcW w:w="440" w:type="pct"/>
            <w:vAlign w:val="center"/>
          </w:tcPr>
          <w:p w14:paraId="48EDFC3D">
            <w:pPr>
              <w:pStyle w:val="751"/>
              <w:rPr>
                <w:color w:val="auto"/>
              </w:rPr>
            </w:pPr>
            <w:r>
              <w:rPr>
                <w:color w:val="auto"/>
              </w:rPr>
              <w:t>达标</w:t>
            </w:r>
          </w:p>
        </w:tc>
      </w:tr>
      <w:tr w14:paraId="249C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0C202863">
            <w:pPr>
              <w:pStyle w:val="751"/>
              <w:rPr>
                <w:color w:val="auto"/>
              </w:rPr>
            </w:pPr>
            <w:r>
              <w:rPr>
                <w:rFonts w:hint="eastAsia"/>
                <w:color w:val="auto"/>
              </w:rPr>
              <w:t>耗氧量</w:t>
            </w:r>
          </w:p>
        </w:tc>
        <w:tc>
          <w:tcPr>
            <w:tcW w:w="752" w:type="pct"/>
            <w:vAlign w:val="center"/>
          </w:tcPr>
          <w:p w14:paraId="1837BDD8">
            <w:pPr>
              <w:pStyle w:val="751"/>
              <w:rPr>
                <w:color w:val="auto"/>
              </w:rPr>
            </w:pPr>
            <w:r>
              <w:rPr>
                <w:rFonts w:hint="eastAsia"/>
                <w:color w:val="auto"/>
              </w:rPr>
              <w:t>mg/L</w:t>
            </w:r>
          </w:p>
        </w:tc>
        <w:tc>
          <w:tcPr>
            <w:tcW w:w="729" w:type="pct"/>
            <w:vAlign w:val="center"/>
          </w:tcPr>
          <w:p w14:paraId="358C33EE">
            <w:pPr>
              <w:pStyle w:val="751"/>
              <w:rPr>
                <w:color w:val="auto"/>
              </w:rPr>
            </w:pPr>
            <w:r>
              <w:rPr>
                <w:rFonts w:hint="eastAsia"/>
                <w:color w:val="auto"/>
              </w:rPr>
              <w:t>3.0</w:t>
            </w:r>
          </w:p>
        </w:tc>
        <w:tc>
          <w:tcPr>
            <w:tcW w:w="729" w:type="pct"/>
            <w:vAlign w:val="center"/>
          </w:tcPr>
          <w:p w14:paraId="42CB288D">
            <w:pPr>
              <w:pStyle w:val="751"/>
              <w:rPr>
                <w:color w:val="auto"/>
              </w:rPr>
            </w:pPr>
            <w:r>
              <w:rPr>
                <w:rFonts w:hint="eastAsia"/>
                <w:color w:val="auto"/>
              </w:rPr>
              <w:t>2.73</w:t>
            </w:r>
          </w:p>
        </w:tc>
        <w:tc>
          <w:tcPr>
            <w:tcW w:w="765" w:type="pct"/>
            <w:vAlign w:val="center"/>
          </w:tcPr>
          <w:p w14:paraId="267EEC9D">
            <w:pPr>
              <w:pStyle w:val="751"/>
              <w:rPr>
                <w:color w:val="auto"/>
              </w:rPr>
            </w:pPr>
            <w:r>
              <w:rPr>
                <w:rFonts w:hint="eastAsia"/>
                <w:color w:val="auto"/>
              </w:rPr>
              <w:t>2.21</w:t>
            </w:r>
          </w:p>
        </w:tc>
        <w:tc>
          <w:tcPr>
            <w:tcW w:w="760" w:type="pct"/>
            <w:vAlign w:val="center"/>
          </w:tcPr>
          <w:p w14:paraId="14C9F8A3">
            <w:pPr>
              <w:pStyle w:val="751"/>
              <w:rPr>
                <w:color w:val="auto"/>
              </w:rPr>
            </w:pPr>
            <w:r>
              <w:rPr>
                <w:rFonts w:hint="eastAsia"/>
                <w:color w:val="auto"/>
              </w:rPr>
              <w:t>2.92</w:t>
            </w:r>
          </w:p>
        </w:tc>
        <w:tc>
          <w:tcPr>
            <w:tcW w:w="440" w:type="pct"/>
            <w:vAlign w:val="center"/>
          </w:tcPr>
          <w:p w14:paraId="43BA0BAF">
            <w:pPr>
              <w:pStyle w:val="751"/>
              <w:rPr>
                <w:color w:val="auto"/>
              </w:rPr>
            </w:pPr>
            <w:r>
              <w:rPr>
                <w:color w:val="auto"/>
              </w:rPr>
              <w:t>达标</w:t>
            </w:r>
          </w:p>
        </w:tc>
      </w:tr>
      <w:tr w14:paraId="6395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015C0B03">
            <w:pPr>
              <w:pStyle w:val="751"/>
              <w:rPr>
                <w:color w:val="auto"/>
              </w:rPr>
            </w:pPr>
            <w:r>
              <w:rPr>
                <w:color w:val="auto"/>
              </w:rPr>
              <w:t>汞</w:t>
            </w:r>
          </w:p>
        </w:tc>
        <w:tc>
          <w:tcPr>
            <w:tcW w:w="752" w:type="pct"/>
            <w:vAlign w:val="center"/>
          </w:tcPr>
          <w:p w14:paraId="6290E5CA">
            <w:pPr>
              <w:pStyle w:val="751"/>
              <w:rPr>
                <w:color w:val="auto"/>
              </w:rPr>
            </w:pPr>
            <w:r>
              <w:rPr>
                <w:rFonts w:hint="eastAsia"/>
                <w:color w:val="auto"/>
              </w:rPr>
              <w:t>mg/L</w:t>
            </w:r>
          </w:p>
        </w:tc>
        <w:tc>
          <w:tcPr>
            <w:tcW w:w="729" w:type="pct"/>
            <w:vAlign w:val="center"/>
          </w:tcPr>
          <w:p w14:paraId="10597F18">
            <w:pPr>
              <w:pStyle w:val="751"/>
              <w:rPr>
                <w:color w:val="auto"/>
              </w:rPr>
            </w:pPr>
            <w:r>
              <w:rPr>
                <w:rFonts w:hint="eastAsia"/>
                <w:color w:val="auto"/>
              </w:rPr>
              <w:t>0.001</w:t>
            </w:r>
          </w:p>
        </w:tc>
        <w:tc>
          <w:tcPr>
            <w:tcW w:w="729" w:type="pct"/>
            <w:vAlign w:val="center"/>
          </w:tcPr>
          <w:p w14:paraId="6F2125FC">
            <w:pPr>
              <w:pStyle w:val="751"/>
              <w:rPr>
                <w:color w:val="auto"/>
              </w:rPr>
            </w:pPr>
            <w:r>
              <w:rPr>
                <w:color w:val="auto"/>
              </w:rPr>
              <w:t>0.04</w:t>
            </w:r>
            <w:r>
              <w:rPr>
                <w:bCs/>
                <w:color w:val="auto"/>
              </w:rPr>
              <w:t>×10</w:t>
            </w:r>
            <w:r>
              <w:rPr>
                <w:bCs/>
                <w:color w:val="auto"/>
                <w:vertAlign w:val="superscript"/>
              </w:rPr>
              <w:t>-3</w:t>
            </w:r>
            <w:r>
              <w:rPr>
                <w:rFonts w:hint="eastAsia"/>
                <w:color w:val="auto"/>
              </w:rPr>
              <w:t>L</w:t>
            </w:r>
          </w:p>
        </w:tc>
        <w:tc>
          <w:tcPr>
            <w:tcW w:w="765" w:type="pct"/>
            <w:vAlign w:val="center"/>
          </w:tcPr>
          <w:p w14:paraId="3B2570C1">
            <w:pPr>
              <w:pStyle w:val="751"/>
              <w:rPr>
                <w:color w:val="auto"/>
              </w:rPr>
            </w:pPr>
            <w:r>
              <w:rPr>
                <w:color w:val="auto"/>
              </w:rPr>
              <w:t>0.04</w:t>
            </w:r>
            <w:r>
              <w:rPr>
                <w:bCs/>
                <w:color w:val="auto"/>
              </w:rPr>
              <w:t>×10</w:t>
            </w:r>
            <w:r>
              <w:rPr>
                <w:bCs/>
                <w:color w:val="auto"/>
                <w:vertAlign w:val="superscript"/>
              </w:rPr>
              <w:t>-3</w:t>
            </w:r>
            <w:r>
              <w:rPr>
                <w:rFonts w:hint="eastAsia"/>
                <w:color w:val="auto"/>
              </w:rPr>
              <w:t>L</w:t>
            </w:r>
          </w:p>
        </w:tc>
        <w:tc>
          <w:tcPr>
            <w:tcW w:w="760" w:type="pct"/>
            <w:vAlign w:val="center"/>
          </w:tcPr>
          <w:p w14:paraId="5AA460DD">
            <w:pPr>
              <w:pStyle w:val="751"/>
              <w:rPr>
                <w:color w:val="auto"/>
              </w:rPr>
            </w:pPr>
            <w:r>
              <w:rPr>
                <w:color w:val="auto"/>
              </w:rPr>
              <w:t>0.04</w:t>
            </w:r>
            <w:r>
              <w:rPr>
                <w:bCs/>
                <w:color w:val="auto"/>
              </w:rPr>
              <w:t>×10</w:t>
            </w:r>
            <w:r>
              <w:rPr>
                <w:bCs/>
                <w:color w:val="auto"/>
                <w:vertAlign w:val="superscript"/>
              </w:rPr>
              <w:t>-3</w:t>
            </w:r>
            <w:r>
              <w:rPr>
                <w:rFonts w:hint="eastAsia"/>
                <w:color w:val="auto"/>
              </w:rPr>
              <w:t>L</w:t>
            </w:r>
          </w:p>
        </w:tc>
        <w:tc>
          <w:tcPr>
            <w:tcW w:w="440" w:type="pct"/>
            <w:vAlign w:val="center"/>
          </w:tcPr>
          <w:p w14:paraId="624A593D">
            <w:pPr>
              <w:pStyle w:val="751"/>
              <w:rPr>
                <w:color w:val="auto"/>
              </w:rPr>
            </w:pPr>
            <w:r>
              <w:rPr>
                <w:color w:val="auto"/>
              </w:rPr>
              <w:t>达标</w:t>
            </w:r>
          </w:p>
        </w:tc>
      </w:tr>
      <w:tr w14:paraId="6E45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5625157">
            <w:pPr>
              <w:pStyle w:val="751"/>
              <w:rPr>
                <w:color w:val="auto"/>
              </w:rPr>
            </w:pPr>
            <w:r>
              <w:rPr>
                <w:rFonts w:hint="eastAsia"/>
                <w:color w:val="auto"/>
              </w:rPr>
              <w:t>镉</w:t>
            </w:r>
          </w:p>
        </w:tc>
        <w:tc>
          <w:tcPr>
            <w:tcW w:w="752" w:type="pct"/>
            <w:vAlign w:val="center"/>
          </w:tcPr>
          <w:p w14:paraId="48C842C7">
            <w:pPr>
              <w:pStyle w:val="751"/>
              <w:rPr>
                <w:color w:val="auto"/>
              </w:rPr>
            </w:pPr>
            <w:r>
              <w:rPr>
                <w:rFonts w:hint="eastAsia"/>
                <w:color w:val="auto"/>
              </w:rPr>
              <w:t>mg/L</w:t>
            </w:r>
          </w:p>
        </w:tc>
        <w:tc>
          <w:tcPr>
            <w:tcW w:w="729" w:type="pct"/>
            <w:vAlign w:val="center"/>
          </w:tcPr>
          <w:p w14:paraId="01C161B8">
            <w:pPr>
              <w:pStyle w:val="751"/>
              <w:rPr>
                <w:color w:val="auto"/>
              </w:rPr>
            </w:pPr>
            <w:r>
              <w:rPr>
                <w:rFonts w:hint="eastAsia"/>
                <w:color w:val="auto"/>
              </w:rPr>
              <w:t>0.005</w:t>
            </w:r>
          </w:p>
        </w:tc>
        <w:tc>
          <w:tcPr>
            <w:tcW w:w="729" w:type="pct"/>
            <w:vAlign w:val="center"/>
          </w:tcPr>
          <w:p w14:paraId="5A4706EC">
            <w:pPr>
              <w:pStyle w:val="751"/>
              <w:rPr>
                <w:color w:val="auto"/>
              </w:rPr>
            </w:pPr>
            <w:r>
              <w:rPr>
                <w:rFonts w:hint="eastAsia"/>
                <w:color w:val="auto"/>
              </w:rPr>
              <w:t>0.005L</w:t>
            </w:r>
          </w:p>
        </w:tc>
        <w:tc>
          <w:tcPr>
            <w:tcW w:w="765" w:type="pct"/>
            <w:vAlign w:val="center"/>
          </w:tcPr>
          <w:p w14:paraId="745DEA9D">
            <w:pPr>
              <w:pStyle w:val="751"/>
              <w:rPr>
                <w:color w:val="auto"/>
              </w:rPr>
            </w:pPr>
            <w:r>
              <w:rPr>
                <w:rFonts w:hint="eastAsia"/>
                <w:color w:val="auto"/>
              </w:rPr>
              <w:t>0.005L</w:t>
            </w:r>
          </w:p>
        </w:tc>
        <w:tc>
          <w:tcPr>
            <w:tcW w:w="760" w:type="pct"/>
            <w:vAlign w:val="center"/>
          </w:tcPr>
          <w:p w14:paraId="0E3E099D">
            <w:pPr>
              <w:pStyle w:val="751"/>
              <w:rPr>
                <w:color w:val="auto"/>
              </w:rPr>
            </w:pPr>
            <w:r>
              <w:rPr>
                <w:rFonts w:hint="eastAsia"/>
                <w:color w:val="auto"/>
              </w:rPr>
              <w:t>0.005L</w:t>
            </w:r>
          </w:p>
        </w:tc>
        <w:tc>
          <w:tcPr>
            <w:tcW w:w="440" w:type="pct"/>
            <w:vAlign w:val="center"/>
          </w:tcPr>
          <w:p w14:paraId="5CF94B2B">
            <w:pPr>
              <w:pStyle w:val="751"/>
              <w:rPr>
                <w:color w:val="auto"/>
              </w:rPr>
            </w:pPr>
            <w:r>
              <w:rPr>
                <w:color w:val="auto"/>
              </w:rPr>
              <w:t>达标</w:t>
            </w:r>
          </w:p>
        </w:tc>
      </w:tr>
      <w:tr w14:paraId="35E7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CEFD001">
            <w:pPr>
              <w:pStyle w:val="751"/>
              <w:rPr>
                <w:color w:val="auto"/>
              </w:rPr>
            </w:pPr>
            <w:r>
              <w:rPr>
                <w:color w:val="auto"/>
              </w:rPr>
              <w:t>铁</w:t>
            </w:r>
          </w:p>
        </w:tc>
        <w:tc>
          <w:tcPr>
            <w:tcW w:w="752" w:type="pct"/>
            <w:vAlign w:val="center"/>
          </w:tcPr>
          <w:p w14:paraId="27857111">
            <w:pPr>
              <w:pStyle w:val="751"/>
              <w:rPr>
                <w:color w:val="auto"/>
              </w:rPr>
            </w:pPr>
            <w:r>
              <w:rPr>
                <w:rFonts w:hint="eastAsia"/>
                <w:color w:val="auto"/>
              </w:rPr>
              <w:t>mg/L</w:t>
            </w:r>
          </w:p>
        </w:tc>
        <w:tc>
          <w:tcPr>
            <w:tcW w:w="729" w:type="pct"/>
            <w:vAlign w:val="center"/>
          </w:tcPr>
          <w:p w14:paraId="47D24BFE">
            <w:pPr>
              <w:pStyle w:val="751"/>
              <w:rPr>
                <w:color w:val="auto"/>
              </w:rPr>
            </w:pPr>
            <w:r>
              <w:rPr>
                <w:rFonts w:hint="eastAsia"/>
                <w:color w:val="auto"/>
              </w:rPr>
              <w:t>0.3</w:t>
            </w:r>
          </w:p>
        </w:tc>
        <w:tc>
          <w:tcPr>
            <w:tcW w:w="729" w:type="pct"/>
            <w:vAlign w:val="center"/>
          </w:tcPr>
          <w:p w14:paraId="489579A0">
            <w:pPr>
              <w:pStyle w:val="751"/>
              <w:rPr>
                <w:color w:val="auto"/>
              </w:rPr>
            </w:pPr>
            <w:r>
              <w:rPr>
                <w:rFonts w:hint="eastAsia"/>
                <w:color w:val="auto"/>
              </w:rPr>
              <w:t>0.02L</w:t>
            </w:r>
          </w:p>
        </w:tc>
        <w:tc>
          <w:tcPr>
            <w:tcW w:w="765" w:type="pct"/>
            <w:vAlign w:val="center"/>
          </w:tcPr>
          <w:p w14:paraId="1A22178B">
            <w:pPr>
              <w:pStyle w:val="751"/>
              <w:rPr>
                <w:color w:val="auto"/>
              </w:rPr>
            </w:pPr>
            <w:r>
              <w:rPr>
                <w:rFonts w:hint="eastAsia"/>
                <w:color w:val="auto"/>
              </w:rPr>
              <w:t>0.02L</w:t>
            </w:r>
          </w:p>
        </w:tc>
        <w:tc>
          <w:tcPr>
            <w:tcW w:w="760" w:type="pct"/>
            <w:vAlign w:val="center"/>
          </w:tcPr>
          <w:p w14:paraId="434EC4B0">
            <w:pPr>
              <w:pStyle w:val="751"/>
              <w:rPr>
                <w:color w:val="auto"/>
              </w:rPr>
            </w:pPr>
            <w:r>
              <w:rPr>
                <w:rFonts w:hint="eastAsia"/>
                <w:color w:val="auto"/>
              </w:rPr>
              <w:t>0.02L</w:t>
            </w:r>
          </w:p>
        </w:tc>
        <w:tc>
          <w:tcPr>
            <w:tcW w:w="440" w:type="pct"/>
            <w:vAlign w:val="center"/>
          </w:tcPr>
          <w:p w14:paraId="1084656C">
            <w:pPr>
              <w:pStyle w:val="751"/>
              <w:rPr>
                <w:color w:val="auto"/>
              </w:rPr>
            </w:pPr>
            <w:r>
              <w:rPr>
                <w:color w:val="auto"/>
              </w:rPr>
              <w:t>达标</w:t>
            </w:r>
          </w:p>
        </w:tc>
      </w:tr>
      <w:tr w14:paraId="2B0F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66B7E89E">
            <w:pPr>
              <w:pStyle w:val="751"/>
              <w:rPr>
                <w:color w:val="auto"/>
              </w:rPr>
            </w:pPr>
            <w:r>
              <w:rPr>
                <w:color w:val="auto"/>
              </w:rPr>
              <w:t>锰</w:t>
            </w:r>
          </w:p>
        </w:tc>
        <w:tc>
          <w:tcPr>
            <w:tcW w:w="752" w:type="pct"/>
            <w:vAlign w:val="center"/>
          </w:tcPr>
          <w:p w14:paraId="6AAC24F3">
            <w:pPr>
              <w:pStyle w:val="751"/>
              <w:rPr>
                <w:color w:val="auto"/>
              </w:rPr>
            </w:pPr>
            <w:r>
              <w:rPr>
                <w:rFonts w:hint="eastAsia"/>
                <w:color w:val="auto"/>
              </w:rPr>
              <w:t>mg/L</w:t>
            </w:r>
          </w:p>
        </w:tc>
        <w:tc>
          <w:tcPr>
            <w:tcW w:w="729" w:type="pct"/>
            <w:vAlign w:val="center"/>
          </w:tcPr>
          <w:p w14:paraId="083B8F29">
            <w:pPr>
              <w:pStyle w:val="751"/>
              <w:rPr>
                <w:color w:val="auto"/>
              </w:rPr>
            </w:pPr>
            <w:r>
              <w:rPr>
                <w:rFonts w:hint="eastAsia"/>
                <w:color w:val="auto"/>
              </w:rPr>
              <w:t>0.10</w:t>
            </w:r>
          </w:p>
        </w:tc>
        <w:tc>
          <w:tcPr>
            <w:tcW w:w="729" w:type="pct"/>
            <w:vAlign w:val="center"/>
          </w:tcPr>
          <w:p w14:paraId="68A993F3">
            <w:pPr>
              <w:pStyle w:val="751"/>
              <w:rPr>
                <w:color w:val="auto"/>
              </w:rPr>
            </w:pPr>
            <w:r>
              <w:rPr>
                <w:rFonts w:hint="eastAsia"/>
                <w:color w:val="auto"/>
              </w:rPr>
              <w:t>0.004L</w:t>
            </w:r>
          </w:p>
        </w:tc>
        <w:tc>
          <w:tcPr>
            <w:tcW w:w="765" w:type="pct"/>
            <w:vAlign w:val="center"/>
          </w:tcPr>
          <w:p w14:paraId="17350C37">
            <w:pPr>
              <w:pStyle w:val="751"/>
              <w:rPr>
                <w:color w:val="auto"/>
              </w:rPr>
            </w:pPr>
            <w:r>
              <w:rPr>
                <w:rFonts w:hint="eastAsia"/>
                <w:color w:val="auto"/>
              </w:rPr>
              <w:t>0.004L</w:t>
            </w:r>
          </w:p>
        </w:tc>
        <w:tc>
          <w:tcPr>
            <w:tcW w:w="760" w:type="pct"/>
            <w:vAlign w:val="center"/>
          </w:tcPr>
          <w:p w14:paraId="7A1E1740">
            <w:pPr>
              <w:pStyle w:val="751"/>
              <w:rPr>
                <w:color w:val="auto"/>
              </w:rPr>
            </w:pPr>
            <w:r>
              <w:rPr>
                <w:rFonts w:hint="eastAsia"/>
                <w:color w:val="auto"/>
              </w:rPr>
              <w:t>0.004L</w:t>
            </w:r>
          </w:p>
        </w:tc>
        <w:tc>
          <w:tcPr>
            <w:tcW w:w="440" w:type="pct"/>
            <w:vAlign w:val="center"/>
          </w:tcPr>
          <w:p w14:paraId="215B3876">
            <w:pPr>
              <w:pStyle w:val="751"/>
              <w:rPr>
                <w:color w:val="auto"/>
              </w:rPr>
            </w:pPr>
            <w:r>
              <w:rPr>
                <w:color w:val="auto"/>
              </w:rPr>
              <w:t>达标</w:t>
            </w:r>
          </w:p>
        </w:tc>
      </w:tr>
      <w:tr w14:paraId="6DCD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79750BEE">
            <w:pPr>
              <w:pStyle w:val="751"/>
              <w:rPr>
                <w:color w:val="auto"/>
              </w:rPr>
            </w:pPr>
            <w:r>
              <w:rPr>
                <w:rFonts w:hint="eastAsia"/>
                <w:color w:val="auto"/>
              </w:rPr>
              <w:t>六价铬</w:t>
            </w:r>
          </w:p>
        </w:tc>
        <w:tc>
          <w:tcPr>
            <w:tcW w:w="752" w:type="pct"/>
            <w:vAlign w:val="center"/>
          </w:tcPr>
          <w:p w14:paraId="02CC98AB">
            <w:pPr>
              <w:pStyle w:val="751"/>
              <w:rPr>
                <w:color w:val="auto"/>
              </w:rPr>
            </w:pPr>
            <w:r>
              <w:rPr>
                <w:rFonts w:hint="eastAsia"/>
                <w:color w:val="auto"/>
              </w:rPr>
              <w:t>mg/L</w:t>
            </w:r>
          </w:p>
        </w:tc>
        <w:tc>
          <w:tcPr>
            <w:tcW w:w="729" w:type="pct"/>
            <w:vAlign w:val="center"/>
          </w:tcPr>
          <w:p w14:paraId="56D1A80B">
            <w:pPr>
              <w:pStyle w:val="751"/>
              <w:rPr>
                <w:color w:val="auto"/>
              </w:rPr>
            </w:pPr>
            <w:r>
              <w:rPr>
                <w:rFonts w:hint="eastAsia"/>
                <w:color w:val="auto"/>
              </w:rPr>
              <w:t>0.05</w:t>
            </w:r>
          </w:p>
        </w:tc>
        <w:tc>
          <w:tcPr>
            <w:tcW w:w="729" w:type="pct"/>
            <w:vAlign w:val="center"/>
          </w:tcPr>
          <w:p w14:paraId="4422B37C">
            <w:pPr>
              <w:pStyle w:val="751"/>
              <w:rPr>
                <w:color w:val="auto"/>
              </w:rPr>
            </w:pPr>
            <w:r>
              <w:rPr>
                <w:rFonts w:hint="eastAsia"/>
                <w:color w:val="auto"/>
              </w:rPr>
              <w:t>0.004L</w:t>
            </w:r>
          </w:p>
        </w:tc>
        <w:tc>
          <w:tcPr>
            <w:tcW w:w="765" w:type="pct"/>
            <w:vAlign w:val="center"/>
          </w:tcPr>
          <w:p w14:paraId="2877DE55">
            <w:pPr>
              <w:pStyle w:val="751"/>
              <w:rPr>
                <w:color w:val="auto"/>
              </w:rPr>
            </w:pPr>
            <w:r>
              <w:rPr>
                <w:rFonts w:hint="eastAsia"/>
                <w:color w:val="auto"/>
              </w:rPr>
              <w:t>0.004L</w:t>
            </w:r>
          </w:p>
        </w:tc>
        <w:tc>
          <w:tcPr>
            <w:tcW w:w="760" w:type="pct"/>
            <w:vAlign w:val="center"/>
          </w:tcPr>
          <w:p w14:paraId="586F8AD3">
            <w:pPr>
              <w:pStyle w:val="751"/>
              <w:rPr>
                <w:color w:val="auto"/>
              </w:rPr>
            </w:pPr>
            <w:r>
              <w:rPr>
                <w:rFonts w:hint="eastAsia"/>
                <w:color w:val="auto"/>
              </w:rPr>
              <w:t>0.004L</w:t>
            </w:r>
          </w:p>
        </w:tc>
        <w:tc>
          <w:tcPr>
            <w:tcW w:w="440" w:type="pct"/>
            <w:vAlign w:val="center"/>
          </w:tcPr>
          <w:p w14:paraId="7C10AA9E">
            <w:pPr>
              <w:pStyle w:val="751"/>
              <w:rPr>
                <w:color w:val="auto"/>
              </w:rPr>
            </w:pPr>
            <w:r>
              <w:rPr>
                <w:color w:val="auto"/>
              </w:rPr>
              <w:t>达标</w:t>
            </w:r>
          </w:p>
        </w:tc>
      </w:tr>
      <w:tr w14:paraId="3DF8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057FA376">
            <w:pPr>
              <w:pStyle w:val="751"/>
              <w:rPr>
                <w:color w:val="auto"/>
              </w:rPr>
            </w:pPr>
            <w:r>
              <w:rPr>
                <w:bCs/>
                <w:color w:val="auto"/>
              </w:rPr>
              <w:t>总大肠菌群</w:t>
            </w:r>
          </w:p>
        </w:tc>
        <w:tc>
          <w:tcPr>
            <w:tcW w:w="752" w:type="pct"/>
            <w:vAlign w:val="center"/>
          </w:tcPr>
          <w:p w14:paraId="5AECA05E">
            <w:pPr>
              <w:pStyle w:val="751"/>
              <w:rPr>
                <w:color w:val="auto"/>
              </w:rPr>
            </w:pPr>
            <w:r>
              <w:rPr>
                <w:bCs/>
                <w:color w:val="auto"/>
              </w:rPr>
              <w:t>（CFU/m</w:t>
            </w:r>
            <w:r>
              <w:rPr>
                <w:rFonts w:hint="eastAsia"/>
                <w:bCs/>
                <w:color w:val="auto"/>
              </w:rPr>
              <w:t>L</w:t>
            </w:r>
            <w:r>
              <w:rPr>
                <w:bCs/>
                <w:color w:val="auto"/>
              </w:rPr>
              <w:t>）</w:t>
            </w:r>
          </w:p>
        </w:tc>
        <w:tc>
          <w:tcPr>
            <w:tcW w:w="729" w:type="pct"/>
            <w:vAlign w:val="center"/>
          </w:tcPr>
          <w:p w14:paraId="7B993B8D">
            <w:pPr>
              <w:pStyle w:val="751"/>
              <w:rPr>
                <w:bCs/>
                <w:color w:val="auto"/>
              </w:rPr>
            </w:pPr>
            <w:r>
              <w:rPr>
                <w:rFonts w:hint="eastAsia"/>
                <w:bCs/>
                <w:color w:val="auto"/>
              </w:rPr>
              <w:t>3.0</w:t>
            </w:r>
          </w:p>
        </w:tc>
        <w:tc>
          <w:tcPr>
            <w:tcW w:w="729" w:type="pct"/>
            <w:vAlign w:val="center"/>
          </w:tcPr>
          <w:p w14:paraId="78BA806F">
            <w:pPr>
              <w:pStyle w:val="751"/>
              <w:rPr>
                <w:color w:val="auto"/>
              </w:rPr>
            </w:pPr>
            <w:r>
              <w:rPr>
                <w:rFonts w:hint="eastAsia"/>
                <w:bCs/>
                <w:color w:val="auto"/>
              </w:rPr>
              <w:t>未检出</w:t>
            </w:r>
          </w:p>
        </w:tc>
        <w:tc>
          <w:tcPr>
            <w:tcW w:w="765" w:type="pct"/>
            <w:vAlign w:val="center"/>
          </w:tcPr>
          <w:p w14:paraId="433293E8">
            <w:pPr>
              <w:pStyle w:val="751"/>
              <w:rPr>
                <w:color w:val="auto"/>
              </w:rPr>
            </w:pPr>
            <w:r>
              <w:rPr>
                <w:rFonts w:hint="eastAsia"/>
                <w:bCs/>
                <w:color w:val="auto"/>
              </w:rPr>
              <w:t>未检出</w:t>
            </w:r>
          </w:p>
        </w:tc>
        <w:tc>
          <w:tcPr>
            <w:tcW w:w="760" w:type="pct"/>
            <w:vAlign w:val="center"/>
          </w:tcPr>
          <w:p w14:paraId="56D81F42">
            <w:pPr>
              <w:pStyle w:val="751"/>
              <w:rPr>
                <w:color w:val="auto"/>
              </w:rPr>
            </w:pPr>
            <w:r>
              <w:rPr>
                <w:rFonts w:hint="eastAsia"/>
                <w:bCs/>
                <w:color w:val="auto"/>
              </w:rPr>
              <w:t>未检出</w:t>
            </w:r>
          </w:p>
        </w:tc>
        <w:tc>
          <w:tcPr>
            <w:tcW w:w="440" w:type="pct"/>
            <w:vAlign w:val="center"/>
          </w:tcPr>
          <w:p w14:paraId="613AFC8E">
            <w:pPr>
              <w:pStyle w:val="751"/>
              <w:rPr>
                <w:color w:val="auto"/>
              </w:rPr>
            </w:pPr>
            <w:r>
              <w:rPr>
                <w:color w:val="auto"/>
              </w:rPr>
              <w:t>达标</w:t>
            </w:r>
          </w:p>
        </w:tc>
      </w:tr>
      <w:tr w14:paraId="34F6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78971109">
            <w:pPr>
              <w:pStyle w:val="751"/>
              <w:rPr>
                <w:color w:val="auto"/>
              </w:rPr>
            </w:pPr>
            <w:r>
              <w:rPr>
                <w:rFonts w:hint="eastAsia"/>
                <w:color w:val="auto"/>
                <w:spacing w:val="-11"/>
              </w:rPr>
              <w:t>细菌总数</w:t>
            </w:r>
          </w:p>
        </w:tc>
        <w:tc>
          <w:tcPr>
            <w:tcW w:w="752" w:type="pct"/>
            <w:vAlign w:val="center"/>
          </w:tcPr>
          <w:p w14:paraId="7CBA299B">
            <w:pPr>
              <w:pStyle w:val="751"/>
              <w:rPr>
                <w:color w:val="auto"/>
              </w:rPr>
            </w:pPr>
            <w:r>
              <w:rPr>
                <w:bCs/>
                <w:color w:val="auto"/>
              </w:rPr>
              <w:t>（CFU/m</w:t>
            </w:r>
            <w:r>
              <w:rPr>
                <w:rFonts w:hint="eastAsia"/>
                <w:bCs/>
                <w:color w:val="auto"/>
              </w:rPr>
              <w:t>L</w:t>
            </w:r>
            <w:r>
              <w:rPr>
                <w:bCs/>
                <w:color w:val="auto"/>
              </w:rPr>
              <w:t>）</w:t>
            </w:r>
          </w:p>
        </w:tc>
        <w:tc>
          <w:tcPr>
            <w:tcW w:w="729" w:type="pct"/>
            <w:vAlign w:val="center"/>
          </w:tcPr>
          <w:p w14:paraId="27D96EFB">
            <w:pPr>
              <w:pStyle w:val="751"/>
              <w:rPr>
                <w:bCs/>
                <w:color w:val="auto"/>
              </w:rPr>
            </w:pPr>
            <w:r>
              <w:rPr>
                <w:rFonts w:hint="eastAsia"/>
                <w:bCs/>
                <w:color w:val="auto"/>
              </w:rPr>
              <w:t>100</w:t>
            </w:r>
          </w:p>
        </w:tc>
        <w:tc>
          <w:tcPr>
            <w:tcW w:w="729" w:type="pct"/>
            <w:vAlign w:val="center"/>
          </w:tcPr>
          <w:p w14:paraId="739BE117">
            <w:pPr>
              <w:pStyle w:val="751"/>
              <w:rPr>
                <w:color w:val="auto"/>
              </w:rPr>
            </w:pPr>
            <w:r>
              <w:rPr>
                <w:rFonts w:hint="eastAsia"/>
                <w:color w:val="auto"/>
                <w:spacing w:val="-11"/>
              </w:rPr>
              <w:t>12</w:t>
            </w:r>
          </w:p>
        </w:tc>
        <w:tc>
          <w:tcPr>
            <w:tcW w:w="765" w:type="pct"/>
            <w:vAlign w:val="center"/>
          </w:tcPr>
          <w:p w14:paraId="346EB941">
            <w:pPr>
              <w:pStyle w:val="751"/>
              <w:rPr>
                <w:color w:val="auto"/>
              </w:rPr>
            </w:pPr>
            <w:r>
              <w:rPr>
                <w:rFonts w:hint="eastAsia"/>
                <w:color w:val="auto"/>
                <w:spacing w:val="-11"/>
              </w:rPr>
              <w:t>15</w:t>
            </w:r>
          </w:p>
        </w:tc>
        <w:tc>
          <w:tcPr>
            <w:tcW w:w="760" w:type="pct"/>
            <w:vAlign w:val="center"/>
          </w:tcPr>
          <w:p w14:paraId="353AB2E4">
            <w:pPr>
              <w:pStyle w:val="751"/>
              <w:rPr>
                <w:color w:val="auto"/>
              </w:rPr>
            </w:pPr>
            <w:r>
              <w:rPr>
                <w:rFonts w:hint="eastAsia"/>
                <w:color w:val="auto"/>
                <w:spacing w:val="-11"/>
              </w:rPr>
              <w:t>14</w:t>
            </w:r>
          </w:p>
        </w:tc>
        <w:tc>
          <w:tcPr>
            <w:tcW w:w="440" w:type="pct"/>
            <w:vAlign w:val="center"/>
          </w:tcPr>
          <w:p w14:paraId="3F72F374">
            <w:pPr>
              <w:pStyle w:val="751"/>
              <w:rPr>
                <w:color w:val="auto"/>
              </w:rPr>
            </w:pPr>
            <w:r>
              <w:rPr>
                <w:color w:val="auto"/>
              </w:rPr>
              <w:t>达标</w:t>
            </w:r>
          </w:p>
        </w:tc>
      </w:tr>
      <w:tr w14:paraId="382D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35A5196">
            <w:pPr>
              <w:pStyle w:val="751"/>
              <w:rPr>
                <w:color w:val="auto"/>
              </w:rPr>
            </w:pPr>
            <w:r>
              <w:rPr>
                <w:color w:val="auto"/>
              </w:rPr>
              <w:t>色度</w:t>
            </w:r>
          </w:p>
        </w:tc>
        <w:tc>
          <w:tcPr>
            <w:tcW w:w="752" w:type="pct"/>
            <w:vAlign w:val="center"/>
          </w:tcPr>
          <w:p w14:paraId="17C61592">
            <w:pPr>
              <w:pStyle w:val="751"/>
              <w:rPr>
                <w:color w:val="auto"/>
              </w:rPr>
            </w:pPr>
            <w:r>
              <w:rPr>
                <w:rFonts w:hint="eastAsia"/>
                <w:color w:val="auto"/>
              </w:rPr>
              <w:t>--</w:t>
            </w:r>
          </w:p>
        </w:tc>
        <w:tc>
          <w:tcPr>
            <w:tcW w:w="729" w:type="pct"/>
            <w:vAlign w:val="center"/>
          </w:tcPr>
          <w:p w14:paraId="21DDD4AA">
            <w:pPr>
              <w:pStyle w:val="751"/>
              <w:rPr>
                <w:color w:val="auto"/>
              </w:rPr>
            </w:pPr>
            <w:r>
              <w:rPr>
                <w:rFonts w:hint="eastAsia"/>
                <w:color w:val="auto"/>
              </w:rPr>
              <w:t>15</w:t>
            </w:r>
          </w:p>
        </w:tc>
        <w:tc>
          <w:tcPr>
            <w:tcW w:w="729" w:type="pct"/>
            <w:vAlign w:val="center"/>
          </w:tcPr>
          <w:p w14:paraId="42888E9D">
            <w:pPr>
              <w:pStyle w:val="751"/>
              <w:rPr>
                <w:color w:val="auto"/>
              </w:rPr>
            </w:pPr>
            <w:r>
              <w:rPr>
                <w:rFonts w:hint="eastAsia"/>
                <w:color w:val="auto"/>
              </w:rPr>
              <w:t>&lt;5</w:t>
            </w:r>
          </w:p>
        </w:tc>
        <w:tc>
          <w:tcPr>
            <w:tcW w:w="765" w:type="pct"/>
            <w:vAlign w:val="center"/>
          </w:tcPr>
          <w:p w14:paraId="31AF926E">
            <w:pPr>
              <w:pStyle w:val="751"/>
              <w:rPr>
                <w:color w:val="auto"/>
              </w:rPr>
            </w:pPr>
            <w:r>
              <w:rPr>
                <w:rFonts w:hint="eastAsia"/>
                <w:color w:val="auto"/>
              </w:rPr>
              <w:t>&lt;5</w:t>
            </w:r>
          </w:p>
        </w:tc>
        <w:tc>
          <w:tcPr>
            <w:tcW w:w="760" w:type="pct"/>
            <w:vAlign w:val="center"/>
          </w:tcPr>
          <w:p w14:paraId="060CF7B7">
            <w:pPr>
              <w:pStyle w:val="751"/>
              <w:rPr>
                <w:color w:val="auto"/>
              </w:rPr>
            </w:pPr>
            <w:r>
              <w:rPr>
                <w:rFonts w:hint="eastAsia"/>
                <w:color w:val="auto"/>
              </w:rPr>
              <w:t>&lt;5</w:t>
            </w:r>
          </w:p>
        </w:tc>
        <w:tc>
          <w:tcPr>
            <w:tcW w:w="440" w:type="pct"/>
            <w:vAlign w:val="center"/>
          </w:tcPr>
          <w:p w14:paraId="7D790535">
            <w:pPr>
              <w:pStyle w:val="751"/>
              <w:rPr>
                <w:color w:val="auto"/>
              </w:rPr>
            </w:pPr>
            <w:r>
              <w:rPr>
                <w:color w:val="auto"/>
              </w:rPr>
              <w:t>达标</w:t>
            </w:r>
          </w:p>
        </w:tc>
      </w:tr>
      <w:tr w14:paraId="6066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F0D0282">
            <w:pPr>
              <w:pStyle w:val="751"/>
              <w:rPr>
                <w:color w:val="auto"/>
              </w:rPr>
            </w:pPr>
            <w:r>
              <w:rPr>
                <w:rFonts w:hint="eastAsia"/>
                <w:color w:val="auto"/>
              </w:rPr>
              <w:t>臭和味</w:t>
            </w:r>
          </w:p>
        </w:tc>
        <w:tc>
          <w:tcPr>
            <w:tcW w:w="752" w:type="pct"/>
            <w:vAlign w:val="center"/>
          </w:tcPr>
          <w:p w14:paraId="0B84741A">
            <w:pPr>
              <w:pStyle w:val="751"/>
              <w:rPr>
                <w:color w:val="auto"/>
              </w:rPr>
            </w:pPr>
            <w:r>
              <w:rPr>
                <w:rFonts w:hint="eastAsia"/>
                <w:color w:val="auto"/>
              </w:rPr>
              <w:t>mg/L</w:t>
            </w:r>
          </w:p>
        </w:tc>
        <w:tc>
          <w:tcPr>
            <w:tcW w:w="729" w:type="pct"/>
            <w:vAlign w:val="center"/>
          </w:tcPr>
          <w:p w14:paraId="37CD790E">
            <w:pPr>
              <w:pStyle w:val="751"/>
              <w:rPr>
                <w:color w:val="auto"/>
              </w:rPr>
            </w:pPr>
            <w:r>
              <w:rPr>
                <w:rFonts w:hint="eastAsia"/>
                <w:color w:val="auto"/>
              </w:rPr>
              <w:t>无</w:t>
            </w:r>
          </w:p>
        </w:tc>
        <w:tc>
          <w:tcPr>
            <w:tcW w:w="729" w:type="pct"/>
            <w:vAlign w:val="center"/>
          </w:tcPr>
          <w:p w14:paraId="54BADCC0">
            <w:pPr>
              <w:pStyle w:val="751"/>
              <w:rPr>
                <w:color w:val="auto"/>
              </w:rPr>
            </w:pPr>
            <w:r>
              <w:rPr>
                <w:rFonts w:hint="eastAsia"/>
                <w:color w:val="auto"/>
              </w:rPr>
              <w:t>无</w:t>
            </w:r>
          </w:p>
        </w:tc>
        <w:tc>
          <w:tcPr>
            <w:tcW w:w="765" w:type="pct"/>
            <w:vAlign w:val="center"/>
          </w:tcPr>
          <w:p w14:paraId="6C99509C">
            <w:pPr>
              <w:pStyle w:val="751"/>
              <w:rPr>
                <w:color w:val="auto"/>
              </w:rPr>
            </w:pPr>
            <w:r>
              <w:rPr>
                <w:rFonts w:hint="eastAsia"/>
                <w:color w:val="auto"/>
              </w:rPr>
              <w:t>无</w:t>
            </w:r>
          </w:p>
        </w:tc>
        <w:tc>
          <w:tcPr>
            <w:tcW w:w="760" w:type="pct"/>
            <w:vAlign w:val="center"/>
          </w:tcPr>
          <w:p w14:paraId="3D237759">
            <w:pPr>
              <w:pStyle w:val="751"/>
              <w:rPr>
                <w:color w:val="auto"/>
              </w:rPr>
            </w:pPr>
            <w:r>
              <w:rPr>
                <w:rFonts w:hint="eastAsia"/>
                <w:color w:val="auto"/>
              </w:rPr>
              <w:t>无</w:t>
            </w:r>
          </w:p>
        </w:tc>
        <w:tc>
          <w:tcPr>
            <w:tcW w:w="440" w:type="pct"/>
            <w:vAlign w:val="center"/>
          </w:tcPr>
          <w:p w14:paraId="561B5679">
            <w:pPr>
              <w:pStyle w:val="751"/>
              <w:rPr>
                <w:color w:val="auto"/>
              </w:rPr>
            </w:pPr>
            <w:r>
              <w:rPr>
                <w:color w:val="auto"/>
              </w:rPr>
              <w:t>达标</w:t>
            </w:r>
          </w:p>
        </w:tc>
      </w:tr>
      <w:tr w14:paraId="2FC2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3291745D">
            <w:pPr>
              <w:pStyle w:val="751"/>
              <w:rPr>
                <w:color w:val="auto"/>
              </w:rPr>
            </w:pPr>
            <w:r>
              <w:rPr>
                <w:rFonts w:hint="eastAsia"/>
                <w:color w:val="auto"/>
              </w:rPr>
              <w:t>浑浊度</w:t>
            </w:r>
          </w:p>
        </w:tc>
        <w:tc>
          <w:tcPr>
            <w:tcW w:w="752" w:type="pct"/>
            <w:vAlign w:val="center"/>
          </w:tcPr>
          <w:p w14:paraId="00B341B7">
            <w:pPr>
              <w:pStyle w:val="751"/>
              <w:rPr>
                <w:color w:val="auto"/>
              </w:rPr>
            </w:pPr>
            <w:r>
              <w:rPr>
                <w:rFonts w:hint="eastAsia"/>
                <w:bCs/>
                <w:color w:val="auto"/>
              </w:rPr>
              <w:t>NTU</w:t>
            </w:r>
          </w:p>
        </w:tc>
        <w:tc>
          <w:tcPr>
            <w:tcW w:w="729" w:type="pct"/>
            <w:vAlign w:val="center"/>
          </w:tcPr>
          <w:p w14:paraId="46CAA87E">
            <w:pPr>
              <w:pStyle w:val="751"/>
              <w:rPr>
                <w:bCs/>
                <w:color w:val="auto"/>
              </w:rPr>
            </w:pPr>
            <w:r>
              <w:rPr>
                <w:rFonts w:hint="eastAsia"/>
                <w:bCs/>
                <w:color w:val="auto"/>
              </w:rPr>
              <w:t>3</w:t>
            </w:r>
          </w:p>
        </w:tc>
        <w:tc>
          <w:tcPr>
            <w:tcW w:w="729" w:type="pct"/>
            <w:vAlign w:val="center"/>
          </w:tcPr>
          <w:p w14:paraId="6AB01458">
            <w:pPr>
              <w:pStyle w:val="751"/>
              <w:rPr>
                <w:color w:val="auto"/>
              </w:rPr>
            </w:pPr>
            <w:r>
              <w:rPr>
                <w:rFonts w:hint="eastAsia"/>
                <w:color w:val="auto"/>
              </w:rPr>
              <w:t>&lt;1</w:t>
            </w:r>
          </w:p>
        </w:tc>
        <w:tc>
          <w:tcPr>
            <w:tcW w:w="765" w:type="pct"/>
            <w:vAlign w:val="center"/>
          </w:tcPr>
          <w:p w14:paraId="1F2D19E0">
            <w:pPr>
              <w:pStyle w:val="751"/>
              <w:rPr>
                <w:color w:val="auto"/>
              </w:rPr>
            </w:pPr>
            <w:r>
              <w:rPr>
                <w:rFonts w:hint="eastAsia"/>
                <w:color w:val="auto"/>
              </w:rPr>
              <w:t>&lt;1</w:t>
            </w:r>
          </w:p>
        </w:tc>
        <w:tc>
          <w:tcPr>
            <w:tcW w:w="760" w:type="pct"/>
            <w:vAlign w:val="center"/>
          </w:tcPr>
          <w:p w14:paraId="2C9914B8">
            <w:pPr>
              <w:pStyle w:val="751"/>
              <w:rPr>
                <w:color w:val="auto"/>
              </w:rPr>
            </w:pPr>
            <w:r>
              <w:rPr>
                <w:rFonts w:hint="eastAsia"/>
                <w:color w:val="auto"/>
              </w:rPr>
              <w:t>&lt;1</w:t>
            </w:r>
          </w:p>
        </w:tc>
        <w:tc>
          <w:tcPr>
            <w:tcW w:w="440" w:type="pct"/>
            <w:vAlign w:val="center"/>
          </w:tcPr>
          <w:p w14:paraId="2C5DB34D">
            <w:pPr>
              <w:pStyle w:val="751"/>
              <w:rPr>
                <w:color w:val="auto"/>
              </w:rPr>
            </w:pPr>
            <w:r>
              <w:rPr>
                <w:color w:val="auto"/>
              </w:rPr>
              <w:t>达标</w:t>
            </w:r>
          </w:p>
        </w:tc>
      </w:tr>
      <w:tr w14:paraId="6055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7834BB0D">
            <w:pPr>
              <w:pStyle w:val="751"/>
              <w:rPr>
                <w:color w:val="auto"/>
              </w:rPr>
            </w:pPr>
            <w:r>
              <w:rPr>
                <w:rFonts w:hint="eastAsia"/>
                <w:color w:val="auto"/>
              </w:rPr>
              <w:t>肉眼可见物</w:t>
            </w:r>
          </w:p>
        </w:tc>
        <w:tc>
          <w:tcPr>
            <w:tcW w:w="752" w:type="pct"/>
            <w:vAlign w:val="center"/>
          </w:tcPr>
          <w:p w14:paraId="137EC4E8">
            <w:pPr>
              <w:pStyle w:val="751"/>
              <w:rPr>
                <w:color w:val="auto"/>
              </w:rPr>
            </w:pPr>
            <w:r>
              <w:rPr>
                <w:rFonts w:hint="eastAsia"/>
                <w:color w:val="auto"/>
              </w:rPr>
              <w:t>--</w:t>
            </w:r>
          </w:p>
        </w:tc>
        <w:tc>
          <w:tcPr>
            <w:tcW w:w="729" w:type="pct"/>
            <w:vAlign w:val="center"/>
          </w:tcPr>
          <w:p w14:paraId="1CD2865F">
            <w:pPr>
              <w:pStyle w:val="751"/>
              <w:rPr>
                <w:color w:val="auto"/>
              </w:rPr>
            </w:pPr>
            <w:r>
              <w:rPr>
                <w:rFonts w:hint="eastAsia"/>
                <w:color w:val="auto"/>
              </w:rPr>
              <w:t>无</w:t>
            </w:r>
          </w:p>
        </w:tc>
        <w:tc>
          <w:tcPr>
            <w:tcW w:w="729" w:type="pct"/>
            <w:vAlign w:val="center"/>
          </w:tcPr>
          <w:p w14:paraId="26504E71">
            <w:pPr>
              <w:pStyle w:val="751"/>
              <w:rPr>
                <w:color w:val="auto"/>
              </w:rPr>
            </w:pPr>
            <w:r>
              <w:rPr>
                <w:rFonts w:hint="eastAsia"/>
                <w:color w:val="auto"/>
              </w:rPr>
              <w:t>无</w:t>
            </w:r>
          </w:p>
        </w:tc>
        <w:tc>
          <w:tcPr>
            <w:tcW w:w="765" w:type="pct"/>
            <w:vAlign w:val="center"/>
          </w:tcPr>
          <w:p w14:paraId="7A7F27E2">
            <w:pPr>
              <w:pStyle w:val="751"/>
              <w:rPr>
                <w:color w:val="auto"/>
              </w:rPr>
            </w:pPr>
            <w:r>
              <w:rPr>
                <w:rFonts w:hint="eastAsia"/>
                <w:color w:val="auto"/>
              </w:rPr>
              <w:t>无</w:t>
            </w:r>
          </w:p>
        </w:tc>
        <w:tc>
          <w:tcPr>
            <w:tcW w:w="760" w:type="pct"/>
            <w:vAlign w:val="center"/>
          </w:tcPr>
          <w:p w14:paraId="273A782D">
            <w:pPr>
              <w:pStyle w:val="751"/>
              <w:rPr>
                <w:color w:val="auto"/>
              </w:rPr>
            </w:pPr>
            <w:r>
              <w:rPr>
                <w:rFonts w:hint="eastAsia"/>
                <w:color w:val="auto"/>
              </w:rPr>
              <w:t>无</w:t>
            </w:r>
          </w:p>
        </w:tc>
        <w:tc>
          <w:tcPr>
            <w:tcW w:w="440" w:type="pct"/>
            <w:vAlign w:val="center"/>
          </w:tcPr>
          <w:p w14:paraId="611B71F3">
            <w:pPr>
              <w:pStyle w:val="751"/>
              <w:rPr>
                <w:color w:val="auto"/>
              </w:rPr>
            </w:pPr>
            <w:r>
              <w:rPr>
                <w:color w:val="auto"/>
              </w:rPr>
              <w:t>达标</w:t>
            </w:r>
          </w:p>
        </w:tc>
      </w:tr>
      <w:tr w14:paraId="2284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3A224926">
            <w:pPr>
              <w:pStyle w:val="751"/>
              <w:rPr>
                <w:color w:val="auto"/>
              </w:rPr>
            </w:pPr>
            <w:r>
              <w:rPr>
                <w:color w:val="auto"/>
              </w:rPr>
              <w:t>阴离子表面活性剂</w:t>
            </w:r>
          </w:p>
        </w:tc>
        <w:tc>
          <w:tcPr>
            <w:tcW w:w="752" w:type="pct"/>
            <w:vAlign w:val="center"/>
          </w:tcPr>
          <w:p w14:paraId="0077F449">
            <w:pPr>
              <w:pStyle w:val="751"/>
              <w:rPr>
                <w:color w:val="auto"/>
              </w:rPr>
            </w:pPr>
            <w:r>
              <w:rPr>
                <w:rFonts w:hint="eastAsia"/>
                <w:color w:val="auto"/>
              </w:rPr>
              <w:t>mg/L</w:t>
            </w:r>
          </w:p>
        </w:tc>
        <w:tc>
          <w:tcPr>
            <w:tcW w:w="729" w:type="pct"/>
            <w:vAlign w:val="center"/>
          </w:tcPr>
          <w:p w14:paraId="17E73008">
            <w:pPr>
              <w:pStyle w:val="751"/>
              <w:rPr>
                <w:color w:val="auto"/>
              </w:rPr>
            </w:pPr>
            <w:r>
              <w:rPr>
                <w:rFonts w:hint="eastAsia"/>
                <w:color w:val="auto"/>
              </w:rPr>
              <w:t>0.3</w:t>
            </w:r>
          </w:p>
        </w:tc>
        <w:tc>
          <w:tcPr>
            <w:tcW w:w="729" w:type="pct"/>
            <w:vAlign w:val="center"/>
          </w:tcPr>
          <w:p w14:paraId="6A80BF5D">
            <w:pPr>
              <w:pStyle w:val="751"/>
              <w:rPr>
                <w:color w:val="auto"/>
              </w:rPr>
            </w:pPr>
            <w:r>
              <w:rPr>
                <w:rFonts w:hint="eastAsia"/>
                <w:color w:val="auto"/>
              </w:rPr>
              <w:t>0.05L</w:t>
            </w:r>
          </w:p>
        </w:tc>
        <w:tc>
          <w:tcPr>
            <w:tcW w:w="765" w:type="pct"/>
            <w:vAlign w:val="center"/>
          </w:tcPr>
          <w:p w14:paraId="0A51C0AD">
            <w:pPr>
              <w:pStyle w:val="751"/>
              <w:rPr>
                <w:color w:val="auto"/>
              </w:rPr>
            </w:pPr>
            <w:r>
              <w:rPr>
                <w:rFonts w:hint="eastAsia"/>
                <w:color w:val="auto"/>
              </w:rPr>
              <w:t>0.05L</w:t>
            </w:r>
          </w:p>
        </w:tc>
        <w:tc>
          <w:tcPr>
            <w:tcW w:w="760" w:type="pct"/>
            <w:vAlign w:val="center"/>
          </w:tcPr>
          <w:p w14:paraId="1D182090">
            <w:pPr>
              <w:pStyle w:val="751"/>
              <w:rPr>
                <w:color w:val="auto"/>
              </w:rPr>
            </w:pPr>
            <w:r>
              <w:rPr>
                <w:rFonts w:hint="eastAsia"/>
                <w:color w:val="auto"/>
              </w:rPr>
              <w:t>0.05L</w:t>
            </w:r>
          </w:p>
        </w:tc>
        <w:tc>
          <w:tcPr>
            <w:tcW w:w="440" w:type="pct"/>
            <w:vAlign w:val="center"/>
          </w:tcPr>
          <w:p w14:paraId="7455A3A9">
            <w:pPr>
              <w:pStyle w:val="751"/>
              <w:rPr>
                <w:color w:val="auto"/>
              </w:rPr>
            </w:pPr>
            <w:r>
              <w:rPr>
                <w:color w:val="auto"/>
              </w:rPr>
              <w:t>达标</w:t>
            </w:r>
          </w:p>
        </w:tc>
      </w:tr>
      <w:tr w14:paraId="1C83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4DC0A64">
            <w:pPr>
              <w:pStyle w:val="751"/>
              <w:rPr>
                <w:color w:val="auto"/>
              </w:rPr>
            </w:pPr>
            <w:r>
              <w:rPr>
                <w:color w:val="auto"/>
              </w:rPr>
              <w:t>硫化物</w:t>
            </w:r>
          </w:p>
        </w:tc>
        <w:tc>
          <w:tcPr>
            <w:tcW w:w="752" w:type="pct"/>
            <w:vAlign w:val="center"/>
          </w:tcPr>
          <w:p w14:paraId="4D29DDEF">
            <w:pPr>
              <w:pStyle w:val="751"/>
              <w:rPr>
                <w:color w:val="auto"/>
              </w:rPr>
            </w:pPr>
            <w:r>
              <w:rPr>
                <w:rFonts w:hint="eastAsia"/>
                <w:color w:val="auto"/>
              </w:rPr>
              <w:t>mg/L</w:t>
            </w:r>
          </w:p>
        </w:tc>
        <w:tc>
          <w:tcPr>
            <w:tcW w:w="729" w:type="pct"/>
            <w:vAlign w:val="center"/>
          </w:tcPr>
          <w:p w14:paraId="27BC4505">
            <w:pPr>
              <w:pStyle w:val="751"/>
              <w:rPr>
                <w:color w:val="auto"/>
              </w:rPr>
            </w:pPr>
            <w:r>
              <w:rPr>
                <w:rFonts w:hint="eastAsia"/>
                <w:color w:val="auto"/>
              </w:rPr>
              <w:t>0.02</w:t>
            </w:r>
          </w:p>
        </w:tc>
        <w:tc>
          <w:tcPr>
            <w:tcW w:w="729" w:type="pct"/>
            <w:vAlign w:val="center"/>
          </w:tcPr>
          <w:p w14:paraId="3B5C8504">
            <w:pPr>
              <w:pStyle w:val="751"/>
              <w:rPr>
                <w:color w:val="auto"/>
              </w:rPr>
            </w:pPr>
            <w:r>
              <w:rPr>
                <w:rFonts w:hint="eastAsia"/>
                <w:color w:val="auto"/>
              </w:rPr>
              <w:t>0.01L</w:t>
            </w:r>
          </w:p>
        </w:tc>
        <w:tc>
          <w:tcPr>
            <w:tcW w:w="765" w:type="pct"/>
            <w:vAlign w:val="center"/>
          </w:tcPr>
          <w:p w14:paraId="0970366E">
            <w:pPr>
              <w:pStyle w:val="751"/>
              <w:rPr>
                <w:color w:val="auto"/>
              </w:rPr>
            </w:pPr>
            <w:r>
              <w:rPr>
                <w:rFonts w:hint="eastAsia"/>
                <w:color w:val="auto"/>
              </w:rPr>
              <w:t>0.01L</w:t>
            </w:r>
          </w:p>
        </w:tc>
        <w:tc>
          <w:tcPr>
            <w:tcW w:w="760" w:type="pct"/>
            <w:vAlign w:val="center"/>
          </w:tcPr>
          <w:p w14:paraId="7859B880">
            <w:pPr>
              <w:pStyle w:val="751"/>
              <w:rPr>
                <w:color w:val="auto"/>
              </w:rPr>
            </w:pPr>
            <w:r>
              <w:rPr>
                <w:rFonts w:hint="eastAsia"/>
                <w:color w:val="auto"/>
              </w:rPr>
              <w:t>0.01L</w:t>
            </w:r>
          </w:p>
        </w:tc>
        <w:tc>
          <w:tcPr>
            <w:tcW w:w="440" w:type="pct"/>
            <w:vAlign w:val="center"/>
          </w:tcPr>
          <w:p w14:paraId="0E8D22E4">
            <w:pPr>
              <w:pStyle w:val="751"/>
              <w:rPr>
                <w:color w:val="auto"/>
              </w:rPr>
            </w:pPr>
            <w:r>
              <w:rPr>
                <w:color w:val="auto"/>
              </w:rPr>
              <w:t>达标</w:t>
            </w:r>
          </w:p>
        </w:tc>
      </w:tr>
      <w:tr w14:paraId="1052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328D797">
            <w:pPr>
              <w:pStyle w:val="751"/>
              <w:rPr>
                <w:color w:val="auto"/>
              </w:rPr>
            </w:pPr>
            <w:r>
              <w:rPr>
                <w:color w:val="auto"/>
              </w:rPr>
              <w:t>碘</w:t>
            </w:r>
            <w:r>
              <w:rPr>
                <w:rFonts w:hint="eastAsia"/>
                <w:color w:val="auto"/>
              </w:rPr>
              <w:t>化物</w:t>
            </w:r>
          </w:p>
        </w:tc>
        <w:tc>
          <w:tcPr>
            <w:tcW w:w="752" w:type="pct"/>
            <w:vAlign w:val="center"/>
          </w:tcPr>
          <w:p w14:paraId="2F3BB650">
            <w:pPr>
              <w:pStyle w:val="751"/>
              <w:rPr>
                <w:color w:val="auto"/>
              </w:rPr>
            </w:pPr>
            <w:r>
              <w:rPr>
                <w:rFonts w:hint="eastAsia"/>
                <w:color w:val="auto"/>
              </w:rPr>
              <w:t>mg/L</w:t>
            </w:r>
          </w:p>
        </w:tc>
        <w:tc>
          <w:tcPr>
            <w:tcW w:w="729" w:type="pct"/>
            <w:vAlign w:val="center"/>
          </w:tcPr>
          <w:p w14:paraId="031C5F33">
            <w:pPr>
              <w:pStyle w:val="751"/>
              <w:rPr>
                <w:color w:val="auto"/>
              </w:rPr>
            </w:pPr>
            <w:r>
              <w:rPr>
                <w:rFonts w:hint="eastAsia"/>
                <w:color w:val="auto"/>
              </w:rPr>
              <w:t>0.08</w:t>
            </w:r>
          </w:p>
        </w:tc>
        <w:tc>
          <w:tcPr>
            <w:tcW w:w="729" w:type="pct"/>
            <w:vAlign w:val="center"/>
          </w:tcPr>
          <w:p w14:paraId="1AAAE85B">
            <w:pPr>
              <w:pStyle w:val="751"/>
              <w:rPr>
                <w:color w:val="auto"/>
              </w:rPr>
            </w:pPr>
            <w:r>
              <w:rPr>
                <w:rFonts w:hint="eastAsia"/>
                <w:color w:val="auto"/>
              </w:rPr>
              <w:t>0.01L</w:t>
            </w:r>
          </w:p>
        </w:tc>
        <w:tc>
          <w:tcPr>
            <w:tcW w:w="765" w:type="pct"/>
            <w:vAlign w:val="center"/>
          </w:tcPr>
          <w:p w14:paraId="1FC64B5D">
            <w:pPr>
              <w:pStyle w:val="751"/>
              <w:rPr>
                <w:color w:val="auto"/>
              </w:rPr>
            </w:pPr>
            <w:r>
              <w:rPr>
                <w:rFonts w:hint="eastAsia"/>
                <w:color w:val="auto"/>
              </w:rPr>
              <w:t>0.01L</w:t>
            </w:r>
          </w:p>
        </w:tc>
        <w:tc>
          <w:tcPr>
            <w:tcW w:w="760" w:type="pct"/>
            <w:vAlign w:val="center"/>
          </w:tcPr>
          <w:p w14:paraId="30076202">
            <w:pPr>
              <w:pStyle w:val="751"/>
              <w:rPr>
                <w:color w:val="auto"/>
              </w:rPr>
            </w:pPr>
            <w:r>
              <w:rPr>
                <w:rFonts w:hint="eastAsia"/>
                <w:color w:val="auto"/>
              </w:rPr>
              <w:t>0.01L</w:t>
            </w:r>
          </w:p>
        </w:tc>
        <w:tc>
          <w:tcPr>
            <w:tcW w:w="440" w:type="pct"/>
            <w:vAlign w:val="center"/>
          </w:tcPr>
          <w:p w14:paraId="00B716F2">
            <w:pPr>
              <w:pStyle w:val="751"/>
              <w:rPr>
                <w:color w:val="auto"/>
              </w:rPr>
            </w:pPr>
            <w:r>
              <w:rPr>
                <w:color w:val="auto"/>
              </w:rPr>
              <w:t>达标</w:t>
            </w:r>
          </w:p>
        </w:tc>
      </w:tr>
      <w:tr w14:paraId="0E47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00361742">
            <w:pPr>
              <w:pStyle w:val="751"/>
              <w:rPr>
                <w:color w:val="auto"/>
              </w:rPr>
            </w:pPr>
            <w:r>
              <w:rPr>
                <w:color w:val="auto"/>
              </w:rPr>
              <w:t>硒</w:t>
            </w:r>
          </w:p>
        </w:tc>
        <w:tc>
          <w:tcPr>
            <w:tcW w:w="752" w:type="pct"/>
            <w:vAlign w:val="center"/>
          </w:tcPr>
          <w:p w14:paraId="21CC37B9">
            <w:pPr>
              <w:pStyle w:val="751"/>
              <w:rPr>
                <w:color w:val="auto"/>
              </w:rPr>
            </w:pPr>
            <w:r>
              <w:rPr>
                <w:rFonts w:hint="eastAsia"/>
                <w:color w:val="auto"/>
              </w:rPr>
              <w:t>mg/L</w:t>
            </w:r>
          </w:p>
        </w:tc>
        <w:tc>
          <w:tcPr>
            <w:tcW w:w="729" w:type="pct"/>
            <w:vAlign w:val="center"/>
          </w:tcPr>
          <w:p w14:paraId="65E786B3">
            <w:pPr>
              <w:pStyle w:val="751"/>
              <w:rPr>
                <w:color w:val="auto"/>
              </w:rPr>
            </w:pPr>
            <w:r>
              <w:rPr>
                <w:rFonts w:hint="eastAsia"/>
                <w:color w:val="auto"/>
              </w:rPr>
              <w:t>0.01</w:t>
            </w:r>
          </w:p>
        </w:tc>
        <w:tc>
          <w:tcPr>
            <w:tcW w:w="729" w:type="pct"/>
            <w:vAlign w:val="center"/>
          </w:tcPr>
          <w:p w14:paraId="1D42CBE3">
            <w:pPr>
              <w:pStyle w:val="751"/>
              <w:rPr>
                <w:color w:val="auto"/>
              </w:rPr>
            </w:pPr>
            <w:r>
              <w:rPr>
                <w:color w:val="auto"/>
              </w:rPr>
              <w:t>0.4×10</w:t>
            </w:r>
            <w:r>
              <w:rPr>
                <w:color w:val="auto"/>
                <w:vertAlign w:val="superscript"/>
              </w:rPr>
              <w:t>-3</w:t>
            </w:r>
            <w:r>
              <w:rPr>
                <w:rFonts w:hint="eastAsia"/>
                <w:color w:val="auto"/>
              </w:rPr>
              <w:t>L</w:t>
            </w:r>
          </w:p>
        </w:tc>
        <w:tc>
          <w:tcPr>
            <w:tcW w:w="765" w:type="pct"/>
            <w:vAlign w:val="center"/>
          </w:tcPr>
          <w:p w14:paraId="57EA4AC0">
            <w:pPr>
              <w:pStyle w:val="751"/>
              <w:rPr>
                <w:color w:val="auto"/>
              </w:rPr>
            </w:pPr>
            <w:r>
              <w:rPr>
                <w:color w:val="auto"/>
              </w:rPr>
              <w:t>0.4×10</w:t>
            </w:r>
            <w:r>
              <w:rPr>
                <w:color w:val="auto"/>
                <w:vertAlign w:val="superscript"/>
              </w:rPr>
              <w:t>-3</w:t>
            </w:r>
            <w:r>
              <w:rPr>
                <w:rFonts w:hint="eastAsia"/>
                <w:color w:val="auto"/>
              </w:rPr>
              <w:t>L</w:t>
            </w:r>
          </w:p>
        </w:tc>
        <w:tc>
          <w:tcPr>
            <w:tcW w:w="760" w:type="pct"/>
            <w:vAlign w:val="center"/>
          </w:tcPr>
          <w:p w14:paraId="69574185">
            <w:pPr>
              <w:pStyle w:val="751"/>
              <w:rPr>
                <w:color w:val="auto"/>
              </w:rPr>
            </w:pPr>
            <w:r>
              <w:rPr>
                <w:color w:val="auto"/>
              </w:rPr>
              <w:t>0.4×10</w:t>
            </w:r>
            <w:r>
              <w:rPr>
                <w:color w:val="auto"/>
                <w:vertAlign w:val="superscript"/>
              </w:rPr>
              <w:t>-3</w:t>
            </w:r>
            <w:r>
              <w:rPr>
                <w:rFonts w:hint="eastAsia"/>
                <w:color w:val="auto"/>
              </w:rPr>
              <w:t>L</w:t>
            </w:r>
          </w:p>
        </w:tc>
        <w:tc>
          <w:tcPr>
            <w:tcW w:w="440" w:type="pct"/>
            <w:vAlign w:val="center"/>
          </w:tcPr>
          <w:p w14:paraId="02C6021D">
            <w:pPr>
              <w:pStyle w:val="751"/>
              <w:rPr>
                <w:color w:val="auto"/>
              </w:rPr>
            </w:pPr>
            <w:r>
              <w:rPr>
                <w:color w:val="auto"/>
              </w:rPr>
              <w:t>达标</w:t>
            </w:r>
          </w:p>
        </w:tc>
      </w:tr>
      <w:tr w14:paraId="4CBF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F96CC01">
            <w:pPr>
              <w:pStyle w:val="751"/>
              <w:rPr>
                <w:color w:val="auto"/>
              </w:rPr>
            </w:pPr>
            <w:r>
              <w:rPr>
                <w:rFonts w:hint="eastAsia"/>
                <w:bCs/>
                <w:color w:val="auto"/>
                <w:kern w:val="2"/>
              </w:rPr>
              <w:t>铝</w:t>
            </w:r>
          </w:p>
        </w:tc>
        <w:tc>
          <w:tcPr>
            <w:tcW w:w="752" w:type="pct"/>
            <w:vAlign w:val="center"/>
          </w:tcPr>
          <w:p w14:paraId="60CDD379">
            <w:pPr>
              <w:pStyle w:val="751"/>
              <w:rPr>
                <w:color w:val="auto"/>
              </w:rPr>
            </w:pPr>
            <w:r>
              <w:rPr>
                <w:rFonts w:hint="eastAsia"/>
                <w:color w:val="auto"/>
              </w:rPr>
              <w:t>mg/L</w:t>
            </w:r>
          </w:p>
        </w:tc>
        <w:tc>
          <w:tcPr>
            <w:tcW w:w="729" w:type="pct"/>
            <w:vAlign w:val="center"/>
          </w:tcPr>
          <w:p w14:paraId="6D5A1DDD">
            <w:pPr>
              <w:pStyle w:val="751"/>
              <w:rPr>
                <w:color w:val="auto"/>
              </w:rPr>
            </w:pPr>
            <w:r>
              <w:rPr>
                <w:rFonts w:hint="eastAsia"/>
                <w:color w:val="auto"/>
              </w:rPr>
              <w:t>0.20</w:t>
            </w:r>
          </w:p>
        </w:tc>
        <w:tc>
          <w:tcPr>
            <w:tcW w:w="729" w:type="pct"/>
            <w:vAlign w:val="center"/>
          </w:tcPr>
          <w:p w14:paraId="1475503C">
            <w:pPr>
              <w:pStyle w:val="751"/>
              <w:rPr>
                <w:color w:val="auto"/>
              </w:rPr>
            </w:pPr>
            <w:r>
              <w:rPr>
                <w:rFonts w:hint="eastAsia"/>
                <w:color w:val="auto"/>
              </w:rPr>
              <w:t>0.07L</w:t>
            </w:r>
          </w:p>
        </w:tc>
        <w:tc>
          <w:tcPr>
            <w:tcW w:w="765" w:type="pct"/>
            <w:vAlign w:val="center"/>
          </w:tcPr>
          <w:p w14:paraId="09C4EA0E">
            <w:pPr>
              <w:pStyle w:val="751"/>
              <w:rPr>
                <w:color w:val="auto"/>
              </w:rPr>
            </w:pPr>
            <w:r>
              <w:rPr>
                <w:rFonts w:hint="eastAsia"/>
                <w:color w:val="auto"/>
              </w:rPr>
              <w:t>0.07L</w:t>
            </w:r>
          </w:p>
        </w:tc>
        <w:tc>
          <w:tcPr>
            <w:tcW w:w="760" w:type="pct"/>
            <w:vAlign w:val="center"/>
          </w:tcPr>
          <w:p w14:paraId="678A3D40">
            <w:pPr>
              <w:pStyle w:val="751"/>
              <w:rPr>
                <w:color w:val="auto"/>
              </w:rPr>
            </w:pPr>
            <w:r>
              <w:rPr>
                <w:rFonts w:hint="eastAsia"/>
                <w:color w:val="auto"/>
              </w:rPr>
              <w:t>0.07L</w:t>
            </w:r>
          </w:p>
        </w:tc>
        <w:tc>
          <w:tcPr>
            <w:tcW w:w="440" w:type="pct"/>
            <w:vAlign w:val="center"/>
          </w:tcPr>
          <w:p w14:paraId="22EB7B0D">
            <w:pPr>
              <w:pStyle w:val="751"/>
              <w:rPr>
                <w:color w:val="auto"/>
              </w:rPr>
            </w:pPr>
            <w:r>
              <w:rPr>
                <w:color w:val="auto"/>
              </w:rPr>
              <w:t>达标</w:t>
            </w:r>
          </w:p>
        </w:tc>
      </w:tr>
      <w:tr w14:paraId="433B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438ABA59">
            <w:pPr>
              <w:pStyle w:val="751"/>
              <w:rPr>
                <w:color w:val="auto"/>
              </w:rPr>
            </w:pPr>
            <w:r>
              <w:rPr>
                <w:color w:val="auto"/>
              </w:rPr>
              <w:t>苯</w:t>
            </w:r>
          </w:p>
        </w:tc>
        <w:tc>
          <w:tcPr>
            <w:tcW w:w="752" w:type="pct"/>
            <w:vAlign w:val="center"/>
          </w:tcPr>
          <w:p w14:paraId="764458FD">
            <w:pPr>
              <w:pStyle w:val="751"/>
              <w:rPr>
                <w:color w:val="auto"/>
              </w:rPr>
            </w:pPr>
            <w:r>
              <w:rPr>
                <w:rFonts w:hint="eastAsia"/>
                <w:color w:val="auto"/>
              </w:rPr>
              <w:t>mg/L</w:t>
            </w:r>
          </w:p>
        </w:tc>
        <w:tc>
          <w:tcPr>
            <w:tcW w:w="729" w:type="pct"/>
            <w:vAlign w:val="center"/>
          </w:tcPr>
          <w:p w14:paraId="2A650B82">
            <w:pPr>
              <w:pStyle w:val="751"/>
              <w:rPr>
                <w:color w:val="auto"/>
              </w:rPr>
            </w:pPr>
            <w:r>
              <w:rPr>
                <w:rFonts w:hint="eastAsia"/>
                <w:color w:val="auto"/>
              </w:rPr>
              <w:t>10.0</w:t>
            </w:r>
          </w:p>
        </w:tc>
        <w:tc>
          <w:tcPr>
            <w:tcW w:w="729" w:type="pct"/>
            <w:vAlign w:val="center"/>
          </w:tcPr>
          <w:p w14:paraId="769909AB">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765" w:type="pct"/>
            <w:vAlign w:val="center"/>
          </w:tcPr>
          <w:p w14:paraId="49FAA6E3">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760" w:type="pct"/>
            <w:vAlign w:val="center"/>
          </w:tcPr>
          <w:p w14:paraId="1A5ACDE8">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440" w:type="pct"/>
            <w:vAlign w:val="center"/>
          </w:tcPr>
          <w:p w14:paraId="4CB6D3A9">
            <w:pPr>
              <w:pStyle w:val="751"/>
              <w:rPr>
                <w:color w:val="auto"/>
              </w:rPr>
            </w:pPr>
            <w:r>
              <w:rPr>
                <w:color w:val="auto"/>
              </w:rPr>
              <w:t>达标</w:t>
            </w:r>
          </w:p>
        </w:tc>
      </w:tr>
      <w:tr w14:paraId="1439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2847E02C">
            <w:pPr>
              <w:pStyle w:val="751"/>
              <w:rPr>
                <w:color w:val="auto"/>
              </w:rPr>
            </w:pPr>
            <w:r>
              <w:rPr>
                <w:color w:val="auto"/>
              </w:rPr>
              <w:t>甲苯</w:t>
            </w:r>
          </w:p>
        </w:tc>
        <w:tc>
          <w:tcPr>
            <w:tcW w:w="752" w:type="pct"/>
            <w:vAlign w:val="center"/>
          </w:tcPr>
          <w:p w14:paraId="609443CA">
            <w:pPr>
              <w:pStyle w:val="751"/>
              <w:rPr>
                <w:color w:val="auto"/>
              </w:rPr>
            </w:pPr>
            <w:r>
              <w:rPr>
                <w:rFonts w:hint="eastAsia"/>
                <w:color w:val="auto"/>
              </w:rPr>
              <w:t>mg/L</w:t>
            </w:r>
          </w:p>
        </w:tc>
        <w:tc>
          <w:tcPr>
            <w:tcW w:w="729" w:type="pct"/>
            <w:vAlign w:val="center"/>
          </w:tcPr>
          <w:p w14:paraId="35EB67DE">
            <w:pPr>
              <w:pStyle w:val="751"/>
              <w:rPr>
                <w:color w:val="auto"/>
              </w:rPr>
            </w:pPr>
            <w:r>
              <w:rPr>
                <w:rFonts w:hint="eastAsia"/>
                <w:color w:val="auto"/>
              </w:rPr>
              <w:t>700</w:t>
            </w:r>
          </w:p>
        </w:tc>
        <w:tc>
          <w:tcPr>
            <w:tcW w:w="729" w:type="pct"/>
            <w:vAlign w:val="center"/>
          </w:tcPr>
          <w:p w14:paraId="29AB1B3A">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765" w:type="pct"/>
            <w:vAlign w:val="center"/>
          </w:tcPr>
          <w:p w14:paraId="79407FDA">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760" w:type="pct"/>
            <w:vAlign w:val="center"/>
          </w:tcPr>
          <w:p w14:paraId="20683BC7">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440" w:type="pct"/>
            <w:vAlign w:val="center"/>
          </w:tcPr>
          <w:p w14:paraId="35847859">
            <w:pPr>
              <w:pStyle w:val="751"/>
              <w:rPr>
                <w:color w:val="auto"/>
              </w:rPr>
            </w:pPr>
            <w:r>
              <w:rPr>
                <w:color w:val="auto"/>
              </w:rPr>
              <w:t>达标</w:t>
            </w:r>
          </w:p>
        </w:tc>
      </w:tr>
      <w:tr w14:paraId="16EE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54DFEA14">
            <w:pPr>
              <w:pStyle w:val="751"/>
              <w:rPr>
                <w:color w:val="auto"/>
              </w:rPr>
            </w:pPr>
            <w:r>
              <w:rPr>
                <w:rFonts w:hint="eastAsia"/>
                <w:color w:val="auto"/>
                <w:kern w:val="2"/>
              </w:rPr>
              <w:t>三氯甲烷</w:t>
            </w:r>
          </w:p>
        </w:tc>
        <w:tc>
          <w:tcPr>
            <w:tcW w:w="752" w:type="pct"/>
            <w:vAlign w:val="center"/>
          </w:tcPr>
          <w:p w14:paraId="53673D43">
            <w:pPr>
              <w:pStyle w:val="751"/>
              <w:rPr>
                <w:color w:val="auto"/>
              </w:rPr>
            </w:pPr>
            <w:r>
              <w:rPr>
                <w:rFonts w:hint="eastAsia"/>
                <w:color w:val="auto"/>
              </w:rPr>
              <w:t>mg/L</w:t>
            </w:r>
          </w:p>
        </w:tc>
        <w:tc>
          <w:tcPr>
            <w:tcW w:w="729" w:type="pct"/>
            <w:vAlign w:val="center"/>
          </w:tcPr>
          <w:p w14:paraId="38B44D00">
            <w:pPr>
              <w:pStyle w:val="751"/>
              <w:rPr>
                <w:color w:val="auto"/>
              </w:rPr>
            </w:pPr>
            <w:r>
              <w:rPr>
                <w:rFonts w:hint="eastAsia"/>
                <w:color w:val="auto"/>
              </w:rPr>
              <w:t>60</w:t>
            </w:r>
          </w:p>
        </w:tc>
        <w:tc>
          <w:tcPr>
            <w:tcW w:w="729" w:type="pct"/>
            <w:vAlign w:val="center"/>
          </w:tcPr>
          <w:p w14:paraId="54751F03">
            <w:pPr>
              <w:pStyle w:val="751"/>
              <w:rPr>
                <w:color w:val="auto"/>
              </w:rPr>
            </w:pPr>
            <w:r>
              <w:rPr>
                <w:rFonts w:hint="eastAsia"/>
                <w:color w:val="auto"/>
                <w:kern w:val="2"/>
              </w:rPr>
              <w:t>0.02</w:t>
            </w:r>
            <w:r>
              <w:rPr>
                <w:color w:val="auto"/>
              </w:rPr>
              <w:t>×10</w:t>
            </w:r>
            <w:r>
              <w:rPr>
                <w:color w:val="auto"/>
                <w:vertAlign w:val="superscript"/>
              </w:rPr>
              <w:t>-3</w:t>
            </w:r>
            <w:r>
              <w:rPr>
                <w:rFonts w:hint="eastAsia"/>
                <w:color w:val="auto"/>
              </w:rPr>
              <w:t>L</w:t>
            </w:r>
          </w:p>
        </w:tc>
        <w:tc>
          <w:tcPr>
            <w:tcW w:w="765" w:type="pct"/>
            <w:vAlign w:val="center"/>
          </w:tcPr>
          <w:p w14:paraId="677D1360">
            <w:pPr>
              <w:pStyle w:val="751"/>
              <w:rPr>
                <w:color w:val="auto"/>
              </w:rPr>
            </w:pPr>
            <w:r>
              <w:rPr>
                <w:rFonts w:hint="eastAsia"/>
                <w:color w:val="auto"/>
                <w:kern w:val="2"/>
              </w:rPr>
              <w:t>0.02</w:t>
            </w:r>
            <w:r>
              <w:rPr>
                <w:color w:val="auto"/>
              </w:rPr>
              <w:t>×10</w:t>
            </w:r>
            <w:r>
              <w:rPr>
                <w:color w:val="auto"/>
                <w:vertAlign w:val="superscript"/>
              </w:rPr>
              <w:t>-3</w:t>
            </w:r>
            <w:r>
              <w:rPr>
                <w:rFonts w:hint="eastAsia"/>
                <w:color w:val="auto"/>
              </w:rPr>
              <w:t>L</w:t>
            </w:r>
          </w:p>
        </w:tc>
        <w:tc>
          <w:tcPr>
            <w:tcW w:w="760" w:type="pct"/>
            <w:vAlign w:val="center"/>
          </w:tcPr>
          <w:p w14:paraId="408ADB96">
            <w:pPr>
              <w:pStyle w:val="751"/>
              <w:rPr>
                <w:color w:val="auto"/>
              </w:rPr>
            </w:pPr>
            <w:r>
              <w:rPr>
                <w:rFonts w:hint="eastAsia"/>
                <w:color w:val="auto"/>
                <w:kern w:val="2"/>
              </w:rPr>
              <w:t>0.02</w:t>
            </w:r>
            <w:r>
              <w:rPr>
                <w:color w:val="auto"/>
              </w:rPr>
              <w:t>×10</w:t>
            </w:r>
            <w:r>
              <w:rPr>
                <w:color w:val="auto"/>
                <w:vertAlign w:val="superscript"/>
              </w:rPr>
              <w:t>-3</w:t>
            </w:r>
            <w:r>
              <w:rPr>
                <w:rFonts w:hint="eastAsia"/>
                <w:color w:val="auto"/>
              </w:rPr>
              <w:t>L</w:t>
            </w:r>
          </w:p>
        </w:tc>
        <w:tc>
          <w:tcPr>
            <w:tcW w:w="440" w:type="pct"/>
            <w:vAlign w:val="center"/>
          </w:tcPr>
          <w:p w14:paraId="5AF33E4A">
            <w:pPr>
              <w:pStyle w:val="751"/>
              <w:rPr>
                <w:color w:val="auto"/>
              </w:rPr>
            </w:pPr>
            <w:r>
              <w:rPr>
                <w:color w:val="auto"/>
              </w:rPr>
              <w:t>达标</w:t>
            </w:r>
          </w:p>
        </w:tc>
      </w:tr>
      <w:tr w14:paraId="1339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17684B0A">
            <w:pPr>
              <w:pStyle w:val="751"/>
              <w:rPr>
                <w:color w:val="auto"/>
              </w:rPr>
            </w:pPr>
            <w:r>
              <w:rPr>
                <w:rFonts w:hint="eastAsia"/>
                <w:color w:val="auto"/>
                <w:spacing w:val="-11"/>
              </w:rPr>
              <w:t>四氯化碳</w:t>
            </w:r>
          </w:p>
        </w:tc>
        <w:tc>
          <w:tcPr>
            <w:tcW w:w="752" w:type="pct"/>
            <w:vAlign w:val="center"/>
          </w:tcPr>
          <w:p w14:paraId="580B799B">
            <w:pPr>
              <w:pStyle w:val="751"/>
              <w:rPr>
                <w:color w:val="auto"/>
              </w:rPr>
            </w:pPr>
            <w:r>
              <w:rPr>
                <w:rFonts w:hint="eastAsia"/>
                <w:color w:val="auto"/>
              </w:rPr>
              <w:t>mg/L</w:t>
            </w:r>
          </w:p>
        </w:tc>
        <w:tc>
          <w:tcPr>
            <w:tcW w:w="729" w:type="pct"/>
            <w:vAlign w:val="center"/>
          </w:tcPr>
          <w:p w14:paraId="36CC1CA3">
            <w:pPr>
              <w:pStyle w:val="751"/>
              <w:rPr>
                <w:color w:val="auto"/>
              </w:rPr>
            </w:pPr>
            <w:r>
              <w:rPr>
                <w:rFonts w:hint="eastAsia"/>
                <w:color w:val="auto"/>
              </w:rPr>
              <w:t>2.0</w:t>
            </w:r>
          </w:p>
        </w:tc>
        <w:tc>
          <w:tcPr>
            <w:tcW w:w="729" w:type="pct"/>
            <w:vAlign w:val="center"/>
          </w:tcPr>
          <w:p w14:paraId="6318CA8E">
            <w:pPr>
              <w:pStyle w:val="751"/>
              <w:rPr>
                <w:color w:val="auto"/>
              </w:rPr>
            </w:pPr>
            <w:r>
              <w:rPr>
                <w:rFonts w:hint="eastAsia"/>
                <w:color w:val="auto"/>
                <w:kern w:val="2"/>
              </w:rPr>
              <w:t>0.03</w:t>
            </w:r>
            <w:r>
              <w:rPr>
                <w:color w:val="auto"/>
              </w:rPr>
              <w:t>×10</w:t>
            </w:r>
            <w:r>
              <w:rPr>
                <w:color w:val="auto"/>
                <w:vertAlign w:val="superscript"/>
              </w:rPr>
              <w:t>-3</w:t>
            </w:r>
            <w:r>
              <w:rPr>
                <w:rFonts w:hint="eastAsia"/>
                <w:color w:val="auto"/>
              </w:rPr>
              <w:t>L</w:t>
            </w:r>
          </w:p>
        </w:tc>
        <w:tc>
          <w:tcPr>
            <w:tcW w:w="765" w:type="pct"/>
            <w:vAlign w:val="center"/>
          </w:tcPr>
          <w:p w14:paraId="7BE8F8D3">
            <w:pPr>
              <w:pStyle w:val="751"/>
              <w:rPr>
                <w:color w:val="auto"/>
              </w:rPr>
            </w:pPr>
            <w:r>
              <w:rPr>
                <w:rFonts w:hint="eastAsia"/>
                <w:color w:val="auto"/>
                <w:kern w:val="2"/>
              </w:rPr>
              <w:t>0.03</w:t>
            </w:r>
            <w:r>
              <w:rPr>
                <w:color w:val="auto"/>
              </w:rPr>
              <w:t>×10</w:t>
            </w:r>
            <w:r>
              <w:rPr>
                <w:color w:val="auto"/>
                <w:vertAlign w:val="superscript"/>
              </w:rPr>
              <w:t>-3</w:t>
            </w:r>
            <w:r>
              <w:rPr>
                <w:rFonts w:hint="eastAsia"/>
                <w:color w:val="auto"/>
              </w:rPr>
              <w:t>L</w:t>
            </w:r>
          </w:p>
        </w:tc>
        <w:tc>
          <w:tcPr>
            <w:tcW w:w="760" w:type="pct"/>
            <w:vAlign w:val="center"/>
          </w:tcPr>
          <w:p w14:paraId="4B50E01C">
            <w:pPr>
              <w:pStyle w:val="751"/>
              <w:rPr>
                <w:color w:val="auto"/>
              </w:rPr>
            </w:pPr>
            <w:r>
              <w:rPr>
                <w:rFonts w:hint="eastAsia"/>
                <w:color w:val="auto"/>
                <w:kern w:val="2"/>
              </w:rPr>
              <w:t>0.03</w:t>
            </w:r>
            <w:r>
              <w:rPr>
                <w:color w:val="auto"/>
              </w:rPr>
              <w:t>×10</w:t>
            </w:r>
            <w:r>
              <w:rPr>
                <w:color w:val="auto"/>
                <w:vertAlign w:val="superscript"/>
              </w:rPr>
              <w:t>-3</w:t>
            </w:r>
            <w:r>
              <w:rPr>
                <w:rFonts w:hint="eastAsia"/>
                <w:color w:val="auto"/>
              </w:rPr>
              <w:t>L</w:t>
            </w:r>
          </w:p>
        </w:tc>
        <w:tc>
          <w:tcPr>
            <w:tcW w:w="440" w:type="pct"/>
            <w:vAlign w:val="center"/>
          </w:tcPr>
          <w:p w14:paraId="10EC58AB">
            <w:pPr>
              <w:pStyle w:val="751"/>
              <w:rPr>
                <w:color w:val="auto"/>
              </w:rPr>
            </w:pPr>
            <w:r>
              <w:rPr>
                <w:color w:val="auto"/>
              </w:rPr>
              <w:t>达标</w:t>
            </w:r>
          </w:p>
        </w:tc>
      </w:tr>
      <w:tr w14:paraId="3C7D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7DED4929">
            <w:pPr>
              <w:pStyle w:val="751"/>
              <w:rPr>
                <w:color w:val="auto"/>
              </w:rPr>
            </w:pPr>
            <w:r>
              <w:rPr>
                <w:rFonts w:hint="eastAsia"/>
                <w:color w:val="auto"/>
                <w:spacing w:val="-11"/>
              </w:rPr>
              <w:t>铜</w:t>
            </w:r>
          </w:p>
        </w:tc>
        <w:tc>
          <w:tcPr>
            <w:tcW w:w="752" w:type="pct"/>
            <w:vAlign w:val="center"/>
          </w:tcPr>
          <w:p w14:paraId="41121EAD">
            <w:pPr>
              <w:pStyle w:val="751"/>
              <w:rPr>
                <w:color w:val="auto"/>
              </w:rPr>
            </w:pPr>
            <w:r>
              <w:rPr>
                <w:rFonts w:hint="eastAsia"/>
                <w:color w:val="auto"/>
              </w:rPr>
              <w:t>mg/L</w:t>
            </w:r>
          </w:p>
        </w:tc>
        <w:tc>
          <w:tcPr>
            <w:tcW w:w="729" w:type="pct"/>
            <w:vAlign w:val="center"/>
          </w:tcPr>
          <w:p w14:paraId="44603F12">
            <w:pPr>
              <w:pStyle w:val="751"/>
              <w:rPr>
                <w:color w:val="auto"/>
              </w:rPr>
            </w:pPr>
            <w:r>
              <w:rPr>
                <w:rFonts w:hint="eastAsia"/>
                <w:color w:val="auto"/>
              </w:rPr>
              <w:t>1.00</w:t>
            </w:r>
          </w:p>
        </w:tc>
        <w:tc>
          <w:tcPr>
            <w:tcW w:w="729" w:type="pct"/>
            <w:vAlign w:val="center"/>
          </w:tcPr>
          <w:p w14:paraId="0AFBEF0C">
            <w:pPr>
              <w:pStyle w:val="751"/>
              <w:rPr>
                <w:color w:val="auto"/>
              </w:rPr>
            </w:pPr>
            <w:r>
              <w:rPr>
                <w:rFonts w:hint="eastAsia"/>
                <w:bCs/>
                <w:color w:val="auto"/>
              </w:rPr>
              <w:t>0.006L</w:t>
            </w:r>
          </w:p>
        </w:tc>
        <w:tc>
          <w:tcPr>
            <w:tcW w:w="765" w:type="pct"/>
            <w:vAlign w:val="center"/>
          </w:tcPr>
          <w:p w14:paraId="1D8E53B6">
            <w:pPr>
              <w:pStyle w:val="751"/>
              <w:rPr>
                <w:color w:val="auto"/>
              </w:rPr>
            </w:pPr>
            <w:r>
              <w:rPr>
                <w:rFonts w:hint="eastAsia"/>
                <w:bCs/>
                <w:color w:val="auto"/>
              </w:rPr>
              <w:t>0.006L</w:t>
            </w:r>
          </w:p>
        </w:tc>
        <w:tc>
          <w:tcPr>
            <w:tcW w:w="760" w:type="pct"/>
            <w:vAlign w:val="center"/>
          </w:tcPr>
          <w:p w14:paraId="689903F3">
            <w:pPr>
              <w:pStyle w:val="751"/>
              <w:rPr>
                <w:color w:val="auto"/>
              </w:rPr>
            </w:pPr>
            <w:r>
              <w:rPr>
                <w:rFonts w:hint="eastAsia"/>
                <w:bCs/>
                <w:color w:val="auto"/>
              </w:rPr>
              <w:t>0.006L</w:t>
            </w:r>
          </w:p>
        </w:tc>
        <w:tc>
          <w:tcPr>
            <w:tcW w:w="440" w:type="pct"/>
            <w:vAlign w:val="center"/>
          </w:tcPr>
          <w:p w14:paraId="27643A66">
            <w:pPr>
              <w:pStyle w:val="751"/>
              <w:rPr>
                <w:color w:val="auto"/>
              </w:rPr>
            </w:pPr>
            <w:r>
              <w:rPr>
                <w:color w:val="auto"/>
              </w:rPr>
              <w:t>达标</w:t>
            </w:r>
          </w:p>
        </w:tc>
      </w:tr>
      <w:tr w14:paraId="380A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pct"/>
            <w:vAlign w:val="center"/>
          </w:tcPr>
          <w:p w14:paraId="1179586C">
            <w:pPr>
              <w:pStyle w:val="751"/>
              <w:rPr>
                <w:color w:val="auto"/>
              </w:rPr>
            </w:pPr>
            <w:r>
              <w:rPr>
                <w:rFonts w:hint="eastAsia"/>
                <w:color w:val="auto"/>
                <w:spacing w:val="-11"/>
              </w:rPr>
              <w:t>锌</w:t>
            </w:r>
          </w:p>
        </w:tc>
        <w:tc>
          <w:tcPr>
            <w:tcW w:w="752" w:type="pct"/>
            <w:vAlign w:val="center"/>
          </w:tcPr>
          <w:p w14:paraId="45C62802">
            <w:pPr>
              <w:pStyle w:val="751"/>
              <w:rPr>
                <w:color w:val="auto"/>
              </w:rPr>
            </w:pPr>
            <w:r>
              <w:rPr>
                <w:rFonts w:hint="eastAsia"/>
                <w:color w:val="auto"/>
              </w:rPr>
              <w:t>mg/L</w:t>
            </w:r>
          </w:p>
        </w:tc>
        <w:tc>
          <w:tcPr>
            <w:tcW w:w="729" w:type="pct"/>
            <w:vAlign w:val="center"/>
          </w:tcPr>
          <w:p w14:paraId="6F02E752">
            <w:pPr>
              <w:pStyle w:val="751"/>
              <w:rPr>
                <w:color w:val="auto"/>
              </w:rPr>
            </w:pPr>
            <w:r>
              <w:rPr>
                <w:rFonts w:hint="eastAsia"/>
                <w:color w:val="auto"/>
              </w:rPr>
              <w:t>1.00</w:t>
            </w:r>
          </w:p>
        </w:tc>
        <w:tc>
          <w:tcPr>
            <w:tcW w:w="729" w:type="pct"/>
            <w:vAlign w:val="center"/>
          </w:tcPr>
          <w:p w14:paraId="7EE497CD">
            <w:pPr>
              <w:pStyle w:val="751"/>
              <w:rPr>
                <w:color w:val="auto"/>
              </w:rPr>
            </w:pPr>
            <w:r>
              <w:rPr>
                <w:rFonts w:hint="eastAsia"/>
                <w:bCs/>
                <w:color w:val="auto"/>
              </w:rPr>
              <w:t>0.004L</w:t>
            </w:r>
          </w:p>
        </w:tc>
        <w:tc>
          <w:tcPr>
            <w:tcW w:w="765" w:type="pct"/>
            <w:vAlign w:val="center"/>
          </w:tcPr>
          <w:p w14:paraId="0559747C">
            <w:pPr>
              <w:pStyle w:val="751"/>
              <w:rPr>
                <w:color w:val="auto"/>
              </w:rPr>
            </w:pPr>
            <w:r>
              <w:rPr>
                <w:rFonts w:hint="eastAsia"/>
                <w:bCs/>
                <w:color w:val="auto"/>
              </w:rPr>
              <w:t>0.004L</w:t>
            </w:r>
          </w:p>
        </w:tc>
        <w:tc>
          <w:tcPr>
            <w:tcW w:w="760" w:type="pct"/>
            <w:vAlign w:val="center"/>
          </w:tcPr>
          <w:p w14:paraId="68092FB6">
            <w:pPr>
              <w:pStyle w:val="751"/>
              <w:rPr>
                <w:color w:val="auto"/>
              </w:rPr>
            </w:pPr>
            <w:r>
              <w:rPr>
                <w:rFonts w:hint="eastAsia"/>
                <w:bCs/>
                <w:color w:val="auto"/>
              </w:rPr>
              <w:t>0.004L</w:t>
            </w:r>
          </w:p>
        </w:tc>
        <w:tc>
          <w:tcPr>
            <w:tcW w:w="440" w:type="pct"/>
            <w:vAlign w:val="center"/>
          </w:tcPr>
          <w:p w14:paraId="21042533">
            <w:pPr>
              <w:pStyle w:val="751"/>
              <w:rPr>
                <w:color w:val="auto"/>
              </w:rPr>
            </w:pPr>
            <w:r>
              <w:rPr>
                <w:color w:val="auto"/>
              </w:rPr>
              <w:t>达标</w:t>
            </w:r>
          </w:p>
        </w:tc>
      </w:tr>
    </w:tbl>
    <w:p w14:paraId="5FC2EF6F">
      <w:pPr>
        <w:pStyle w:val="11"/>
      </w:pPr>
      <w:bookmarkStart w:id="297" w:name="_Toc326843508"/>
      <w:bookmarkEnd w:id="297"/>
      <w:bookmarkStart w:id="298" w:name="_Toc166572295"/>
      <w:bookmarkStart w:id="299" w:name="_Toc346715587"/>
      <w:r>
        <w:t>4.3.2地下水环境质量现状评价</w:t>
      </w:r>
      <w:bookmarkEnd w:id="298"/>
    </w:p>
    <w:p w14:paraId="3A6E8B6F">
      <w:pPr>
        <w:pStyle w:val="104"/>
      </w:pPr>
      <w:r>
        <w:t>1、评</w:t>
      </w:r>
      <w:r>
        <w:rPr>
          <w:rFonts w:hint="eastAsia"/>
        </w:rPr>
        <w:t>价</w:t>
      </w:r>
      <w:r>
        <w:t>标准</w:t>
      </w:r>
    </w:p>
    <w:p w14:paraId="4ED60E13">
      <w:pPr>
        <w:pStyle w:val="104"/>
      </w:pPr>
      <w:r>
        <w:t>本次评估地下水执行《地下水质量标准》(</w:t>
      </w:r>
      <w:r>
        <w:rPr>
          <w:snapToGrid w:val="0"/>
          <w:kern w:val="0"/>
        </w:rPr>
        <w:t>GB/T14848-2017</w:t>
      </w:r>
      <w:r>
        <w:t>)中的Ⅲ类标准。</w:t>
      </w:r>
    </w:p>
    <w:bookmarkEnd w:id="299"/>
    <w:p w14:paraId="6E0B6FC2">
      <w:pPr>
        <w:pStyle w:val="104"/>
      </w:pPr>
      <w:r>
        <w:t>2、评价方法</w:t>
      </w:r>
    </w:p>
    <w:p w14:paraId="6D1F71F2">
      <w:pPr>
        <w:pStyle w:val="104"/>
        <w:rPr>
          <w:szCs w:val="18"/>
        </w:rPr>
      </w:pPr>
      <w:r>
        <w:rPr>
          <w:szCs w:val="18"/>
        </w:rPr>
        <w:t>对评价标准为定值的水质因子，其标准指数计算方法见下式：</w:t>
      </w:r>
    </w:p>
    <w:p w14:paraId="5A9975D7">
      <w:pPr>
        <w:pStyle w:val="104"/>
        <w:rPr>
          <w:szCs w:val="18"/>
        </w:rPr>
      </w:pPr>
      <w:r>
        <w:rPr>
          <w:szCs w:val="18"/>
        </w:rPr>
        <w:object>
          <v:shape id="_x0000_i1027" o:spt="75" type="#_x0000_t75" style="height:39pt;width:82pt;" o:ole="t" filled="f" o:preferrelative="t" stroked="f" coordsize="21600,21600">
            <v:path/>
            <v:fill on="f" focussize="0,0"/>
            <v:stroke on="f" joinstyle="miter"/>
            <v:imagedata r:id="rId48" o:title=""/>
            <o:lock v:ext="edit" aspectratio="t"/>
            <w10:wrap type="none"/>
            <w10:anchorlock/>
          </v:shape>
          <o:OLEObject Type="Embed" ProgID="Equation.3" ShapeID="_x0000_i1027" DrawAspect="Content" ObjectID="_1468075727" r:id="rId47">
            <o:LockedField>false</o:LockedField>
          </o:OLEObject>
        </w:object>
      </w:r>
    </w:p>
    <w:p w14:paraId="04B278ED">
      <w:pPr>
        <w:pStyle w:val="104"/>
        <w:rPr>
          <w:szCs w:val="18"/>
        </w:rPr>
      </w:pPr>
      <w:r>
        <w:rPr>
          <w:szCs w:val="18"/>
        </w:rPr>
        <w:t>式中：Pi为第i个水质因子的标准指数，无量纲；</w:t>
      </w:r>
    </w:p>
    <w:p w14:paraId="27CC1EF1">
      <w:pPr>
        <w:pStyle w:val="104"/>
        <w:rPr>
          <w:szCs w:val="18"/>
        </w:rPr>
      </w:pPr>
      <w:r>
        <w:rPr>
          <w:szCs w:val="18"/>
        </w:rPr>
        <w:t>Ci为第i个水质因子的监测浓度值，mg/L；</w:t>
      </w:r>
    </w:p>
    <w:p w14:paraId="71EECCBD">
      <w:pPr>
        <w:pStyle w:val="104"/>
        <w:rPr>
          <w:szCs w:val="18"/>
        </w:rPr>
      </w:pPr>
      <w:r>
        <w:rPr>
          <w:szCs w:val="18"/>
        </w:rPr>
        <w:t>Csi为第i个水质因子的标准浓度值，mg/L。</w:t>
      </w:r>
    </w:p>
    <w:p w14:paraId="4A8A1137">
      <w:pPr>
        <w:pStyle w:val="104"/>
        <w:rPr>
          <w:szCs w:val="18"/>
        </w:rPr>
      </w:pPr>
      <w:r>
        <w:rPr>
          <w:szCs w:val="18"/>
        </w:rPr>
        <w:t>（2）对于评价标准为区间值的水质因子（如PH值），其标准指数计算方法见下式：</w:t>
      </w:r>
    </w:p>
    <w:p w14:paraId="5CFA1E92">
      <w:pPr>
        <w:pStyle w:val="748"/>
      </w:pPr>
      <m:oMath>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pH</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7.0−pH</m:t>
            </m:r>
            <m:ctrlPr>
              <w:rPr>
                <w:rFonts w:ascii="Cambria Math" w:hAnsi="Cambria Math"/>
                <w:i/>
              </w:rPr>
            </m:ctrlPr>
          </m:num>
          <m:den>
            <m:r>
              <m:rPr/>
              <w:rPr>
                <w:rFonts w:ascii="Cambria Math" w:hAnsi="Cambria Math"/>
              </w:rPr>
              <m:t>7.0−</m:t>
            </m:r>
            <m:sSub>
              <m:sSubPr>
                <m:ctrlPr>
                  <w:rPr>
                    <w:rFonts w:ascii="Cambria Math" w:hAnsi="Cambria Math"/>
                    <w:i/>
                  </w:rPr>
                </m:ctrlPr>
              </m:sSubPr>
              <m:e>
                <m:r>
                  <m:rPr/>
                  <w:rPr>
                    <w:rFonts w:ascii="Cambria Math" w:hAnsi="Cambria Math"/>
                  </w:rPr>
                  <m:t>pH</m:t>
                </m:r>
                <m:ctrlPr>
                  <w:rPr>
                    <w:rFonts w:ascii="Cambria Math" w:hAnsi="Cambria Math"/>
                    <w:i/>
                  </w:rPr>
                </m:ctrlPr>
              </m:e>
              <m:sub>
                <m:r>
                  <m:rPr/>
                  <w:rPr>
                    <w:rFonts w:ascii="Cambria Math" w:hAnsi="Cambria Math"/>
                  </w:rPr>
                  <m:t>sd</m:t>
                </m:r>
                <m:ctrlPr>
                  <w:rPr>
                    <w:rFonts w:ascii="Cambria Math" w:hAnsi="Cambria Math"/>
                    <w:i/>
                  </w:rPr>
                </m:ctrlPr>
              </m:sub>
            </m:sSub>
            <m:ctrlPr>
              <w:rPr>
                <w:rFonts w:ascii="Cambria Math" w:hAnsi="Cambria Math"/>
                <w:i/>
              </w:rPr>
            </m:ctrlPr>
          </m:den>
        </m:f>
      </m:oMath>
      <w:r>
        <w:rPr>
          <w:rFonts w:hint="eastAsia" w:hAnsi="Cambria Math"/>
        </w:rPr>
        <w:t>（pH≤7.0时）</w:t>
      </w:r>
    </w:p>
    <w:p w14:paraId="11485EA2">
      <w:pPr>
        <w:pStyle w:val="749"/>
        <w:rPr>
          <w:color w:val="auto"/>
        </w:rPr>
      </w:pPr>
      <m:oMath>
        <m:sSub>
          <m:sSubPr>
            <m:ctrlPr>
              <w:rPr>
                <w:rFonts w:ascii="Cambria Math" w:hAnsi="Cambria Math"/>
                <w:i/>
                <w:color w:val="auto"/>
              </w:rPr>
            </m:ctrlPr>
          </m:sSubPr>
          <m:e>
            <m:r>
              <m:rPr>
                <m:sty m:val="bi"/>
              </m:rPr>
              <w:rPr>
                <w:rFonts w:ascii="Cambria Math" w:hAnsi="Cambria Math"/>
                <w:color w:val="auto"/>
              </w:rPr>
              <m:t>P</m:t>
            </m:r>
            <m:ctrlPr>
              <w:rPr>
                <w:rFonts w:ascii="Cambria Math" w:hAnsi="Cambria Math"/>
                <w:i/>
                <w:color w:val="auto"/>
              </w:rPr>
            </m:ctrlPr>
          </m:e>
          <m:sub>
            <m:r>
              <m:rPr>
                <m:sty m:val="bi"/>
              </m:rPr>
              <w:rPr>
                <w:rFonts w:ascii="Cambria Math" w:hAnsi="Cambria Math"/>
                <w:color w:val="auto"/>
              </w:rPr>
              <m:t>pH</m:t>
            </m:r>
            <m:ctrlPr>
              <w:rPr>
                <w:rFonts w:ascii="Cambria Math" w:hAnsi="Cambria Math"/>
                <w:i/>
                <w:color w:val="auto"/>
              </w:rPr>
            </m:ctrlPr>
          </m:sub>
        </m:sSub>
        <m:r>
          <m:rPr>
            <m:sty m:val="bi"/>
          </m:rPr>
          <w:rPr>
            <w:rFonts w:ascii="Cambria Math" w:hAnsi="Cambria Math"/>
            <w:color w:val="auto"/>
          </w:rPr>
          <m:t>=</m:t>
        </m:r>
        <m:f>
          <m:fPr>
            <m:ctrlPr>
              <w:rPr>
                <w:rFonts w:ascii="Cambria Math" w:hAnsi="Cambria Math"/>
                <w:i/>
                <w:color w:val="auto"/>
              </w:rPr>
            </m:ctrlPr>
          </m:fPr>
          <m:num>
            <m:r>
              <m:rPr>
                <m:sty m:val="bi"/>
              </m:rPr>
              <w:rPr>
                <w:rFonts w:ascii="Cambria Math" w:hAnsi="Cambria Math"/>
                <w:color w:val="auto"/>
              </w:rPr>
              <m:t>pH−7.0</m:t>
            </m:r>
            <m:ctrlPr>
              <w:rPr>
                <w:rFonts w:ascii="Cambria Math" w:hAnsi="Cambria Math"/>
                <w:i/>
                <w:color w:val="auto"/>
              </w:rPr>
            </m:ctrlPr>
          </m:num>
          <m:den>
            <m:sSub>
              <m:sSubPr>
                <m:ctrlPr>
                  <w:rPr>
                    <w:rFonts w:ascii="Cambria Math" w:hAnsi="Cambria Math"/>
                    <w:i/>
                    <w:color w:val="auto"/>
                  </w:rPr>
                </m:ctrlPr>
              </m:sSubPr>
              <m:e>
                <m:r>
                  <m:rPr>
                    <m:sty m:val="bi"/>
                  </m:rPr>
                  <w:rPr>
                    <w:rFonts w:ascii="Cambria Math" w:hAnsi="Cambria Math"/>
                    <w:color w:val="auto"/>
                  </w:rPr>
                  <m:t>pH</m:t>
                </m:r>
                <m:ctrlPr>
                  <w:rPr>
                    <w:rFonts w:ascii="Cambria Math" w:hAnsi="Cambria Math"/>
                    <w:i/>
                    <w:color w:val="auto"/>
                  </w:rPr>
                </m:ctrlPr>
              </m:e>
              <m:sub>
                <m:r>
                  <m:rPr>
                    <m:sty m:val="bi"/>
                  </m:rPr>
                  <w:rPr>
                    <w:rFonts w:ascii="Cambria Math" w:hAnsi="Cambria Math"/>
                    <w:color w:val="auto"/>
                  </w:rPr>
                  <m:t>su</m:t>
                </m:r>
                <m:ctrlPr>
                  <w:rPr>
                    <w:rFonts w:ascii="Cambria Math" w:hAnsi="Cambria Math"/>
                    <w:i/>
                    <w:color w:val="auto"/>
                  </w:rPr>
                </m:ctrlPr>
              </m:sub>
            </m:sSub>
            <m:r>
              <m:rPr>
                <m:sty m:val="bi"/>
              </m:rPr>
              <w:rPr>
                <w:rFonts w:ascii="Cambria Math" w:hAnsi="Cambria Math"/>
                <w:color w:val="auto"/>
              </w:rPr>
              <m:t>−7.0</m:t>
            </m:r>
            <m:ctrlPr>
              <w:rPr>
                <w:rFonts w:ascii="Cambria Math" w:hAnsi="Cambria Math"/>
                <w:i/>
                <w:color w:val="auto"/>
              </w:rPr>
            </m:ctrlPr>
          </m:den>
        </m:f>
      </m:oMath>
      <w:r>
        <w:rPr>
          <w:rFonts w:hAnsi="Cambria Math"/>
          <w:b w:val="0"/>
          <w:bCs/>
          <w:color w:val="auto"/>
        </w:rPr>
        <w:t>（pH</w:t>
      </w:r>
      <w:r>
        <w:rPr>
          <w:rFonts w:hint="eastAsia" w:hAnsi="Cambria Math"/>
          <w:b w:val="0"/>
          <w:bCs/>
          <w:color w:val="auto"/>
        </w:rPr>
        <w:t>＜</w:t>
      </w:r>
      <w:r>
        <w:rPr>
          <w:rFonts w:hAnsi="Cambria Math"/>
          <w:b w:val="0"/>
          <w:bCs/>
          <w:color w:val="auto"/>
        </w:rPr>
        <w:t>7</w:t>
      </w:r>
      <w:r>
        <w:rPr>
          <w:rFonts w:hint="eastAsia" w:hAnsi="Cambria Math"/>
          <w:b w:val="0"/>
          <w:bCs/>
          <w:color w:val="auto"/>
        </w:rPr>
        <w:t>.0</w:t>
      </w:r>
      <w:r>
        <w:rPr>
          <w:rFonts w:hAnsi="Cambria Math"/>
          <w:b w:val="0"/>
          <w:bCs/>
          <w:color w:val="auto"/>
        </w:rPr>
        <w:t>时）</w:t>
      </w:r>
    </w:p>
    <w:p w14:paraId="4088145E">
      <w:pPr>
        <w:pStyle w:val="104"/>
        <w:rPr>
          <w:szCs w:val="18"/>
        </w:rPr>
      </w:pPr>
      <w:r>
        <w:rPr>
          <w:szCs w:val="18"/>
        </w:rPr>
        <w:t>式中:</w:t>
      </w:r>
    </w:p>
    <w:p w14:paraId="202176F4">
      <w:pPr>
        <w:pStyle w:val="104"/>
        <w:rPr>
          <w:szCs w:val="18"/>
        </w:rPr>
      </w:pPr>
      <w:r>
        <w:rPr>
          <w:szCs w:val="18"/>
        </w:rPr>
        <w:t>P</w:t>
      </w:r>
      <w:r>
        <w:rPr>
          <w:szCs w:val="18"/>
          <w:vertAlign w:val="subscript"/>
        </w:rPr>
        <w:t>pH</w:t>
      </w:r>
      <w:r>
        <w:rPr>
          <w:szCs w:val="18"/>
        </w:rPr>
        <w:t>为</w:t>
      </w:r>
      <w:r>
        <w:rPr>
          <w:rFonts w:hint="eastAsia"/>
          <w:szCs w:val="18"/>
        </w:rPr>
        <w:t>p</w:t>
      </w:r>
      <w:r>
        <w:rPr>
          <w:szCs w:val="18"/>
        </w:rPr>
        <w:t>H的标准指数，无量纲；</w:t>
      </w:r>
    </w:p>
    <w:p w14:paraId="3A97D58E">
      <w:pPr>
        <w:pStyle w:val="104"/>
        <w:rPr>
          <w:szCs w:val="18"/>
        </w:rPr>
      </w:pPr>
      <w:r>
        <w:rPr>
          <w:rFonts w:hint="eastAsia"/>
          <w:szCs w:val="18"/>
        </w:rPr>
        <w:t>p</w:t>
      </w:r>
      <w:r>
        <w:rPr>
          <w:szCs w:val="18"/>
        </w:rPr>
        <w:t>H为</w:t>
      </w:r>
      <w:r>
        <w:rPr>
          <w:rFonts w:hint="eastAsia"/>
          <w:szCs w:val="18"/>
        </w:rPr>
        <w:t>p</w:t>
      </w:r>
      <w:r>
        <w:rPr>
          <w:szCs w:val="18"/>
        </w:rPr>
        <w:t>H监测值；</w:t>
      </w:r>
    </w:p>
    <w:p w14:paraId="7B2C4B3C">
      <w:pPr>
        <w:pStyle w:val="104"/>
        <w:rPr>
          <w:szCs w:val="18"/>
        </w:rPr>
      </w:pPr>
      <w:r>
        <w:rPr>
          <w:rFonts w:hint="eastAsia"/>
          <w:szCs w:val="18"/>
        </w:rPr>
        <w:t>p</w:t>
      </w:r>
      <w:r>
        <w:rPr>
          <w:szCs w:val="18"/>
        </w:rPr>
        <w:t>H</w:t>
      </w:r>
      <w:r>
        <w:rPr>
          <w:szCs w:val="18"/>
          <w:vertAlign w:val="subscript"/>
        </w:rPr>
        <w:t>su</w:t>
      </w:r>
      <w:r>
        <w:rPr>
          <w:szCs w:val="18"/>
        </w:rPr>
        <w:t>为标准中</w:t>
      </w:r>
      <w:r>
        <w:rPr>
          <w:rFonts w:hint="eastAsia"/>
          <w:szCs w:val="18"/>
        </w:rPr>
        <w:t>p</w:t>
      </w:r>
      <w:r>
        <w:rPr>
          <w:szCs w:val="18"/>
        </w:rPr>
        <w:t>H的上限值；</w:t>
      </w:r>
    </w:p>
    <w:p w14:paraId="3CB11C0D">
      <w:pPr>
        <w:pStyle w:val="105"/>
        <w:ind w:firstLine="480"/>
      </w:pPr>
      <w:r>
        <w:rPr>
          <w:rFonts w:hint="eastAsia"/>
          <w:szCs w:val="18"/>
        </w:rPr>
        <w:t>p</w:t>
      </w:r>
      <w:r>
        <w:rPr>
          <w:szCs w:val="18"/>
        </w:rPr>
        <w:t>H</w:t>
      </w:r>
      <w:r>
        <w:rPr>
          <w:szCs w:val="18"/>
          <w:vertAlign w:val="subscript"/>
        </w:rPr>
        <w:t>sd</w:t>
      </w:r>
      <w:r>
        <w:rPr>
          <w:szCs w:val="18"/>
        </w:rPr>
        <w:t>为标准中</w:t>
      </w:r>
      <w:r>
        <w:rPr>
          <w:rFonts w:hint="eastAsia"/>
          <w:szCs w:val="18"/>
        </w:rPr>
        <w:t>p</w:t>
      </w:r>
      <w:r>
        <w:rPr>
          <w:szCs w:val="18"/>
        </w:rPr>
        <w:t>H的下限值。</w:t>
      </w:r>
    </w:p>
    <w:p w14:paraId="30A3D429">
      <w:pPr>
        <w:pStyle w:val="105"/>
        <w:ind w:firstLine="480"/>
      </w:pPr>
      <w:r>
        <w:t>3、评价结果</w:t>
      </w:r>
    </w:p>
    <w:p w14:paraId="0A966F2E">
      <w:pPr>
        <w:pStyle w:val="105"/>
        <w:spacing w:line="240" w:lineRule="auto"/>
        <w:ind w:firstLine="0" w:firstLineChars="0"/>
        <w:jc w:val="center"/>
        <w:rPr>
          <w:b/>
          <w:bCs/>
        </w:rPr>
      </w:pPr>
      <w:r>
        <w:rPr>
          <w:rFonts w:hint="eastAsia"/>
          <w:b/>
          <w:bCs/>
        </w:rPr>
        <w:t>表4.3-5 地下水水质评价结果一览表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5"/>
        <w:gridCol w:w="1143"/>
        <w:gridCol w:w="1163"/>
        <w:gridCol w:w="1395"/>
        <w:gridCol w:w="1230"/>
        <w:gridCol w:w="1230"/>
        <w:gridCol w:w="1231"/>
      </w:tblGrid>
      <w:tr w14:paraId="60C0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1" w:type="dxa"/>
            <w:gridSpan w:val="3"/>
            <w:vMerge w:val="restart"/>
            <w:vAlign w:val="center"/>
          </w:tcPr>
          <w:p w14:paraId="6E1A9D31">
            <w:pPr>
              <w:pStyle w:val="105"/>
              <w:spacing w:line="240" w:lineRule="auto"/>
              <w:ind w:firstLine="0" w:firstLineChars="0"/>
              <w:jc w:val="center"/>
              <w:rPr>
                <w:sz w:val="21"/>
                <w:szCs w:val="21"/>
              </w:rPr>
            </w:pPr>
            <w:r>
              <w:rPr>
                <w:rFonts w:hint="eastAsia"/>
                <w:sz w:val="21"/>
                <w:szCs w:val="21"/>
              </w:rPr>
              <w:t>检测项目</w:t>
            </w:r>
          </w:p>
        </w:tc>
        <w:tc>
          <w:tcPr>
            <w:tcW w:w="1395" w:type="dxa"/>
            <w:vAlign w:val="center"/>
          </w:tcPr>
          <w:p w14:paraId="64296618">
            <w:pPr>
              <w:widowControl w:val="0"/>
              <w:adjustRightInd w:val="0"/>
              <w:snapToGrid w:val="0"/>
              <w:spacing w:line="240" w:lineRule="auto"/>
              <w:ind w:firstLine="0" w:firstLineChars="0"/>
              <w:jc w:val="center"/>
            </w:pPr>
            <w:r>
              <w:rPr>
                <w:rFonts w:hint="eastAsia"/>
              </w:rPr>
              <w:t>检测点位</w:t>
            </w:r>
          </w:p>
        </w:tc>
        <w:tc>
          <w:tcPr>
            <w:tcW w:w="1230" w:type="dxa"/>
            <w:vAlign w:val="center"/>
          </w:tcPr>
          <w:p w14:paraId="68732426">
            <w:pPr>
              <w:widowControl w:val="0"/>
              <w:adjustRightInd w:val="0"/>
              <w:snapToGrid w:val="0"/>
              <w:spacing w:line="240" w:lineRule="auto"/>
              <w:ind w:firstLine="0" w:firstLineChars="0"/>
              <w:jc w:val="center"/>
            </w:pPr>
            <w:r>
              <w:rPr>
                <w:rFonts w:hint="eastAsia"/>
              </w:rPr>
              <w:t>3#</w:t>
            </w:r>
          </w:p>
        </w:tc>
        <w:tc>
          <w:tcPr>
            <w:tcW w:w="1230" w:type="dxa"/>
            <w:vAlign w:val="center"/>
          </w:tcPr>
          <w:p w14:paraId="3A42B1C0">
            <w:pPr>
              <w:widowControl w:val="0"/>
              <w:adjustRightInd w:val="0"/>
              <w:snapToGrid w:val="0"/>
              <w:spacing w:line="240" w:lineRule="auto"/>
              <w:ind w:firstLine="0" w:firstLineChars="0"/>
              <w:jc w:val="center"/>
            </w:pPr>
            <w:r>
              <w:rPr>
                <w:rFonts w:hint="eastAsia"/>
              </w:rPr>
              <w:t>4#</w:t>
            </w:r>
          </w:p>
        </w:tc>
        <w:tc>
          <w:tcPr>
            <w:tcW w:w="1231" w:type="dxa"/>
            <w:vAlign w:val="center"/>
          </w:tcPr>
          <w:p w14:paraId="566D377C">
            <w:pPr>
              <w:widowControl w:val="0"/>
              <w:adjustRightInd w:val="0"/>
              <w:snapToGrid w:val="0"/>
              <w:spacing w:line="240" w:lineRule="auto"/>
              <w:ind w:firstLine="0" w:firstLineChars="0"/>
              <w:jc w:val="center"/>
            </w:pPr>
            <w:r>
              <w:rPr>
                <w:rFonts w:hint="eastAsia"/>
              </w:rPr>
              <w:t>5#</w:t>
            </w:r>
          </w:p>
        </w:tc>
      </w:tr>
      <w:tr w14:paraId="06D1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1" w:type="dxa"/>
            <w:gridSpan w:val="3"/>
            <w:vMerge w:val="continue"/>
          </w:tcPr>
          <w:p w14:paraId="357C4F7A">
            <w:pPr>
              <w:pStyle w:val="105"/>
              <w:spacing w:line="240" w:lineRule="auto"/>
              <w:ind w:firstLine="0" w:firstLineChars="0"/>
              <w:jc w:val="center"/>
              <w:rPr>
                <w:sz w:val="21"/>
                <w:szCs w:val="21"/>
              </w:rPr>
            </w:pPr>
          </w:p>
        </w:tc>
        <w:tc>
          <w:tcPr>
            <w:tcW w:w="1395" w:type="dxa"/>
          </w:tcPr>
          <w:p w14:paraId="36E2E4E5">
            <w:pPr>
              <w:pStyle w:val="105"/>
              <w:spacing w:line="240" w:lineRule="auto"/>
              <w:ind w:firstLine="0" w:firstLineChars="0"/>
              <w:jc w:val="center"/>
              <w:rPr>
                <w:sz w:val="21"/>
                <w:szCs w:val="21"/>
              </w:rPr>
            </w:pPr>
            <w:r>
              <w:rPr>
                <w:rFonts w:hint="eastAsia"/>
                <w:sz w:val="21"/>
                <w:szCs w:val="21"/>
              </w:rPr>
              <w:t>单位</w:t>
            </w:r>
          </w:p>
        </w:tc>
        <w:tc>
          <w:tcPr>
            <w:tcW w:w="3691" w:type="dxa"/>
            <w:gridSpan w:val="3"/>
          </w:tcPr>
          <w:p w14:paraId="72AEAD60">
            <w:pPr>
              <w:pStyle w:val="105"/>
              <w:spacing w:line="240" w:lineRule="auto"/>
              <w:ind w:firstLine="0" w:firstLineChars="0"/>
              <w:jc w:val="center"/>
              <w:rPr>
                <w:sz w:val="21"/>
                <w:szCs w:val="21"/>
              </w:rPr>
            </w:pPr>
            <w:r>
              <w:rPr>
                <w:rFonts w:hint="eastAsia"/>
                <w:sz w:val="21"/>
                <w:szCs w:val="21"/>
              </w:rPr>
              <w:t>检测结果</w:t>
            </w:r>
          </w:p>
        </w:tc>
      </w:tr>
      <w:tr w14:paraId="5AA3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93E9585">
            <w:pPr>
              <w:pStyle w:val="751"/>
              <w:rPr>
                <w:color w:val="auto"/>
                <w:vertAlign w:val="subscript"/>
              </w:rPr>
            </w:pPr>
            <w:r>
              <w:rPr>
                <w:rFonts w:hint="eastAsia"/>
                <w:color w:val="auto"/>
              </w:rPr>
              <w:t>钾</w:t>
            </w:r>
          </w:p>
        </w:tc>
        <w:tc>
          <w:tcPr>
            <w:tcW w:w="1143" w:type="dxa"/>
            <w:vAlign w:val="center"/>
          </w:tcPr>
          <w:p w14:paraId="13FC34AD">
            <w:pPr>
              <w:pStyle w:val="751"/>
              <w:rPr>
                <w:color w:val="auto"/>
              </w:rPr>
            </w:pPr>
            <w:r>
              <w:rPr>
                <w:rFonts w:hint="eastAsia"/>
                <w:color w:val="auto"/>
              </w:rPr>
              <w:t>标准限值</w:t>
            </w:r>
          </w:p>
        </w:tc>
        <w:tc>
          <w:tcPr>
            <w:tcW w:w="1163" w:type="dxa"/>
            <w:vAlign w:val="center"/>
          </w:tcPr>
          <w:p w14:paraId="21A11404">
            <w:pPr>
              <w:pStyle w:val="751"/>
              <w:rPr>
                <w:color w:val="auto"/>
              </w:rPr>
            </w:pPr>
            <w:r>
              <w:rPr>
                <w:rFonts w:hint="eastAsia"/>
                <w:color w:val="auto"/>
              </w:rPr>
              <w:t>/</w:t>
            </w:r>
          </w:p>
        </w:tc>
        <w:tc>
          <w:tcPr>
            <w:tcW w:w="1395" w:type="dxa"/>
            <w:vAlign w:val="center"/>
          </w:tcPr>
          <w:p w14:paraId="5F454042">
            <w:pPr>
              <w:pStyle w:val="751"/>
              <w:rPr>
                <w:color w:val="auto"/>
              </w:rPr>
            </w:pPr>
            <w:r>
              <w:rPr>
                <w:rFonts w:hint="eastAsia"/>
                <w:color w:val="auto"/>
              </w:rPr>
              <w:t>mg/L</w:t>
            </w:r>
          </w:p>
        </w:tc>
        <w:tc>
          <w:tcPr>
            <w:tcW w:w="1230" w:type="dxa"/>
            <w:vAlign w:val="center"/>
          </w:tcPr>
          <w:p w14:paraId="39E55F27">
            <w:pPr>
              <w:pStyle w:val="751"/>
              <w:rPr>
                <w:color w:val="auto"/>
              </w:rPr>
            </w:pPr>
            <w:r>
              <w:rPr>
                <w:rFonts w:hint="eastAsia"/>
                <w:bCs/>
                <w:color w:val="auto"/>
              </w:rPr>
              <w:t>2.58</w:t>
            </w:r>
          </w:p>
        </w:tc>
        <w:tc>
          <w:tcPr>
            <w:tcW w:w="1230" w:type="dxa"/>
            <w:vAlign w:val="center"/>
          </w:tcPr>
          <w:p w14:paraId="3FC2BBF5">
            <w:pPr>
              <w:pStyle w:val="751"/>
              <w:rPr>
                <w:color w:val="auto"/>
              </w:rPr>
            </w:pPr>
            <w:r>
              <w:rPr>
                <w:rFonts w:hint="eastAsia"/>
                <w:bCs/>
                <w:color w:val="auto"/>
              </w:rPr>
              <w:t>3.26</w:t>
            </w:r>
          </w:p>
        </w:tc>
        <w:tc>
          <w:tcPr>
            <w:tcW w:w="1231" w:type="dxa"/>
            <w:vAlign w:val="center"/>
          </w:tcPr>
          <w:p w14:paraId="0B0A9076">
            <w:pPr>
              <w:pStyle w:val="751"/>
              <w:rPr>
                <w:color w:val="auto"/>
              </w:rPr>
            </w:pPr>
            <w:r>
              <w:rPr>
                <w:rFonts w:hint="eastAsia"/>
                <w:bCs/>
                <w:color w:val="auto"/>
              </w:rPr>
              <w:t>3.61</w:t>
            </w:r>
          </w:p>
        </w:tc>
      </w:tr>
      <w:tr w14:paraId="0737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BF58BF2">
            <w:pPr>
              <w:pStyle w:val="751"/>
              <w:rPr>
                <w:color w:val="auto"/>
              </w:rPr>
            </w:pPr>
          </w:p>
        </w:tc>
        <w:tc>
          <w:tcPr>
            <w:tcW w:w="2306" w:type="dxa"/>
            <w:gridSpan w:val="2"/>
            <w:vAlign w:val="center"/>
          </w:tcPr>
          <w:p w14:paraId="5006F02D">
            <w:pPr>
              <w:pStyle w:val="751"/>
              <w:rPr>
                <w:color w:val="auto"/>
              </w:rPr>
            </w:pPr>
            <w:r>
              <w:rPr>
                <w:rFonts w:hint="eastAsia"/>
                <w:color w:val="auto"/>
              </w:rPr>
              <w:t>Pi</w:t>
            </w:r>
          </w:p>
        </w:tc>
        <w:tc>
          <w:tcPr>
            <w:tcW w:w="1395" w:type="dxa"/>
            <w:vAlign w:val="center"/>
          </w:tcPr>
          <w:p w14:paraId="4A31F3C0">
            <w:pPr>
              <w:pStyle w:val="751"/>
              <w:rPr>
                <w:color w:val="auto"/>
              </w:rPr>
            </w:pPr>
            <w:r>
              <w:rPr>
                <w:rFonts w:hint="eastAsia"/>
                <w:color w:val="auto"/>
              </w:rPr>
              <w:t>/</w:t>
            </w:r>
          </w:p>
        </w:tc>
        <w:tc>
          <w:tcPr>
            <w:tcW w:w="1230" w:type="dxa"/>
            <w:vAlign w:val="center"/>
          </w:tcPr>
          <w:p w14:paraId="68BE95D0">
            <w:pPr>
              <w:pStyle w:val="751"/>
              <w:rPr>
                <w:bCs/>
                <w:color w:val="auto"/>
              </w:rPr>
            </w:pPr>
            <w:r>
              <w:rPr>
                <w:rFonts w:hint="eastAsia"/>
                <w:bCs/>
                <w:color w:val="auto"/>
              </w:rPr>
              <w:t>/</w:t>
            </w:r>
          </w:p>
        </w:tc>
        <w:tc>
          <w:tcPr>
            <w:tcW w:w="1230" w:type="dxa"/>
            <w:vAlign w:val="center"/>
          </w:tcPr>
          <w:p w14:paraId="1B26E80A">
            <w:pPr>
              <w:pStyle w:val="751"/>
              <w:rPr>
                <w:bCs/>
                <w:color w:val="auto"/>
              </w:rPr>
            </w:pPr>
            <w:r>
              <w:rPr>
                <w:rFonts w:hint="eastAsia"/>
                <w:bCs/>
                <w:color w:val="auto"/>
              </w:rPr>
              <w:t>/</w:t>
            </w:r>
          </w:p>
        </w:tc>
        <w:tc>
          <w:tcPr>
            <w:tcW w:w="1231" w:type="dxa"/>
            <w:vAlign w:val="center"/>
          </w:tcPr>
          <w:p w14:paraId="0D063BA5">
            <w:pPr>
              <w:pStyle w:val="751"/>
              <w:rPr>
                <w:bCs/>
                <w:color w:val="auto"/>
              </w:rPr>
            </w:pPr>
            <w:r>
              <w:rPr>
                <w:rFonts w:hint="eastAsia"/>
                <w:bCs/>
                <w:color w:val="auto"/>
              </w:rPr>
              <w:t>/</w:t>
            </w:r>
          </w:p>
        </w:tc>
      </w:tr>
      <w:tr w14:paraId="421D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611F5A2B">
            <w:pPr>
              <w:pStyle w:val="751"/>
              <w:rPr>
                <w:color w:val="auto"/>
              </w:rPr>
            </w:pPr>
          </w:p>
        </w:tc>
        <w:tc>
          <w:tcPr>
            <w:tcW w:w="2306" w:type="dxa"/>
            <w:gridSpan w:val="2"/>
            <w:vAlign w:val="center"/>
          </w:tcPr>
          <w:p w14:paraId="6E9E99BC">
            <w:pPr>
              <w:pStyle w:val="751"/>
              <w:rPr>
                <w:color w:val="auto"/>
              </w:rPr>
            </w:pPr>
            <w:r>
              <w:rPr>
                <w:rFonts w:hint="eastAsia"/>
                <w:color w:val="auto"/>
              </w:rPr>
              <w:t>超标倍数</w:t>
            </w:r>
          </w:p>
        </w:tc>
        <w:tc>
          <w:tcPr>
            <w:tcW w:w="1395" w:type="dxa"/>
            <w:vAlign w:val="center"/>
          </w:tcPr>
          <w:p w14:paraId="4E890422">
            <w:pPr>
              <w:pStyle w:val="751"/>
              <w:rPr>
                <w:color w:val="auto"/>
              </w:rPr>
            </w:pPr>
            <w:r>
              <w:rPr>
                <w:rFonts w:hint="eastAsia"/>
                <w:color w:val="auto"/>
              </w:rPr>
              <w:t>/</w:t>
            </w:r>
          </w:p>
        </w:tc>
        <w:tc>
          <w:tcPr>
            <w:tcW w:w="1230" w:type="dxa"/>
            <w:vAlign w:val="center"/>
          </w:tcPr>
          <w:p w14:paraId="08C14839">
            <w:pPr>
              <w:pStyle w:val="751"/>
              <w:rPr>
                <w:bCs/>
                <w:color w:val="auto"/>
              </w:rPr>
            </w:pPr>
            <w:r>
              <w:rPr>
                <w:rFonts w:hint="eastAsia"/>
                <w:bCs/>
                <w:color w:val="auto"/>
              </w:rPr>
              <w:t>/</w:t>
            </w:r>
          </w:p>
        </w:tc>
        <w:tc>
          <w:tcPr>
            <w:tcW w:w="1230" w:type="dxa"/>
            <w:vAlign w:val="center"/>
          </w:tcPr>
          <w:p w14:paraId="6F1AA808">
            <w:pPr>
              <w:pStyle w:val="751"/>
              <w:rPr>
                <w:bCs/>
                <w:color w:val="auto"/>
              </w:rPr>
            </w:pPr>
            <w:r>
              <w:rPr>
                <w:rFonts w:hint="eastAsia"/>
                <w:bCs/>
                <w:color w:val="auto"/>
              </w:rPr>
              <w:t>/</w:t>
            </w:r>
          </w:p>
        </w:tc>
        <w:tc>
          <w:tcPr>
            <w:tcW w:w="1231" w:type="dxa"/>
            <w:vAlign w:val="center"/>
          </w:tcPr>
          <w:p w14:paraId="532789A4">
            <w:pPr>
              <w:pStyle w:val="751"/>
              <w:rPr>
                <w:bCs/>
                <w:color w:val="auto"/>
              </w:rPr>
            </w:pPr>
            <w:r>
              <w:rPr>
                <w:rFonts w:hint="eastAsia"/>
                <w:bCs/>
                <w:color w:val="auto"/>
              </w:rPr>
              <w:t>/</w:t>
            </w:r>
          </w:p>
        </w:tc>
      </w:tr>
      <w:tr w14:paraId="2A1D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restart"/>
            <w:vAlign w:val="center"/>
          </w:tcPr>
          <w:p w14:paraId="714E8093">
            <w:pPr>
              <w:pStyle w:val="751"/>
              <w:rPr>
                <w:color w:val="auto"/>
              </w:rPr>
            </w:pPr>
            <w:r>
              <w:rPr>
                <w:rFonts w:hint="eastAsia"/>
                <w:color w:val="auto"/>
                <w:position w:val="-4"/>
              </w:rPr>
              <w:t>钠</w:t>
            </w:r>
          </w:p>
        </w:tc>
        <w:tc>
          <w:tcPr>
            <w:tcW w:w="1143" w:type="dxa"/>
            <w:vAlign w:val="center"/>
          </w:tcPr>
          <w:p w14:paraId="50D75FB8">
            <w:pPr>
              <w:pStyle w:val="751"/>
              <w:rPr>
                <w:color w:val="auto"/>
              </w:rPr>
            </w:pPr>
            <w:r>
              <w:rPr>
                <w:rFonts w:hint="eastAsia"/>
                <w:color w:val="auto"/>
              </w:rPr>
              <w:t>标准限值</w:t>
            </w:r>
          </w:p>
        </w:tc>
        <w:tc>
          <w:tcPr>
            <w:tcW w:w="1163" w:type="dxa"/>
            <w:vAlign w:val="center"/>
          </w:tcPr>
          <w:p w14:paraId="5D8E8114">
            <w:pPr>
              <w:pStyle w:val="751"/>
              <w:rPr>
                <w:color w:val="auto"/>
              </w:rPr>
            </w:pPr>
            <w:r>
              <w:rPr>
                <w:rFonts w:hint="eastAsia"/>
                <w:color w:val="auto"/>
              </w:rPr>
              <w:t>200</w:t>
            </w:r>
          </w:p>
        </w:tc>
        <w:tc>
          <w:tcPr>
            <w:tcW w:w="1395" w:type="dxa"/>
            <w:vAlign w:val="center"/>
          </w:tcPr>
          <w:p w14:paraId="6BF30395">
            <w:pPr>
              <w:pStyle w:val="751"/>
              <w:rPr>
                <w:color w:val="auto"/>
              </w:rPr>
            </w:pPr>
            <w:r>
              <w:rPr>
                <w:rFonts w:hint="eastAsia"/>
                <w:color w:val="auto"/>
              </w:rPr>
              <w:t>mg//L</w:t>
            </w:r>
          </w:p>
        </w:tc>
        <w:tc>
          <w:tcPr>
            <w:tcW w:w="1230" w:type="dxa"/>
            <w:vAlign w:val="center"/>
          </w:tcPr>
          <w:p w14:paraId="53935349">
            <w:pPr>
              <w:pStyle w:val="751"/>
              <w:rPr>
                <w:color w:val="auto"/>
              </w:rPr>
            </w:pPr>
            <w:r>
              <w:rPr>
                <w:rFonts w:hint="eastAsia"/>
                <w:bCs/>
                <w:color w:val="auto"/>
              </w:rPr>
              <w:t>170</w:t>
            </w:r>
          </w:p>
        </w:tc>
        <w:tc>
          <w:tcPr>
            <w:tcW w:w="1230" w:type="dxa"/>
            <w:vAlign w:val="center"/>
          </w:tcPr>
          <w:p w14:paraId="36BD99A0">
            <w:pPr>
              <w:pStyle w:val="751"/>
              <w:rPr>
                <w:color w:val="auto"/>
              </w:rPr>
            </w:pPr>
            <w:r>
              <w:rPr>
                <w:rFonts w:hint="eastAsia"/>
                <w:bCs/>
                <w:color w:val="auto"/>
              </w:rPr>
              <w:t>118</w:t>
            </w:r>
          </w:p>
        </w:tc>
        <w:tc>
          <w:tcPr>
            <w:tcW w:w="1231" w:type="dxa"/>
            <w:vAlign w:val="center"/>
          </w:tcPr>
          <w:p w14:paraId="0A68000E">
            <w:pPr>
              <w:pStyle w:val="751"/>
              <w:rPr>
                <w:color w:val="auto"/>
              </w:rPr>
            </w:pPr>
            <w:r>
              <w:rPr>
                <w:rFonts w:hint="eastAsia"/>
                <w:bCs/>
                <w:color w:val="auto"/>
              </w:rPr>
              <w:t>170</w:t>
            </w:r>
          </w:p>
        </w:tc>
      </w:tr>
      <w:tr w14:paraId="5FE9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7988CC6A">
            <w:pPr>
              <w:pStyle w:val="751"/>
              <w:rPr>
                <w:color w:val="auto"/>
                <w:position w:val="-4"/>
              </w:rPr>
            </w:pPr>
          </w:p>
        </w:tc>
        <w:tc>
          <w:tcPr>
            <w:tcW w:w="2306" w:type="dxa"/>
            <w:gridSpan w:val="2"/>
            <w:vAlign w:val="center"/>
          </w:tcPr>
          <w:p w14:paraId="2C1FC384">
            <w:pPr>
              <w:pStyle w:val="751"/>
              <w:rPr>
                <w:color w:val="auto"/>
              </w:rPr>
            </w:pPr>
            <w:r>
              <w:rPr>
                <w:rFonts w:hint="eastAsia"/>
                <w:color w:val="auto"/>
              </w:rPr>
              <w:t>Pi</w:t>
            </w:r>
          </w:p>
        </w:tc>
        <w:tc>
          <w:tcPr>
            <w:tcW w:w="1395" w:type="dxa"/>
            <w:vAlign w:val="center"/>
          </w:tcPr>
          <w:p w14:paraId="59911608">
            <w:pPr>
              <w:pStyle w:val="751"/>
              <w:rPr>
                <w:color w:val="auto"/>
              </w:rPr>
            </w:pPr>
            <w:r>
              <w:rPr>
                <w:rFonts w:hint="eastAsia"/>
                <w:color w:val="auto"/>
              </w:rPr>
              <w:t>/</w:t>
            </w:r>
          </w:p>
        </w:tc>
        <w:tc>
          <w:tcPr>
            <w:tcW w:w="1230" w:type="dxa"/>
            <w:vAlign w:val="center"/>
          </w:tcPr>
          <w:p w14:paraId="4CDB3838">
            <w:pPr>
              <w:pStyle w:val="751"/>
              <w:rPr>
                <w:bCs/>
                <w:color w:val="auto"/>
              </w:rPr>
            </w:pPr>
            <w:r>
              <w:rPr>
                <w:rFonts w:hint="eastAsia"/>
                <w:bCs/>
                <w:color w:val="auto"/>
              </w:rPr>
              <w:t>0.85</w:t>
            </w:r>
          </w:p>
        </w:tc>
        <w:tc>
          <w:tcPr>
            <w:tcW w:w="1230" w:type="dxa"/>
            <w:vAlign w:val="center"/>
          </w:tcPr>
          <w:p w14:paraId="742A56E9">
            <w:pPr>
              <w:pStyle w:val="751"/>
              <w:rPr>
                <w:bCs/>
                <w:color w:val="auto"/>
              </w:rPr>
            </w:pPr>
            <w:r>
              <w:rPr>
                <w:rFonts w:hint="eastAsia"/>
                <w:bCs/>
                <w:color w:val="auto"/>
              </w:rPr>
              <w:t>0.59</w:t>
            </w:r>
          </w:p>
        </w:tc>
        <w:tc>
          <w:tcPr>
            <w:tcW w:w="1231" w:type="dxa"/>
            <w:vAlign w:val="center"/>
          </w:tcPr>
          <w:p w14:paraId="43F8F212">
            <w:pPr>
              <w:pStyle w:val="751"/>
              <w:rPr>
                <w:bCs/>
                <w:color w:val="auto"/>
              </w:rPr>
            </w:pPr>
            <w:r>
              <w:rPr>
                <w:rFonts w:hint="eastAsia"/>
                <w:bCs/>
                <w:color w:val="auto"/>
              </w:rPr>
              <w:t>0.85</w:t>
            </w:r>
          </w:p>
        </w:tc>
      </w:tr>
      <w:tr w14:paraId="3905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71680922">
            <w:pPr>
              <w:pStyle w:val="751"/>
              <w:rPr>
                <w:color w:val="auto"/>
                <w:position w:val="-4"/>
              </w:rPr>
            </w:pPr>
          </w:p>
        </w:tc>
        <w:tc>
          <w:tcPr>
            <w:tcW w:w="2306" w:type="dxa"/>
            <w:gridSpan w:val="2"/>
            <w:vAlign w:val="center"/>
          </w:tcPr>
          <w:p w14:paraId="23E81B42">
            <w:pPr>
              <w:pStyle w:val="751"/>
              <w:rPr>
                <w:color w:val="auto"/>
              </w:rPr>
            </w:pPr>
            <w:r>
              <w:rPr>
                <w:rFonts w:hint="eastAsia"/>
                <w:color w:val="auto"/>
              </w:rPr>
              <w:t>超标倍数</w:t>
            </w:r>
          </w:p>
        </w:tc>
        <w:tc>
          <w:tcPr>
            <w:tcW w:w="1395" w:type="dxa"/>
            <w:vAlign w:val="center"/>
          </w:tcPr>
          <w:p w14:paraId="790BE153">
            <w:pPr>
              <w:pStyle w:val="751"/>
              <w:rPr>
                <w:color w:val="auto"/>
              </w:rPr>
            </w:pPr>
            <w:r>
              <w:rPr>
                <w:rFonts w:hint="eastAsia"/>
                <w:color w:val="auto"/>
              </w:rPr>
              <w:t>/</w:t>
            </w:r>
          </w:p>
        </w:tc>
        <w:tc>
          <w:tcPr>
            <w:tcW w:w="1230" w:type="dxa"/>
            <w:vAlign w:val="center"/>
          </w:tcPr>
          <w:p w14:paraId="12CC841F">
            <w:pPr>
              <w:pStyle w:val="751"/>
              <w:rPr>
                <w:bCs/>
                <w:color w:val="auto"/>
              </w:rPr>
            </w:pPr>
            <w:r>
              <w:rPr>
                <w:rFonts w:hint="eastAsia"/>
                <w:bCs/>
                <w:color w:val="auto"/>
              </w:rPr>
              <w:t>0</w:t>
            </w:r>
          </w:p>
        </w:tc>
        <w:tc>
          <w:tcPr>
            <w:tcW w:w="1230" w:type="dxa"/>
            <w:vAlign w:val="center"/>
          </w:tcPr>
          <w:p w14:paraId="3BA16AC0">
            <w:pPr>
              <w:pStyle w:val="751"/>
              <w:rPr>
                <w:bCs/>
                <w:color w:val="auto"/>
              </w:rPr>
            </w:pPr>
            <w:r>
              <w:rPr>
                <w:rFonts w:hint="eastAsia"/>
                <w:bCs/>
                <w:color w:val="auto"/>
              </w:rPr>
              <w:t>0</w:t>
            </w:r>
          </w:p>
        </w:tc>
        <w:tc>
          <w:tcPr>
            <w:tcW w:w="1231" w:type="dxa"/>
            <w:vAlign w:val="center"/>
          </w:tcPr>
          <w:p w14:paraId="7CDFAF8B">
            <w:pPr>
              <w:pStyle w:val="751"/>
              <w:rPr>
                <w:bCs/>
                <w:color w:val="auto"/>
              </w:rPr>
            </w:pPr>
            <w:r>
              <w:rPr>
                <w:rFonts w:hint="eastAsia"/>
                <w:bCs/>
                <w:color w:val="auto"/>
              </w:rPr>
              <w:t>0</w:t>
            </w:r>
          </w:p>
        </w:tc>
      </w:tr>
      <w:tr w14:paraId="6CF5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5630AB3">
            <w:pPr>
              <w:pStyle w:val="751"/>
              <w:rPr>
                <w:color w:val="auto"/>
              </w:rPr>
            </w:pPr>
            <w:r>
              <w:rPr>
                <w:rFonts w:hint="eastAsia"/>
                <w:color w:val="auto"/>
              </w:rPr>
              <w:t>钙</w:t>
            </w:r>
          </w:p>
        </w:tc>
        <w:tc>
          <w:tcPr>
            <w:tcW w:w="1143" w:type="dxa"/>
            <w:vAlign w:val="center"/>
          </w:tcPr>
          <w:p w14:paraId="691927D6">
            <w:pPr>
              <w:pStyle w:val="751"/>
              <w:rPr>
                <w:color w:val="auto"/>
              </w:rPr>
            </w:pPr>
            <w:r>
              <w:rPr>
                <w:rFonts w:hint="eastAsia"/>
                <w:color w:val="auto"/>
              </w:rPr>
              <w:t>标准限值</w:t>
            </w:r>
          </w:p>
        </w:tc>
        <w:tc>
          <w:tcPr>
            <w:tcW w:w="1163" w:type="dxa"/>
            <w:vAlign w:val="center"/>
          </w:tcPr>
          <w:p w14:paraId="48F70B25">
            <w:pPr>
              <w:pStyle w:val="751"/>
              <w:rPr>
                <w:bCs/>
                <w:color w:val="auto"/>
              </w:rPr>
            </w:pPr>
            <w:r>
              <w:rPr>
                <w:rFonts w:hint="eastAsia"/>
                <w:bCs/>
                <w:color w:val="auto"/>
              </w:rPr>
              <w:t>/</w:t>
            </w:r>
          </w:p>
        </w:tc>
        <w:tc>
          <w:tcPr>
            <w:tcW w:w="1395" w:type="dxa"/>
            <w:vAlign w:val="center"/>
          </w:tcPr>
          <w:p w14:paraId="4A23C3B6">
            <w:pPr>
              <w:pStyle w:val="751"/>
              <w:rPr>
                <w:color w:val="auto"/>
              </w:rPr>
            </w:pPr>
            <w:r>
              <w:rPr>
                <w:bCs/>
                <w:color w:val="auto"/>
              </w:rPr>
              <w:t>mg/L</w:t>
            </w:r>
          </w:p>
        </w:tc>
        <w:tc>
          <w:tcPr>
            <w:tcW w:w="1230" w:type="dxa"/>
            <w:vAlign w:val="center"/>
          </w:tcPr>
          <w:p w14:paraId="2956DCC1">
            <w:pPr>
              <w:pStyle w:val="751"/>
              <w:rPr>
                <w:color w:val="auto"/>
              </w:rPr>
            </w:pPr>
            <w:r>
              <w:rPr>
                <w:rFonts w:hint="eastAsia"/>
                <w:color w:val="auto"/>
              </w:rPr>
              <w:t>113</w:t>
            </w:r>
          </w:p>
        </w:tc>
        <w:tc>
          <w:tcPr>
            <w:tcW w:w="1230" w:type="dxa"/>
            <w:vAlign w:val="center"/>
          </w:tcPr>
          <w:p w14:paraId="6FF71C5D">
            <w:pPr>
              <w:pStyle w:val="751"/>
              <w:rPr>
                <w:color w:val="auto"/>
              </w:rPr>
            </w:pPr>
            <w:r>
              <w:rPr>
                <w:rFonts w:hint="eastAsia"/>
                <w:color w:val="auto"/>
              </w:rPr>
              <w:t>126</w:t>
            </w:r>
          </w:p>
        </w:tc>
        <w:tc>
          <w:tcPr>
            <w:tcW w:w="1231" w:type="dxa"/>
            <w:vAlign w:val="center"/>
          </w:tcPr>
          <w:p w14:paraId="6872D59D">
            <w:pPr>
              <w:pStyle w:val="751"/>
              <w:rPr>
                <w:color w:val="auto"/>
              </w:rPr>
            </w:pPr>
            <w:r>
              <w:rPr>
                <w:rFonts w:hint="eastAsia"/>
                <w:color w:val="auto"/>
              </w:rPr>
              <w:t>120</w:t>
            </w:r>
          </w:p>
        </w:tc>
      </w:tr>
      <w:tr w14:paraId="2EC2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68EB49A8">
            <w:pPr>
              <w:pStyle w:val="751"/>
              <w:rPr>
                <w:color w:val="auto"/>
              </w:rPr>
            </w:pPr>
          </w:p>
        </w:tc>
        <w:tc>
          <w:tcPr>
            <w:tcW w:w="2306" w:type="dxa"/>
            <w:gridSpan w:val="2"/>
            <w:vAlign w:val="center"/>
          </w:tcPr>
          <w:p w14:paraId="3BD8BB85">
            <w:pPr>
              <w:pStyle w:val="751"/>
              <w:rPr>
                <w:bCs/>
                <w:color w:val="auto"/>
              </w:rPr>
            </w:pPr>
            <w:r>
              <w:rPr>
                <w:rFonts w:hint="eastAsia"/>
                <w:color w:val="auto"/>
              </w:rPr>
              <w:t>Pi</w:t>
            </w:r>
          </w:p>
        </w:tc>
        <w:tc>
          <w:tcPr>
            <w:tcW w:w="1395" w:type="dxa"/>
            <w:vAlign w:val="center"/>
          </w:tcPr>
          <w:p w14:paraId="6FB23199">
            <w:pPr>
              <w:pStyle w:val="751"/>
              <w:rPr>
                <w:color w:val="auto"/>
              </w:rPr>
            </w:pPr>
            <w:r>
              <w:rPr>
                <w:rFonts w:hint="eastAsia"/>
                <w:color w:val="auto"/>
              </w:rPr>
              <w:t>/</w:t>
            </w:r>
          </w:p>
        </w:tc>
        <w:tc>
          <w:tcPr>
            <w:tcW w:w="1230" w:type="dxa"/>
            <w:vAlign w:val="center"/>
          </w:tcPr>
          <w:p w14:paraId="71196342">
            <w:pPr>
              <w:pStyle w:val="751"/>
              <w:rPr>
                <w:color w:val="auto"/>
              </w:rPr>
            </w:pPr>
            <w:r>
              <w:rPr>
                <w:rFonts w:hint="eastAsia"/>
                <w:color w:val="auto"/>
              </w:rPr>
              <w:t>/</w:t>
            </w:r>
          </w:p>
        </w:tc>
        <w:tc>
          <w:tcPr>
            <w:tcW w:w="1230" w:type="dxa"/>
            <w:vAlign w:val="center"/>
          </w:tcPr>
          <w:p w14:paraId="1AEB9CCD">
            <w:pPr>
              <w:pStyle w:val="751"/>
              <w:rPr>
                <w:color w:val="auto"/>
              </w:rPr>
            </w:pPr>
            <w:r>
              <w:rPr>
                <w:rFonts w:hint="eastAsia"/>
                <w:color w:val="auto"/>
              </w:rPr>
              <w:t>/</w:t>
            </w:r>
          </w:p>
        </w:tc>
        <w:tc>
          <w:tcPr>
            <w:tcW w:w="1231" w:type="dxa"/>
            <w:vAlign w:val="center"/>
          </w:tcPr>
          <w:p w14:paraId="22B89267">
            <w:pPr>
              <w:pStyle w:val="751"/>
              <w:rPr>
                <w:color w:val="auto"/>
              </w:rPr>
            </w:pPr>
            <w:r>
              <w:rPr>
                <w:rFonts w:hint="eastAsia"/>
                <w:color w:val="auto"/>
              </w:rPr>
              <w:t>/</w:t>
            </w:r>
          </w:p>
        </w:tc>
      </w:tr>
      <w:tr w14:paraId="3835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6EDAF2BD">
            <w:pPr>
              <w:pStyle w:val="751"/>
              <w:rPr>
                <w:color w:val="auto"/>
              </w:rPr>
            </w:pPr>
          </w:p>
        </w:tc>
        <w:tc>
          <w:tcPr>
            <w:tcW w:w="2306" w:type="dxa"/>
            <w:gridSpan w:val="2"/>
            <w:vAlign w:val="center"/>
          </w:tcPr>
          <w:p w14:paraId="012AC815">
            <w:pPr>
              <w:pStyle w:val="751"/>
              <w:rPr>
                <w:bCs/>
                <w:color w:val="auto"/>
              </w:rPr>
            </w:pPr>
            <w:r>
              <w:rPr>
                <w:rFonts w:hint="eastAsia"/>
                <w:color w:val="auto"/>
              </w:rPr>
              <w:t>超标倍数</w:t>
            </w:r>
          </w:p>
        </w:tc>
        <w:tc>
          <w:tcPr>
            <w:tcW w:w="1395" w:type="dxa"/>
            <w:vAlign w:val="center"/>
          </w:tcPr>
          <w:p w14:paraId="621EEFE6">
            <w:pPr>
              <w:pStyle w:val="751"/>
              <w:rPr>
                <w:color w:val="auto"/>
              </w:rPr>
            </w:pPr>
            <w:r>
              <w:rPr>
                <w:rFonts w:hint="eastAsia"/>
                <w:color w:val="auto"/>
              </w:rPr>
              <w:t>/</w:t>
            </w:r>
          </w:p>
        </w:tc>
        <w:tc>
          <w:tcPr>
            <w:tcW w:w="1230" w:type="dxa"/>
            <w:vAlign w:val="center"/>
          </w:tcPr>
          <w:p w14:paraId="19A0D1B6">
            <w:pPr>
              <w:pStyle w:val="751"/>
              <w:rPr>
                <w:color w:val="auto"/>
              </w:rPr>
            </w:pPr>
            <w:r>
              <w:rPr>
                <w:rFonts w:hint="eastAsia"/>
                <w:color w:val="auto"/>
              </w:rPr>
              <w:t>/</w:t>
            </w:r>
          </w:p>
        </w:tc>
        <w:tc>
          <w:tcPr>
            <w:tcW w:w="1230" w:type="dxa"/>
            <w:vAlign w:val="center"/>
          </w:tcPr>
          <w:p w14:paraId="0E2A516A">
            <w:pPr>
              <w:pStyle w:val="751"/>
              <w:rPr>
                <w:color w:val="auto"/>
              </w:rPr>
            </w:pPr>
            <w:r>
              <w:rPr>
                <w:rFonts w:hint="eastAsia"/>
                <w:color w:val="auto"/>
              </w:rPr>
              <w:t>/</w:t>
            </w:r>
          </w:p>
        </w:tc>
        <w:tc>
          <w:tcPr>
            <w:tcW w:w="1231" w:type="dxa"/>
            <w:vAlign w:val="center"/>
          </w:tcPr>
          <w:p w14:paraId="56BA3DDE">
            <w:pPr>
              <w:pStyle w:val="751"/>
              <w:rPr>
                <w:color w:val="auto"/>
              </w:rPr>
            </w:pPr>
            <w:r>
              <w:rPr>
                <w:rFonts w:hint="eastAsia"/>
                <w:color w:val="auto"/>
              </w:rPr>
              <w:t>/</w:t>
            </w:r>
          </w:p>
        </w:tc>
      </w:tr>
      <w:tr w14:paraId="4174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46BF1A04">
            <w:pPr>
              <w:pStyle w:val="751"/>
              <w:rPr>
                <w:color w:val="auto"/>
              </w:rPr>
            </w:pPr>
            <w:r>
              <w:rPr>
                <w:rFonts w:hint="eastAsia"/>
                <w:color w:val="auto"/>
              </w:rPr>
              <w:t>镁</w:t>
            </w:r>
          </w:p>
        </w:tc>
        <w:tc>
          <w:tcPr>
            <w:tcW w:w="1143" w:type="dxa"/>
            <w:vAlign w:val="center"/>
          </w:tcPr>
          <w:p w14:paraId="17212F9C">
            <w:pPr>
              <w:pStyle w:val="751"/>
              <w:rPr>
                <w:color w:val="auto"/>
              </w:rPr>
            </w:pPr>
            <w:r>
              <w:rPr>
                <w:rFonts w:hint="eastAsia"/>
                <w:color w:val="auto"/>
              </w:rPr>
              <w:t>标准限值</w:t>
            </w:r>
          </w:p>
        </w:tc>
        <w:tc>
          <w:tcPr>
            <w:tcW w:w="1163" w:type="dxa"/>
            <w:vAlign w:val="center"/>
          </w:tcPr>
          <w:p w14:paraId="4BB1697E">
            <w:pPr>
              <w:pStyle w:val="751"/>
              <w:rPr>
                <w:color w:val="auto"/>
              </w:rPr>
            </w:pPr>
            <w:r>
              <w:rPr>
                <w:rFonts w:hint="eastAsia"/>
                <w:color w:val="auto"/>
              </w:rPr>
              <w:t>/</w:t>
            </w:r>
          </w:p>
        </w:tc>
        <w:tc>
          <w:tcPr>
            <w:tcW w:w="1395" w:type="dxa"/>
            <w:vAlign w:val="center"/>
          </w:tcPr>
          <w:p w14:paraId="36DD9EC2">
            <w:pPr>
              <w:pStyle w:val="751"/>
              <w:rPr>
                <w:color w:val="auto"/>
              </w:rPr>
            </w:pPr>
            <w:r>
              <w:rPr>
                <w:rFonts w:hint="eastAsia"/>
                <w:color w:val="auto"/>
              </w:rPr>
              <w:t>mg/L</w:t>
            </w:r>
          </w:p>
        </w:tc>
        <w:tc>
          <w:tcPr>
            <w:tcW w:w="1230" w:type="dxa"/>
            <w:vAlign w:val="center"/>
          </w:tcPr>
          <w:p w14:paraId="53686767">
            <w:pPr>
              <w:pStyle w:val="751"/>
              <w:rPr>
                <w:color w:val="auto"/>
              </w:rPr>
            </w:pPr>
            <w:r>
              <w:rPr>
                <w:rFonts w:hint="eastAsia"/>
                <w:bCs/>
                <w:color w:val="auto"/>
              </w:rPr>
              <w:t>46.5</w:t>
            </w:r>
          </w:p>
        </w:tc>
        <w:tc>
          <w:tcPr>
            <w:tcW w:w="1230" w:type="dxa"/>
            <w:vAlign w:val="center"/>
          </w:tcPr>
          <w:p w14:paraId="744E2936">
            <w:pPr>
              <w:pStyle w:val="751"/>
              <w:rPr>
                <w:color w:val="auto"/>
              </w:rPr>
            </w:pPr>
            <w:r>
              <w:rPr>
                <w:rFonts w:hint="eastAsia"/>
                <w:bCs/>
                <w:color w:val="auto"/>
              </w:rPr>
              <w:t xml:space="preserve">22.0 </w:t>
            </w:r>
          </w:p>
        </w:tc>
        <w:tc>
          <w:tcPr>
            <w:tcW w:w="1231" w:type="dxa"/>
            <w:vAlign w:val="center"/>
          </w:tcPr>
          <w:p w14:paraId="669706EA">
            <w:pPr>
              <w:pStyle w:val="751"/>
              <w:rPr>
                <w:color w:val="auto"/>
              </w:rPr>
            </w:pPr>
            <w:r>
              <w:rPr>
                <w:rFonts w:hint="eastAsia"/>
                <w:bCs/>
                <w:color w:val="auto"/>
              </w:rPr>
              <w:t>48.3</w:t>
            </w:r>
          </w:p>
        </w:tc>
      </w:tr>
      <w:tr w14:paraId="22E9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A327300">
            <w:pPr>
              <w:pStyle w:val="751"/>
              <w:rPr>
                <w:color w:val="auto"/>
              </w:rPr>
            </w:pPr>
          </w:p>
        </w:tc>
        <w:tc>
          <w:tcPr>
            <w:tcW w:w="2306" w:type="dxa"/>
            <w:gridSpan w:val="2"/>
            <w:vAlign w:val="center"/>
          </w:tcPr>
          <w:p w14:paraId="22521515">
            <w:pPr>
              <w:pStyle w:val="751"/>
              <w:rPr>
                <w:color w:val="auto"/>
              </w:rPr>
            </w:pPr>
            <w:r>
              <w:rPr>
                <w:rFonts w:hint="eastAsia"/>
                <w:color w:val="auto"/>
              </w:rPr>
              <w:t>Pi</w:t>
            </w:r>
          </w:p>
        </w:tc>
        <w:tc>
          <w:tcPr>
            <w:tcW w:w="1395" w:type="dxa"/>
            <w:vAlign w:val="center"/>
          </w:tcPr>
          <w:p w14:paraId="4962E17A">
            <w:pPr>
              <w:pStyle w:val="751"/>
              <w:rPr>
                <w:color w:val="auto"/>
              </w:rPr>
            </w:pPr>
            <w:r>
              <w:rPr>
                <w:rFonts w:hint="eastAsia"/>
                <w:color w:val="auto"/>
              </w:rPr>
              <w:t>/</w:t>
            </w:r>
          </w:p>
        </w:tc>
        <w:tc>
          <w:tcPr>
            <w:tcW w:w="1230" w:type="dxa"/>
            <w:vAlign w:val="center"/>
          </w:tcPr>
          <w:p w14:paraId="743C0B5D">
            <w:pPr>
              <w:pStyle w:val="751"/>
              <w:rPr>
                <w:color w:val="auto"/>
              </w:rPr>
            </w:pPr>
            <w:r>
              <w:rPr>
                <w:rFonts w:hint="eastAsia"/>
                <w:color w:val="auto"/>
              </w:rPr>
              <w:t>/</w:t>
            </w:r>
          </w:p>
        </w:tc>
        <w:tc>
          <w:tcPr>
            <w:tcW w:w="1230" w:type="dxa"/>
            <w:vAlign w:val="center"/>
          </w:tcPr>
          <w:p w14:paraId="6D990B6E">
            <w:pPr>
              <w:pStyle w:val="751"/>
              <w:rPr>
                <w:color w:val="auto"/>
              </w:rPr>
            </w:pPr>
            <w:r>
              <w:rPr>
                <w:rFonts w:hint="eastAsia"/>
                <w:color w:val="auto"/>
              </w:rPr>
              <w:t>/</w:t>
            </w:r>
          </w:p>
        </w:tc>
        <w:tc>
          <w:tcPr>
            <w:tcW w:w="1231" w:type="dxa"/>
            <w:vAlign w:val="center"/>
          </w:tcPr>
          <w:p w14:paraId="3BAFA473">
            <w:pPr>
              <w:pStyle w:val="751"/>
              <w:rPr>
                <w:color w:val="auto"/>
              </w:rPr>
            </w:pPr>
            <w:r>
              <w:rPr>
                <w:rFonts w:hint="eastAsia"/>
                <w:color w:val="auto"/>
              </w:rPr>
              <w:t>/</w:t>
            </w:r>
          </w:p>
        </w:tc>
      </w:tr>
      <w:tr w14:paraId="0A66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0B25A43">
            <w:pPr>
              <w:pStyle w:val="751"/>
              <w:rPr>
                <w:color w:val="auto"/>
              </w:rPr>
            </w:pPr>
          </w:p>
        </w:tc>
        <w:tc>
          <w:tcPr>
            <w:tcW w:w="2306" w:type="dxa"/>
            <w:gridSpan w:val="2"/>
            <w:vAlign w:val="center"/>
          </w:tcPr>
          <w:p w14:paraId="68EFB313">
            <w:pPr>
              <w:pStyle w:val="751"/>
              <w:rPr>
                <w:color w:val="auto"/>
              </w:rPr>
            </w:pPr>
            <w:r>
              <w:rPr>
                <w:rFonts w:hint="eastAsia"/>
                <w:color w:val="auto"/>
              </w:rPr>
              <w:t>超标倍数</w:t>
            </w:r>
          </w:p>
        </w:tc>
        <w:tc>
          <w:tcPr>
            <w:tcW w:w="1395" w:type="dxa"/>
            <w:vAlign w:val="center"/>
          </w:tcPr>
          <w:p w14:paraId="4598547E">
            <w:pPr>
              <w:pStyle w:val="751"/>
              <w:rPr>
                <w:color w:val="auto"/>
              </w:rPr>
            </w:pPr>
            <w:r>
              <w:rPr>
                <w:rFonts w:hint="eastAsia"/>
                <w:color w:val="auto"/>
              </w:rPr>
              <w:t>/</w:t>
            </w:r>
          </w:p>
        </w:tc>
        <w:tc>
          <w:tcPr>
            <w:tcW w:w="1230" w:type="dxa"/>
            <w:vAlign w:val="center"/>
          </w:tcPr>
          <w:p w14:paraId="2EA3E566">
            <w:pPr>
              <w:pStyle w:val="751"/>
              <w:rPr>
                <w:color w:val="auto"/>
              </w:rPr>
            </w:pPr>
            <w:r>
              <w:rPr>
                <w:rFonts w:hint="eastAsia"/>
                <w:color w:val="auto"/>
              </w:rPr>
              <w:t>/</w:t>
            </w:r>
          </w:p>
        </w:tc>
        <w:tc>
          <w:tcPr>
            <w:tcW w:w="1230" w:type="dxa"/>
            <w:vAlign w:val="center"/>
          </w:tcPr>
          <w:p w14:paraId="65EF1539">
            <w:pPr>
              <w:pStyle w:val="751"/>
              <w:rPr>
                <w:color w:val="auto"/>
              </w:rPr>
            </w:pPr>
            <w:r>
              <w:rPr>
                <w:rFonts w:hint="eastAsia"/>
                <w:color w:val="auto"/>
              </w:rPr>
              <w:t>/</w:t>
            </w:r>
          </w:p>
        </w:tc>
        <w:tc>
          <w:tcPr>
            <w:tcW w:w="1231" w:type="dxa"/>
            <w:vAlign w:val="center"/>
          </w:tcPr>
          <w:p w14:paraId="7647ECEE">
            <w:pPr>
              <w:pStyle w:val="751"/>
              <w:rPr>
                <w:color w:val="auto"/>
              </w:rPr>
            </w:pPr>
            <w:r>
              <w:rPr>
                <w:rFonts w:hint="eastAsia"/>
                <w:color w:val="auto"/>
              </w:rPr>
              <w:t>/</w:t>
            </w:r>
          </w:p>
        </w:tc>
      </w:tr>
      <w:tr w14:paraId="381A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05FACF83">
            <w:pPr>
              <w:pStyle w:val="751"/>
              <w:rPr>
                <w:color w:val="auto"/>
              </w:rPr>
            </w:pPr>
            <w:r>
              <w:rPr>
                <w:color w:val="auto"/>
              </w:rPr>
              <w:t>碳酸盐</w:t>
            </w:r>
          </w:p>
        </w:tc>
        <w:tc>
          <w:tcPr>
            <w:tcW w:w="1143" w:type="dxa"/>
            <w:vAlign w:val="center"/>
          </w:tcPr>
          <w:p w14:paraId="711D0413">
            <w:pPr>
              <w:pStyle w:val="751"/>
              <w:rPr>
                <w:color w:val="auto"/>
              </w:rPr>
            </w:pPr>
            <w:r>
              <w:rPr>
                <w:rFonts w:hint="eastAsia"/>
                <w:color w:val="auto"/>
              </w:rPr>
              <w:t>标准限值</w:t>
            </w:r>
          </w:p>
        </w:tc>
        <w:tc>
          <w:tcPr>
            <w:tcW w:w="1163" w:type="dxa"/>
            <w:vAlign w:val="center"/>
          </w:tcPr>
          <w:p w14:paraId="099FDA91">
            <w:pPr>
              <w:pStyle w:val="751"/>
              <w:rPr>
                <w:color w:val="auto"/>
              </w:rPr>
            </w:pPr>
            <w:r>
              <w:rPr>
                <w:rFonts w:hint="eastAsia"/>
                <w:color w:val="auto"/>
              </w:rPr>
              <w:t>/</w:t>
            </w:r>
          </w:p>
        </w:tc>
        <w:tc>
          <w:tcPr>
            <w:tcW w:w="1395" w:type="dxa"/>
            <w:vAlign w:val="center"/>
          </w:tcPr>
          <w:p w14:paraId="6424F55D">
            <w:pPr>
              <w:pStyle w:val="751"/>
              <w:rPr>
                <w:color w:val="auto"/>
              </w:rPr>
            </w:pPr>
            <w:r>
              <w:rPr>
                <w:rFonts w:hint="eastAsia"/>
                <w:color w:val="auto"/>
              </w:rPr>
              <w:t>mg/L</w:t>
            </w:r>
          </w:p>
        </w:tc>
        <w:tc>
          <w:tcPr>
            <w:tcW w:w="1230" w:type="dxa"/>
            <w:vAlign w:val="center"/>
          </w:tcPr>
          <w:p w14:paraId="0167189F">
            <w:pPr>
              <w:pStyle w:val="751"/>
              <w:rPr>
                <w:color w:val="auto"/>
              </w:rPr>
            </w:pPr>
            <w:r>
              <w:rPr>
                <w:rFonts w:hint="eastAsia"/>
                <w:bCs/>
                <w:color w:val="auto"/>
              </w:rPr>
              <w:t>5L</w:t>
            </w:r>
          </w:p>
        </w:tc>
        <w:tc>
          <w:tcPr>
            <w:tcW w:w="1230" w:type="dxa"/>
            <w:vAlign w:val="center"/>
          </w:tcPr>
          <w:p w14:paraId="1E7ECC85">
            <w:pPr>
              <w:pStyle w:val="751"/>
              <w:rPr>
                <w:color w:val="auto"/>
              </w:rPr>
            </w:pPr>
            <w:r>
              <w:rPr>
                <w:rFonts w:hint="eastAsia"/>
                <w:bCs/>
                <w:color w:val="auto"/>
              </w:rPr>
              <w:t>5L</w:t>
            </w:r>
          </w:p>
        </w:tc>
        <w:tc>
          <w:tcPr>
            <w:tcW w:w="1231" w:type="dxa"/>
            <w:vAlign w:val="center"/>
          </w:tcPr>
          <w:p w14:paraId="4E6E913F">
            <w:pPr>
              <w:pStyle w:val="751"/>
              <w:rPr>
                <w:color w:val="auto"/>
              </w:rPr>
            </w:pPr>
            <w:r>
              <w:rPr>
                <w:rFonts w:hint="eastAsia"/>
                <w:bCs/>
                <w:color w:val="auto"/>
              </w:rPr>
              <w:t>5L</w:t>
            </w:r>
          </w:p>
        </w:tc>
      </w:tr>
      <w:tr w14:paraId="19F0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8866968">
            <w:pPr>
              <w:pStyle w:val="751"/>
              <w:rPr>
                <w:color w:val="auto"/>
              </w:rPr>
            </w:pPr>
          </w:p>
        </w:tc>
        <w:tc>
          <w:tcPr>
            <w:tcW w:w="2306" w:type="dxa"/>
            <w:gridSpan w:val="2"/>
            <w:vAlign w:val="center"/>
          </w:tcPr>
          <w:p w14:paraId="61F109C5">
            <w:pPr>
              <w:pStyle w:val="751"/>
              <w:rPr>
                <w:color w:val="auto"/>
              </w:rPr>
            </w:pPr>
            <w:r>
              <w:rPr>
                <w:rFonts w:hint="eastAsia"/>
                <w:color w:val="auto"/>
              </w:rPr>
              <w:t>Pi</w:t>
            </w:r>
          </w:p>
        </w:tc>
        <w:tc>
          <w:tcPr>
            <w:tcW w:w="1395" w:type="dxa"/>
            <w:vAlign w:val="center"/>
          </w:tcPr>
          <w:p w14:paraId="1DC768B3">
            <w:pPr>
              <w:pStyle w:val="751"/>
              <w:rPr>
                <w:color w:val="auto"/>
              </w:rPr>
            </w:pPr>
            <w:r>
              <w:rPr>
                <w:rFonts w:hint="eastAsia"/>
                <w:color w:val="auto"/>
              </w:rPr>
              <w:t>/</w:t>
            </w:r>
          </w:p>
        </w:tc>
        <w:tc>
          <w:tcPr>
            <w:tcW w:w="1230" w:type="dxa"/>
            <w:vAlign w:val="center"/>
          </w:tcPr>
          <w:p w14:paraId="40331EDA">
            <w:pPr>
              <w:pStyle w:val="751"/>
              <w:rPr>
                <w:color w:val="auto"/>
              </w:rPr>
            </w:pPr>
            <w:r>
              <w:rPr>
                <w:rFonts w:hint="eastAsia"/>
                <w:color w:val="auto"/>
              </w:rPr>
              <w:t>/</w:t>
            </w:r>
          </w:p>
        </w:tc>
        <w:tc>
          <w:tcPr>
            <w:tcW w:w="1230" w:type="dxa"/>
            <w:vAlign w:val="center"/>
          </w:tcPr>
          <w:p w14:paraId="400AC012">
            <w:pPr>
              <w:pStyle w:val="751"/>
              <w:rPr>
                <w:color w:val="auto"/>
              </w:rPr>
            </w:pPr>
            <w:r>
              <w:rPr>
                <w:rFonts w:hint="eastAsia"/>
                <w:color w:val="auto"/>
              </w:rPr>
              <w:t>/</w:t>
            </w:r>
          </w:p>
        </w:tc>
        <w:tc>
          <w:tcPr>
            <w:tcW w:w="1231" w:type="dxa"/>
            <w:vAlign w:val="center"/>
          </w:tcPr>
          <w:p w14:paraId="24A98E5D">
            <w:pPr>
              <w:pStyle w:val="751"/>
              <w:rPr>
                <w:color w:val="auto"/>
              </w:rPr>
            </w:pPr>
            <w:r>
              <w:rPr>
                <w:rFonts w:hint="eastAsia"/>
                <w:color w:val="auto"/>
              </w:rPr>
              <w:t>/</w:t>
            </w:r>
          </w:p>
        </w:tc>
      </w:tr>
      <w:tr w14:paraId="32F2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FD03A62">
            <w:pPr>
              <w:pStyle w:val="751"/>
              <w:rPr>
                <w:color w:val="auto"/>
              </w:rPr>
            </w:pPr>
          </w:p>
        </w:tc>
        <w:tc>
          <w:tcPr>
            <w:tcW w:w="2306" w:type="dxa"/>
            <w:gridSpan w:val="2"/>
            <w:vAlign w:val="center"/>
          </w:tcPr>
          <w:p w14:paraId="7D314507">
            <w:pPr>
              <w:pStyle w:val="751"/>
              <w:rPr>
                <w:color w:val="auto"/>
              </w:rPr>
            </w:pPr>
            <w:r>
              <w:rPr>
                <w:rFonts w:hint="eastAsia"/>
                <w:color w:val="auto"/>
              </w:rPr>
              <w:t>超标倍数</w:t>
            </w:r>
          </w:p>
        </w:tc>
        <w:tc>
          <w:tcPr>
            <w:tcW w:w="1395" w:type="dxa"/>
            <w:vAlign w:val="center"/>
          </w:tcPr>
          <w:p w14:paraId="0330E402">
            <w:pPr>
              <w:pStyle w:val="751"/>
              <w:rPr>
                <w:color w:val="auto"/>
              </w:rPr>
            </w:pPr>
            <w:r>
              <w:rPr>
                <w:rFonts w:hint="eastAsia"/>
                <w:color w:val="auto"/>
              </w:rPr>
              <w:t>/</w:t>
            </w:r>
          </w:p>
        </w:tc>
        <w:tc>
          <w:tcPr>
            <w:tcW w:w="1230" w:type="dxa"/>
            <w:vAlign w:val="center"/>
          </w:tcPr>
          <w:p w14:paraId="375B58C1">
            <w:pPr>
              <w:pStyle w:val="751"/>
              <w:rPr>
                <w:color w:val="auto"/>
              </w:rPr>
            </w:pPr>
            <w:r>
              <w:rPr>
                <w:rFonts w:hint="eastAsia"/>
                <w:color w:val="auto"/>
              </w:rPr>
              <w:t>/</w:t>
            </w:r>
          </w:p>
        </w:tc>
        <w:tc>
          <w:tcPr>
            <w:tcW w:w="1230" w:type="dxa"/>
            <w:vAlign w:val="center"/>
          </w:tcPr>
          <w:p w14:paraId="17260B17">
            <w:pPr>
              <w:pStyle w:val="751"/>
              <w:rPr>
                <w:color w:val="auto"/>
              </w:rPr>
            </w:pPr>
            <w:r>
              <w:rPr>
                <w:rFonts w:hint="eastAsia"/>
                <w:color w:val="auto"/>
              </w:rPr>
              <w:t>/</w:t>
            </w:r>
          </w:p>
        </w:tc>
        <w:tc>
          <w:tcPr>
            <w:tcW w:w="1231" w:type="dxa"/>
            <w:vAlign w:val="center"/>
          </w:tcPr>
          <w:p w14:paraId="400D361E">
            <w:pPr>
              <w:pStyle w:val="751"/>
              <w:rPr>
                <w:color w:val="auto"/>
              </w:rPr>
            </w:pPr>
            <w:r>
              <w:rPr>
                <w:rFonts w:hint="eastAsia"/>
                <w:color w:val="auto"/>
              </w:rPr>
              <w:t>/</w:t>
            </w:r>
          </w:p>
        </w:tc>
      </w:tr>
      <w:tr w14:paraId="525E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639DD735">
            <w:pPr>
              <w:pStyle w:val="751"/>
              <w:rPr>
                <w:color w:val="auto"/>
              </w:rPr>
            </w:pPr>
            <w:r>
              <w:rPr>
                <w:color w:val="auto"/>
              </w:rPr>
              <w:t>重碳酸盐</w:t>
            </w:r>
          </w:p>
        </w:tc>
        <w:tc>
          <w:tcPr>
            <w:tcW w:w="1143" w:type="dxa"/>
            <w:vAlign w:val="center"/>
          </w:tcPr>
          <w:p w14:paraId="71171174">
            <w:pPr>
              <w:pStyle w:val="751"/>
              <w:rPr>
                <w:color w:val="auto"/>
              </w:rPr>
            </w:pPr>
            <w:r>
              <w:rPr>
                <w:rFonts w:hint="eastAsia"/>
                <w:color w:val="auto"/>
              </w:rPr>
              <w:t>标准限值</w:t>
            </w:r>
          </w:p>
        </w:tc>
        <w:tc>
          <w:tcPr>
            <w:tcW w:w="1163" w:type="dxa"/>
            <w:vAlign w:val="center"/>
          </w:tcPr>
          <w:p w14:paraId="682DAD69">
            <w:pPr>
              <w:pStyle w:val="751"/>
              <w:rPr>
                <w:color w:val="auto"/>
              </w:rPr>
            </w:pPr>
            <w:r>
              <w:rPr>
                <w:rFonts w:hint="eastAsia"/>
                <w:color w:val="auto"/>
              </w:rPr>
              <w:t>/</w:t>
            </w:r>
          </w:p>
        </w:tc>
        <w:tc>
          <w:tcPr>
            <w:tcW w:w="1395" w:type="dxa"/>
            <w:vAlign w:val="center"/>
          </w:tcPr>
          <w:p w14:paraId="6ECD9E12">
            <w:pPr>
              <w:pStyle w:val="751"/>
              <w:rPr>
                <w:color w:val="auto"/>
              </w:rPr>
            </w:pPr>
            <w:r>
              <w:rPr>
                <w:rFonts w:hint="eastAsia"/>
                <w:color w:val="auto"/>
              </w:rPr>
              <w:t>mg/L</w:t>
            </w:r>
          </w:p>
        </w:tc>
        <w:tc>
          <w:tcPr>
            <w:tcW w:w="1230" w:type="dxa"/>
            <w:vAlign w:val="center"/>
          </w:tcPr>
          <w:p w14:paraId="3C4DACAE">
            <w:pPr>
              <w:pStyle w:val="751"/>
              <w:rPr>
                <w:color w:val="auto"/>
              </w:rPr>
            </w:pPr>
            <w:r>
              <w:rPr>
                <w:rFonts w:hint="eastAsia"/>
                <w:bCs/>
                <w:color w:val="auto"/>
              </w:rPr>
              <w:t>178</w:t>
            </w:r>
          </w:p>
        </w:tc>
        <w:tc>
          <w:tcPr>
            <w:tcW w:w="1230" w:type="dxa"/>
            <w:vAlign w:val="center"/>
          </w:tcPr>
          <w:p w14:paraId="67B30D71">
            <w:pPr>
              <w:pStyle w:val="751"/>
              <w:rPr>
                <w:color w:val="auto"/>
              </w:rPr>
            </w:pPr>
            <w:r>
              <w:rPr>
                <w:rFonts w:hint="eastAsia"/>
                <w:bCs/>
                <w:color w:val="auto"/>
              </w:rPr>
              <w:t>388</w:t>
            </w:r>
          </w:p>
        </w:tc>
        <w:tc>
          <w:tcPr>
            <w:tcW w:w="1231" w:type="dxa"/>
            <w:vAlign w:val="center"/>
          </w:tcPr>
          <w:p w14:paraId="2C341A0D">
            <w:pPr>
              <w:pStyle w:val="751"/>
              <w:rPr>
                <w:color w:val="auto"/>
              </w:rPr>
            </w:pPr>
            <w:r>
              <w:rPr>
                <w:rFonts w:hint="eastAsia"/>
                <w:bCs/>
                <w:color w:val="auto"/>
              </w:rPr>
              <w:t>455</w:t>
            </w:r>
          </w:p>
        </w:tc>
      </w:tr>
      <w:tr w14:paraId="7EF5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1895" w:type="dxa"/>
            <w:vMerge w:val="continue"/>
            <w:vAlign w:val="center"/>
          </w:tcPr>
          <w:p w14:paraId="7695D666">
            <w:pPr>
              <w:pStyle w:val="751"/>
              <w:rPr>
                <w:color w:val="auto"/>
              </w:rPr>
            </w:pPr>
          </w:p>
        </w:tc>
        <w:tc>
          <w:tcPr>
            <w:tcW w:w="2306" w:type="dxa"/>
            <w:gridSpan w:val="2"/>
            <w:vAlign w:val="center"/>
          </w:tcPr>
          <w:p w14:paraId="0EEFBB55">
            <w:pPr>
              <w:pStyle w:val="751"/>
              <w:rPr>
                <w:color w:val="auto"/>
              </w:rPr>
            </w:pPr>
            <w:r>
              <w:rPr>
                <w:rFonts w:hint="eastAsia"/>
                <w:color w:val="auto"/>
              </w:rPr>
              <w:t>Pi</w:t>
            </w:r>
          </w:p>
        </w:tc>
        <w:tc>
          <w:tcPr>
            <w:tcW w:w="1395" w:type="dxa"/>
            <w:vAlign w:val="center"/>
          </w:tcPr>
          <w:p w14:paraId="39E11F2B">
            <w:pPr>
              <w:pStyle w:val="751"/>
              <w:rPr>
                <w:color w:val="auto"/>
              </w:rPr>
            </w:pPr>
            <w:r>
              <w:rPr>
                <w:rFonts w:hint="eastAsia"/>
                <w:color w:val="auto"/>
              </w:rPr>
              <w:t>/</w:t>
            </w:r>
          </w:p>
        </w:tc>
        <w:tc>
          <w:tcPr>
            <w:tcW w:w="1230" w:type="dxa"/>
            <w:vAlign w:val="center"/>
          </w:tcPr>
          <w:p w14:paraId="5938CEDA">
            <w:pPr>
              <w:pStyle w:val="751"/>
              <w:rPr>
                <w:color w:val="auto"/>
              </w:rPr>
            </w:pPr>
            <w:r>
              <w:rPr>
                <w:rFonts w:hint="eastAsia"/>
                <w:color w:val="auto"/>
              </w:rPr>
              <w:t>/</w:t>
            </w:r>
          </w:p>
        </w:tc>
        <w:tc>
          <w:tcPr>
            <w:tcW w:w="1230" w:type="dxa"/>
            <w:vAlign w:val="center"/>
          </w:tcPr>
          <w:p w14:paraId="19F56C29">
            <w:pPr>
              <w:pStyle w:val="751"/>
              <w:rPr>
                <w:color w:val="auto"/>
              </w:rPr>
            </w:pPr>
            <w:r>
              <w:rPr>
                <w:rFonts w:hint="eastAsia"/>
                <w:color w:val="auto"/>
              </w:rPr>
              <w:t>/</w:t>
            </w:r>
          </w:p>
        </w:tc>
        <w:tc>
          <w:tcPr>
            <w:tcW w:w="1231" w:type="dxa"/>
            <w:vAlign w:val="center"/>
          </w:tcPr>
          <w:p w14:paraId="158E2C2A">
            <w:pPr>
              <w:pStyle w:val="751"/>
              <w:rPr>
                <w:color w:val="auto"/>
              </w:rPr>
            </w:pPr>
            <w:r>
              <w:rPr>
                <w:rFonts w:hint="eastAsia"/>
                <w:color w:val="auto"/>
              </w:rPr>
              <w:t>/</w:t>
            </w:r>
          </w:p>
        </w:tc>
      </w:tr>
      <w:tr w14:paraId="6558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A93DE29">
            <w:pPr>
              <w:pStyle w:val="751"/>
              <w:rPr>
                <w:color w:val="auto"/>
              </w:rPr>
            </w:pPr>
          </w:p>
        </w:tc>
        <w:tc>
          <w:tcPr>
            <w:tcW w:w="2306" w:type="dxa"/>
            <w:gridSpan w:val="2"/>
            <w:vAlign w:val="center"/>
          </w:tcPr>
          <w:p w14:paraId="3CDAACE5">
            <w:pPr>
              <w:pStyle w:val="751"/>
              <w:rPr>
                <w:color w:val="auto"/>
              </w:rPr>
            </w:pPr>
            <w:r>
              <w:rPr>
                <w:rFonts w:hint="eastAsia"/>
                <w:color w:val="auto"/>
              </w:rPr>
              <w:t>超标倍数</w:t>
            </w:r>
          </w:p>
        </w:tc>
        <w:tc>
          <w:tcPr>
            <w:tcW w:w="1395" w:type="dxa"/>
            <w:vAlign w:val="center"/>
          </w:tcPr>
          <w:p w14:paraId="50351A5B">
            <w:pPr>
              <w:pStyle w:val="751"/>
              <w:rPr>
                <w:color w:val="auto"/>
              </w:rPr>
            </w:pPr>
            <w:r>
              <w:rPr>
                <w:rFonts w:hint="eastAsia"/>
                <w:color w:val="auto"/>
              </w:rPr>
              <w:t>/</w:t>
            </w:r>
          </w:p>
        </w:tc>
        <w:tc>
          <w:tcPr>
            <w:tcW w:w="1230" w:type="dxa"/>
            <w:vAlign w:val="center"/>
          </w:tcPr>
          <w:p w14:paraId="17180C81">
            <w:pPr>
              <w:pStyle w:val="751"/>
              <w:rPr>
                <w:color w:val="auto"/>
              </w:rPr>
            </w:pPr>
            <w:r>
              <w:rPr>
                <w:rFonts w:hint="eastAsia"/>
                <w:color w:val="auto"/>
              </w:rPr>
              <w:t>/</w:t>
            </w:r>
          </w:p>
        </w:tc>
        <w:tc>
          <w:tcPr>
            <w:tcW w:w="1230" w:type="dxa"/>
            <w:vAlign w:val="center"/>
          </w:tcPr>
          <w:p w14:paraId="03B7D5E8">
            <w:pPr>
              <w:pStyle w:val="751"/>
              <w:rPr>
                <w:color w:val="auto"/>
              </w:rPr>
            </w:pPr>
            <w:r>
              <w:rPr>
                <w:rFonts w:hint="eastAsia"/>
                <w:color w:val="auto"/>
              </w:rPr>
              <w:t>/</w:t>
            </w:r>
          </w:p>
        </w:tc>
        <w:tc>
          <w:tcPr>
            <w:tcW w:w="1231" w:type="dxa"/>
            <w:vAlign w:val="center"/>
          </w:tcPr>
          <w:p w14:paraId="4BC2851F">
            <w:pPr>
              <w:pStyle w:val="751"/>
              <w:rPr>
                <w:color w:val="auto"/>
              </w:rPr>
            </w:pPr>
            <w:r>
              <w:rPr>
                <w:rFonts w:hint="eastAsia"/>
                <w:color w:val="auto"/>
              </w:rPr>
              <w:t>/</w:t>
            </w:r>
          </w:p>
        </w:tc>
      </w:tr>
      <w:tr w14:paraId="4C64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A8BED17">
            <w:pPr>
              <w:pStyle w:val="751"/>
              <w:rPr>
                <w:color w:val="auto"/>
              </w:rPr>
            </w:pPr>
            <w:r>
              <w:rPr>
                <w:rFonts w:hint="eastAsia"/>
                <w:color w:val="auto"/>
              </w:rPr>
              <w:t>氯化物（</w:t>
            </w:r>
            <w:r>
              <w:rPr>
                <w:color w:val="auto"/>
                <w:spacing w:val="-11"/>
              </w:rPr>
              <w:t>Cl</w:t>
            </w:r>
            <w:r>
              <w:rPr>
                <w:color w:val="auto"/>
                <w:spacing w:val="-11"/>
                <w:vertAlign w:val="superscript"/>
              </w:rPr>
              <w:t>-</w:t>
            </w:r>
            <w:r>
              <w:rPr>
                <w:rFonts w:hint="eastAsia"/>
                <w:color w:val="auto"/>
                <w:spacing w:val="-11"/>
              </w:rPr>
              <w:t>）</w:t>
            </w:r>
          </w:p>
        </w:tc>
        <w:tc>
          <w:tcPr>
            <w:tcW w:w="1143" w:type="dxa"/>
            <w:vAlign w:val="center"/>
          </w:tcPr>
          <w:p w14:paraId="02FADA19">
            <w:pPr>
              <w:pStyle w:val="751"/>
              <w:rPr>
                <w:color w:val="auto"/>
              </w:rPr>
            </w:pPr>
            <w:r>
              <w:rPr>
                <w:rFonts w:hint="eastAsia"/>
                <w:color w:val="auto"/>
              </w:rPr>
              <w:t>标准限值</w:t>
            </w:r>
          </w:p>
        </w:tc>
        <w:tc>
          <w:tcPr>
            <w:tcW w:w="1163" w:type="dxa"/>
            <w:vAlign w:val="center"/>
          </w:tcPr>
          <w:p w14:paraId="42729703">
            <w:pPr>
              <w:pStyle w:val="751"/>
              <w:rPr>
                <w:color w:val="auto"/>
              </w:rPr>
            </w:pPr>
            <w:r>
              <w:rPr>
                <w:rFonts w:hint="eastAsia"/>
                <w:color w:val="auto"/>
              </w:rPr>
              <w:t>250</w:t>
            </w:r>
          </w:p>
        </w:tc>
        <w:tc>
          <w:tcPr>
            <w:tcW w:w="1395" w:type="dxa"/>
            <w:vAlign w:val="center"/>
          </w:tcPr>
          <w:p w14:paraId="530FE95E">
            <w:pPr>
              <w:pStyle w:val="751"/>
              <w:rPr>
                <w:color w:val="auto"/>
              </w:rPr>
            </w:pPr>
            <w:r>
              <w:rPr>
                <w:rFonts w:hint="eastAsia"/>
                <w:color w:val="auto"/>
              </w:rPr>
              <w:t>mg/L</w:t>
            </w:r>
          </w:p>
        </w:tc>
        <w:tc>
          <w:tcPr>
            <w:tcW w:w="1230" w:type="dxa"/>
            <w:vAlign w:val="center"/>
          </w:tcPr>
          <w:p w14:paraId="324F6741">
            <w:pPr>
              <w:pStyle w:val="751"/>
              <w:rPr>
                <w:color w:val="auto"/>
              </w:rPr>
            </w:pPr>
            <w:r>
              <w:rPr>
                <w:rFonts w:hint="eastAsia"/>
                <w:bCs/>
                <w:color w:val="auto"/>
              </w:rPr>
              <w:t>236</w:t>
            </w:r>
          </w:p>
        </w:tc>
        <w:tc>
          <w:tcPr>
            <w:tcW w:w="0" w:type="auto"/>
            <w:vAlign w:val="center"/>
          </w:tcPr>
          <w:p w14:paraId="08C7B8D5">
            <w:pPr>
              <w:pStyle w:val="751"/>
              <w:rPr>
                <w:color w:val="auto"/>
              </w:rPr>
            </w:pPr>
            <w:r>
              <w:rPr>
                <w:rFonts w:hint="eastAsia"/>
                <w:bCs/>
                <w:color w:val="auto"/>
              </w:rPr>
              <w:t>139</w:t>
            </w:r>
          </w:p>
        </w:tc>
        <w:tc>
          <w:tcPr>
            <w:tcW w:w="0" w:type="auto"/>
            <w:vAlign w:val="center"/>
          </w:tcPr>
          <w:p w14:paraId="026438D0">
            <w:pPr>
              <w:pStyle w:val="751"/>
              <w:rPr>
                <w:color w:val="auto"/>
              </w:rPr>
            </w:pPr>
            <w:r>
              <w:rPr>
                <w:rFonts w:hint="eastAsia"/>
                <w:bCs/>
                <w:color w:val="auto"/>
              </w:rPr>
              <w:t>224</w:t>
            </w:r>
          </w:p>
        </w:tc>
      </w:tr>
      <w:tr w14:paraId="27AD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0CCA1683">
            <w:pPr>
              <w:pStyle w:val="751"/>
              <w:rPr>
                <w:color w:val="auto"/>
              </w:rPr>
            </w:pPr>
          </w:p>
        </w:tc>
        <w:tc>
          <w:tcPr>
            <w:tcW w:w="2306" w:type="dxa"/>
            <w:gridSpan w:val="2"/>
            <w:vAlign w:val="center"/>
          </w:tcPr>
          <w:p w14:paraId="73C6C0D9">
            <w:pPr>
              <w:pStyle w:val="751"/>
              <w:rPr>
                <w:color w:val="auto"/>
              </w:rPr>
            </w:pPr>
            <w:r>
              <w:rPr>
                <w:rFonts w:hint="eastAsia"/>
                <w:color w:val="auto"/>
              </w:rPr>
              <w:t>Pi</w:t>
            </w:r>
          </w:p>
        </w:tc>
        <w:tc>
          <w:tcPr>
            <w:tcW w:w="1395" w:type="dxa"/>
            <w:vAlign w:val="center"/>
          </w:tcPr>
          <w:p w14:paraId="0219D4FD">
            <w:pPr>
              <w:pStyle w:val="751"/>
              <w:rPr>
                <w:color w:val="auto"/>
              </w:rPr>
            </w:pPr>
            <w:r>
              <w:rPr>
                <w:rFonts w:hint="eastAsia"/>
                <w:color w:val="auto"/>
              </w:rPr>
              <w:t>/</w:t>
            </w:r>
          </w:p>
        </w:tc>
        <w:tc>
          <w:tcPr>
            <w:tcW w:w="1230" w:type="dxa"/>
            <w:vAlign w:val="center"/>
          </w:tcPr>
          <w:p w14:paraId="0C604488">
            <w:pPr>
              <w:pStyle w:val="751"/>
              <w:rPr>
                <w:bCs/>
                <w:color w:val="auto"/>
              </w:rPr>
            </w:pPr>
            <w:r>
              <w:rPr>
                <w:rFonts w:hint="eastAsia"/>
                <w:bCs/>
                <w:color w:val="auto"/>
              </w:rPr>
              <w:t>0.944</w:t>
            </w:r>
          </w:p>
        </w:tc>
        <w:tc>
          <w:tcPr>
            <w:tcW w:w="0" w:type="auto"/>
            <w:vAlign w:val="center"/>
          </w:tcPr>
          <w:p w14:paraId="1AA70230">
            <w:pPr>
              <w:pStyle w:val="751"/>
              <w:rPr>
                <w:bCs/>
                <w:color w:val="auto"/>
              </w:rPr>
            </w:pPr>
            <w:r>
              <w:rPr>
                <w:rFonts w:hint="eastAsia"/>
                <w:bCs/>
                <w:color w:val="auto"/>
              </w:rPr>
              <w:t>0.556</w:t>
            </w:r>
          </w:p>
        </w:tc>
        <w:tc>
          <w:tcPr>
            <w:tcW w:w="0" w:type="auto"/>
            <w:vAlign w:val="center"/>
          </w:tcPr>
          <w:p w14:paraId="26E0689E">
            <w:pPr>
              <w:pStyle w:val="751"/>
              <w:rPr>
                <w:bCs/>
                <w:color w:val="auto"/>
              </w:rPr>
            </w:pPr>
            <w:r>
              <w:rPr>
                <w:rFonts w:hint="eastAsia"/>
                <w:bCs/>
                <w:color w:val="auto"/>
              </w:rPr>
              <w:t>0.896</w:t>
            </w:r>
          </w:p>
        </w:tc>
      </w:tr>
      <w:tr w14:paraId="09CE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16D9798">
            <w:pPr>
              <w:pStyle w:val="751"/>
              <w:rPr>
                <w:color w:val="auto"/>
              </w:rPr>
            </w:pPr>
          </w:p>
        </w:tc>
        <w:tc>
          <w:tcPr>
            <w:tcW w:w="2306" w:type="dxa"/>
            <w:gridSpan w:val="2"/>
            <w:vAlign w:val="center"/>
          </w:tcPr>
          <w:p w14:paraId="6C6BE19C">
            <w:pPr>
              <w:pStyle w:val="751"/>
              <w:rPr>
                <w:color w:val="auto"/>
              </w:rPr>
            </w:pPr>
            <w:r>
              <w:rPr>
                <w:rFonts w:hint="eastAsia"/>
                <w:color w:val="auto"/>
              </w:rPr>
              <w:t>超标倍数</w:t>
            </w:r>
          </w:p>
        </w:tc>
        <w:tc>
          <w:tcPr>
            <w:tcW w:w="1395" w:type="dxa"/>
            <w:vAlign w:val="center"/>
          </w:tcPr>
          <w:p w14:paraId="0A3FD45C">
            <w:pPr>
              <w:pStyle w:val="751"/>
              <w:rPr>
                <w:color w:val="auto"/>
              </w:rPr>
            </w:pPr>
            <w:r>
              <w:rPr>
                <w:rFonts w:hint="eastAsia"/>
                <w:color w:val="auto"/>
              </w:rPr>
              <w:t>/</w:t>
            </w:r>
          </w:p>
        </w:tc>
        <w:tc>
          <w:tcPr>
            <w:tcW w:w="1230" w:type="dxa"/>
            <w:vAlign w:val="center"/>
          </w:tcPr>
          <w:p w14:paraId="0D491B44">
            <w:pPr>
              <w:pStyle w:val="751"/>
              <w:rPr>
                <w:bCs/>
                <w:color w:val="auto"/>
              </w:rPr>
            </w:pPr>
            <w:r>
              <w:rPr>
                <w:rFonts w:hint="eastAsia"/>
                <w:bCs/>
                <w:color w:val="auto"/>
              </w:rPr>
              <w:t>0</w:t>
            </w:r>
          </w:p>
        </w:tc>
        <w:tc>
          <w:tcPr>
            <w:tcW w:w="0" w:type="auto"/>
            <w:vAlign w:val="center"/>
          </w:tcPr>
          <w:p w14:paraId="2047E5E2">
            <w:pPr>
              <w:pStyle w:val="751"/>
              <w:rPr>
                <w:bCs/>
                <w:color w:val="auto"/>
              </w:rPr>
            </w:pPr>
            <w:r>
              <w:rPr>
                <w:rFonts w:hint="eastAsia"/>
                <w:bCs/>
                <w:color w:val="auto"/>
              </w:rPr>
              <w:t>0</w:t>
            </w:r>
          </w:p>
        </w:tc>
        <w:tc>
          <w:tcPr>
            <w:tcW w:w="0" w:type="auto"/>
            <w:vAlign w:val="center"/>
          </w:tcPr>
          <w:p w14:paraId="7B1DE55B">
            <w:pPr>
              <w:pStyle w:val="751"/>
              <w:rPr>
                <w:bCs/>
                <w:color w:val="auto"/>
              </w:rPr>
            </w:pPr>
            <w:r>
              <w:rPr>
                <w:rFonts w:hint="eastAsia"/>
                <w:bCs/>
                <w:color w:val="auto"/>
              </w:rPr>
              <w:t>0</w:t>
            </w:r>
          </w:p>
        </w:tc>
      </w:tr>
      <w:tr w14:paraId="2A73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232C9A70">
            <w:pPr>
              <w:pStyle w:val="751"/>
              <w:rPr>
                <w:color w:val="auto"/>
              </w:rPr>
            </w:pPr>
            <w:r>
              <w:rPr>
                <w:rFonts w:hint="eastAsia"/>
                <w:color w:val="auto"/>
              </w:rPr>
              <w:t>硫酸盐（</w:t>
            </w:r>
            <w:r>
              <w:rPr>
                <w:color w:val="auto"/>
                <w:spacing w:val="-11"/>
              </w:rPr>
              <w:t>SO</w:t>
            </w:r>
            <w:r>
              <w:rPr>
                <w:color w:val="auto"/>
                <w:spacing w:val="-11"/>
                <w:vertAlign w:val="subscript"/>
              </w:rPr>
              <w:t>4</w:t>
            </w:r>
            <w:r>
              <w:rPr>
                <w:color w:val="auto"/>
                <w:spacing w:val="-11"/>
                <w:vertAlign w:val="superscript"/>
              </w:rPr>
              <w:t>2-</w:t>
            </w:r>
            <w:r>
              <w:rPr>
                <w:rFonts w:hint="eastAsia"/>
                <w:color w:val="auto"/>
                <w:spacing w:val="-11"/>
              </w:rPr>
              <w:t>）</w:t>
            </w:r>
          </w:p>
        </w:tc>
        <w:tc>
          <w:tcPr>
            <w:tcW w:w="1143" w:type="dxa"/>
            <w:vAlign w:val="center"/>
          </w:tcPr>
          <w:p w14:paraId="3327982C">
            <w:pPr>
              <w:pStyle w:val="751"/>
              <w:rPr>
                <w:color w:val="auto"/>
              </w:rPr>
            </w:pPr>
            <w:r>
              <w:rPr>
                <w:rFonts w:hint="eastAsia"/>
                <w:color w:val="auto"/>
              </w:rPr>
              <w:t>标准限值</w:t>
            </w:r>
          </w:p>
        </w:tc>
        <w:tc>
          <w:tcPr>
            <w:tcW w:w="1163" w:type="dxa"/>
            <w:vAlign w:val="center"/>
          </w:tcPr>
          <w:p w14:paraId="7F0BB31E">
            <w:pPr>
              <w:pStyle w:val="751"/>
              <w:rPr>
                <w:color w:val="auto"/>
              </w:rPr>
            </w:pPr>
            <w:r>
              <w:rPr>
                <w:rFonts w:hint="eastAsia"/>
                <w:color w:val="auto"/>
              </w:rPr>
              <w:t>250</w:t>
            </w:r>
          </w:p>
        </w:tc>
        <w:tc>
          <w:tcPr>
            <w:tcW w:w="1395" w:type="dxa"/>
            <w:vAlign w:val="center"/>
          </w:tcPr>
          <w:p w14:paraId="02F2C946">
            <w:pPr>
              <w:pStyle w:val="751"/>
              <w:rPr>
                <w:color w:val="auto"/>
              </w:rPr>
            </w:pPr>
            <w:r>
              <w:rPr>
                <w:rFonts w:hint="eastAsia"/>
                <w:color w:val="auto"/>
              </w:rPr>
              <w:t>mg/L</w:t>
            </w:r>
          </w:p>
        </w:tc>
        <w:tc>
          <w:tcPr>
            <w:tcW w:w="1230" w:type="dxa"/>
            <w:vAlign w:val="center"/>
          </w:tcPr>
          <w:p w14:paraId="168F3D7F">
            <w:pPr>
              <w:pStyle w:val="751"/>
              <w:rPr>
                <w:color w:val="auto"/>
              </w:rPr>
            </w:pPr>
            <w:r>
              <w:rPr>
                <w:rFonts w:hint="eastAsia"/>
                <w:bCs/>
                <w:color w:val="auto"/>
              </w:rPr>
              <w:t>225</w:t>
            </w:r>
          </w:p>
        </w:tc>
        <w:tc>
          <w:tcPr>
            <w:tcW w:w="0" w:type="auto"/>
            <w:vAlign w:val="center"/>
          </w:tcPr>
          <w:p w14:paraId="22785F9E">
            <w:pPr>
              <w:pStyle w:val="751"/>
              <w:rPr>
                <w:color w:val="auto"/>
              </w:rPr>
            </w:pPr>
            <w:r>
              <w:rPr>
                <w:rFonts w:hint="eastAsia"/>
                <w:bCs/>
                <w:color w:val="auto"/>
              </w:rPr>
              <w:t>112</w:t>
            </w:r>
          </w:p>
        </w:tc>
        <w:tc>
          <w:tcPr>
            <w:tcW w:w="0" w:type="auto"/>
            <w:vAlign w:val="center"/>
          </w:tcPr>
          <w:p w14:paraId="3C79E378">
            <w:pPr>
              <w:pStyle w:val="751"/>
              <w:rPr>
                <w:color w:val="auto"/>
              </w:rPr>
            </w:pPr>
            <w:r>
              <w:rPr>
                <w:rFonts w:hint="eastAsia"/>
                <w:bCs/>
                <w:color w:val="auto"/>
              </w:rPr>
              <w:t>223</w:t>
            </w:r>
          </w:p>
        </w:tc>
      </w:tr>
      <w:tr w14:paraId="0667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8124876">
            <w:pPr>
              <w:pStyle w:val="751"/>
              <w:rPr>
                <w:color w:val="auto"/>
              </w:rPr>
            </w:pPr>
          </w:p>
        </w:tc>
        <w:tc>
          <w:tcPr>
            <w:tcW w:w="2306" w:type="dxa"/>
            <w:gridSpan w:val="2"/>
            <w:vAlign w:val="center"/>
          </w:tcPr>
          <w:p w14:paraId="60703C0D">
            <w:pPr>
              <w:pStyle w:val="751"/>
              <w:rPr>
                <w:color w:val="auto"/>
              </w:rPr>
            </w:pPr>
            <w:r>
              <w:rPr>
                <w:rFonts w:hint="eastAsia"/>
                <w:color w:val="auto"/>
              </w:rPr>
              <w:t>Pi</w:t>
            </w:r>
          </w:p>
        </w:tc>
        <w:tc>
          <w:tcPr>
            <w:tcW w:w="1395" w:type="dxa"/>
            <w:vAlign w:val="center"/>
          </w:tcPr>
          <w:p w14:paraId="5AEDE936">
            <w:pPr>
              <w:pStyle w:val="751"/>
              <w:rPr>
                <w:color w:val="auto"/>
              </w:rPr>
            </w:pPr>
            <w:r>
              <w:rPr>
                <w:rFonts w:hint="eastAsia"/>
                <w:color w:val="auto"/>
              </w:rPr>
              <w:t>/</w:t>
            </w:r>
          </w:p>
        </w:tc>
        <w:tc>
          <w:tcPr>
            <w:tcW w:w="1230" w:type="dxa"/>
            <w:vAlign w:val="center"/>
          </w:tcPr>
          <w:p w14:paraId="09E68961">
            <w:pPr>
              <w:pStyle w:val="751"/>
              <w:rPr>
                <w:bCs/>
                <w:color w:val="auto"/>
              </w:rPr>
            </w:pPr>
            <w:r>
              <w:rPr>
                <w:rFonts w:hint="eastAsia"/>
                <w:bCs/>
                <w:color w:val="auto"/>
              </w:rPr>
              <w:t>0.9</w:t>
            </w:r>
          </w:p>
        </w:tc>
        <w:tc>
          <w:tcPr>
            <w:tcW w:w="0" w:type="auto"/>
            <w:vAlign w:val="center"/>
          </w:tcPr>
          <w:p w14:paraId="2F779E08">
            <w:pPr>
              <w:pStyle w:val="751"/>
              <w:rPr>
                <w:bCs/>
                <w:color w:val="auto"/>
              </w:rPr>
            </w:pPr>
            <w:r>
              <w:rPr>
                <w:rFonts w:hint="eastAsia"/>
                <w:bCs/>
                <w:color w:val="auto"/>
              </w:rPr>
              <w:t>0.448</w:t>
            </w:r>
          </w:p>
        </w:tc>
        <w:tc>
          <w:tcPr>
            <w:tcW w:w="0" w:type="auto"/>
            <w:vAlign w:val="center"/>
          </w:tcPr>
          <w:p w14:paraId="205CDC6B">
            <w:pPr>
              <w:pStyle w:val="751"/>
              <w:rPr>
                <w:bCs/>
                <w:color w:val="auto"/>
              </w:rPr>
            </w:pPr>
            <w:r>
              <w:rPr>
                <w:rFonts w:hint="eastAsia"/>
                <w:bCs/>
                <w:color w:val="auto"/>
              </w:rPr>
              <w:t>0.892</w:t>
            </w:r>
          </w:p>
        </w:tc>
      </w:tr>
      <w:tr w14:paraId="6FBC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5F900A5">
            <w:pPr>
              <w:pStyle w:val="751"/>
              <w:rPr>
                <w:color w:val="auto"/>
              </w:rPr>
            </w:pPr>
          </w:p>
        </w:tc>
        <w:tc>
          <w:tcPr>
            <w:tcW w:w="2306" w:type="dxa"/>
            <w:gridSpan w:val="2"/>
            <w:vAlign w:val="center"/>
          </w:tcPr>
          <w:p w14:paraId="23791969">
            <w:pPr>
              <w:pStyle w:val="751"/>
              <w:rPr>
                <w:color w:val="auto"/>
              </w:rPr>
            </w:pPr>
            <w:r>
              <w:rPr>
                <w:rFonts w:hint="eastAsia"/>
                <w:color w:val="auto"/>
              </w:rPr>
              <w:t>超标倍数</w:t>
            </w:r>
          </w:p>
        </w:tc>
        <w:tc>
          <w:tcPr>
            <w:tcW w:w="1395" w:type="dxa"/>
            <w:vAlign w:val="center"/>
          </w:tcPr>
          <w:p w14:paraId="49FBC4F8">
            <w:pPr>
              <w:pStyle w:val="751"/>
              <w:rPr>
                <w:color w:val="auto"/>
              </w:rPr>
            </w:pPr>
            <w:r>
              <w:rPr>
                <w:rFonts w:hint="eastAsia"/>
                <w:color w:val="auto"/>
              </w:rPr>
              <w:t>/</w:t>
            </w:r>
          </w:p>
        </w:tc>
        <w:tc>
          <w:tcPr>
            <w:tcW w:w="1230" w:type="dxa"/>
            <w:vAlign w:val="center"/>
          </w:tcPr>
          <w:p w14:paraId="2FAF4197">
            <w:pPr>
              <w:pStyle w:val="751"/>
              <w:rPr>
                <w:bCs/>
                <w:color w:val="auto"/>
              </w:rPr>
            </w:pPr>
            <w:r>
              <w:rPr>
                <w:rFonts w:hint="eastAsia"/>
                <w:bCs/>
                <w:color w:val="auto"/>
              </w:rPr>
              <w:t>/</w:t>
            </w:r>
          </w:p>
        </w:tc>
        <w:tc>
          <w:tcPr>
            <w:tcW w:w="0" w:type="auto"/>
            <w:vAlign w:val="center"/>
          </w:tcPr>
          <w:p w14:paraId="31632AED">
            <w:pPr>
              <w:pStyle w:val="751"/>
              <w:rPr>
                <w:bCs/>
                <w:color w:val="auto"/>
              </w:rPr>
            </w:pPr>
            <w:r>
              <w:rPr>
                <w:rFonts w:hint="eastAsia"/>
                <w:bCs/>
                <w:color w:val="auto"/>
              </w:rPr>
              <w:t>/</w:t>
            </w:r>
          </w:p>
        </w:tc>
        <w:tc>
          <w:tcPr>
            <w:tcW w:w="0" w:type="auto"/>
            <w:vAlign w:val="center"/>
          </w:tcPr>
          <w:p w14:paraId="2D04D2FA">
            <w:pPr>
              <w:pStyle w:val="751"/>
              <w:rPr>
                <w:bCs/>
                <w:color w:val="auto"/>
              </w:rPr>
            </w:pPr>
            <w:r>
              <w:rPr>
                <w:rFonts w:hint="eastAsia"/>
                <w:bCs/>
                <w:color w:val="auto"/>
              </w:rPr>
              <w:t>/</w:t>
            </w:r>
          </w:p>
        </w:tc>
      </w:tr>
      <w:tr w14:paraId="3693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0B994C34">
            <w:pPr>
              <w:pStyle w:val="751"/>
              <w:rPr>
                <w:color w:val="auto"/>
              </w:rPr>
            </w:pPr>
            <w:r>
              <w:rPr>
                <w:rFonts w:hint="eastAsia"/>
                <w:color w:val="auto"/>
              </w:rPr>
              <w:t>p</w:t>
            </w:r>
            <w:r>
              <w:rPr>
                <w:color w:val="auto"/>
              </w:rPr>
              <w:t>H值</w:t>
            </w:r>
          </w:p>
        </w:tc>
        <w:tc>
          <w:tcPr>
            <w:tcW w:w="1143" w:type="dxa"/>
            <w:vAlign w:val="center"/>
          </w:tcPr>
          <w:p w14:paraId="62FB4A0E">
            <w:pPr>
              <w:pStyle w:val="751"/>
              <w:rPr>
                <w:color w:val="auto"/>
              </w:rPr>
            </w:pPr>
            <w:r>
              <w:rPr>
                <w:rFonts w:hint="eastAsia"/>
                <w:color w:val="auto"/>
              </w:rPr>
              <w:t>标准限值</w:t>
            </w:r>
          </w:p>
        </w:tc>
        <w:tc>
          <w:tcPr>
            <w:tcW w:w="1163" w:type="dxa"/>
            <w:vAlign w:val="center"/>
          </w:tcPr>
          <w:p w14:paraId="3435A206">
            <w:pPr>
              <w:pStyle w:val="751"/>
              <w:rPr>
                <w:color w:val="auto"/>
              </w:rPr>
            </w:pPr>
            <w:r>
              <w:rPr>
                <w:rFonts w:hint="eastAsia"/>
                <w:color w:val="auto"/>
              </w:rPr>
              <w:t>6.5~8.5</w:t>
            </w:r>
          </w:p>
        </w:tc>
        <w:tc>
          <w:tcPr>
            <w:tcW w:w="1395" w:type="dxa"/>
            <w:vAlign w:val="center"/>
          </w:tcPr>
          <w:p w14:paraId="1F5AAED6">
            <w:pPr>
              <w:pStyle w:val="751"/>
              <w:rPr>
                <w:color w:val="auto"/>
              </w:rPr>
            </w:pPr>
            <w:r>
              <w:rPr>
                <w:rFonts w:hint="eastAsia"/>
                <w:color w:val="auto"/>
              </w:rPr>
              <w:t>--</w:t>
            </w:r>
          </w:p>
        </w:tc>
        <w:tc>
          <w:tcPr>
            <w:tcW w:w="1230" w:type="dxa"/>
            <w:vAlign w:val="center"/>
          </w:tcPr>
          <w:p w14:paraId="738560B0">
            <w:pPr>
              <w:pStyle w:val="751"/>
              <w:rPr>
                <w:color w:val="auto"/>
              </w:rPr>
            </w:pPr>
            <w:r>
              <w:rPr>
                <w:rFonts w:hint="eastAsia"/>
                <w:color w:val="auto"/>
              </w:rPr>
              <w:t>7.1</w:t>
            </w:r>
          </w:p>
        </w:tc>
        <w:tc>
          <w:tcPr>
            <w:tcW w:w="0" w:type="auto"/>
            <w:vAlign w:val="center"/>
          </w:tcPr>
          <w:p w14:paraId="5EF0F34C">
            <w:pPr>
              <w:pStyle w:val="751"/>
              <w:rPr>
                <w:color w:val="auto"/>
              </w:rPr>
            </w:pPr>
            <w:r>
              <w:rPr>
                <w:rFonts w:hint="eastAsia"/>
                <w:color w:val="auto"/>
              </w:rPr>
              <w:t>7.0</w:t>
            </w:r>
          </w:p>
        </w:tc>
        <w:tc>
          <w:tcPr>
            <w:tcW w:w="0" w:type="auto"/>
            <w:vAlign w:val="center"/>
          </w:tcPr>
          <w:p w14:paraId="2D6F78A6">
            <w:pPr>
              <w:pStyle w:val="751"/>
              <w:rPr>
                <w:color w:val="auto"/>
              </w:rPr>
            </w:pPr>
            <w:r>
              <w:rPr>
                <w:rFonts w:hint="eastAsia"/>
                <w:color w:val="auto"/>
              </w:rPr>
              <w:t>7.1</w:t>
            </w:r>
          </w:p>
        </w:tc>
      </w:tr>
      <w:tr w14:paraId="7018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continue"/>
            <w:vAlign w:val="center"/>
          </w:tcPr>
          <w:p w14:paraId="13E29F56">
            <w:pPr>
              <w:pStyle w:val="751"/>
              <w:rPr>
                <w:color w:val="auto"/>
              </w:rPr>
            </w:pPr>
          </w:p>
        </w:tc>
        <w:tc>
          <w:tcPr>
            <w:tcW w:w="2306" w:type="dxa"/>
            <w:gridSpan w:val="2"/>
            <w:vAlign w:val="center"/>
          </w:tcPr>
          <w:p w14:paraId="2FE0CF31">
            <w:pPr>
              <w:pStyle w:val="751"/>
              <w:rPr>
                <w:color w:val="auto"/>
              </w:rPr>
            </w:pPr>
            <w:r>
              <w:rPr>
                <w:rFonts w:hint="eastAsia"/>
                <w:color w:val="auto"/>
              </w:rPr>
              <w:t>Pi</w:t>
            </w:r>
          </w:p>
        </w:tc>
        <w:tc>
          <w:tcPr>
            <w:tcW w:w="1395" w:type="dxa"/>
            <w:vAlign w:val="center"/>
          </w:tcPr>
          <w:p w14:paraId="56F9BFF1">
            <w:pPr>
              <w:pStyle w:val="751"/>
              <w:rPr>
                <w:color w:val="auto"/>
              </w:rPr>
            </w:pPr>
            <w:r>
              <w:rPr>
                <w:rFonts w:hint="eastAsia"/>
                <w:color w:val="auto"/>
              </w:rPr>
              <w:t>/</w:t>
            </w:r>
          </w:p>
        </w:tc>
        <w:tc>
          <w:tcPr>
            <w:tcW w:w="1230" w:type="dxa"/>
            <w:vAlign w:val="center"/>
          </w:tcPr>
          <w:p w14:paraId="66E16FD4">
            <w:pPr>
              <w:pStyle w:val="751"/>
              <w:rPr>
                <w:color w:val="auto"/>
              </w:rPr>
            </w:pPr>
            <w:r>
              <w:rPr>
                <w:rFonts w:hint="eastAsia"/>
                <w:color w:val="auto"/>
              </w:rPr>
              <w:t>0.067</w:t>
            </w:r>
          </w:p>
        </w:tc>
        <w:tc>
          <w:tcPr>
            <w:tcW w:w="0" w:type="auto"/>
            <w:vAlign w:val="center"/>
          </w:tcPr>
          <w:p w14:paraId="7F320FB6">
            <w:pPr>
              <w:pStyle w:val="751"/>
              <w:rPr>
                <w:color w:val="auto"/>
              </w:rPr>
            </w:pPr>
            <w:r>
              <w:rPr>
                <w:rFonts w:hint="eastAsia"/>
                <w:color w:val="auto"/>
              </w:rPr>
              <w:t>0</w:t>
            </w:r>
          </w:p>
        </w:tc>
        <w:tc>
          <w:tcPr>
            <w:tcW w:w="0" w:type="auto"/>
            <w:vAlign w:val="center"/>
          </w:tcPr>
          <w:p w14:paraId="78003786">
            <w:pPr>
              <w:pStyle w:val="751"/>
              <w:rPr>
                <w:color w:val="auto"/>
              </w:rPr>
            </w:pPr>
            <w:r>
              <w:rPr>
                <w:rFonts w:hint="eastAsia"/>
                <w:color w:val="auto"/>
              </w:rPr>
              <w:t>0.067</w:t>
            </w:r>
          </w:p>
        </w:tc>
      </w:tr>
      <w:tr w14:paraId="53AD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C6D98D4">
            <w:pPr>
              <w:pStyle w:val="751"/>
              <w:rPr>
                <w:color w:val="auto"/>
              </w:rPr>
            </w:pPr>
          </w:p>
        </w:tc>
        <w:tc>
          <w:tcPr>
            <w:tcW w:w="2306" w:type="dxa"/>
            <w:gridSpan w:val="2"/>
            <w:vAlign w:val="center"/>
          </w:tcPr>
          <w:p w14:paraId="331C7431">
            <w:pPr>
              <w:pStyle w:val="751"/>
              <w:rPr>
                <w:color w:val="auto"/>
              </w:rPr>
            </w:pPr>
            <w:r>
              <w:rPr>
                <w:rFonts w:hint="eastAsia"/>
                <w:color w:val="auto"/>
              </w:rPr>
              <w:t>超标倍数</w:t>
            </w:r>
          </w:p>
        </w:tc>
        <w:tc>
          <w:tcPr>
            <w:tcW w:w="1395" w:type="dxa"/>
            <w:vAlign w:val="center"/>
          </w:tcPr>
          <w:p w14:paraId="2E8A0194">
            <w:pPr>
              <w:pStyle w:val="751"/>
              <w:rPr>
                <w:color w:val="auto"/>
              </w:rPr>
            </w:pPr>
            <w:r>
              <w:rPr>
                <w:rFonts w:hint="eastAsia"/>
                <w:color w:val="auto"/>
              </w:rPr>
              <w:t>/</w:t>
            </w:r>
          </w:p>
        </w:tc>
        <w:tc>
          <w:tcPr>
            <w:tcW w:w="1230" w:type="dxa"/>
            <w:vAlign w:val="center"/>
          </w:tcPr>
          <w:p w14:paraId="33E31742">
            <w:pPr>
              <w:pStyle w:val="751"/>
              <w:rPr>
                <w:color w:val="auto"/>
              </w:rPr>
            </w:pPr>
            <w:r>
              <w:rPr>
                <w:rFonts w:hint="eastAsia"/>
                <w:color w:val="auto"/>
              </w:rPr>
              <w:t>0</w:t>
            </w:r>
          </w:p>
        </w:tc>
        <w:tc>
          <w:tcPr>
            <w:tcW w:w="0" w:type="auto"/>
            <w:vAlign w:val="center"/>
          </w:tcPr>
          <w:p w14:paraId="0D9446AE">
            <w:pPr>
              <w:pStyle w:val="751"/>
              <w:rPr>
                <w:color w:val="auto"/>
              </w:rPr>
            </w:pPr>
            <w:r>
              <w:rPr>
                <w:rFonts w:hint="eastAsia"/>
                <w:color w:val="auto"/>
              </w:rPr>
              <w:t>0</w:t>
            </w:r>
          </w:p>
        </w:tc>
        <w:tc>
          <w:tcPr>
            <w:tcW w:w="0" w:type="auto"/>
            <w:vAlign w:val="center"/>
          </w:tcPr>
          <w:p w14:paraId="3DFA5963">
            <w:pPr>
              <w:pStyle w:val="751"/>
              <w:rPr>
                <w:color w:val="auto"/>
              </w:rPr>
            </w:pPr>
            <w:r>
              <w:rPr>
                <w:rFonts w:hint="eastAsia"/>
                <w:color w:val="auto"/>
              </w:rPr>
              <w:t>0</w:t>
            </w:r>
          </w:p>
        </w:tc>
      </w:tr>
      <w:tr w14:paraId="1F2A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895" w:type="dxa"/>
            <w:vMerge w:val="restart"/>
            <w:vAlign w:val="center"/>
          </w:tcPr>
          <w:p w14:paraId="4705DB36">
            <w:pPr>
              <w:pStyle w:val="751"/>
              <w:rPr>
                <w:color w:val="auto"/>
              </w:rPr>
            </w:pPr>
            <w:r>
              <w:rPr>
                <w:color w:val="auto"/>
              </w:rPr>
              <w:t>总硬度</w:t>
            </w:r>
          </w:p>
        </w:tc>
        <w:tc>
          <w:tcPr>
            <w:tcW w:w="1143" w:type="dxa"/>
            <w:vAlign w:val="center"/>
          </w:tcPr>
          <w:p w14:paraId="164134DA">
            <w:pPr>
              <w:pStyle w:val="751"/>
              <w:rPr>
                <w:color w:val="auto"/>
              </w:rPr>
            </w:pPr>
            <w:r>
              <w:rPr>
                <w:rFonts w:hint="eastAsia"/>
                <w:color w:val="auto"/>
              </w:rPr>
              <w:t>标准限值</w:t>
            </w:r>
          </w:p>
        </w:tc>
        <w:tc>
          <w:tcPr>
            <w:tcW w:w="1163" w:type="dxa"/>
            <w:vAlign w:val="center"/>
          </w:tcPr>
          <w:p w14:paraId="7C4D48FE">
            <w:pPr>
              <w:pStyle w:val="751"/>
              <w:rPr>
                <w:color w:val="auto"/>
              </w:rPr>
            </w:pPr>
            <w:r>
              <w:rPr>
                <w:rFonts w:hint="eastAsia"/>
                <w:color w:val="auto"/>
              </w:rPr>
              <w:t>450</w:t>
            </w:r>
          </w:p>
        </w:tc>
        <w:tc>
          <w:tcPr>
            <w:tcW w:w="1395" w:type="dxa"/>
            <w:vAlign w:val="center"/>
          </w:tcPr>
          <w:p w14:paraId="1B93582F">
            <w:pPr>
              <w:pStyle w:val="751"/>
              <w:rPr>
                <w:color w:val="auto"/>
              </w:rPr>
            </w:pPr>
            <w:r>
              <w:rPr>
                <w:rFonts w:hint="eastAsia"/>
                <w:color w:val="auto"/>
              </w:rPr>
              <w:t>mg/L</w:t>
            </w:r>
          </w:p>
        </w:tc>
        <w:tc>
          <w:tcPr>
            <w:tcW w:w="1230" w:type="dxa"/>
            <w:vAlign w:val="center"/>
          </w:tcPr>
          <w:p w14:paraId="249CD22A">
            <w:pPr>
              <w:pStyle w:val="751"/>
              <w:rPr>
                <w:color w:val="auto"/>
              </w:rPr>
            </w:pPr>
            <w:r>
              <w:rPr>
                <w:rFonts w:hint="eastAsia"/>
                <w:color w:val="auto"/>
              </w:rPr>
              <w:t>340</w:t>
            </w:r>
          </w:p>
        </w:tc>
        <w:tc>
          <w:tcPr>
            <w:tcW w:w="0" w:type="auto"/>
            <w:vAlign w:val="center"/>
          </w:tcPr>
          <w:p w14:paraId="38570A51">
            <w:pPr>
              <w:pStyle w:val="751"/>
              <w:rPr>
                <w:color w:val="auto"/>
              </w:rPr>
            </w:pPr>
            <w:r>
              <w:rPr>
                <w:rFonts w:hint="eastAsia"/>
                <w:color w:val="auto"/>
              </w:rPr>
              <w:t>405</w:t>
            </w:r>
          </w:p>
        </w:tc>
        <w:tc>
          <w:tcPr>
            <w:tcW w:w="0" w:type="auto"/>
            <w:vAlign w:val="center"/>
          </w:tcPr>
          <w:p w14:paraId="77ED0B76">
            <w:pPr>
              <w:pStyle w:val="751"/>
              <w:rPr>
                <w:color w:val="auto"/>
              </w:rPr>
            </w:pPr>
            <w:r>
              <w:rPr>
                <w:rFonts w:hint="eastAsia"/>
                <w:color w:val="auto"/>
              </w:rPr>
              <w:t>354</w:t>
            </w:r>
          </w:p>
        </w:tc>
      </w:tr>
      <w:tr w14:paraId="602B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D4511A0">
            <w:pPr>
              <w:pStyle w:val="751"/>
              <w:rPr>
                <w:color w:val="auto"/>
              </w:rPr>
            </w:pPr>
          </w:p>
        </w:tc>
        <w:tc>
          <w:tcPr>
            <w:tcW w:w="2306" w:type="dxa"/>
            <w:gridSpan w:val="2"/>
            <w:vAlign w:val="center"/>
          </w:tcPr>
          <w:p w14:paraId="6D3C4351">
            <w:pPr>
              <w:pStyle w:val="751"/>
              <w:rPr>
                <w:color w:val="auto"/>
              </w:rPr>
            </w:pPr>
            <w:r>
              <w:rPr>
                <w:rFonts w:hint="eastAsia"/>
                <w:color w:val="auto"/>
              </w:rPr>
              <w:t>Pi</w:t>
            </w:r>
          </w:p>
        </w:tc>
        <w:tc>
          <w:tcPr>
            <w:tcW w:w="1395" w:type="dxa"/>
            <w:vAlign w:val="center"/>
          </w:tcPr>
          <w:p w14:paraId="44D69688">
            <w:pPr>
              <w:pStyle w:val="751"/>
              <w:rPr>
                <w:color w:val="auto"/>
              </w:rPr>
            </w:pPr>
            <w:r>
              <w:rPr>
                <w:rFonts w:hint="eastAsia"/>
                <w:color w:val="auto"/>
              </w:rPr>
              <w:t>/</w:t>
            </w:r>
          </w:p>
        </w:tc>
        <w:tc>
          <w:tcPr>
            <w:tcW w:w="1230" w:type="dxa"/>
            <w:vAlign w:val="center"/>
          </w:tcPr>
          <w:p w14:paraId="44EA24A5">
            <w:pPr>
              <w:pStyle w:val="751"/>
              <w:rPr>
                <w:color w:val="auto"/>
              </w:rPr>
            </w:pPr>
            <w:r>
              <w:rPr>
                <w:rFonts w:hint="eastAsia"/>
                <w:color w:val="auto"/>
              </w:rPr>
              <w:t>0.756</w:t>
            </w:r>
          </w:p>
        </w:tc>
        <w:tc>
          <w:tcPr>
            <w:tcW w:w="0" w:type="auto"/>
            <w:vAlign w:val="center"/>
          </w:tcPr>
          <w:p w14:paraId="47472B00">
            <w:pPr>
              <w:pStyle w:val="751"/>
              <w:rPr>
                <w:color w:val="auto"/>
              </w:rPr>
            </w:pPr>
            <w:r>
              <w:rPr>
                <w:rFonts w:hint="eastAsia"/>
                <w:color w:val="auto"/>
              </w:rPr>
              <w:t>0.9</w:t>
            </w:r>
          </w:p>
        </w:tc>
        <w:tc>
          <w:tcPr>
            <w:tcW w:w="0" w:type="auto"/>
            <w:vAlign w:val="center"/>
          </w:tcPr>
          <w:p w14:paraId="3950B8B0">
            <w:pPr>
              <w:pStyle w:val="751"/>
              <w:rPr>
                <w:color w:val="auto"/>
              </w:rPr>
            </w:pPr>
            <w:r>
              <w:rPr>
                <w:rFonts w:hint="eastAsia"/>
                <w:color w:val="auto"/>
              </w:rPr>
              <w:t>0.787</w:t>
            </w:r>
          </w:p>
        </w:tc>
      </w:tr>
      <w:tr w14:paraId="5CE3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BFA2971">
            <w:pPr>
              <w:pStyle w:val="751"/>
              <w:rPr>
                <w:color w:val="auto"/>
              </w:rPr>
            </w:pPr>
          </w:p>
        </w:tc>
        <w:tc>
          <w:tcPr>
            <w:tcW w:w="2306" w:type="dxa"/>
            <w:gridSpan w:val="2"/>
            <w:vAlign w:val="center"/>
          </w:tcPr>
          <w:p w14:paraId="48AAF143">
            <w:pPr>
              <w:pStyle w:val="751"/>
              <w:rPr>
                <w:color w:val="auto"/>
              </w:rPr>
            </w:pPr>
            <w:r>
              <w:rPr>
                <w:rFonts w:hint="eastAsia"/>
                <w:color w:val="auto"/>
              </w:rPr>
              <w:t>超标倍数</w:t>
            </w:r>
          </w:p>
        </w:tc>
        <w:tc>
          <w:tcPr>
            <w:tcW w:w="1395" w:type="dxa"/>
            <w:vAlign w:val="center"/>
          </w:tcPr>
          <w:p w14:paraId="65228992">
            <w:pPr>
              <w:pStyle w:val="751"/>
              <w:rPr>
                <w:color w:val="auto"/>
              </w:rPr>
            </w:pPr>
            <w:r>
              <w:rPr>
                <w:rFonts w:hint="eastAsia"/>
                <w:color w:val="auto"/>
              </w:rPr>
              <w:t>/</w:t>
            </w:r>
          </w:p>
        </w:tc>
        <w:tc>
          <w:tcPr>
            <w:tcW w:w="1230" w:type="dxa"/>
            <w:vAlign w:val="center"/>
          </w:tcPr>
          <w:p w14:paraId="04C3853D">
            <w:pPr>
              <w:pStyle w:val="751"/>
              <w:rPr>
                <w:color w:val="auto"/>
              </w:rPr>
            </w:pPr>
            <w:r>
              <w:rPr>
                <w:rFonts w:hint="eastAsia"/>
                <w:color w:val="auto"/>
              </w:rPr>
              <w:t>0</w:t>
            </w:r>
          </w:p>
        </w:tc>
        <w:tc>
          <w:tcPr>
            <w:tcW w:w="0" w:type="auto"/>
            <w:vAlign w:val="center"/>
          </w:tcPr>
          <w:p w14:paraId="22B8C7D4">
            <w:pPr>
              <w:pStyle w:val="751"/>
              <w:rPr>
                <w:color w:val="auto"/>
              </w:rPr>
            </w:pPr>
            <w:r>
              <w:rPr>
                <w:rFonts w:hint="eastAsia"/>
                <w:color w:val="auto"/>
              </w:rPr>
              <w:t>0</w:t>
            </w:r>
          </w:p>
        </w:tc>
        <w:tc>
          <w:tcPr>
            <w:tcW w:w="0" w:type="auto"/>
            <w:vAlign w:val="center"/>
          </w:tcPr>
          <w:p w14:paraId="6F081785">
            <w:pPr>
              <w:pStyle w:val="751"/>
              <w:rPr>
                <w:color w:val="auto"/>
              </w:rPr>
            </w:pPr>
            <w:r>
              <w:rPr>
                <w:rFonts w:hint="eastAsia"/>
                <w:color w:val="auto"/>
              </w:rPr>
              <w:t>0</w:t>
            </w:r>
          </w:p>
        </w:tc>
      </w:tr>
      <w:tr w14:paraId="7216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restart"/>
            <w:vAlign w:val="center"/>
          </w:tcPr>
          <w:p w14:paraId="02B63894">
            <w:pPr>
              <w:pStyle w:val="751"/>
              <w:rPr>
                <w:color w:val="auto"/>
              </w:rPr>
            </w:pPr>
            <w:r>
              <w:rPr>
                <w:bCs/>
                <w:color w:val="auto"/>
              </w:rPr>
              <w:t>溶解性总固体</w:t>
            </w:r>
          </w:p>
        </w:tc>
        <w:tc>
          <w:tcPr>
            <w:tcW w:w="1143" w:type="dxa"/>
            <w:vAlign w:val="center"/>
          </w:tcPr>
          <w:p w14:paraId="5E646AB7">
            <w:pPr>
              <w:pStyle w:val="751"/>
              <w:rPr>
                <w:color w:val="auto"/>
              </w:rPr>
            </w:pPr>
            <w:r>
              <w:rPr>
                <w:rFonts w:hint="eastAsia"/>
                <w:color w:val="auto"/>
              </w:rPr>
              <w:t>标准限值</w:t>
            </w:r>
          </w:p>
        </w:tc>
        <w:tc>
          <w:tcPr>
            <w:tcW w:w="1163" w:type="dxa"/>
            <w:vAlign w:val="center"/>
          </w:tcPr>
          <w:p w14:paraId="62B36B96">
            <w:pPr>
              <w:pStyle w:val="751"/>
              <w:rPr>
                <w:color w:val="auto"/>
              </w:rPr>
            </w:pPr>
            <w:r>
              <w:rPr>
                <w:rFonts w:hint="eastAsia"/>
                <w:color w:val="auto"/>
              </w:rPr>
              <w:t>1000</w:t>
            </w:r>
          </w:p>
        </w:tc>
        <w:tc>
          <w:tcPr>
            <w:tcW w:w="1395" w:type="dxa"/>
            <w:vAlign w:val="center"/>
          </w:tcPr>
          <w:p w14:paraId="645C0E1C">
            <w:pPr>
              <w:pStyle w:val="751"/>
              <w:rPr>
                <w:color w:val="auto"/>
              </w:rPr>
            </w:pPr>
            <w:r>
              <w:rPr>
                <w:rFonts w:hint="eastAsia"/>
                <w:color w:val="auto"/>
              </w:rPr>
              <w:t>mg/L</w:t>
            </w:r>
          </w:p>
        </w:tc>
        <w:tc>
          <w:tcPr>
            <w:tcW w:w="1230" w:type="dxa"/>
            <w:vAlign w:val="center"/>
          </w:tcPr>
          <w:p w14:paraId="6613D50A">
            <w:pPr>
              <w:pStyle w:val="751"/>
              <w:rPr>
                <w:color w:val="auto"/>
                <w:vertAlign w:val="superscript"/>
              </w:rPr>
            </w:pPr>
            <w:r>
              <w:rPr>
                <w:rFonts w:hint="eastAsia"/>
                <w:bCs/>
                <w:color w:val="auto"/>
              </w:rPr>
              <w:t>694</w:t>
            </w:r>
          </w:p>
        </w:tc>
        <w:tc>
          <w:tcPr>
            <w:tcW w:w="0" w:type="auto"/>
            <w:vAlign w:val="center"/>
          </w:tcPr>
          <w:p w14:paraId="3551BAC5">
            <w:pPr>
              <w:pStyle w:val="751"/>
              <w:rPr>
                <w:color w:val="auto"/>
              </w:rPr>
            </w:pPr>
            <w:r>
              <w:rPr>
                <w:rFonts w:hint="eastAsia"/>
                <w:bCs/>
                <w:color w:val="auto"/>
              </w:rPr>
              <w:t>720</w:t>
            </w:r>
          </w:p>
        </w:tc>
        <w:tc>
          <w:tcPr>
            <w:tcW w:w="0" w:type="auto"/>
            <w:vAlign w:val="center"/>
          </w:tcPr>
          <w:p w14:paraId="4D718DAB">
            <w:pPr>
              <w:pStyle w:val="751"/>
              <w:rPr>
                <w:color w:val="auto"/>
              </w:rPr>
            </w:pPr>
            <w:r>
              <w:rPr>
                <w:rFonts w:hint="eastAsia"/>
                <w:bCs/>
                <w:color w:val="auto"/>
              </w:rPr>
              <w:t>970</w:t>
            </w:r>
          </w:p>
        </w:tc>
      </w:tr>
      <w:tr w14:paraId="4D40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continue"/>
            <w:vAlign w:val="center"/>
          </w:tcPr>
          <w:p w14:paraId="54BC4EA2">
            <w:pPr>
              <w:pStyle w:val="751"/>
              <w:rPr>
                <w:bCs/>
                <w:color w:val="auto"/>
              </w:rPr>
            </w:pPr>
          </w:p>
        </w:tc>
        <w:tc>
          <w:tcPr>
            <w:tcW w:w="2306" w:type="dxa"/>
            <w:gridSpan w:val="2"/>
            <w:vAlign w:val="center"/>
          </w:tcPr>
          <w:p w14:paraId="326F2B4A">
            <w:pPr>
              <w:pStyle w:val="751"/>
              <w:rPr>
                <w:color w:val="auto"/>
              </w:rPr>
            </w:pPr>
            <w:r>
              <w:rPr>
                <w:rFonts w:hint="eastAsia"/>
                <w:color w:val="auto"/>
              </w:rPr>
              <w:t>Pi</w:t>
            </w:r>
          </w:p>
        </w:tc>
        <w:tc>
          <w:tcPr>
            <w:tcW w:w="1395" w:type="dxa"/>
            <w:vAlign w:val="center"/>
          </w:tcPr>
          <w:p w14:paraId="49F82DA6">
            <w:pPr>
              <w:pStyle w:val="751"/>
              <w:rPr>
                <w:color w:val="auto"/>
              </w:rPr>
            </w:pPr>
            <w:r>
              <w:rPr>
                <w:rFonts w:hint="eastAsia"/>
                <w:color w:val="auto"/>
              </w:rPr>
              <w:t>/</w:t>
            </w:r>
          </w:p>
        </w:tc>
        <w:tc>
          <w:tcPr>
            <w:tcW w:w="1230" w:type="dxa"/>
            <w:vAlign w:val="center"/>
          </w:tcPr>
          <w:p w14:paraId="03AC3133">
            <w:pPr>
              <w:pStyle w:val="751"/>
              <w:rPr>
                <w:bCs/>
                <w:color w:val="auto"/>
              </w:rPr>
            </w:pPr>
            <w:r>
              <w:rPr>
                <w:rFonts w:hint="eastAsia"/>
                <w:bCs/>
                <w:color w:val="auto"/>
              </w:rPr>
              <w:t>0.694</w:t>
            </w:r>
          </w:p>
        </w:tc>
        <w:tc>
          <w:tcPr>
            <w:tcW w:w="0" w:type="auto"/>
            <w:vAlign w:val="center"/>
          </w:tcPr>
          <w:p w14:paraId="3F798541">
            <w:pPr>
              <w:pStyle w:val="751"/>
              <w:rPr>
                <w:bCs/>
                <w:color w:val="auto"/>
              </w:rPr>
            </w:pPr>
            <w:r>
              <w:rPr>
                <w:rFonts w:hint="eastAsia"/>
                <w:bCs/>
                <w:color w:val="auto"/>
              </w:rPr>
              <w:t>0.72</w:t>
            </w:r>
          </w:p>
        </w:tc>
        <w:tc>
          <w:tcPr>
            <w:tcW w:w="0" w:type="auto"/>
            <w:vAlign w:val="center"/>
          </w:tcPr>
          <w:p w14:paraId="08AEC54B">
            <w:pPr>
              <w:pStyle w:val="751"/>
              <w:rPr>
                <w:bCs/>
                <w:color w:val="auto"/>
              </w:rPr>
            </w:pPr>
            <w:r>
              <w:rPr>
                <w:rFonts w:hint="eastAsia"/>
                <w:bCs/>
                <w:color w:val="auto"/>
              </w:rPr>
              <w:t>0.97</w:t>
            </w:r>
          </w:p>
        </w:tc>
      </w:tr>
      <w:tr w14:paraId="78A7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continue"/>
            <w:vAlign w:val="center"/>
          </w:tcPr>
          <w:p w14:paraId="4DF4DC65">
            <w:pPr>
              <w:pStyle w:val="751"/>
              <w:rPr>
                <w:bCs/>
                <w:color w:val="auto"/>
              </w:rPr>
            </w:pPr>
          </w:p>
        </w:tc>
        <w:tc>
          <w:tcPr>
            <w:tcW w:w="2306" w:type="dxa"/>
            <w:gridSpan w:val="2"/>
            <w:vAlign w:val="center"/>
          </w:tcPr>
          <w:p w14:paraId="1D4B0303">
            <w:pPr>
              <w:pStyle w:val="751"/>
              <w:rPr>
                <w:color w:val="auto"/>
              </w:rPr>
            </w:pPr>
            <w:r>
              <w:rPr>
                <w:rFonts w:hint="eastAsia"/>
                <w:color w:val="auto"/>
              </w:rPr>
              <w:t>超标倍数</w:t>
            </w:r>
          </w:p>
        </w:tc>
        <w:tc>
          <w:tcPr>
            <w:tcW w:w="1395" w:type="dxa"/>
            <w:vAlign w:val="center"/>
          </w:tcPr>
          <w:p w14:paraId="582AD57A">
            <w:pPr>
              <w:pStyle w:val="751"/>
              <w:rPr>
                <w:color w:val="auto"/>
              </w:rPr>
            </w:pPr>
            <w:r>
              <w:rPr>
                <w:rFonts w:hint="eastAsia"/>
                <w:color w:val="auto"/>
              </w:rPr>
              <w:t>/</w:t>
            </w:r>
          </w:p>
        </w:tc>
        <w:tc>
          <w:tcPr>
            <w:tcW w:w="1230" w:type="dxa"/>
            <w:vAlign w:val="center"/>
          </w:tcPr>
          <w:p w14:paraId="2AB3872D">
            <w:pPr>
              <w:pStyle w:val="751"/>
              <w:rPr>
                <w:bCs/>
                <w:color w:val="auto"/>
              </w:rPr>
            </w:pPr>
            <w:r>
              <w:rPr>
                <w:rFonts w:hint="eastAsia"/>
                <w:bCs/>
                <w:color w:val="auto"/>
              </w:rPr>
              <w:t>0</w:t>
            </w:r>
          </w:p>
        </w:tc>
        <w:tc>
          <w:tcPr>
            <w:tcW w:w="0" w:type="auto"/>
            <w:vAlign w:val="center"/>
          </w:tcPr>
          <w:p w14:paraId="5701CDD8">
            <w:pPr>
              <w:pStyle w:val="751"/>
              <w:rPr>
                <w:bCs/>
                <w:color w:val="auto"/>
              </w:rPr>
            </w:pPr>
            <w:r>
              <w:rPr>
                <w:rFonts w:hint="eastAsia"/>
                <w:bCs/>
                <w:color w:val="auto"/>
              </w:rPr>
              <w:t>0</w:t>
            </w:r>
          </w:p>
        </w:tc>
        <w:tc>
          <w:tcPr>
            <w:tcW w:w="0" w:type="auto"/>
            <w:vAlign w:val="center"/>
          </w:tcPr>
          <w:p w14:paraId="1658482F">
            <w:pPr>
              <w:pStyle w:val="751"/>
              <w:rPr>
                <w:bCs/>
                <w:color w:val="auto"/>
              </w:rPr>
            </w:pPr>
            <w:r>
              <w:rPr>
                <w:rFonts w:hint="eastAsia"/>
                <w:bCs/>
                <w:color w:val="auto"/>
              </w:rPr>
              <w:t>0</w:t>
            </w:r>
          </w:p>
        </w:tc>
      </w:tr>
      <w:tr w14:paraId="6933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47048F1A">
            <w:pPr>
              <w:pStyle w:val="751"/>
              <w:rPr>
                <w:color w:val="auto"/>
              </w:rPr>
            </w:pPr>
            <w:r>
              <w:rPr>
                <w:color w:val="auto"/>
              </w:rPr>
              <w:t>氟</w:t>
            </w:r>
            <w:r>
              <w:rPr>
                <w:rFonts w:hint="eastAsia"/>
                <w:color w:val="auto"/>
              </w:rPr>
              <w:t>化物（</w:t>
            </w:r>
            <w:r>
              <w:rPr>
                <w:color w:val="auto"/>
                <w:spacing w:val="-11"/>
              </w:rPr>
              <w:t>F</w:t>
            </w:r>
            <w:r>
              <w:rPr>
                <w:color w:val="auto"/>
                <w:spacing w:val="-11"/>
                <w:vertAlign w:val="superscript"/>
              </w:rPr>
              <w:t>-</w:t>
            </w:r>
            <w:r>
              <w:rPr>
                <w:rFonts w:hint="eastAsia"/>
                <w:color w:val="auto"/>
                <w:spacing w:val="-11"/>
              </w:rPr>
              <w:t>）</w:t>
            </w:r>
          </w:p>
        </w:tc>
        <w:tc>
          <w:tcPr>
            <w:tcW w:w="1143" w:type="dxa"/>
            <w:vAlign w:val="center"/>
          </w:tcPr>
          <w:p w14:paraId="05032BB3">
            <w:pPr>
              <w:pStyle w:val="751"/>
              <w:rPr>
                <w:color w:val="auto"/>
              </w:rPr>
            </w:pPr>
            <w:r>
              <w:rPr>
                <w:rFonts w:hint="eastAsia"/>
                <w:color w:val="auto"/>
              </w:rPr>
              <w:t>标准限值</w:t>
            </w:r>
          </w:p>
        </w:tc>
        <w:tc>
          <w:tcPr>
            <w:tcW w:w="1163" w:type="dxa"/>
            <w:vAlign w:val="center"/>
          </w:tcPr>
          <w:p w14:paraId="5B67DBD7">
            <w:pPr>
              <w:pStyle w:val="751"/>
              <w:rPr>
                <w:color w:val="auto"/>
              </w:rPr>
            </w:pPr>
            <w:r>
              <w:rPr>
                <w:rFonts w:hint="eastAsia"/>
                <w:color w:val="auto"/>
              </w:rPr>
              <w:t>1.0</w:t>
            </w:r>
          </w:p>
        </w:tc>
        <w:tc>
          <w:tcPr>
            <w:tcW w:w="1395" w:type="dxa"/>
            <w:vAlign w:val="center"/>
          </w:tcPr>
          <w:p w14:paraId="3939C46D">
            <w:pPr>
              <w:pStyle w:val="751"/>
              <w:rPr>
                <w:color w:val="auto"/>
              </w:rPr>
            </w:pPr>
            <w:r>
              <w:rPr>
                <w:rFonts w:hint="eastAsia"/>
                <w:color w:val="auto"/>
              </w:rPr>
              <w:t>mg/L</w:t>
            </w:r>
          </w:p>
        </w:tc>
        <w:tc>
          <w:tcPr>
            <w:tcW w:w="1230" w:type="dxa"/>
            <w:vAlign w:val="center"/>
          </w:tcPr>
          <w:p w14:paraId="682DE4D3">
            <w:pPr>
              <w:pStyle w:val="751"/>
              <w:rPr>
                <w:color w:val="auto"/>
              </w:rPr>
            </w:pPr>
            <w:r>
              <w:rPr>
                <w:rFonts w:hint="eastAsia"/>
                <w:color w:val="auto"/>
              </w:rPr>
              <w:t>0.505</w:t>
            </w:r>
          </w:p>
        </w:tc>
        <w:tc>
          <w:tcPr>
            <w:tcW w:w="0" w:type="auto"/>
            <w:vAlign w:val="center"/>
          </w:tcPr>
          <w:p w14:paraId="5D6AF708">
            <w:pPr>
              <w:pStyle w:val="751"/>
              <w:rPr>
                <w:color w:val="auto"/>
              </w:rPr>
            </w:pPr>
            <w:r>
              <w:rPr>
                <w:rFonts w:hint="eastAsia"/>
                <w:color w:val="auto"/>
              </w:rPr>
              <w:t>0.268</w:t>
            </w:r>
          </w:p>
        </w:tc>
        <w:tc>
          <w:tcPr>
            <w:tcW w:w="0" w:type="auto"/>
            <w:vAlign w:val="center"/>
          </w:tcPr>
          <w:p w14:paraId="3F465FEC">
            <w:pPr>
              <w:pStyle w:val="751"/>
              <w:rPr>
                <w:color w:val="auto"/>
              </w:rPr>
            </w:pPr>
            <w:r>
              <w:rPr>
                <w:rFonts w:hint="eastAsia"/>
                <w:color w:val="auto"/>
              </w:rPr>
              <w:t>0.530</w:t>
            </w:r>
          </w:p>
        </w:tc>
      </w:tr>
      <w:tr w14:paraId="21AD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895" w:type="dxa"/>
            <w:vMerge w:val="continue"/>
            <w:vAlign w:val="center"/>
          </w:tcPr>
          <w:p w14:paraId="3988F3F9">
            <w:pPr>
              <w:pStyle w:val="751"/>
              <w:rPr>
                <w:color w:val="auto"/>
              </w:rPr>
            </w:pPr>
          </w:p>
        </w:tc>
        <w:tc>
          <w:tcPr>
            <w:tcW w:w="2306" w:type="dxa"/>
            <w:gridSpan w:val="2"/>
            <w:vAlign w:val="center"/>
          </w:tcPr>
          <w:p w14:paraId="58B39069">
            <w:pPr>
              <w:pStyle w:val="751"/>
              <w:rPr>
                <w:color w:val="auto"/>
              </w:rPr>
            </w:pPr>
            <w:r>
              <w:rPr>
                <w:rFonts w:hint="eastAsia"/>
                <w:color w:val="auto"/>
              </w:rPr>
              <w:t>Pi</w:t>
            </w:r>
          </w:p>
        </w:tc>
        <w:tc>
          <w:tcPr>
            <w:tcW w:w="1395" w:type="dxa"/>
            <w:vAlign w:val="center"/>
          </w:tcPr>
          <w:p w14:paraId="7F3AA900">
            <w:pPr>
              <w:pStyle w:val="751"/>
              <w:rPr>
                <w:color w:val="auto"/>
              </w:rPr>
            </w:pPr>
            <w:r>
              <w:rPr>
                <w:rFonts w:hint="eastAsia"/>
                <w:color w:val="auto"/>
              </w:rPr>
              <w:t>/</w:t>
            </w:r>
          </w:p>
        </w:tc>
        <w:tc>
          <w:tcPr>
            <w:tcW w:w="1230" w:type="dxa"/>
            <w:vAlign w:val="center"/>
          </w:tcPr>
          <w:p w14:paraId="758395B4">
            <w:pPr>
              <w:pStyle w:val="751"/>
              <w:rPr>
                <w:color w:val="auto"/>
              </w:rPr>
            </w:pPr>
            <w:r>
              <w:rPr>
                <w:rFonts w:hint="eastAsia"/>
                <w:color w:val="auto"/>
              </w:rPr>
              <w:t>0.505</w:t>
            </w:r>
          </w:p>
        </w:tc>
        <w:tc>
          <w:tcPr>
            <w:tcW w:w="0" w:type="auto"/>
            <w:vAlign w:val="center"/>
          </w:tcPr>
          <w:p w14:paraId="2F7E1A6D">
            <w:pPr>
              <w:pStyle w:val="751"/>
              <w:rPr>
                <w:color w:val="auto"/>
              </w:rPr>
            </w:pPr>
            <w:r>
              <w:rPr>
                <w:rFonts w:hint="eastAsia"/>
                <w:color w:val="auto"/>
              </w:rPr>
              <w:t>0.268</w:t>
            </w:r>
          </w:p>
        </w:tc>
        <w:tc>
          <w:tcPr>
            <w:tcW w:w="0" w:type="auto"/>
            <w:vAlign w:val="center"/>
          </w:tcPr>
          <w:p w14:paraId="13E4010A">
            <w:pPr>
              <w:pStyle w:val="751"/>
              <w:rPr>
                <w:color w:val="auto"/>
              </w:rPr>
            </w:pPr>
            <w:r>
              <w:rPr>
                <w:rFonts w:hint="eastAsia"/>
                <w:color w:val="auto"/>
              </w:rPr>
              <w:t>0.53</w:t>
            </w:r>
          </w:p>
        </w:tc>
      </w:tr>
      <w:tr w14:paraId="7D05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62AEC6A6">
            <w:pPr>
              <w:pStyle w:val="751"/>
              <w:rPr>
                <w:color w:val="auto"/>
              </w:rPr>
            </w:pPr>
          </w:p>
        </w:tc>
        <w:tc>
          <w:tcPr>
            <w:tcW w:w="2306" w:type="dxa"/>
            <w:gridSpan w:val="2"/>
            <w:vAlign w:val="center"/>
          </w:tcPr>
          <w:p w14:paraId="17FEC416">
            <w:pPr>
              <w:pStyle w:val="751"/>
              <w:rPr>
                <w:color w:val="auto"/>
              </w:rPr>
            </w:pPr>
            <w:r>
              <w:rPr>
                <w:rFonts w:hint="eastAsia"/>
                <w:color w:val="auto"/>
              </w:rPr>
              <w:t>超标倍数</w:t>
            </w:r>
          </w:p>
        </w:tc>
        <w:tc>
          <w:tcPr>
            <w:tcW w:w="1395" w:type="dxa"/>
            <w:vAlign w:val="center"/>
          </w:tcPr>
          <w:p w14:paraId="30F2317F">
            <w:pPr>
              <w:pStyle w:val="751"/>
              <w:rPr>
                <w:color w:val="auto"/>
              </w:rPr>
            </w:pPr>
            <w:r>
              <w:rPr>
                <w:rFonts w:hint="eastAsia"/>
                <w:color w:val="auto"/>
              </w:rPr>
              <w:t>/</w:t>
            </w:r>
          </w:p>
        </w:tc>
        <w:tc>
          <w:tcPr>
            <w:tcW w:w="1230" w:type="dxa"/>
            <w:vAlign w:val="center"/>
          </w:tcPr>
          <w:p w14:paraId="2EEF4C9E">
            <w:pPr>
              <w:pStyle w:val="751"/>
              <w:rPr>
                <w:color w:val="auto"/>
              </w:rPr>
            </w:pPr>
            <w:r>
              <w:rPr>
                <w:rFonts w:hint="eastAsia"/>
                <w:color w:val="auto"/>
              </w:rPr>
              <w:t>0</w:t>
            </w:r>
          </w:p>
        </w:tc>
        <w:tc>
          <w:tcPr>
            <w:tcW w:w="0" w:type="auto"/>
            <w:vAlign w:val="center"/>
          </w:tcPr>
          <w:p w14:paraId="340EE65F">
            <w:pPr>
              <w:pStyle w:val="751"/>
              <w:rPr>
                <w:color w:val="auto"/>
              </w:rPr>
            </w:pPr>
            <w:r>
              <w:rPr>
                <w:rFonts w:hint="eastAsia"/>
                <w:color w:val="auto"/>
              </w:rPr>
              <w:t>0</w:t>
            </w:r>
          </w:p>
        </w:tc>
        <w:tc>
          <w:tcPr>
            <w:tcW w:w="0" w:type="auto"/>
            <w:vAlign w:val="center"/>
          </w:tcPr>
          <w:p w14:paraId="57A856DD">
            <w:pPr>
              <w:pStyle w:val="751"/>
              <w:rPr>
                <w:color w:val="auto"/>
              </w:rPr>
            </w:pPr>
            <w:r>
              <w:rPr>
                <w:rFonts w:hint="eastAsia"/>
                <w:color w:val="auto"/>
              </w:rPr>
              <w:t>0</w:t>
            </w:r>
          </w:p>
        </w:tc>
      </w:tr>
      <w:tr w14:paraId="11C7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8B4503F">
            <w:pPr>
              <w:pStyle w:val="751"/>
              <w:rPr>
                <w:color w:val="auto"/>
              </w:rPr>
            </w:pPr>
            <w:r>
              <w:rPr>
                <w:color w:val="auto"/>
              </w:rPr>
              <w:t>氨氮</w:t>
            </w:r>
          </w:p>
        </w:tc>
        <w:tc>
          <w:tcPr>
            <w:tcW w:w="1143" w:type="dxa"/>
            <w:vAlign w:val="center"/>
          </w:tcPr>
          <w:p w14:paraId="2739FC8B">
            <w:pPr>
              <w:pStyle w:val="751"/>
              <w:rPr>
                <w:color w:val="auto"/>
              </w:rPr>
            </w:pPr>
            <w:r>
              <w:rPr>
                <w:rFonts w:hint="eastAsia"/>
                <w:color w:val="auto"/>
              </w:rPr>
              <w:t>标准限值</w:t>
            </w:r>
          </w:p>
        </w:tc>
        <w:tc>
          <w:tcPr>
            <w:tcW w:w="1163" w:type="dxa"/>
            <w:vAlign w:val="center"/>
          </w:tcPr>
          <w:p w14:paraId="43D486C2">
            <w:pPr>
              <w:pStyle w:val="751"/>
              <w:rPr>
                <w:color w:val="auto"/>
              </w:rPr>
            </w:pPr>
            <w:r>
              <w:rPr>
                <w:rFonts w:hint="eastAsia"/>
                <w:color w:val="auto"/>
              </w:rPr>
              <w:t>0.50</w:t>
            </w:r>
          </w:p>
        </w:tc>
        <w:tc>
          <w:tcPr>
            <w:tcW w:w="1395" w:type="dxa"/>
            <w:vAlign w:val="center"/>
          </w:tcPr>
          <w:p w14:paraId="49AA36D7">
            <w:pPr>
              <w:pStyle w:val="751"/>
              <w:rPr>
                <w:color w:val="auto"/>
              </w:rPr>
            </w:pPr>
            <w:r>
              <w:rPr>
                <w:rFonts w:hint="eastAsia"/>
                <w:color w:val="auto"/>
              </w:rPr>
              <w:t>mg/L</w:t>
            </w:r>
          </w:p>
        </w:tc>
        <w:tc>
          <w:tcPr>
            <w:tcW w:w="1230" w:type="dxa"/>
            <w:vAlign w:val="center"/>
          </w:tcPr>
          <w:p w14:paraId="11D662CC">
            <w:pPr>
              <w:pStyle w:val="751"/>
              <w:rPr>
                <w:color w:val="auto"/>
              </w:rPr>
            </w:pPr>
            <w:r>
              <w:rPr>
                <w:rFonts w:hint="eastAsia"/>
                <w:color w:val="auto"/>
              </w:rPr>
              <w:t>0.025L</w:t>
            </w:r>
          </w:p>
        </w:tc>
        <w:tc>
          <w:tcPr>
            <w:tcW w:w="0" w:type="auto"/>
            <w:vAlign w:val="center"/>
          </w:tcPr>
          <w:p w14:paraId="114D0EA9">
            <w:pPr>
              <w:pStyle w:val="751"/>
              <w:rPr>
                <w:color w:val="auto"/>
              </w:rPr>
            </w:pPr>
            <w:r>
              <w:rPr>
                <w:rFonts w:hint="eastAsia"/>
                <w:color w:val="auto"/>
              </w:rPr>
              <w:t>0.025L</w:t>
            </w:r>
          </w:p>
        </w:tc>
        <w:tc>
          <w:tcPr>
            <w:tcW w:w="0" w:type="auto"/>
            <w:vAlign w:val="center"/>
          </w:tcPr>
          <w:p w14:paraId="3076D725">
            <w:pPr>
              <w:pStyle w:val="751"/>
              <w:rPr>
                <w:color w:val="auto"/>
              </w:rPr>
            </w:pPr>
            <w:r>
              <w:rPr>
                <w:rFonts w:hint="eastAsia"/>
                <w:color w:val="auto"/>
              </w:rPr>
              <w:t>0.025L</w:t>
            </w:r>
          </w:p>
        </w:tc>
      </w:tr>
      <w:tr w14:paraId="28D6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64D4F57">
            <w:pPr>
              <w:pStyle w:val="751"/>
              <w:rPr>
                <w:color w:val="auto"/>
              </w:rPr>
            </w:pPr>
          </w:p>
        </w:tc>
        <w:tc>
          <w:tcPr>
            <w:tcW w:w="2306" w:type="dxa"/>
            <w:gridSpan w:val="2"/>
            <w:vAlign w:val="center"/>
          </w:tcPr>
          <w:p w14:paraId="2032BE4B">
            <w:pPr>
              <w:pStyle w:val="751"/>
              <w:rPr>
                <w:color w:val="auto"/>
              </w:rPr>
            </w:pPr>
            <w:r>
              <w:rPr>
                <w:rFonts w:hint="eastAsia"/>
                <w:color w:val="auto"/>
              </w:rPr>
              <w:t>Pi</w:t>
            </w:r>
          </w:p>
        </w:tc>
        <w:tc>
          <w:tcPr>
            <w:tcW w:w="1395" w:type="dxa"/>
            <w:vAlign w:val="center"/>
          </w:tcPr>
          <w:p w14:paraId="1B762669">
            <w:pPr>
              <w:pStyle w:val="751"/>
              <w:rPr>
                <w:color w:val="auto"/>
              </w:rPr>
            </w:pPr>
            <w:r>
              <w:rPr>
                <w:rFonts w:hint="eastAsia"/>
                <w:color w:val="auto"/>
              </w:rPr>
              <w:t>/</w:t>
            </w:r>
          </w:p>
        </w:tc>
        <w:tc>
          <w:tcPr>
            <w:tcW w:w="1230" w:type="dxa"/>
            <w:vAlign w:val="center"/>
          </w:tcPr>
          <w:p w14:paraId="7D0BC799">
            <w:pPr>
              <w:pStyle w:val="751"/>
              <w:rPr>
                <w:color w:val="auto"/>
              </w:rPr>
            </w:pPr>
            <w:r>
              <w:rPr>
                <w:rFonts w:hint="eastAsia"/>
                <w:color w:val="auto"/>
              </w:rPr>
              <w:t>0.025</w:t>
            </w:r>
          </w:p>
        </w:tc>
        <w:tc>
          <w:tcPr>
            <w:tcW w:w="0" w:type="auto"/>
            <w:vAlign w:val="center"/>
          </w:tcPr>
          <w:p w14:paraId="2493D1CB">
            <w:pPr>
              <w:pStyle w:val="751"/>
              <w:rPr>
                <w:color w:val="auto"/>
              </w:rPr>
            </w:pPr>
            <w:r>
              <w:rPr>
                <w:rFonts w:hint="eastAsia"/>
                <w:color w:val="auto"/>
              </w:rPr>
              <w:t>0.025</w:t>
            </w:r>
          </w:p>
        </w:tc>
        <w:tc>
          <w:tcPr>
            <w:tcW w:w="0" w:type="auto"/>
            <w:vAlign w:val="center"/>
          </w:tcPr>
          <w:p w14:paraId="18AC48ED">
            <w:pPr>
              <w:pStyle w:val="751"/>
              <w:rPr>
                <w:color w:val="auto"/>
              </w:rPr>
            </w:pPr>
            <w:r>
              <w:rPr>
                <w:rFonts w:hint="eastAsia"/>
                <w:color w:val="auto"/>
              </w:rPr>
              <w:t>0.025</w:t>
            </w:r>
          </w:p>
        </w:tc>
      </w:tr>
      <w:tr w14:paraId="4ED6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79D50A0F">
            <w:pPr>
              <w:pStyle w:val="751"/>
              <w:rPr>
                <w:color w:val="auto"/>
              </w:rPr>
            </w:pPr>
          </w:p>
        </w:tc>
        <w:tc>
          <w:tcPr>
            <w:tcW w:w="2306" w:type="dxa"/>
            <w:gridSpan w:val="2"/>
            <w:vAlign w:val="center"/>
          </w:tcPr>
          <w:p w14:paraId="5A0DE00A">
            <w:pPr>
              <w:pStyle w:val="751"/>
              <w:rPr>
                <w:color w:val="auto"/>
              </w:rPr>
            </w:pPr>
            <w:r>
              <w:rPr>
                <w:rFonts w:hint="eastAsia"/>
                <w:color w:val="auto"/>
              </w:rPr>
              <w:t>超标倍数</w:t>
            </w:r>
          </w:p>
        </w:tc>
        <w:tc>
          <w:tcPr>
            <w:tcW w:w="1395" w:type="dxa"/>
            <w:vAlign w:val="center"/>
          </w:tcPr>
          <w:p w14:paraId="37880115">
            <w:pPr>
              <w:pStyle w:val="751"/>
              <w:rPr>
                <w:color w:val="auto"/>
              </w:rPr>
            </w:pPr>
            <w:r>
              <w:rPr>
                <w:rFonts w:hint="eastAsia"/>
                <w:color w:val="auto"/>
              </w:rPr>
              <w:t>/</w:t>
            </w:r>
          </w:p>
        </w:tc>
        <w:tc>
          <w:tcPr>
            <w:tcW w:w="1230" w:type="dxa"/>
            <w:vAlign w:val="center"/>
          </w:tcPr>
          <w:p w14:paraId="213BB493">
            <w:pPr>
              <w:pStyle w:val="751"/>
              <w:rPr>
                <w:color w:val="auto"/>
              </w:rPr>
            </w:pPr>
            <w:r>
              <w:rPr>
                <w:rFonts w:hint="eastAsia"/>
                <w:color w:val="auto"/>
              </w:rPr>
              <w:t>0</w:t>
            </w:r>
          </w:p>
        </w:tc>
        <w:tc>
          <w:tcPr>
            <w:tcW w:w="0" w:type="auto"/>
            <w:vAlign w:val="center"/>
          </w:tcPr>
          <w:p w14:paraId="7F0FD333">
            <w:pPr>
              <w:pStyle w:val="751"/>
              <w:rPr>
                <w:color w:val="auto"/>
              </w:rPr>
            </w:pPr>
            <w:r>
              <w:rPr>
                <w:rFonts w:hint="eastAsia"/>
                <w:color w:val="auto"/>
              </w:rPr>
              <w:t>0</w:t>
            </w:r>
          </w:p>
        </w:tc>
        <w:tc>
          <w:tcPr>
            <w:tcW w:w="0" w:type="auto"/>
            <w:vAlign w:val="center"/>
          </w:tcPr>
          <w:p w14:paraId="6E0E7C74">
            <w:pPr>
              <w:pStyle w:val="751"/>
              <w:rPr>
                <w:color w:val="auto"/>
              </w:rPr>
            </w:pPr>
            <w:r>
              <w:rPr>
                <w:rFonts w:hint="eastAsia"/>
                <w:color w:val="auto"/>
              </w:rPr>
              <w:t>0</w:t>
            </w:r>
          </w:p>
        </w:tc>
      </w:tr>
      <w:tr w14:paraId="7F75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6A4904A1">
            <w:pPr>
              <w:pStyle w:val="751"/>
              <w:rPr>
                <w:color w:val="auto"/>
              </w:rPr>
            </w:pPr>
            <w:r>
              <w:rPr>
                <w:color w:val="auto"/>
              </w:rPr>
              <w:t>砷</w:t>
            </w:r>
          </w:p>
        </w:tc>
        <w:tc>
          <w:tcPr>
            <w:tcW w:w="1143" w:type="dxa"/>
            <w:vAlign w:val="center"/>
          </w:tcPr>
          <w:p w14:paraId="37467DF2">
            <w:pPr>
              <w:pStyle w:val="751"/>
              <w:rPr>
                <w:color w:val="auto"/>
              </w:rPr>
            </w:pPr>
            <w:r>
              <w:rPr>
                <w:rFonts w:hint="eastAsia"/>
                <w:color w:val="auto"/>
              </w:rPr>
              <w:t>标准限值</w:t>
            </w:r>
          </w:p>
        </w:tc>
        <w:tc>
          <w:tcPr>
            <w:tcW w:w="1163" w:type="dxa"/>
            <w:vAlign w:val="center"/>
          </w:tcPr>
          <w:p w14:paraId="0574BC7F">
            <w:pPr>
              <w:pStyle w:val="751"/>
              <w:rPr>
                <w:color w:val="auto"/>
              </w:rPr>
            </w:pPr>
            <w:r>
              <w:rPr>
                <w:rFonts w:hint="eastAsia"/>
                <w:color w:val="auto"/>
              </w:rPr>
              <w:t>0.01</w:t>
            </w:r>
          </w:p>
        </w:tc>
        <w:tc>
          <w:tcPr>
            <w:tcW w:w="1395" w:type="dxa"/>
            <w:vAlign w:val="center"/>
          </w:tcPr>
          <w:p w14:paraId="1A0781D2">
            <w:pPr>
              <w:pStyle w:val="751"/>
              <w:rPr>
                <w:color w:val="auto"/>
              </w:rPr>
            </w:pPr>
            <w:r>
              <w:rPr>
                <w:rFonts w:hint="eastAsia"/>
                <w:color w:val="auto"/>
              </w:rPr>
              <w:t>mg/L</w:t>
            </w:r>
          </w:p>
        </w:tc>
        <w:tc>
          <w:tcPr>
            <w:tcW w:w="1230" w:type="dxa"/>
            <w:vAlign w:val="center"/>
          </w:tcPr>
          <w:p w14:paraId="30339D7A">
            <w:pPr>
              <w:pStyle w:val="751"/>
              <w:rPr>
                <w:color w:val="auto"/>
              </w:rPr>
            </w:pPr>
            <w:r>
              <w:rPr>
                <w:color w:val="auto"/>
              </w:rPr>
              <w:t>0.3</w:t>
            </w:r>
            <w:r>
              <w:rPr>
                <w:bCs/>
                <w:color w:val="auto"/>
              </w:rPr>
              <w:t>×10</w:t>
            </w:r>
            <w:r>
              <w:rPr>
                <w:bCs/>
                <w:color w:val="auto"/>
                <w:vertAlign w:val="superscript"/>
              </w:rPr>
              <w:t>-3</w:t>
            </w:r>
            <w:r>
              <w:rPr>
                <w:rFonts w:hint="eastAsia"/>
                <w:color w:val="auto"/>
              </w:rPr>
              <w:t>L</w:t>
            </w:r>
          </w:p>
        </w:tc>
        <w:tc>
          <w:tcPr>
            <w:tcW w:w="0" w:type="auto"/>
            <w:vAlign w:val="center"/>
          </w:tcPr>
          <w:p w14:paraId="4E7A736E">
            <w:pPr>
              <w:pStyle w:val="751"/>
              <w:rPr>
                <w:color w:val="auto"/>
              </w:rPr>
            </w:pPr>
            <w:r>
              <w:rPr>
                <w:color w:val="auto"/>
              </w:rPr>
              <w:t>0.3</w:t>
            </w:r>
            <w:r>
              <w:rPr>
                <w:bCs/>
                <w:color w:val="auto"/>
              </w:rPr>
              <w:t>×10</w:t>
            </w:r>
            <w:r>
              <w:rPr>
                <w:bCs/>
                <w:color w:val="auto"/>
                <w:vertAlign w:val="superscript"/>
              </w:rPr>
              <w:t>-3</w:t>
            </w:r>
            <w:r>
              <w:rPr>
                <w:rFonts w:hint="eastAsia"/>
                <w:color w:val="auto"/>
              </w:rPr>
              <w:t>L</w:t>
            </w:r>
          </w:p>
        </w:tc>
        <w:tc>
          <w:tcPr>
            <w:tcW w:w="0" w:type="auto"/>
            <w:vAlign w:val="center"/>
          </w:tcPr>
          <w:p w14:paraId="049D2D5B">
            <w:pPr>
              <w:pStyle w:val="751"/>
              <w:rPr>
                <w:color w:val="auto"/>
              </w:rPr>
            </w:pPr>
            <w:r>
              <w:rPr>
                <w:color w:val="auto"/>
              </w:rPr>
              <w:t>0.3</w:t>
            </w:r>
            <w:r>
              <w:rPr>
                <w:bCs/>
                <w:color w:val="auto"/>
              </w:rPr>
              <w:t>×10</w:t>
            </w:r>
            <w:r>
              <w:rPr>
                <w:bCs/>
                <w:color w:val="auto"/>
                <w:vertAlign w:val="superscript"/>
              </w:rPr>
              <w:t>-3</w:t>
            </w:r>
            <w:r>
              <w:rPr>
                <w:rFonts w:hint="eastAsia"/>
                <w:color w:val="auto"/>
              </w:rPr>
              <w:t>L</w:t>
            </w:r>
          </w:p>
        </w:tc>
      </w:tr>
      <w:tr w14:paraId="7D13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continue"/>
            <w:vAlign w:val="center"/>
          </w:tcPr>
          <w:p w14:paraId="29FDAC63">
            <w:pPr>
              <w:pStyle w:val="751"/>
              <w:rPr>
                <w:color w:val="auto"/>
              </w:rPr>
            </w:pPr>
          </w:p>
        </w:tc>
        <w:tc>
          <w:tcPr>
            <w:tcW w:w="2306" w:type="dxa"/>
            <w:gridSpan w:val="2"/>
            <w:vAlign w:val="center"/>
          </w:tcPr>
          <w:p w14:paraId="1C114EEE">
            <w:pPr>
              <w:pStyle w:val="751"/>
              <w:rPr>
                <w:color w:val="auto"/>
              </w:rPr>
            </w:pPr>
            <w:r>
              <w:rPr>
                <w:rFonts w:hint="eastAsia"/>
                <w:color w:val="auto"/>
              </w:rPr>
              <w:t>Pi</w:t>
            </w:r>
          </w:p>
        </w:tc>
        <w:tc>
          <w:tcPr>
            <w:tcW w:w="1395" w:type="dxa"/>
            <w:vAlign w:val="center"/>
          </w:tcPr>
          <w:p w14:paraId="1E4B7085">
            <w:pPr>
              <w:pStyle w:val="751"/>
              <w:rPr>
                <w:color w:val="auto"/>
              </w:rPr>
            </w:pPr>
            <w:r>
              <w:rPr>
                <w:rFonts w:hint="eastAsia"/>
                <w:color w:val="auto"/>
              </w:rPr>
              <w:t>/</w:t>
            </w:r>
          </w:p>
        </w:tc>
        <w:tc>
          <w:tcPr>
            <w:tcW w:w="1230" w:type="dxa"/>
            <w:vAlign w:val="center"/>
          </w:tcPr>
          <w:p w14:paraId="020898C5">
            <w:pPr>
              <w:pStyle w:val="751"/>
              <w:rPr>
                <w:color w:val="auto"/>
              </w:rPr>
            </w:pPr>
            <w:r>
              <w:rPr>
                <w:rFonts w:hint="eastAsia"/>
                <w:color w:val="auto"/>
              </w:rPr>
              <w:t>0.015</w:t>
            </w:r>
          </w:p>
        </w:tc>
        <w:tc>
          <w:tcPr>
            <w:tcW w:w="0" w:type="auto"/>
            <w:vAlign w:val="center"/>
          </w:tcPr>
          <w:p w14:paraId="41176747">
            <w:pPr>
              <w:pStyle w:val="751"/>
              <w:rPr>
                <w:color w:val="auto"/>
              </w:rPr>
            </w:pPr>
            <w:r>
              <w:rPr>
                <w:rFonts w:hint="eastAsia"/>
                <w:color w:val="auto"/>
              </w:rPr>
              <w:t>0.015</w:t>
            </w:r>
          </w:p>
        </w:tc>
        <w:tc>
          <w:tcPr>
            <w:tcW w:w="0" w:type="auto"/>
            <w:vAlign w:val="center"/>
          </w:tcPr>
          <w:p w14:paraId="29BF780C">
            <w:pPr>
              <w:pStyle w:val="751"/>
              <w:rPr>
                <w:color w:val="auto"/>
              </w:rPr>
            </w:pPr>
            <w:r>
              <w:rPr>
                <w:rFonts w:hint="eastAsia"/>
                <w:color w:val="auto"/>
              </w:rPr>
              <w:t>0.015</w:t>
            </w:r>
          </w:p>
        </w:tc>
      </w:tr>
      <w:tr w14:paraId="7242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75402725">
            <w:pPr>
              <w:pStyle w:val="751"/>
              <w:rPr>
                <w:color w:val="auto"/>
              </w:rPr>
            </w:pPr>
          </w:p>
        </w:tc>
        <w:tc>
          <w:tcPr>
            <w:tcW w:w="2306" w:type="dxa"/>
            <w:gridSpan w:val="2"/>
            <w:vAlign w:val="center"/>
          </w:tcPr>
          <w:p w14:paraId="6EE7E885">
            <w:pPr>
              <w:pStyle w:val="751"/>
              <w:rPr>
                <w:color w:val="auto"/>
              </w:rPr>
            </w:pPr>
            <w:r>
              <w:rPr>
                <w:rFonts w:hint="eastAsia"/>
                <w:color w:val="auto"/>
              </w:rPr>
              <w:t>超标倍数</w:t>
            </w:r>
          </w:p>
        </w:tc>
        <w:tc>
          <w:tcPr>
            <w:tcW w:w="1395" w:type="dxa"/>
            <w:vAlign w:val="center"/>
          </w:tcPr>
          <w:p w14:paraId="7B4AB08B">
            <w:pPr>
              <w:pStyle w:val="751"/>
              <w:rPr>
                <w:color w:val="auto"/>
              </w:rPr>
            </w:pPr>
            <w:r>
              <w:rPr>
                <w:rFonts w:hint="eastAsia"/>
                <w:color w:val="auto"/>
              </w:rPr>
              <w:t>/</w:t>
            </w:r>
          </w:p>
        </w:tc>
        <w:tc>
          <w:tcPr>
            <w:tcW w:w="1230" w:type="dxa"/>
            <w:vAlign w:val="center"/>
          </w:tcPr>
          <w:p w14:paraId="3F95AE69">
            <w:pPr>
              <w:pStyle w:val="751"/>
              <w:rPr>
                <w:color w:val="auto"/>
              </w:rPr>
            </w:pPr>
            <w:r>
              <w:rPr>
                <w:rFonts w:hint="eastAsia"/>
                <w:color w:val="auto"/>
              </w:rPr>
              <w:t>0</w:t>
            </w:r>
          </w:p>
        </w:tc>
        <w:tc>
          <w:tcPr>
            <w:tcW w:w="0" w:type="auto"/>
            <w:vAlign w:val="center"/>
          </w:tcPr>
          <w:p w14:paraId="157202F5">
            <w:pPr>
              <w:pStyle w:val="751"/>
              <w:rPr>
                <w:color w:val="auto"/>
              </w:rPr>
            </w:pPr>
            <w:r>
              <w:rPr>
                <w:rFonts w:hint="eastAsia"/>
                <w:color w:val="auto"/>
              </w:rPr>
              <w:t>0</w:t>
            </w:r>
          </w:p>
        </w:tc>
        <w:tc>
          <w:tcPr>
            <w:tcW w:w="0" w:type="auto"/>
            <w:vAlign w:val="center"/>
          </w:tcPr>
          <w:p w14:paraId="18373E39">
            <w:pPr>
              <w:pStyle w:val="751"/>
              <w:rPr>
                <w:color w:val="auto"/>
              </w:rPr>
            </w:pPr>
            <w:r>
              <w:rPr>
                <w:rFonts w:hint="eastAsia"/>
                <w:color w:val="auto"/>
              </w:rPr>
              <w:t>0</w:t>
            </w:r>
          </w:p>
        </w:tc>
      </w:tr>
      <w:tr w14:paraId="2492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895" w:type="dxa"/>
            <w:vMerge w:val="restart"/>
            <w:vAlign w:val="center"/>
          </w:tcPr>
          <w:p w14:paraId="31E661AC">
            <w:pPr>
              <w:pStyle w:val="751"/>
              <w:rPr>
                <w:color w:val="auto"/>
              </w:rPr>
            </w:pPr>
            <w:r>
              <w:rPr>
                <w:color w:val="auto"/>
              </w:rPr>
              <w:t>挥发酚</w:t>
            </w:r>
          </w:p>
        </w:tc>
        <w:tc>
          <w:tcPr>
            <w:tcW w:w="1143" w:type="dxa"/>
            <w:vAlign w:val="center"/>
          </w:tcPr>
          <w:p w14:paraId="79C65ED2">
            <w:pPr>
              <w:pStyle w:val="751"/>
              <w:rPr>
                <w:color w:val="auto"/>
              </w:rPr>
            </w:pPr>
            <w:r>
              <w:rPr>
                <w:rFonts w:hint="eastAsia"/>
                <w:color w:val="auto"/>
              </w:rPr>
              <w:t>标准限值</w:t>
            </w:r>
          </w:p>
        </w:tc>
        <w:tc>
          <w:tcPr>
            <w:tcW w:w="1163" w:type="dxa"/>
            <w:vAlign w:val="center"/>
          </w:tcPr>
          <w:p w14:paraId="031522F5">
            <w:pPr>
              <w:pStyle w:val="751"/>
              <w:rPr>
                <w:color w:val="auto"/>
              </w:rPr>
            </w:pPr>
            <w:r>
              <w:rPr>
                <w:rFonts w:hint="eastAsia"/>
                <w:color w:val="auto"/>
              </w:rPr>
              <w:t>0.002</w:t>
            </w:r>
          </w:p>
        </w:tc>
        <w:tc>
          <w:tcPr>
            <w:tcW w:w="1395" w:type="dxa"/>
            <w:vAlign w:val="center"/>
          </w:tcPr>
          <w:p w14:paraId="5FCE37E4">
            <w:pPr>
              <w:pStyle w:val="751"/>
              <w:rPr>
                <w:color w:val="auto"/>
              </w:rPr>
            </w:pPr>
            <w:r>
              <w:rPr>
                <w:rFonts w:hint="eastAsia"/>
                <w:color w:val="auto"/>
              </w:rPr>
              <w:t>mg/L</w:t>
            </w:r>
          </w:p>
        </w:tc>
        <w:tc>
          <w:tcPr>
            <w:tcW w:w="1230" w:type="dxa"/>
            <w:vAlign w:val="center"/>
          </w:tcPr>
          <w:p w14:paraId="6548ED98">
            <w:pPr>
              <w:pStyle w:val="751"/>
              <w:rPr>
                <w:color w:val="auto"/>
              </w:rPr>
            </w:pPr>
            <w:r>
              <w:rPr>
                <w:rFonts w:hint="eastAsia"/>
                <w:color w:val="auto"/>
              </w:rPr>
              <w:t>0.0003L</w:t>
            </w:r>
          </w:p>
        </w:tc>
        <w:tc>
          <w:tcPr>
            <w:tcW w:w="0" w:type="auto"/>
            <w:vAlign w:val="center"/>
          </w:tcPr>
          <w:p w14:paraId="57D5EDE7">
            <w:pPr>
              <w:pStyle w:val="751"/>
              <w:rPr>
                <w:color w:val="auto"/>
              </w:rPr>
            </w:pPr>
            <w:r>
              <w:rPr>
                <w:rFonts w:hint="eastAsia"/>
                <w:color w:val="auto"/>
              </w:rPr>
              <w:t>0.0003L</w:t>
            </w:r>
          </w:p>
        </w:tc>
        <w:tc>
          <w:tcPr>
            <w:tcW w:w="0" w:type="auto"/>
            <w:vAlign w:val="center"/>
          </w:tcPr>
          <w:p w14:paraId="59E965AF">
            <w:pPr>
              <w:pStyle w:val="751"/>
              <w:rPr>
                <w:color w:val="auto"/>
              </w:rPr>
            </w:pPr>
            <w:r>
              <w:rPr>
                <w:rFonts w:hint="eastAsia"/>
                <w:color w:val="auto"/>
              </w:rPr>
              <w:t>0.0003L</w:t>
            </w:r>
          </w:p>
        </w:tc>
      </w:tr>
      <w:tr w14:paraId="3DC8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5E81466">
            <w:pPr>
              <w:pStyle w:val="751"/>
              <w:rPr>
                <w:color w:val="auto"/>
              </w:rPr>
            </w:pPr>
          </w:p>
        </w:tc>
        <w:tc>
          <w:tcPr>
            <w:tcW w:w="2306" w:type="dxa"/>
            <w:gridSpan w:val="2"/>
            <w:vAlign w:val="center"/>
          </w:tcPr>
          <w:p w14:paraId="5A45BA6B">
            <w:pPr>
              <w:pStyle w:val="751"/>
              <w:rPr>
                <w:color w:val="auto"/>
              </w:rPr>
            </w:pPr>
            <w:r>
              <w:rPr>
                <w:rFonts w:hint="eastAsia"/>
                <w:color w:val="auto"/>
              </w:rPr>
              <w:t>Pi</w:t>
            </w:r>
          </w:p>
        </w:tc>
        <w:tc>
          <w:tcPr>
            <w:tcW w:w="1395" w:type="dxa"/>
            <w:vAlign w:val="center"/>
          </w:tcPr>
          <w:p w14:paraId="404972BA">
            <w:pPr>
              <w:pStyle w:val="751"/>
              <w:rPr>
                <w:color w:val="auto"/>
              </w:rPr>
            </w:pPr>
            <w:r>
              <w:rPr>
                <w:rFonts w:hint="eastAsia"/>
                <w:color w:val="auto"/>
              </w:rPr>
              <w:t>/</w:t>
            </w:r>
          </w:p>
        </w:tc>
        <w:tc>
          <w:tcPr>
            <w:tcW w:w="1230" w:type="dxa"/>
            <w:vAlign w:val="center"/>
          </w:tcPr>
          <w:p w14:paraId="12E516FA">
            <w:pPr>
              <w:pStyle w:val="751"/>
              <w:rPr>
                <w:color w:val="auto"/>
              </w:rPr>
            </w:pPr>
            <w:r>
              <w:rPr>
                <w:rFonts w:hint="eastAsia"/>
                <w:color w:val="auto"/>
              </w:rPr>
              <w:t>0.075</w:t>
            </w:r>
          </w:p>
        </w:tc>
        <w:tc>
          <w:tcPr>
            <w:tcW w:w="0" w:type="auto"/>
            <w:vAlign w:val="center"/>
          </w:tcPr>
          <w:p w14:paraId="6666C3D0">
            <w:pPr>
              <w:pStyle w:val="751"/>
              <w:rPr>
                <w:color w:val="auto"/>
              </w:rPr>
            </w:pPr>
            <w:r>
              <w:rPr>
                <w:rFonts w:hint="eastAsia"/>
                <w:color w:val="auto"/>
              </w:rPr>
              <w:t>0.075</w:t>
            </w:r>
          </w:p>
        </w:tc>
        <w:tc>
          <w:tcPr>
            <w:tcW w:w="0" w:type="auto"/>
            <w:vAlign w:val="center"/>
          </w:tcPr>
          <w:p w14:paraId="30AFB003">
            <w:pPr>
              <w:pStyle w:val="751"/>
              <w:rPr>
                <w:color w:val="auto"/>
              </w:rPr>
            </w:pPr>
            <w:r>
              <w:rPr>
                <w:rFonts w:hint="eastAsia"/>
                <w:color w:val="auto"/>
              </w:rPr>
              <w:t>0.075</w:t>
            </w:r>
          </w:p>
        </w:tc>
      </w:tr>
      <w:tr w14:paraId="7BE6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4B8A9A1">
            <w:pPr>
              <w:pStyle w:val="751"/>
              <w:rPr>
                <w:color w:val="auto"/>
              </w:rPr>
            </w:pPr>
          </w:p>
        </w:tc>
        <w:tc>
          <w:tcPr>
            <w:tcW w:w="2306" w:type="dxa"/>
            <w:gridSpan w:val="2"/>
            <w:vAlign w:val="center"/>
          </w:tcPr>
          <w:p w14:paraId="74BA076F">
            <w:pPr>
              <w:pStyle w:val="751"/>
              <w:rPr>
                <w:color w:val="auto"/>
              </w:rPr>
            </w:pPr>
            <w:r>
              <w:rPr>
                <w:rFonts w:hint="eastAsia"/>
                <w:color w:val="auto"/>
              </w:rPr>
              <w:t>超标倍数</w:t>
            </w:r>
          </w:p>
        </w:tc>
        <w:tc>
          <w:tcPr>
            <w:tcW w:w="1395" w:type="dxa"/>
            <w:vAlign w:val="center"/>
          </w:tcPr>
          <w:p w14:paraId="08A90601">
            <w:pPr>
              <w:pStyle w:val="751"/>
              <w:rPr>
                <w:color w:val="auto"/>
              </w:rPr>
            </w:pPr>
            <w:r>
              <w:rPr>
                <w:rFonts w:hint="eastAsia"/>
                <w:color w:val="auto"/>
              </w:rPr>
              <w:t>/</w:t>
            </w:r>
          </w:p>
        </w:tc>
        <w:tc>
          <w:tcPr>
            <w:tcW w:w="1230" w:type="dxa"/>
            <w:vAlign w:val="center"/>
          </w:tcPr>
          <w:p w14:paraId="4AB15891">
            <w:pPr>
              <w:pStyle w:val="751"/>
              <w:rPr>
                <w:color w:val="auto"/>
              </w:rPr>
            </w:pPr>
            <w:r>
              <w:rPr>
                <w:rFonts w:hint="eastAsia"/>
                <w:color w:val="auto"/>
              </w:rPr>
              <w:t>0</w:t>
            </w:r>
          </w:p>
        </w:tc>
        <w:tc>
          <w:tcPr>
            <w:tcW w:w="0" w:type="auto"/>
            <w:vAlign w:val="center"/>
          </w:tcPr>
          <w:p w14:paraId="0346C5D4">
            <w:pPr>
              <w:pStyle w:val="751"/>
              <w:rPr>
                <w:color w:val="auto"/>
              </w:rPr>
            </w:pPr>
            <w:r>
              <w:rPr>
                <w:rFonts w:hint="eastAsia"/>
                <w:color w:val="auto"/>
              </w:rPr>
              <w:t>0</w:t>
            </w:r>
          </w:p>
        </w:tc>
        <w:tc>
          <w:tcPr>
            <w:tcW w:w="0" w:type="auto"/>
            <w:vAlign w:val="center"/>
          </w:tcPr>
          <w:p w14:paraId="390F51AE">
            <w:pPr>
              <w:pStyle w:val="751"/>
              <w:rPr>
                <w:color w:val="auto"/>
              </w:rPr>
            </w:pPr>
            <w:r>
              <w:rPr>
                <w:rFonts w:hint="eastAsia"/>
                <w:color w:val="auto"/>
              </w:rPr>
              <w:t>0</w:t>
            </w:r>
          </w:p>
        </w:tc>
      </w:tr>
      <w:tr w14:paraId="5938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30519C1B">
            <w:pPr>
              <w:pStyle w:val="751"/>
              <w:rPr>
                <w:color w:val="auto"/>
              </w:rPr>
            </w:pPr>
            <w:r>
              <w:rPr>
                <w:color w:val="auto"/>
              </w:rPr>
              <w:t>亚硝酸盐氮</w:t>
            </w:r>
          </w:p>
        </w:tc>
        <w:tc>
          <w:tcPr>
            <w:tcW w:w="1143" w:type="dxa"/>
            <w:vAlign w:val="center"/>
          </w:tcPr>
          <w:p w14:paraId="1D5ECAC1">
            <w:pPr>
              <w:pStyle w:val="751"/>
              <w:rPr>
                <w:color w:val="auto"/>
              </w:rPr>
            </w:pPr>
            <w:r>
              <w:rPr>
                <w:rFonts w:hint="eastAsia"/>
                <w:color w:val="auto"/>
              </w:rPr>
              <w:t>标准限值</w:t>
            </w:r>
          </w:p>
        </w:tc>
        <w:tc>
          <w:tcPr>
            <w:tcW w:w="1163" w:type="dxa"/>
            <w:vAlign w:val="center"/>
          </w:tcPr>
          <w:p w14:paraId="7BA2B529">
            <w:pPr>
              <w:pStyle w:val="751"/>
              <w:rPr>
                <w:color w:val="auto"/>
              </w:rPr>
            </w:pPr>
            <w:r>
              <w:rPr>
                <w:rFonts w:hint="eastAsia"/>
                <w:color w:val="auto"/>
              </w:rPr>
              <w:t>1.00</w:t>
            </w:r>
          </w:p>
        </w:tc>
        <w:tc>
          <w:tcPr>
            <w:tcW w:w="1395" w:type="dxa"/>
            <w:vAlign w:val="center"/>
          </w:tcPr>
          <w:p w14:paraId="754B1839">
            <w:pPr>
              <w:pStyle w:val="751"/>
              <w:rPr>
                <w:color w:val="auto"/>
              </w:rPr>
            </w:pPr>
            <w:r>
              <w:rPr>
                <w:rFonts w:hint="eastAsia"/>
                <w:color w:val="auto"/>
              </w:rPr>
              <w:t>mg/L</w:t>
            </w:r>
          </w:p>
        </w:tc>
        <w:tc>
          <w:tcPr>
            <w:tcW w:w="1230" w:type="dxa"/>
            <w:vAlign w:val="center"/>
          </w:tcPr>
          <w:p w14:paraId="24E7F132">
            <w:pPr>
              <w:pStyle w:val="751"/>
              <w:rPr>
                <w:color w:val="auto"/>
              </w:rPr>
            </w:pPr>
            <w:r>
              <w:rPr>
                <w:color w:val="auto"/>
              </w:rPr>
              <w:t>0.0</w:t>
            </w:r>
            <w:r>
              <w:rPr>
                <w:rFonts w:hint="eastAsia"/>
                <w:color w:val="auto"/>
              </w:rPr>
              <w:t>16L</w:t>
            </w:r>
          </w:p>
        </w:tc>
        <w:tc>
          <w:tcPr>
            <w:tcW w:w="0" w:type="auto"/>
            <w:vAlign w:val="center"/>
          </w:tcPr>
          <w:p w14:paraId="269A9AF2">
            <w:pPr>
              <w:pStyle w:val="751"/>
              <w:rPr>
                <w:color w:val="auto"/>
              </w:rPr>
            </w:pPr>
            <w:r>
              <w:rPr>
                <w:color w:val="auto"/>
              </w:rPr>
              <w:t>0.0</w:t>
            </w:r>
            <w:r>
              <w:rPr>
                <w:rFonts w:hint="eastAsia"/>
                <w:color w:val="auto"/>
              </w:rPr>
              <w:t>16L</w:t>
            </w:r>
          </w:p>
        </w:tc>
        <w:tc>
          <w:tcPr>
            <w:tcW w:w="0" w:type="auto"/>
            <w:vAlign w:val="center"/>
          </w:tcPr>
          <w:p w14:paraId="67984172">
            <w:pPr>
              <w:pStyle w:val="751"/>
              <w:rPr>
                <w:color w:val="auto"/>
              </w:rPr>
            </w:pPr>
            <w:r>
              <w:rPr>
                <w:color w:val="auto"/>
              </w:rPr>
              <w:t>0.0</w:t>
            </w:r>
            <w:r>
              <w:rPr>
                <w:rFonts w:hint="eastAsia"/>
                <w:color w:val="auto"/>
              </w:rPr>
              <w:t>16L</w:t>
            </w:r>
          </w:p>
        </w:tc>
      </w:tr>
      <w:tr w14:paraId="4D25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0933595">
            <w:pPr>
              <w:pStyle w:val="751"/>
              <w:rPr>
                <w:color w:val="auto"/>
              </w:rPr>
            </w:pPr>
          </w:p>
        </w:tc>
        <w:tc>
          <w:tcPr>
            <w:tcW w:w="2306" w:type="dxa"/>
            <w:gridSpan w:val="2"/>
            <w:vAlign w:val="center"/>
          </w:tcPr>
          <w:p w14:paraId="00AA695D">
            <w:pPr>
              <w:pStyle w:val="751"/>
              <w:rPr>
                <w:color w:val="auto"/>
              </w:rPr>
            </w:pPr>
            <w:r>
              <w:rPr>
                <w:rFonts w:hint="eastAsia"/>
                <w:color w:val="auto"/>
              </w:rPr>
              <w:t>Pi</w:t>
            </w:r>
          </w:p>
        </w:tc>
        <w:tc>
          <w:tcPr>
            <w:tcW w:w="1395" w:type="dxa"/>
            <w:vAlign w:val="center"/>
          </w:tcPr>
          <w:p w14:paraId="41A6D801">
            <w:pPr>
              <w:pStyle w:val="751"/>
              <w:rPr>
                <w:color w:val="auto"/>
              </w:rPr>
            </w:pPr>
            <w:r>
              <w:rPr>
                <w:rFonts w:hint="eastAsia"/>
                <w:color w:val="auto"/>
              </w:rPr>
              <w:t>/</w:t>
            </w:r>
          </w:p>
        </w:tc>
        <w:tc>
          <w:tcPr>
            <w:tcW w:w="1230" w:type="dxa"/>
            <w:vAlign w:val="center"/>
          </w:tcPr>
          <w:p w14:paraId="306F8BBC">
            <w:pPr>
              <w:pStyle w:val="751"/>
              <w:rPr>
                <w:color w:val="auto"/>
              </w:rPr>
            </w:pPr>
            <w:r>
              <w:rPr>
                <w:rFonts w:hint="eastAsia"/>
                <w:color w:val="auto"/>
              </w:rPr>
              <w:t>0.008</w:t>
            </w:r>
          </w:p>
        </w:tc>
        <w:tc>
          <w:tcPr>
            <w:tcW w:w="0" w:type="auto"/>
            <w:vAlign w:val="center"/>
          </w:tcPr>
          <w:p w14:paraId="57C961C0">
            <w:pPr>
              <w:pStyle w:val="751"/>
              <w:rPr>
                <w:color w:val="auto"/>
              </w:rPr>
            </w:pPr>
            <w:r>
              <w:rPr>
                <w:rFonts w:hint="eastAsia"/>
                <w:color w:val="auto"/>
              </w:rPr>
              <w:t>0.008</w:t>
            </w:r>
          </w:p>
        </w:tc>
        <w:tc>
          <w:tcPr>
            <w:tcW w:w="0" w:type="auto"/>
            <w:vAlign w:val="center"/>
          </w:tcPr>
          <w:p w14:paraId="305785CF">
            <w:pPr>
              <w:pStyle w:val="751"/>
              <w:rPr>
                <w:color w:val="auto"/>
              </w:rPr>
            </w:pPr>
            <w:r>
              <w:rPr>
                <w:rFonts w:hint="eastAsia"/>
                <w:color w:val="auto"/>
              </w:rPr>
              <w:t>0.008</w:t>
            </w:r>
          </w:p>
        </w:tc>
      </w:tr>
      <w:tr w14:paraId="3041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F56C62E">
            <w:pPr>
              <w:pStyle w:val="751"/>
              <w:rPr>
                <w:color w:val="auto"/>
              </w:rPr>
            </w:pPr>
          </w:p>
        </w:tc>
        <w:tc>
          <w:tcPr>
            <w:tcW w:w="2306" w:type="dxa"/>
            <w:gridSpan w:val="2"/>
            <w:vAlign w:val="center"/>
          </w:tcPr>
          <w:p w14:paraId="45C1D543">
            <w:pPr>
              <w:pStyle w:val="751"/>
              <w:rPr>
                <w:color w:val="auto"/>
              </w:rPr>
            </w:pPr>
            <w:r>
              <w:rPr>
                <w:rFonts w:hint="eastAsia"/>
                <w:color w:val="auto"/>
              </w:rPr>
              <w:t>超标倍数</w:t>
            </w:r>
          </w:p>
        </w:tc>
        <w:tc>
          <w:tcPr>
            <w:tcW w:w="1395" w:type="dxa"/>
            <w:vAlign w:val="center"/>
          </w:tcPr>
          <w:p w14:paraId="71AE4E0A">
            <w:pPr>
              <w:pStyle w:val="751"/>
              <w:rPr>
                <w:color w:val="auto"/>
              </w:rPr>
            </w:pPr>
            <w:r>
              <w:rPr>
                <w:rFonts w:hint="eastAsia"/>
                <w:color w:val="auto"/>
              </w:rPr>
              <w:t>/</w:t>
            </w:r>
          </w:p>
        </w:tc>
        <w:tc>
          <w:tcPr>
            <w:tcW w:w="1230" w:type="dxa"/>
            <w:vAlign w:val="center"/>
          </w:tcPr>
          <w:p w14:paraId="57E64590">
            <w:pPr>
              <w:pStyle w:val="751"/>
              <w:rPr>
                <w:color w:val="auto"/>
              </w:rPr>
            </w:pPr>
            <w:r>
              <w:rPr>
                <w:rFonts w:hint="eastAsia"/>
                <w:color w:val="auto"/>
              </w:rPr>
              <w:t>0</w:t>
            </w:r>
          </w:p>
        </w:tc>
        <w:tc>
          <w:tcPr>
            <w:tcW w:w="0" w:type="auto"/>
            <w:vAlign w:val="center"/>
          </w:tcPr>
          <w:p w14:paraId="551A04B8">
            <w:pPr>
              <w:pStyle w:val="751"/>
              <w:rPr>
                <w:color w:val="auto"/>
              </w:rPr>
            </w:pPr>
            <w:r>
              <w:rPr>
                <w:rFonts w:hint="eastAsia"/>
                <w:color w:val="auto"/>
              </w:rPr>
              <w:t>0</w:t>
            </w:r>
          </w:p>
        </w:tc>
        <w:tc>
          <w:tcPr>
            <w:tcW w:w="0" w:type="auto"/>
            <w:vAlign w:val="center"/>
          </w:tcPr>
          <w:p w14:paraId="44CFDD6A">
            <w:pPr>
              <w:pStyle w:val="751"/>
              <w:rPr>
                <w:color w:val="auto"/>
              </w:rPr>
            </w:pPr>
            <w:r>
              <w:rPr>
                <w:rFonts w:hint="eastAsia"/>
                <w:color w:val="auto"/>
              </w:rPr>
              <w:t>0</w:t>
            </w:r>
          </w:p>
        </w:tc>
      </w:tr>
      <w:tr w14:paraId="0322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582799FE">
            <w:pPr>
              <w:pStyle w:val="751"/>
              <w:rPr>
                <w:color w:val="auto"/>
              </w:rPr>
            </w:pPr>
            <w:r>
              <w:rPr>
                <w:bCs/>
                <w:color w:val="auto"/>
              </w:rPr>
              <w:t>硝酸盐氮</w:t>
            </w:r>
          </w:p>
        </w:tc>
        <w:tc>
          <w:tcPr>
            <w:tcW w:w="1143" w:type="dxa"/>
            <w:vAlign w:val="center"/>
          </w:tcPr>
          <w:p w14:paraId="32898304">
            <w:pPr>
              <w:pStyle w:val="751"/>
              <w:rPr>
                <w:color w:val="auto"/>
              </w:rPr>
            </w:pPr>
            <w:r>
              <w:rPr>
                <w:rFonts w:hint="eastAsia"/>
                <w:color w:val="auto"/>
              </w:rPr>
              <w:t>标准限值</w:t>
            </w:r>
          </w:p>
        </w:tc>
        <w:tc>
          <w:tcPr>
            <w:tcW w:w="1163" w:type="dxa"/>
            <w:vAlign w:val="center"/>
          </w:tcPr>
          <w:p w14:paraId="1DF92E07">
            <w:pPr>
              <w:pStyle w:val="751"/>
              <w:rPr>
                <w:color w:val="auto"/>
              </w:rPr>
            </w:pPr>
            <w:r>
              <w:rPr>
                <w:rFonts w:hint="eastAsia"/>
                <w:color w:val="auto"/>
              </w:rPr>
              <w:t>20.0</w:t>
            </w:r>
          </w:p>
        </w:tc>
        <w:tc>
          <w:tcPr>
            <w:tcW w:w="1395" w:type="dxa"/>
            <w:vAlign w:val="center"/>
          </w:tcPr>
          <w:p w14:paraId="6E336C6F">
            <w:pPr>
              <w:pStyle w:val="751"/>
              <w:rPr>
                <w:color w:val="auto"/>
              </w:rPr>
            </w:pPr>
            <w:r>
              <w:rPr>
                <w:rFonts w:hint="eastAsia"/>
                <w:color w:val="auto"/>
              </w:rPr>
              <w:t>mg/L</w:t>
            </w:r>
          </w:p>
        </w:tc>
        <w:tc>
          <w:tcPr>
            <w:tcW w:w="1230" w:type="dxa"/>
            <w:vAlign w:val="center"/>
          </w:tcPr>
          <w:p w14:paraId="010C4B9B">
            <w:pPr>
              <w:pStyle w:val="751"/>
              <w:rPr>
                <w:color w:val="auto"/>
              </w:rPr>
            </w:pPr>
            <w:r>
              <w:rPr>
                <w:rFonts w:hint="eastAsia"/>
                <w:bCs/>
                <w:color w:val="auto"/>
              </w:rPr>
              <w:t>19.4</w:t>
            </w:r>
          </w:p>
        </w:tc>
        <w:tc>
          <w:tcPr>
            <w:tcW w:w="0" w:type="auto"/>
            <w:vAlign w:val="center"/>
          </w:tcPr>
          <w:p w14:paraId="7AC2362C">
            <w:pPr>
              <w:pStyle w:val="751"/>
              <w:rPr>
                <w:color w:val="auto"/>
              </w:rPr>
            </w:pPr>
            <w:r>
              <w:rPr>
                <w:rFonts w:hint="eastAsia"/>
                <w:bCs/>
                <w:color w:val="auto"/>
              </w:rPr>
              <w:t>5.48</w:t>
            </w:r>
          </w:p>
        </w:tc>
        <w:tc>
          <w:tcPr>
            <w:tcW w:w="0" w:type="auto"/>
            <w:vAlign w:val="center"/>
          </w:tcPr>
          <w:p w14:paraId="07B7C6A4">
            <w:pPr>
              <w:pStyle w:val="751"/>
              <w:rPr>
                <w:color w:val="auto"/>
              </w:rPr>
            </w:pPr>
            <w:r>
              <w:rPr>
                <w:rFonts w:hint="eastAsia"/>
                <w:bCs/>
                <w:color w:val="auto"/>
              </w:rPr>
              <w:t>13.1</w:t>
            </w:r>
          </w:p>
        </w:tc>
      </w:tr>
      <w:tr w14:paraId="3AFB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0B74FD6C">
            <w:pPr>
              <w:pStyle w:val="751"/>
              <w:rPr>
                <w:bCs/>
                <w:color w:val="auto"/>
              </w:rPr>
            </w:pPr>
          </w:p>
        </w:tc>
        <w:tc>
          <w:tcPr>
            <w:tcW w:w="2306" w:type="dxa"/>
            <w:gridSpan w:val="2"/>
            <w:vAlign w:val="center"/>
          </w:tcPr>
          <w:p w14:paraId="2A907929">
            <w:pPr>
              <w:pStyle w:val="751"/>
              <w:rPr>
                <w:color w:val="auto"/>
              </w:rPr>
            </w:pPr>
            <w:r>
              <w:rPr>
                <w:rFonts w:hint="eastAsia"/>
                <w:color w:val="auto"/>
              </w:rPr>
              <w:t>Pi</w:t>
            </w:r>
          </w:p>
        </w:tc>
        <w:tc>
          <w:tcPr>
            <w:tcW w:w="1395" w:type="dxa"/>
            <w:vAlign w:val="center"/>
          </w:tcPr>
          <w:p w14:paraId="7EA0323B">
            <w:pPr>
              <w:pStyle w:val="751"/>
              <w:rPr>
                <w:color w:val="auto"/>
              </w:rPr>
            </w:pPr>
            <w:r>
              <w:rPr>
                <w:rFonts w:hint="eastAsia"/>
                <w:color w:val="auto"/>
              </w:rPr>
              <w:t>/</w:t>
            </w:r>
          </w:p>
        </w:tc>
        <w:tc>
          <w:tcPr>
            <w:tcW w:w="1230" w:type="dxa"/>
            <w:vAlign w:val="center"/>
          </w:tcPr>
          <w:p w14:paraId="29DDE637">
            <w:pPr>
              <w:pStyle w:val="751"/>
              <w:rPr>
                <w:bCs/>
                <w:color w:val="auto"/>
              </w:rPr>
            </w:pPr>
            <w:r>
              <w:rPr>
                <w:rFonts w:hint="eastAsia"/>
                <w:bCs/>
                <w:color w:val="auto"/>
              </w:rPr>
              <w:t>0.97</w:t>
            </w:r>
          </w:p>
        </w:tc>
        <w:tc>
          <w:tcPr>
            <w:tcW w:w="0" w:type="auto"/>
            <w:vAlign w:val="center"/>
          </w:tcPr>
          <w:p w14:paraId="1EF80D8D">
            <w:pPr>
              <w:pStyle w:val="751"/>
              <w:rPr>
                <w:bCs/>
                <w:color w:val="auto"/>
              </w:rPr>
            </w:pPr>
            <w:r>
              <w:rPr>
                <w:rFonts w:hint="eastAsia"/>
                <w:bCs/>
                <w:color w:val="auto"/>
              </w:rPr>
              <w:t>0.274</w:t>
            </w:r>
          </w:p>
        </w:tc>
        <w:tc>
          <w:tcPr>
            <w:tcW w:w="0" w:type="auto"/>
            <w:vAlign w:val="center"/>
          </w:tcPr>
          <w:p w14:paraId="5D4AE6A4">
            <w:pPr>
              <w:pStyle w:val="751"/>
              <w:rPr>
                <w:bCs/>
                <w:color w:val="auto"/>
              </w:rPr>
            </w:pPr>
            <w:r>
              <w:rPr>
                <w:rFonts w:hint="eastAsia"/>
                <w:bCs/>
                <w:color w:val="auto"/>
              </w:rPr>
              <w:t>0.655</w:t>
            </w:r>
          </w:p>
        </w:tc>
      </w:tr>
      <w:tr w14:paraId="5EB6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046B8E63">
            <w:pPr>
              <w:pStyle w:val="751"/>
              <w:rPr>
                <w:bCs/>
                <w:color w:val="auto"/>
              </w:rPr>
            </w:pPr>
          </w:p>
        </w:tc>
        <w:tc>
          <w:tcPr>
            <w:tcW w:w="2306" w:type="dxa"/>
            <w:gridSpan w:val="2"/>
            <w:vAlign w:val="center"/>
          </w:tcPr>
          <w:p w14:paraId="248FE8BE">
            <w:pPr>
              <w:pStyle w:val="751"/>
              <w:rPr>
                <w:color w:val="auto"/>
              </w:rPr>
            </w:pPr>
            <w:r>
              <w:rPr>
                <w:rFonts w:hint="eastAsia"/>
                <w:color w:val="auto"/>
              </w:rPr>
              <w:t>超标倍数</w:t>
            </w:r>
          </w:p>
        </w:tc>
        <w:tc>
          <w:tcPr>
            <w:tcW w:w="1395" w:type="dxa"/>
            <w:vAlign w:val="center"/>
          </w:tcPr>
          <w:p w14:paraId="55B45716">
            <w:pPr>
              <w:pStyle w:val="751"/>
              <w:rPr>
                <w:color w:val="auto"/>
              </w:rPr>
            </w:pPr>
            <w:r>
              <w:rPr>
                <w:rFonts w:hint="eastAsia"/>
                <w:color w:val="auto"/>
              </w:rPr>
              <w:t>/</w:t>
            </w:r>
          </w:p>
        </w:tc>
        <w:tc>
          <w:tcPr>
            <w:tcW w:w="1230" w:type="dxa"/>
            <w:vAlign w:val="center"/>
          </w:tcPr>
          <w:p w14:paraId="70D39640">
            <w:pPr>
              <w:pStyle w:val="751"/>
              <w:rPr>
                <w:bCs/>
                <w:color w:val="auto"/>
              </w:rPr>
            </w:pPr>
            <w:r>
              <w:rPr>
                <w:rFonts w:hint="eastAsia"/>
                <w:bCs/>
                <w:color w:val="auto"/>
              </w:rPr>
              <w:t>0</w:t>
            </w:r>
          </w:p>
        </w:tc>
        <w:tc>
          <w:tcPr>
            <w:tcW w:w="0" w:type="auto"/>
            <w:vAlign w:val="center"/>
          </w:tcPr>
          <w:p w14:paraId="69283CA8">
            <w:pPr>
              <w:pStyle w:val="751"/>
              <w:rPr>
                <w:bCs/>
                <w:color w:val="auto"/>
              </w:rPr>
            </w:pPr>
            <w:r>
              <w:rPr>
                <w:rFonts w:hint="eastAsia"/>
                <w:bCs/>
                <w:color w:val="auto"/>
              </w:rPr>
              <w:t>0</w:t>
            </w:r>
          </w:p>
        </w:tc>
        <w:tc>
          <w:tcPr>
            <w:tcW w:w="0" w:type="auto"/>
            <w:vAlign w:val="center"/>
          </w:tcPr>
          <w:p w14:paraId="36B995DF">
            <w:pPr>
              <w:pStyle w:val="751"/>
              <w:rPr>
                <w:bCs/>
                <w:color w:val="auto"/>
              </w:rPr>
            </w:pPr>
            <w:r>
              <w:rPr>
                <w:rFonts w:hint="eastAsia"/>
                <w:bCs/>
                <w:color w:val="auto"/>
              </w:rPr>
              <w:t>0</w:t>
            </w:r>
          </w:p>
        </w:tc>
      </w:tr>
      <w:tr w14:paraId="4515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11A3B9E2">
            <w:pPr>
              <w:pStyle w:val="751"/>
              <w:rPr>
                <w:color w:val="auto"/>
              </w:rPr>
            </w:pPr>
            <w:r>
              <w:rPr>
                <w:rFonts w:hint="eastAsia"/>
                <w:color w:val="auto"/>
              </w:rPr>
              <w:t>铅</w:t>
            </w:r>
          </w:p>
        </w:tc>
        <w:tc>
          <w:tcPr>
            <w:tcW w:w="1143" w:type="dxa"/>
            <w:vAlign w:val="center"/>
          </w:tcPr>
          <w:p w14:paraId="2571F39A">
            <w:pPr>
              <w:pStyle w:val="751"/>
              <w:rPr>
                <w:color w:val="auto"/>
              </w:rPr>
            </w:pPr>
            <w:r>
              <w:rPr>
                <w:rFonts w:hint="eastAsia"/>
                <w:color w:val="auto"/>
              </w:rPr>
              <w:t>标准限值</w:t>
            </w:r>
          </w:p>
        </w:tc>
        <w:tc>
          <w:tcPr>
            <w:tcW w:w="1163" w:type="dxa"/>
            <w:vAlign w:val="center"/>
          </w:tcPr>
          <w:p w14:paraId="644452FC">
            <w:pPr>
              <w:pStyle w:val="751"/>
              <w:rPr>
                <w:color w:val="auto"/>
              </w:rPr>
            </w:pPr>
            <w:r>
              <w:rPr>
                <w:rFonts w:hint="eastAsia"/>
                <w:color w:val="auto"/>
              </w:rPr>
              <w:t>0.01</w:t>
            </w:r>
          </w:p>
        </w:tc>
        <w:tc>
          <w:tcPr>
            <w:tcW w:w="1395" w:type="dxa"/>
            <w:vAlign w:val="center"/>
          </w:tcPr>
          <w:p w14:paraId="3E899525">
            <w:pPr>
              <w:pStyle w:val="751"/>
              <w:rPr>
                <w:b/>
                <w:bCs/>
                <w:color w:val="auto"/>
              </w:rPr>
            </w:pPr>
            <w:r>
              <w:rPr>
                <w:rFonts w:hint="eastAsia"/>
                <w:color w:val="auto"/>
              </w:rPr>
              <w:t>mg/L</w:t>
            </w:r>
          </w:p>
        </w:tc>
        <w:tc>
          <w:tcPr>
            <w:tcW w:w="1230" w:type="dxa"/>
            <w:vAlign w:val="center"/>
          </w:tcPr>
          <w:p w14:paraId="4F186290">
            <w:pPr>
              <w:pStyle w:val="751"/>
              <w:rPr>
                <w:color w:val="auto"/>
              </w:rPr>
            </w:pPr>
            <w:r>
              <w:rPr>
                <w:rFonts w:hint="eastAsia"/>
                <w:color w:val="auto"/>
              </w:rPr>
              <w:t>0.001L</w:t>
            </w:r>
          </w:p>
        </w:tc>
        <w:tc>
          <w:tcPr>
            <w:tcW w:w="0" w:type="auto"/>
            <w:vAlign w:val="center"/>
          </w:tcPr>
          <w:p w14:paraId="6DB9E02A">
            <w:pPr>
              <w:pStyle w:val="751"/>
              <w:rPr>
                <w:color w:val="auto"/>
              </w:rPr>
            </w:pPr>
            <w:r>
              <w:rPr>
                <w:rFonts w:hint="eastAsia"/>
                <w:color w:val="auto"/>
              </w:rPr>
              <w:t>0.001L</w:t>
            </w:r>
          </w:p>
        </w:tc>
        <w:tc>
          <w:tcPr>
            <w:tcW w:w="0" w:type="auto"/>
            <w:vAlign w:val="center"/>
          </w:tcPr>
          <w:p w14:paraId="05B4D5BD">
            <w:pPr>
              <w:pStyle w:val="751"/>
              <w:rPr>
                <w:color w:val="auto"/>
              </w:rPr>
            </w:pPr>
            <w:r>
              <w:rPr>
                <w:rFonts w:hint="eastAsia"/>
                <w:color w:val="auto"/>
              </w:rPr>
              <w:t>0.001L</w:t>
            </w:r>
          </w:p>
        </w:tc>
      </w:tr>
      <w:tr w14:paraId="2ABC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6065330">
            <w:pPr>
              <w:pStyle w:val="751"/>
              <w:rPr>
                <w:color w:val="auto"/>
              </w:rPr>
            </w:pPr>
          </w:p>
        </w:tc>
        <w:tc>
          <w:tcPr>
            <w:tcW w:w="2306" w:type="dxa"/>
            <w:gridSpan w:val="2"/>
            <w:vAlign w:val="center"/>
          </w:tcPr>
          <w:p w14:paraId="3BA8CF01">
            <w:pPr>
              <w:pStyle w:val="751"/>
              <w:rPr>
                <w:color w:val="auto"/>
              </w:rPr>
            </w:pPr>
            <w:r>
              <w:rPr>
                <w:rFonts w:hint="eastAsia"/>
                <w:color w:val="auto"/>
              </w:rPr>
              <w:t>Pi</w:t>
            </w:r>
          </w:p>
        </w:tc>
        <w:tc>
          <w:tcPr>
            <w:tcW w:w="1395" w:type="dxa"/>
            <w:vAlign w:val="center"/>
          </w:tcPr>
          <w:p w14:paraId="76DCFDC8">
            <w:pPr>
              <w:pStyle w:val="751"/>
              <w:rPr>
                <w:color w:val="auto"/>
              </w:rPr>
            </w:pPr>
            <w:r>
              <w:rPr>
                <w:rFonts w:hint="eastAsia"/>
                <w:color w:val="auto"/>
              </w:rPr>
              <w:t>/</w:t>
            </w:r>
          </w:p>
        </w:tc>
        <w:tc>
          <w:tcPr>
            <w:tcW w:w="1230" w:type="dxa"/>
            <w:vAlign w:val="center"/>
          </w:tcPr>
          <w:p w14:paraId="0775B6B3">
            <w:pPr>
              <w:pStyle w:val="751"/>
              <w:rPr>
                <w:color w:val="auto"/>
              </w:rPr>
            </w:pPr>
            <w:r>
              <w:rPr>
                <w:rFonts w:hint="eastAsia"/>
                <w:color w:val="auto"/>
              </w:rPr>
              <w:t>0.05</w:t>
            </w:r>
          </w:p>
        </w:tc>
        <w:tc>
          <w:tcPr>
            <w:tcW w:w="0" w:type="auto"/>
            <w:vAlign w:val="center"/>
          </w:tcPr>
          <w:p w14:paraId="609C6D25">
            <w:pPr>
              <w:pStyle w:val="751"/>
              <w:rPr>
                <w:color w:val="auto"/>
              </w:rPr>
            </w:pPr>
            <w:r>
              <w:rPr>
                <w:rFonts w:hint="eastAsia"/>
                <w:color w:val="auto"/>
              </w:rPr>
              <w:t>0.05</w:t>
            </w:r>
          </w:p>
        </w:tc>
        <w:tc>
          <w:tcPr>
            <w:tcW w:w="0" w:type="auto"/>
            <w:vAlign w:val="center"/>
          </w:tcPr>
          <w:p w14:paraId="4ED6AC5C">
            <w:pPr>
              <w:pStyle w:val="751"/>
              <w:rPr>
                <w:color w:val="auto"/>
              </w:rPr>
            </w:pPr>
            <w:r>
              <w:rPr>
                <w:rFonts w:hint="eastAsia"/>
                <w:color w:val="auto"/>
              </w:rPr>
              <w:t>0.05</w:t>
            </w:r>
          </w:p>
        </w:tc>
      </w:tr>
      <w:tr w14:paraId="6388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63192940">
            <w:pPr>
              <w:pStyle w:val="751"/>
              <w:rPr>
                <w:color w:val="auto"/>
              </w:rPr>
            </w:pPr>
          </w:p>
        </w:tc>
        <w:tc>
          <w:tcPr>
            <w:tcW w:w="2306" w:type="dxa"/>
            <w:gridSpan w:val="2"/>
            <w:vAlign w:val="center"/>
          </w:tcPr>
          <w:p w14:paraId="6DA382A4">
            <w:pPr>
              <w:pStyle w:val="751"/>
              <w:rPr>
                <w:color w:val="auto"/>
              </w:rPr>
            </w:pPr>
            <w:r>
              <w:rPr>
                <w:rFonts w:hint="eastAsia"/>
                <w:color w:val="auto"/>
              </w:rPr>
              <w:t>超标倍数</w:t>
            </w:r>
          </w:p>
        </w:tc>
        <w:tc>
          <w:tcPr>
            <w:tcW w:w="1395" w:type="dxa"/>
            <w:vAlign w:val="center"/>
          </w:tcPr>
          <w:p w14:paraId="4A5DD45E">
            <w:pPr>
              <w:pStyle w:val="751"/>
              <w:rPr>
                <w:color w:val="auto"/>
              </w:rPr>
            </w:pPr>
            <w:r>
              <w:rPr>
                <w:rFonts w:hint="eastAsia"/>
                <w:color w:val="auto"/>
              </w:rPr>
              <w:t>/</w:t>
            </w:r>
          </w:p>
        </w:tc>
        <w:tc>
          <w:tcPr>
            <w:tcW w:w="1230" w:type="dxa"/>
            <w:vAlign w:val="center"/>
          </w:tcPr>
          <w:p w14:paraId="73546BE3">
            <w:pPr>
              <w:pStyle w:val="751"/>
              <w:rPr>
                <w:color w:val="auto"/>
              </w:rPr>
            </w:pPr>
            <w:r>
              <w:rPr>
                <w:rFonts w:hint="eastAsia"/>
                <w:color w:val="auto"/>
              </w:rPr>
              <w:t>0</w:t>
            </w:r>
          </w:p>
        </w:tc>
        <w:tc>
          <w:tcPr>
            <w:tcW w:w="0" w:type="auto"/>
            <w:vAlign w:val="center"/>
          </w:tcPr>
          <w:p w14:paraId="067FA6B6">
            <w:pPr>
              <w:pStyle w:val="751"/>
              <w:rPr>
                <w:color w:val="auto"/>
              </w:rPr>
            </w:pPr>
            <w:r>
              <w:rPr>
                <w:rFonts w:hint="eastAsia"/>
                <w:color w:val="auto"/>
              </w:rPr>
              <w:t>0</w:t>
            </w:r>
          </w:p>
        </w:tc>
        <w:tc>
          <w:tcPr>
            <w:tcW w:w="0" w:type="auto"/>
            <w:vAlign w:val="center"/>
          </w:tcPr>
          <w:p w14:paraId="0DABFC1E">
            <w:pPr>
              <w:pStyle w:val="751"/>
              <w:rPr>
                <w:color w:val="auto"/>
              </w:rPr>
            </w:pPr>
            <w:r>
              <w:rPr>
                <w:rFonts w:hint="eastAsia"/>
                <w:color w:val="auto"/>
              </w:rPr>
              <w:t>0</w:t>
            </w:r>
          </w:p>
        </w:tc>
      </w:tr>
      <w:tr w14:paraId="5196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07A0E8BD">
            <w:pPr>
              <w:pStyle w:val="751"/>
              <w:rPr>
                <w:color w:val="auto"/>
              </w:rPr>
            </w:pPr>
            <w:r>
              <w:rPr>
                <w:color w:val="auto"/>
              </w:rPr>
              <w:t>氰化物</w:t>
            </w:r>
          </w:p>
        </w:tc>
        <w:tc>
          <w:tcPr>
            <w:tcW w:w="1143" w:type="dxa"/>
            <w:vAlign w:val="center"/>
          </w:tcPr>
          <w:p w14:paraId="50B2A941">
            <w:pPr>
              <w:pStyle w:val="751"/>
              <w:rPr>
                <w:color w:val="auto"/>
              </w:rPr>
            </w:pPr>
            <w:r>
              <w:rPr>
                <w:rFonts w:hint="eastAsia"/>
                <w:color w:val="auto"/>
              </w:rPr>
              <w:t>标准限值</w:t>
            </w:r>
          </w:p>
        </w:tc>
        <w:tc>
          <w:tcPr>
            <w:tcW w:w="1163" w:type="dxa"/>
            <w:vAlign w:val="center"/>
          </w:tcPr>
          <w:p w14:paraId="1DD77850">
            <w:pPr>
              <w:pStyle w:val="751"/>
              <w:rPr>
                <w:color w:val="auto"/>
              </w:rPr>
            </w:pPr>
            <w:r>
              <w:rPr>
                <w:rFonts w:hint="eastAsia"/>
                <w:color w:val="auto"/>
              </w:rPr>
              <w:t>0.05</w:t>
            </w:r>
          </w:p>
        </w:tc>
        <w:tc>
          <w:tcPr>
            <w:tcW w:w="1395" w:type="dxa"/>
            <w:vAlign w:val="center"/>
          </w:tcPr>
          <w:p w14:paraId="1CF27630">
            <w:pPr>
              <w:pStyle w:val="751"/>
              <w:rPr>
                <w:b/>
                <w:bCs/>
                <w:color w:val="auto"/>
              </w:rPr>
            </w:pPr>
            <w:r>
              <w:rPr>
                <w:rFonts w:hint="eastAsia"/>
                <w:color w:val="auto"/>
              </w:rPr>
              <w:t>mg/L</w:t>
            </w:r>
          </w:p>
        </w:tc>
        <w:tc>
          <w:tcPr>
            <w:tcW w:w="1230" w:type="dxa"/>
            <w:vAlign w:val="center"/>
          </w:tcPr>
          <w:p w14:paraId="6777D440">
            <w:pPr>
              <w:pStyle w:val="751"/>
              <w:rPr>
                <w:color w:val="auto"/>
              </w:rPr>
            </w:pPr>
            <w:r>
              <w:rPr>
                <w:rFonts w:hint="eastAsia"/>
                <w:color w:val="auto"/>
              </w:rPr>
              <w:t>0.002L</w:t>
            </w:r>
          </w:p>
        </w:tc>
        <w:tc>
          <w:tcPr>
            <w:tcW w:w="0" w:type="auto"/>
            <w:vAlign w:val="center"/>
          </w:tcPr>
          <w:p w14:paraId="148108A5">
            <w:pPr>
              <w:pStyle w:val="751"/>
              <w:rPr>
                <w:color w:val="auto"/>
              </w:rPr>
            </w:pPr>
            <w:r>
              <w:rPr>
                <w:rFonts w:hint="eastAsia"/>
                <w:color w:val="auto"/>
              </w:rPr>
              <w:t>0.002L</w:t>
            </w:r>
          </w:p>
        </w:tc>
        <w:tc>
          <w:tcPr>
            <w:tcW w:w="0" w:type="auto"/>
            <w:vAlign w:val="center"/>
          </w:tcPr>
          <w:p w14:paraId="137CBE55">
            <w:pPr>
              <w:pStyle w:val="751"/>
              <w:rPr>
                <w:color w:val="auto"/>
              </w:rPr>
            </w:pPr>
            <w:r>
              <w:rPr>
                <w:rFonts w:hint="eastAsia"/>
                <w:color w:val="auto"/>
              </w:rPr>
              <w:t>0.002L</w:t>
            </w:r>
          </w:p>
        </w:tc>
      </w:tr>
      <w:tr w14:paraId="7FE7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6429AD7">
            <w:pPr>
              <w:pStyle w:val="751"/>
              <w:rPr>
                <w:color w:val="auto"/>
              </w:rPr>
            </w:pPr>
          </w:p>
        </w:tc>
        <w:tc>
          <w:tcPr>
            <w:tcW w:w="2306" w:type="dxa"/>
            <w:gridSpan w:val="2"/>
            <w:vAlign w:val="center"/>
          </w:tcPr>
          <w:p w14:paraId="02528188">
            <w:pPr>
              <w:pStyle w:val="751"/>
              <w:rPr>
                <w:color w:val="auto"/>
              </w:rPr>
            </w:pPr>
            <w:r>
              <w:rPr>
                <w:rFonts w:hint="eastAsia"/>
                <w:color w:val="auto"/>
              </w:rPr>
              <w:t>Pi</w:t>
            </w:r>
          </w:p>
        </w:tc>
        <w:tc>
          <w:tcPr>
            <w:tcW w:w="1395" w:type="dxa"/>
            <w:vAlign w:val="center"/>
          </w:tcPr>
          <w:p w14:paraId="2A132695">
            <w:pPr>
              <w:pStyle w:val="751"/>
              <w:rPr>
                <w:color w:val="auto"/>
              </w:rPr>
            </w:pPr>
            <w:r>
              <w:rPr>
                <w:rFonts w:hint="eastAsia"/>
                <w:color w:val="auto"/>
              </w:rPr>
              <w:t>/</w:t>
            </w:r>
          </w:p>
        </w:tc>
        <w:tc>
          <w:tcPr>
            <w:tcW w:w="1230" w:type="dxa"/>
            <w:vAlign w:val="center"/>
          </w:tcPr>
          <w:p w14:paraId="11D81BF0">
            <w:pPr>
              <w:pStyle w:val="751"/>
              <w:rPr>
                <w:color w:val="auto"/>
              </w:rPr>
            </w:pPr>
            <w:r>
              <w:rPr>
                <w:rFonts w:hint="eastAsia"/>
                <w:color w:val="auto"/>
              </w:rPr>
              <w:t>0.02</w:t>
            </w:r>
          </w:p>
        </w:tc>
        <w:tc>
          <w:tcPr>
            <w:tcW w:w="0" w:type="auto"/>
            <w:vAlign w:val="center"/>
          </w:tcPr>
          <w:p w14:paraId="53253CF7">
            <w:pPr>
              <w:pStyle w:val="751"/>
              <w:rPr>
                <w:color w:val="auto"/>
              </w:rPr>
            </w:pPr>
            <w:r>
              <w:rPr>
                <w:rFonts w:hint="eastAsia"/>
                <w:color w:val="auto"/>
              </w:rPr>
              <w:t>0.02</w:t>
            </w:r>
          </w:p>
        </w:tc>
        <w:tc>
          <w:tcPr>
            <w:tcW w:w="0" w:type="auto"/>
            <w:vAlign w:val="center"/>
          </w:tcPr>
          <w:p w14:paraId="7B3F7DBF">
            <w:pPr>
              <w:pStyle w:val="751"/>
              <w:rPr>
                <w:color w:val="auto"/>
              </w:rPr>
            </w:pPr>
            <w:r>
              <w:rPr>
                <w:rFonts w:hint="eastAsia"/>
                <w:color w:val="auto"/>
              </w:rPr>
              <w:t>0.02</w:t>
            </w:r>
          </w:p>
        </w:tc>
      </w:tr>
      <w:tr w14:paraId="479C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0D0CA2F">
            <w:pPr>
              <w:pStyle w:val="751"/>
              <w:rPr>
                <w:color w:val="auto"/>
              </w:rPr>
            </w:pPr>
          </w:p>
        </w:tc>
        <w:tc>
          <w:tcPr>
            <w:tcW w:w="2306" w:type="dxa"/>
            <w:gridSpan w:val="2"/>
            <w:vAlign w:val="center"/>
          </w:tcPr>
          <w:p w14:paraId="4029AE62">
            <w:pPr>
              <w:pStyle w:val="751"/>
              <w:rPr>
                <w:color w:val="auto"/>
              </w:rPr>
            </w:pPr>
            <w:r>
              <w:rPr>
                <w:rFonts w:hint="eastAsia"/>
                <w:color w:val="auto"/>
              </w:rPr>
              <w:t>超标倍数</w:t>
            </w:r>
          </w:p>
        </w:tc>
        <w:tc>
          <w:tcPr>
            <w:tcW w:w="1395" w:type="dxa"/>
            <w:vAlign w:val="center"/>
          </w:tcPr>
          <w:p w14:paraId="3D5A269F">
            <w:pPr>
              <w:pStyle w:val="751"/>
              <w:rPr>
                <w:color w:val="auto"/>
              </w:rPr>
            </w:pPr>
            <w:r>
              <w:rPr>
                <w:rFonts w:hint="eastAsia"/>
                <w:color w:val="auto"/>
              </w:rPr>
              <w:t>/</w:t>
            </w:r>
          </w:p>
        </w:tc>
        <w:tc>
          <w:tcPr>
            <w:tcW w:w="1230" w:type="dxa"/>
            <w:vAlign w:val="center"/>
          </w:tcPr>
          <w:p w14:paraId="35840809">
            <w:pPr>
              <w:pStyle w:val="751"/>
              <w:rPr>
                <w:color w:val="auto"/>
              </w:rPr>
            </w:pPr>
            <w:r>
              <w:rPr>
                <w:rFonts w:hint="eastAsia"/>
                <w:color w:val="auto"/>
              </w:rPr>
              <w:t>0</w:t>
            </w:r>
          </w:p>
        </w:tc>
        <w:tc>
          <w:tcPr>
            <w:tcW w:w="0" w:type="auto"/>
            <w:vAlign w:val="center"/>
          </w:tcPr>
          <w:p w14:paraId="17430500">
            <w:pPr>
              <w:pStyle w:val="751"/>
              <w:rPr>
                <w:color w:val="auto"/>
              </w:rPr>
            </w:pPr>
            <w:r>
              <w:rPr>
                <w:rFonts w:hint="eastAsia"/>
                <w:color w:val="auto"/>
              </w:rPr>
              <w:t>0</w:t>
            </w:r>
          </w:p>
        </w:tc>
        <w:tc>
          <w:tcPr>
            <w:tcW w:w="0" w:type="auto"/>
            <w:vAlign w:val="center"/>
          </w:tcPr>
          <w:p w14:paraId="44108914">
            <w:pPr>
              <w:pStyle w:val="751"/>
              <w:rPr>
                <w:color w:val="auto"/>
              </w:rPr>
            </w:pPr>
            <w:r>
              <w:rPr>
                <w:rFonts w:hint="eastAsia"/>
                <w:color w:val="auto"/>
              </w:rPr>
              <w:t>0</w:t>
            </w:r>
          </w:p>
        </w:tc>
      </w:tr>
      <w:tr w14:paraId="3DF1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0EEE33B8">
            <w:pPr>
              <w:pStyle w:val="751"/>
              <w:rPr>
                <w:color w:val="auto"/>
              </w:rPr>
            </w:pPr>
            <w:r>
              <w:rPr>
                <w:rFonts w:hint="eastAsia"/>
                <w:color w:val="auto"/>
              </w:rPr>
              <w:t>耗氧量</w:t>
            </w:r>
          </w:p>
        </w:tc>
        <w:tc>
          <w:tcPr>
            <w:tcW w:w="1143" w:type="dxa"/>
            <w:vAlign w:val="center"/>
          </w:tcPr>
          <w:p w14:paraId="22241160">
            <w:pPr>
              <w:pStyle w:val="751"/>
              <w:rPr>
                <w:color w:val="auto"/>
              </w:rPr>
            </w:pPr>
            <w:r>
              <w:rPr>
                <w:rFonts w:hint="eastAsia"/>
                <w:color w:val="auto"/>
              </w:rPr>
              <w:t>标准限值</w:t>
            </w:r>
          </w:p>
        </w:tc>
        <w:tc>
          <w:tcPr>
            <w:tcW w:w="1163" w:type="dxa"/>
            <w:vAlign w:val="center"/>
          </w:tcPr>
          <w:p w14:paraId="53737184">
            <w:pPr>
              <w:pStyle w:val="751"/>
              <w:rPr>
                <w:color w:val="auto"/>
              </w:rPr>
            </w:pPr>
            <w:r>
              <w:rPr>
                <w:rFonts w:hint="eastAsia"/>
                <w:color w:val="auto"/>
              </w:rPr>
              <w:t>3.0</w:t>
            </w:r>
          </w:p>
        </w:tc>
        <w:tc>
          <w:tcPr>
            <w:tcW w:w="1395" w:type="dxa"/>
            <w:vAlign w:val="center"/>
          </w:tcPr>
          <w:p w14:paraId="1E009A4F">
            <w:pPr>
              <w:pStyle w:val="751"/>
              <w:rPr>
                <w:color w:val="auto"/>
              </w:rPr>
            </w:pPr>
            <w:r>
              <w:rPr>
                <w:rFonts w:hint="eastAsia"/>
                <w:color w:val="auto"/>
              </w:rPr>
              <w:t>mg/L</w:t>
            </w:r>
          </w:p>
        </w:tc>
        <w:tc>
          <w:tcPr>
            <w:tcW w:w="1230" w:type="dxa"/>
            <w:vAlign w:val="center"/>
          </w:tcPr>
          <w:p w14:paraId="0A3DB6DE">
            <w:pPr>
              <w:pStyle w:val="751"/>
              <w:rPr>
                <w:color w:val="auto"/>
              </w:rPr>
            </w:pPr>
            <w:r>
              <w:rPr>
                <w:rFonts w:hint="eastAsia"/>
                <w:color w:val="auto"/>
              </w:rPr>
              <w:t>2.73</w:t>
            </w:r>
          </w:p>
        </w:tc>
        <w:tc>
          <w:tcPr>
            <w:tcW w:w="0" w:type="auto"/>
            <w:vAlign w:val="center"/>
          </w:tcPr>
          <w:p w14:paraId="3F0439B0">
            <w:pPr>
              <w:pStyle w:val="751"/>
              <w:rPr>
                <w:color w:val="auto"/>
              </w:rPr>
            </w:pPr>
            <w:r>
              <w:rPr>
                <w:rFonts w:hint="eastAsia"/>
                <w:color w:val="auto"/>
              </w:rPr>
              <w:t>2.21</w:t>
            </w:r>
          </w:p>
        </w:tc>
        <w:tc>
          <w:tcPr>
            <w:tcW w:w="0" w:type="auto"/>
            <w:vAlign w:val="center"/>
          </w:tcPr>
          <w:p w14:paraId="4FB26DE4">
            <w:pPr>
              <w:pStyle w:val="751"/>
              <w:rPr>
                <w:color w:val="auto"/>
              </w:rPr>
            </w:pPr>
            <w:r>
              <w:rPr>
                <w:rFonts w:hint="eastAsia"/>
                <w:color w:val="auto"/>
              </w:rPr>
              <w:t>2.92</w:t>
            </w:r>
          </w:p>
        </w:tc>
      </w:tr>
      <w:tr w14:paraId="6AFA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011769C4">
            <w:pPr>
              <w:pStyle w:val="751"/>
              <w:rPr>
                <w:color w:val="auto"/>
              </w:rPr>
            </w:pPr>
          </w:p>
        </w:tc>
        <w:tc>
          <w:tcPr>
            <w:tcW w:w="2306" w:type="dxa"/>
            <w:gridSpan w:val="2"/>
            <w:vAlign w:val="center"/>
          </w:tcPr>
          <w:p w14:paraId="6A39D402">
            <w:pPr>
              <w:pStyle w:val="751"/>
              <w:rPr>
                <w:color w:val="auto"/>
              </w:rPr>
            </w:pPr>
            <w:r>
              <w:rPr>
                <w:rFonts w:hint="eastAsia"/>
                <w:color w:val="auto"/>
              </w:rPr>
              <w:t>Pi</w:t>
            </w:r>
          </w:p>
        </w:tc>
        <w:tc>
          <w:tcPr>
            <w:tcW w:w="1395" w:type="dxa"/>
            <w:vAlign w:val="center"/>
          </w:tcPr>
          <w:p w14:paraId="4216FFA5">
            <w:pPr>
              <w:pStyle w:val="751"/>
              <w:rPr>
                <w:color w:val="auto"/>
              </w:rPr>
            </w:pPr>
            <w:r>
              <w:rPr>
                <w:rFonts w:hint="eastAsia"/>
                <w:color w:val="auto"/>
              </w:rPr>
              <w:t>/</w:t>
            </w:r>
          </w:p>
        </w:tc>
        <w:tc>
          <w:tcPr>
            <w:tcW w:w="1230" w:type="dxa"/>
            <w:vAlign w:val="center"/>
          </w:tcPr>
          <w:p w14:paraId="2ED37F74">
            <w:pPr>
              <w:pStyle w:val="751"/>
              <w:rPr>
                <w:color w:val="auto"/>
              </w:rPr>
            </w:pPr>
            <w:r>
              <w:rPr>
                <w:rFonts w:hint="eastAsia"/>
                <w:color w:val="auto"/>
              </w:rPr>
              <w:t>0.91</w:t>
            </w:r>
          </w:p>
        </w:tc>
        <w:tc>
          <w:tcPr>
            <w:tcW w:w="0" w:type="auto"/>
            <w:vAlign w:val="center"/>
          </w:tcPr>
          <w:p w14:paraId="03C70797">
            <w:pPr>
              <w:pStyle w:val="751"/>
              <w:rPr>
                <w:color w:val="auto"/>
              </w:rPr>
            </w:pPr>
            <w:r>
              <w:rPr>
                <w:rFonts w:hint="eastAsia"/>
                <w:color w:val="auto"/>
              </w:rPr>
              <w:t>0.737</w:t>
            </w:r>
          </w:p>
        </w:tc>
        <w:tc>
          <w:tcPr>
            <w:tcW w:w="0" w:type="auto"/>
            <w:vAlign w:val="center"/>
          </w:tcPr>
          <w:p w14:paraId="56751BFB">
            <w:pPr>
              <w:pStyle w:val="751"/>
              <w:rPr>
                <w:color w:val="auto"/>
              </w:rPr>
            </w:pPr>
            <w:r>
              <w:rPr>
                <w:rFonts w:hint="eastAsia"/>
                <w:color w:val="auto"/>
              </w:rPr>
              <w:t>0.973</w:t>
            </w:r>
          </w:p>
        </w:tc>
      </w:tr>
      <w:tr w14:paraId="26BA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DAE3C24">
            <w:pPr>
              <w:pStyle w:val="751"/>
              <w:rPr>
                <w:color w:val="auto"/>
              </w:rPr>
            </w:pPr>
          </w:p>
        </w:tc>
        <w:tc>
          <w:tcPr>
            <w:tcW w:w="2306" w:type="dxa"/>
            <w:gridSpan w:val="2"/>
            <w:vAlign w:val="center"/>
          </w:tcPr>
          <w:p w14:paraId="56940BEB">
            <w:pPr>
              <w:pStyle w:val="751"/>
              <w:rPr>
                <w:color w:val="auto"/>
              </w:rPr>
            </w:pPr>
            <w:r>
              <w:rPr>
                <w:rFonts w:hint="eastAsia"/>
                <w:color w:val="auto"/>
              </w:rPr>
              <w:t>超标倍数</w:t>
            </w:r>
          </w:p>
        </w:tc>
        <w:tc>
          <w:tcPr>
            <w:tcW w:w="1395" w:type="dxa"/>
            <w:vAlign w:val="center"/>
          </w:tcPr>
          <w:p w14:paraId="372AE73D">
            <w:pPr>
              <w:pStyle w:val="751"/>
              <w:rPr>
                <w:color w:val="auto"/>
              </w:rPr>
            </w:pPr>
            <w:r>
              <w:rPr>
                <w:rFonts w:hint="eastAsia"/>
                <w:color w:val="auto"/>
              </w:rPr>
              <w:t>/</w:t>
            </w:r>
          </w:p>
        </w:tc>
        <w:tc>
          <w:tcPr>
            <w:tcW w:w="1230" w:type="dxa"/>
            <w:vAlign w:val="center"/>
          </w:tcPr>
          <w:p w14:paraId="6BA7C7A2">
            <w:pPr>
              <w:pStyle w:val="751"/>
              <w:rPr>
                <w:color w:val="auto"/>
              </w:rPr>
            </w:pPr>
            <w:r>
              <w:rPr>
                <w:rFonts w:hint="eastAsia"/>
                <w:color w:val="auto"/>
              </w:rPr>
              <w:t>0</w:t>
            </w:r>
          </w:p>
        </w:tc>
        <w:tc>
          <w:tcPr>
            <w:tcW w:w="0" w:type="auto"/>
            <w:vAlign w:val="center"/>
          </w:tcPr>
          <w:p w14:paraId="26432FA3">
            <w:pPr>
              <w:pStyle w:val="751"/>
              <w:rPr>
                <w:color w:val="auto"/>
              </w:rPr>
            </w:pPr>
            <w:r>
              <w:rPr>
                <w:rFonts w:hint="eastAsia"/>
                <w:color w:val="auto"/>
              </w:rPr>
              <w:t>0</w:t>
            </w:r>
          </w:p>
        </w:tc>
        <w:tc>
          <w:tcPr>
            <w:tcW w:w="0" w:type="auto"/>
            <w:vAlign w:val="center"/>
          </w:tcPr>
          <w:p w14:paraId="6E3E0ED8">
            <w:pPr>
              <w:pStyle w:val="751"/>
              <w:rPr>
                <w:color w:val="auto"/>
              </w:rPr>
            </w:pPr>
            <w:r>
              <w:rPr>
                <w:rFonts w:hint="eastAsia"/>
                <w:color w:val="auto"/>
              </w:rPr>
              <w:t>0</w:t>
            </w:r>
          </w:p>
        </w:tc>
      </w:tr>
      <w:tr w14:paraId="3C22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64A590DF">
            <w:pPr>
              <w:pStyle w:val="751"/>
              <w:rPr>
                <w:color w:val="auto"/>
              </w:rPr>
            </w:pPr>
            <w:r>
              <w:rPr>
                <w:color w:val="auto"/>
              </w:rPr>
              <w:t>汞</w:t>
            </w:r>
          </w:p>
        </w:tc>
        <w:tc>
          <w:tcPr>
            <w:tcW w:w="1143" w:type="dxa"/>
            <w:vAlign w:val="center"/>
          </w:tcPr>
          <w:p w14:paraId="0CFD01D0">
            <w:pPr>
              <w:pStyle w:val="751"/>
              <w:rPr>
                <w:color w:val="auto"/>
              </w:rPr>
            </w:pPr>
            <w:r>
              <w:rPr>
                <w:rFonts w:hint="eastAsia"/>
                <w:color w:val="auto"/>
              </w:rPr>
              <w:t>标准限值</w:t>
            </w:r>
          </w:p>
        </w:tc>
        <w:tc>
          <w:tcPr>
            <w:tcW w:w="1163" w:type="dxa"/>
            <w:vAlign w:val="center"/>
          </w:tcPr>
          <w:p w14:paraId="0D0022E1">
            <w:pPr>
              <w:pStyle w:val="751"/>
              <w:rPr>
                <w:color w:val="auto"/>
              </w:rPr>
            </w:pPr>
            <w:r>
              <w:rPr>
                <w:rFonts w:hint="eastAsia"/>
                <w:color w:val="auto"/>
              </w:rPr>
              <w:t>0.001</w:t>
            </w:r>
          </w:p>
        </w:tc>
        <w:tc>
          <w:tcPr>
            <w:tcW w:w="1395" w:type="dxa"/>
            <w:vAlign w:val="center"/>
          </w:tcPr>
          <w:p w14:paraId="7FBE6C13">
            <w:pPr>
              <w:pStyle w:val="751"/>
              <w:rPr>
                <w:color w:val="auto"/>
              </w:rPr>
            </w:pPr>
            <w:r>
              <w:rPr>
                <w:rFonts w:hint="eastAsia"/>
                <w:color w:val="auto"/>
              </w:rPr>
              <w:t>mg/L</w:t>
            </w:r>
          </w:p>
        </w:tc>
        <w:tc>
          <w:tcPr>
            <w:tcW w:w="1230" w:type="dxa"/>
            <w:vAlign w:val="center"/>
          </w:tcPr>
          <w:p w14:paraId="53DF89AC">
            <w:pPr>
              <w:pStyle w:val="751"/>
              <w:rPr>
                <w:color w:val="auto"/>
              </w:rPr>
            </w:pPr>
            <w:r>
              <w:rPr>
                <w:color w:val="auto"/>
              </w:rPr>
              <w:t>0.04</w:t>
            </w:r>
            <w:r>
              <w:rPr>
                <w:bCs/>
                <w:color w:val="auto"/>
              </w:rPr>
              <w:t>×10</w:t>
            </w:r>
            <w:r>
              <w:rPr>
                <w:bCs/>
                <w:color w:val="auto"/>
                <w:vertAlign w:val="superscript"/>
              </w:rPr>
              <w:t>-3</w:t>
            </w:r>
            <w:r>
              <w:rPr>
                <w:rFonts w:hint="eastAsia"/>
                <w:color w:val="auto"/>
              </w:rPr>
              <w:t>L</w:t>
            </w:r>
          </w:p>
        </w:tc>
        <w:tc>
          <w:tcPr>
            <w:tcW w:w="0" w:type="auto"/>
            <w:vAlign w:val="center"/>
          </w:tcPr>
          <w:p w14:paraId="41AB0E6D">
            <w:pPr>
              <w:pStyle w:val="751"/>
              <w:rPr>
                <w:color w:val="auto"/>
              </w:rPr>
            </w:pPr>
            <w:r>
              <w:rPr>
                <w:color w:val="auto"/>
              </w:rPr>
              <w:t>0.04</w:t>
            </w:r>
            <w:r>
              <w:rPr>
                <w:bCs/>
                <w:color w:val="auto"/>
              </w:rPr>
              <w:t>×10</w:t>
            </w:r>
            <w:r>
              <w:rPr>
                <w:bCs/>
                <w:color w:val="auto"/>
                <w:vertAlign w:val="superscript"/>
              </w:rPr>
              <w:t>-3</w:t>
            </w:r>
            <w:r>
              <w:rPr>
                <w:rFonts w:hint="eastAsia"/>
                <w:color w:val="auto"/>
              </w:rPr>
              <w:t>L</w:t>
            </w:r>
          </w:p>
        </w:tc>
        <w:tc>
          <w:tcPr>
            <w:tcW w:w="0" w:type="auto"/>
            <w:vAlign w:val="center"/>
          </w:tcPr>
          <w:p w14:paraId="5E533C61">
            <w:pPr>
              <w:pStyle w:val="751"/>
              <w:rPr>
                <w:color w:val="auto"/>
              </w:rPr>
            </w:pPr>
            <w:r>
              <w:rPr>
                <w:color w:val="auto"/>
              </w:rPr>
              <w:t>0.04</w:t>
            </w:r>
            <w:r>
              <w:rPr>
                <w:bCs/>
                <w:color w:val="auto"/>
              </w:rPr>
              <w:t>×10</w:t>
            </w:r>
            <w:r>
              <w:rPr>
                <w:bCs/>
                <w:color w:val="auto"/>
                <w:vertAlign w:val="superscript"/>
              </w:rPr>
              <w:t>-3</w:t>
            </w:r>
            <w:r>
              <w:rPr>
                <w:rFonts w:hint="eastAsia"/>
                <w:color w:val="auto"/>
              </w:rPr>
              <w:t>L</w:t>
            </w:r>
          </w:p>
        </w:tc>
      </w:tr>
      <w:tr w14:paraId="554F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5B14E8D">
            <w:pPr>
              <w:pStyle w:val="751"/>
              <w:rPr>
                <w:color w:val="auto"/>
              </w:rPr>
            </w:pPr>
          </w:p>
        </w:tc>
        <w:tc>
          <w:tcPr>
            <w:tcW w:w="2306" w:type="dxa"/>
            <w:gridSpan w:val="2"/>
            <w:vAlign w:val="center"/>
          </w:tcPr>
          <w:p w14:paraId="51254505">
            <w:pPr>
              <w:pStyle w:val="751"/>
              <w:rPr>
                <w:color w:val="auto"/>
              </w:rPr>
            </w:pPr>
            <w:r>
              <w:rPr>
                <w:rFonts w:hint="eastAsia"/>
                <w:color w:val="auto"/>
              </w:rPr>
              <w:t>Pi</w:t>
            </w:r>
          </w:p>
        </w:tc>
        <w:tc>
          <w:tcPr>
            <w:tcW w:w="1395" w:type="dxa"/>
            <w:vAlign w:val="center"/>
          </w:tcPr>
          <w:p w14:paraId="73012A7E">
            <w:pPr>
              <w:pStyle w:val="751"/>
              <w:rPr>
                <w:color w:val="auto"/>
              </w:rPr>
            </w:pPr>
            <w:r>
              <w:rPr>
                <w:rFonts w:hint="eastAsia"/>
                <w:color w:val="auto"/>
              </w:rPr>
              <w:t>/</w:t>
            </w:r>
          </w:p>
        </w:tc>
        <w:tc>
          <w:tcPr>
            <w:tcW w:w="1230" w:type="dxa"/>
            <w:vAlign w:val="center"/>
          </w:tcPr>
          <w:p w14:paraId="3A18D954">
            <w:pPr>
              <w:pStyle w:val="751"/>
              <w:rPr>
                <w:color w:val="auto"/>
              </w:rPr>
            </w:pPr>
            <w:r>
              <w:rPr>
                <w:rFonts w:hint="eastAsia"/>
                <w:color w:val="auto"/>
              </w:rPr>
              <w:t>0.04</w:t>
            </w:r>
          </w:p>
        </w:tc>
        <w:tc>
          <w:tcPr>
            <w:tcW w:w="0" w:type="auto"/>
            <w:vAlign w:val="center"/>
          </w:tcPr>
          <w:p w14:paraId="1595D2FA">
            <w:pPr>
              <w:pStyle w:val="751"/>
              <w:rPr>
                <w:color w:val="auto"/>
              </w:rPr>
            </w:pPr>
            <w:r>
              <w:rPr>
                <w:rFonts w:hint="eastAsia"/>
                <w:color w:val="auto"/>
              </w:rPr>
              <w:t>0.04</w:t>
            </w:r>
          </w:p>
        </w:tc>
        <w:tc>
          <w:tcPr>
            <w:tcW w:w="0" w:type="auto"/>
            <w:vAlign w:val="center"/>
          </w:tcPr>
          <w:p w14:paraId="2474219D">
            <w:pPr>
              <w:pStyle w:val="751"/>
              <w:rPr>
                <w:color w:val="auto"/>
              </w:rPr>
            </w:pPr>
            <w:r>
              <w:rPr>
                <w:rFonts w:hint="eastAsia"/>
                <w:color w:val="auto"/>
              </w:rPr>
              <w:t>0.04</w:t>
            </w:r>
          </w:p>
        </w:tc>
      </w:tr>
      <w:tr w14:paraId="1359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17F14B2">
            <w:pPr>
              <w:pStyle w:val="751"/>
              <w:rPr>
                <w:color w:val="auto"/>
              </w:rPr>
            </w:pPr>
          </w:p>
        </w:tc>
        <w:tc>
          <w:tcPr>
            <w:tcW w:w="2306" w:type="dxa"/>
            <w:gridSpan w:val="2"/>
            <w:vAlign w:val="center"/>
          </w:tcPr>
          <w:p w14:paraId="269DBBF5">
            <w:pPr>
              <w:pStyle w:val="751"/>
              <w:rPr>
                <w:color w:val="auto"/>
              </w:rPr>
            </w:pPr>
            <w:r>
              <w:rPr>
                <w:rFonts w:hint="eastAsia"/>
                <w:color w:val="auto"/>
              </w:rPr>
              <w:t>超标倍数</w:t>
            </w:r>
          </w:p>
        </w:tc>
        <w:tc>
          <w:tcPr>
            <w:tcW w:w="1395" w:type="dxa"/>
            <w:vAlign w:val="center"/>
          </w:tcPr>
          <w:p w14:paraId="11F0DB2A">
            <w:pPr>
              <w:pStyle w:val="751"/>
              <w:rPr>
                <w:color w:val="auto"/>
              </w:rPr>
            </w:pPr>
            <w:r>
              <w:rPr>
                <w:rFonts w:hint="eastAsia"/>
                <w:color w:val="auto"/>
              </w:rPr>
              <w:t>/</w:t>
            </w:r>
          </w:p>
        </w:tc>
        <w:tc>
          <w:tcPr>
            <w:tcW w:w="1230" w:type="dxa"/>
            <w:vAlign w:val="center"/>
          </w:tcPr>
          <w:p w14:paraId="75758BD6">
            <w:pPr>
              <w:pStyle w:val="751"/>
              <w:rPr>
                <w:color w:val="auto"/>
              </w:rPr>
            </w:pPr>
            <w:r>
              <w:rPr>
                <w:rFonts w:hint="eastAsia"/>
                <w:color w:val="auto"/>
              </w:rPr>
              <w:t>0</w:t>
            </w:r>
          </w:p>
        </w:tc>
        <w:tc>
          <w:tcPr>
            <w:tcW w:w="0" w:type="auto"/>
            <w:vAlign w:val="center"/>
          </w:tcPr>
          <w:p w14:paraId="101577B7">
            <w:pPr>
              <w:pStyle w:val="751"/>
              <w:rPr>
                <w:color w:val="auto"/>
              </w:rPr>
            </w:pPr>
            <w:r>
              <w:rPr>
                <w:rFonts w:hint="eastAsia"/>
                <w:color w:val="auto"/>
              </w:rPr>
              <w:t>0</w:t>
            </w:r>
          </w:p>
        </w:tc>
        <w:tc>
          <w:tcPr>
            <w:tcW w:w="0" w:type="auto"/>
            <w:vAlign w:val="center"/>
          </w:tcPr>
          <w:p w14:paraId="1C543C5A">
            <w:pPr>
              <w:pStyle w:val="751"/>
              <w:rPr>
                <w:color w:val="auto"/>
              </w:rPr>
            </w:pPr>
            <w:r>
              <w:rPr>
                <w:rFonts w:hint="eastAsia"/>
                <w:color w:val="auto"/>
              </w:rPr>
              <w:t>0</w:t>
            </w:r>
          </w:p>
        </w:tc>
      </w:tr>
      <w:tr w14:paraId="4F18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376B3D79">
            <w:pPr>
              <w:pStyle w:val="751"/>
              <w:rPr>
                <w:color w:val="auto"/>
              </w:rPr>
            </w:pPr>
            <w:r>
              <w:rPr>
                <w:rFonts w:hint="eastAsia"/>
                <w:color w:val="auto"/>
              </w:rPr>
              <w:t>镉</w:t>
            </w:r>
          </w:p>
        </w:tc>
        <w:tc>
          <w:tcPr>
            <w:tcW w:w="1143" w:type="dxa"/>
            <w:vAlign w:val="center"/>
          </w:tcPr>
          <w:p w14:paraId="71EF82B4">
            <w:pPr>
              <w:pStyle w:val="751"/>
              <w:rPr>
                <w:color w:val="auto"/>
              </w:rPr>
            </w:pPr>
            <w:r>
              <w:rPr>
                <w:rFonts w:hint="eastAsia"/>
                <w:color w:val="auto"/>
              </w:rPr>
              <w:t>标准限值</w:t>
            </w:r>
          </w:p>
        </w:tc>
        <w:tc>
          <w:tcPr>
            <w:tcW w:w="1163" w:type="dxa"/>
            <w:vAlign w:val="center"/>
          </w:tcPr>
          <w:p w14:paraId="6E21225A">
            <w:pPr>
              <w:pStyle w:val="751"/>
              <w:rPr>
                <w:color w:val="auto"/>
              </w:rPr>
            </w:pPr>
            <w:r>
              <w:rPr>
                <w:rFonts w:hint="eastAsia"/>
                <w:color w:val="auto"/>
              </w:rPr>
              <w:t>0.005</w:t>
            </w:r>
          </w:p>
        </w:tc>
        <w:tc>
          <w:tcPr>
            <w:tcW w:w="1395" w:type="dxa"/>
            <w:vAlign w:val="center"/>
          </w:tcPr>
          <w:p w14:paraId="0376ADA5">
            <w:pPr>
              <w:pStyle w:val="751"/>
              <w:rPr>
                <w:color w:val="auto"/>
              </w:rPr>
            </w:pPr>
            <w:r>
              <w:rPr>
                <w:rFonts w:hint="eastAsia"/>
                <w:color w:val="auto"/>
              </w:rPr>
              <w:t>mg/L</w:t>
            </w:r>
          </w:p>
        </w:tc>
        <w:tc>
          <w:tcPr>
            <w:tcW w:w="1230" w:type="dxa"/>
            <w:vAlign w:val="center"/>
          </w:tcPr>
          <w:p w14:paraId="2E1978D1">
            <w:pPr>
              <w:pStyle w:val="751"/>
              <w:rPr>
                <w:color w:val="auto"/>
              </w:rPr>
            </w:pPr>
            <w:r>
              <w:rPr>
                <w:rFonts w:hint="eastAsia"/>
                <w:color w:val="auto"/>
              </w:rPr>
              <w:t>0.005L</w:t>
            </w:r>
          </w:p>
        </w:tc>
        <w:tc>
          <w:tcPr>
            <w:tcW w:w="0" w:type="auto"/>
            <w:vAlign w:val="center"/>
          </w:tcPr>
          <w:p w14:paraId="6F9E8D26">
            <w:pPr>
              <w:pStyle w:val="751"/>
              <w:rPr>
                <w:color w:val="auto"/>
              </w:rPr>
            </w:pPr>
            <w:r>
              <w:rPr>
                <w:rFonts w:hint="eastAsia"/>
                <w:color w:val="auto"/>
              </w:rPr>
              <w:t>0.005L</w:t>
            </w:r>
          </w:p>
        </w:tc>
        <w:tc>
          <w:tcPr>
            <w:tcW w:w="0" w:type="auto"/>
            <w:vAlign w:val="center"/>
          </w:tcPr>
          <w:p w14:paraId="60159AAF">
            <w:pPr>
              <w:pStyle w:val="751"/>
              <w:rPr>
                <w:color w:val="auto"/>
              </w:rPr>
            </w:pPr>
            <w:r>
              <w:rPr>
                <w:rFonts w:hint="eastAsia"/>
                <w:color w:val="auto"/>
              </w:rPr>
              <w:t>0.005L</w:t>
            </w:r>
          </w:p>
        </w:tc>
      </w:tr>
      <w:tr w14:paraId="4EA1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1878686">
            <w:pPr>
              <w:pStyle w:val="751"/>
              <w:rPr>
                <w:color w:val="auto"/>
              </w:rPr>
            </w:pPr>
          </w:p>
        </w:tc>
        <w:tc>
          <w:tcPr>
            <w:tcW w:w="2306" w:type="dxa"/>
            <w:gridSpan w:val="2"/>
            <w:vAlign w:val="center"/>
          </w:tcPr>
          <w:p w14:paraId="0FFDCBA1">
            <w:pPr>
              <w:pStyle w:val="751"/>
              <w:rPr>
                <w:color w:val="auto"/>
              </w:rPr>
            </w:pPr>
            <w:r>
              <w:rPr>
                <w:rFonts w:hint="eastAsia"/>
                <w:color w:val="auto"/>
              </w:rPr>
              <w:t>Pi</w:t>
            </w:r>
          </w:p>
        </w:tc>
        <w:tc>
          <w:tcPr>
            <w:tcW w:w="1395" w:type="dxa"/>
            <w:vAlign w:val="center"/>
          </w:tcPr>
          <w:p w14:paraId="7DBBE246">
            <w:pPr>
              <w:pStyle w:val="751"/>
              <w:rPr>
                <w:color w:val="auto"/>
              </w:rPr>
            </w:pPr>
            <w:r>
              <w:rPr>
                <w:rFonts w:hint="eastAsia"/>
                <w:color w:val="auto"/>
              </w:rPr>
              <w:t>/</w:t>
            </w:r>
          </w:p>
        </w:tc>
        <w:tc>
          <w:tcPr>
            <w:tcW w:w="1230" w:type="dxa"/>
            <w:vAlign w:val="center"/>
          </w:tcPr>
          <w:p w14:paraId="18D6E12F">
            <w:pPr>
              <w:pStyle w:val="751"/>
              <w:rPr>
                <w:color w:val="auto"/>
              </w:rPr>
            </w:pPr>
            <w:r>
              <w:rPr>
                <w:rFonts w:hint="eastAsia"/>
                <w:color w:val="auto"/>
              </w:rPr>
              <w:t>0.5</w:t>
            </w:r>
          </w:p>
        </w:tc>
        <w:tc>
          <w:tcPr>
            <w:tcW w:w="0" w:type="auto"/>
            <w:vAlign w:val="center"/>
          </w:tcPr>
          <w:p w14:paraId="6234144D">
            <w:pPr>
              <w:pStyle w:val="751"/>
              <w:rPr>
                <w:color w:val="auto"/>
              </w:rPr>
            </w:pPr>
            <w:r>
              <w:rPr>
                <w:rFonts w:hint="eastAsia"/>
                <w:color w:val="auto"/>
              </w:rPr>
              <w:t>0.5</w:t>
            </w:r>
          </w:p>
        </w:tc>
        <w:tc>
          <w:tcPr>
            <w:tcW w:w="0" w:type="auto"/>
            <w:vAlign w:val="center"/>
          </w:tcPr>
          <w:p w14:paraId="144ECF59">
            <w:pPr>
              <w:pStyle w:val="751"/>
              <w:rPr>
                <w:color w:val="auto"/>
              </w:rPr>
            </w:pPr>
            <w:r>
              <w:rPr>
                <w:rFonts w:hint="eastAsia"/>
                <w:color w:val="auto"/>
              </w:rPr>
              <w:t>0.5</w:t>
            </w:r>
          </w:p>
        </w:tc>
      </w:tr>
      <w:tr w14:paraId="1621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7A95F44">
            <w:pPr>
              <w:pStyle w:val="751"/>
              <w:rPr>
                <w:color w:val="auto"/>
              </w:rPr>
            </w:pPr>
          </w:p>
        </w:tc>
        <w:tc>
          <w:tcPr>
            <w:tcW w:w="2306" w:type="dxa"/>
            <w:gridSpan w:val="2"/>
            <w:vAlign w:val="center"/>
          </w:tcPr>
          <w:p w14:paraId="5A0C7EC8">
            <w:pPr>
              <w:pStyle w:val="751"/>
              <w:rPr>
                <w:color w:val="auto"/>
              </w:rPr>
            </w:pPr>
            <w:r>
              <w:rPr>
                <w:rFonts w:hint="eastAsia"/>
                <w:color w:val="auto"/>
              </w:rPr>
              <w:t>超标倍数</w:t>
            </w:r>
          </w:p>
        </w:tc>
        <w:tc>
          <w:tcPr>
            <w:tcW w:w="1395" w:type="dxa"/>
            <w:vAlign w:val="center"/>
          </w:tcPr>
          <w:p w14:paraId="3ECDF02E">
            <w:pPr>
              <w:pStyle w:val="751"/>
              <w:rPr>
                <w:color w:val="auto"/>
              </w:rPr>
            </w:pPr>
            <w:r>
              <w:rPr>
                <w:rFonts w:hint="eastAsia"/>
                <w:color w:val="auto"/>
              </w:rPr>
              <w:t>/</w:t>
            </w:r>
          </w:p>
        </w:tc>
        <w:tc>
          <w:tcPr>
            <w:tcW w:w="1230" w:type="dxa"/>
            <w:vAlign w:val="center"/>
          </w:tcPr>
          <w:p w14:paraId="74DEA03F">
            <w:pPr>
              <w:pStyle w:val="751"/>
              <w:rPr>
                <w:color w:val="auto"/>
              </w:rPr>
            </w:pPr>
            <w:r>
              <w:rPr>
                <w:rFonts w:hint="eastAsia"/>
                <w:color w:val="auto"/>
              </w:rPr>
              <w:t>0</w:t>
            </w:r>
          </w:p>
        </w:tc>
        <w:tc>
          <w:tcPr>
            <w:tcW w:w="0" w:type="auto"/>
            <w:vAlign w:val="center"/>
          </w:tcPr>
          <w:p w14:paraId="6308BA96">
            <w:pPr>
              <w:pStyle w:val="751"/>
              <w:rPr>
                <w:color w:val="auto"/>
              </w:rPr>
            </w:pPr>
            <w:r>
              <w:rPr>
                <w:rFonts w:hint="eastAsia"/>
                <w:color w:val="auto"/>
              </w:rPr>
              <w:t>0</w:t>
            </w:r>
          </w:p>
        </w:tc>
        <w:tc>
          <w:tcPr>
            <w:tcW w:w="0" w:type="auto"/>
            <w:vAlign w:val="center"/>
          </w:tcPr>
          <w:p w14:paraId="351BDF33">
            <w:pPr>
              <w:pStyle w:val="751"/>
              <w:rPr>
                <w:color w:val="auto"/>
              </w:rPr>
            </w:pPr>
            <w:r>
              <w:rPr>
                <w:rFonts w:hint="eastAsia"/>
                <w:color w:val="auto"/>
              </w:rPr>
              <w:t>0</w:t>
            </w:r>
          </w:p>
        </w:tc>
      </w:tr>
      <w:tr w14:paraId="7B0E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0BE44C08">
            <w:pPr>
              <w:pStyle w:val="751"/>
              <w:rPr>
                <w:color w:val="auto"/>
              </w:rPr>
            </w:pPr>
            <w:r>
              <w:rPr>
                <w:color w:val="auto"/>
              </w:rPr>
              <w:t>铁</w:t>
            </w:r>
          </w:p>
        </w:tc>
        <w:tc>
          <w:tcPr>
            <w:tcW w:w="1143" w:type="dxa"/>
            <w:vAlign w:val="center"/>
          </w:tcPr>
          <w:p w14:paraId="2FE99BCE">
            <w:pPr>
              <w:pStyle w:val="751"/>
              <w:rPr>
                <w:color w:val="auto"/>
              </w:rPr>
            </w:pPr>
            <w:r>
              <w:rPr>
                <w:rFonts w:hint="eastAsia"/>
                <w:color w:val="auto"/>
              </w:rPr>
              <w:t>标准限值</w:t>
            </w:r>
          </w:p>
        </w:tc>
        <w:tc>
          <w:tcPr>
            <w:tcW w:w="1163" w:type="dxa"/>
            <w:vAlign w:val="center"/>
          </w:tcPr>
          <w:p w14:paraId="7516761C">
            <w:pPr>
              <w:pStyle w:val="751"/>
              <w:rPr>
                <w:color w:val="auto"/>
              </w:rPr>
            </w:pPr>
            <w:r>
              <w:rPr>
                <w:rFonts w:hint="eastAsia"/>
                <w:color w:val="auto"/>
              </w:rPr>
              <w:t>0.3</w:t>
            </w:r>
          </w:p>
        </w:tc>
        <w:tc>
          <w:tcPr>
            <w:tcW w:w="1395" w:type="dxa"/>
            <w:vAlign w:val="center"/>
          </w:tcPr>
          <w:p w14:paraId="44AB7967">
            <w:pPr>
              <w:pStyle w:val="751"/>
              <w:rPr>
                <w:color w:val="auto"/>
              </w:rPr>
            </w:pPr>
            <w:r>
              <w:rPr>
                <w:rFonts w:hint="eastAsia"/>
                <w:color w:val="auto"/>
              </w:rPr>
              <w:t>mg/L</w:t>
            </w:r>
          </w:p>
        </w:tc>
        <w:tc>
          <w:tcPr>
            <w:tcW w:w="1230" w:type="dxa"/>
            <w:vAlign w:val="center"/>
          </w:tcPr>
          <w:p w14:paraId="61CB438B">
            <w:pPr>
              <w:pStyle w:val="751"/>
              <w:rPr>
                <w:color w:val="auto"/>
              </w:rPr>
            </w:pPr>
            <w:r>
              <w:rPr>
                <w:rFonts w:hint="eastAsia"/>
                <w:color w:val="auto"/>
              </w:rPr>
              <w:t>0.02L</w:t>
            </w:r>
          </w:p>
        </w:tc>
        <w:tc>
          <w:tcPr>
            <w:tcW w:w="0" w:type="auto"/>
            <w:vAlign w:val="center"/>
          </w:tcPr>
          <w:p w14:paraId="0E645445">
            <w:pPr>
              <w:pStyle w:val="751"/>
              <w:rPr>
                <w:color w:val="auto"/>
              </w:rPr>
            </w:pPr>
            <w:r>
              <w:rPr>
                <w:rFonts w:hint="eastAsia"/>
                <w:color w:val="auto"/>
              </w:rPr>
              <w:t>0.02L</w:t>
            </w:r>
          </w:p>
        </w:tc>
        <w:tc>
          <w:tcPr>
            <w:tcW w:w="0" w:type="auto"/>
            <w:vAlign w:val="center"/>
          </w:tcPr>
          <w:p w14:paraId="067422FD">
            <w:pPr>
              <w:pStyle w:val="751"/>
              <w:rPr>
                <w:color w:val="auto"/>
              </w:rPr>
            </w:pPr>
            <w:r>
              <w:rPr>
                <w:rFonts w:hint="eastAsia"/>
                <w:color w:val="auto"/>
              </w:rPr>
              <w:t>0.02L</w:t>
            </w:r>
          </w:p>
        </w:tc>
      </w:tr>
      <w:tr w14:paraId="5D7E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A45A7C8">
            <w:pPr>
              <w:pStyle w:val="751"/>
              <w:rPr>
                <w:color w:val="auto"/>
              </w:rPr>
            </w:pPr>
          </w:p>
        </w:tc>
        <w:tc>
          <w:tcPr>
            <w:tcW w:w="2306" w:type="dxa"/>
            <w:gridSpan w:val="2"/>
            <w:vAlign w:val="center"/>
          </w:tcPr>
          <w:p w14:paraId="5D26C8CE">
            <w:pPr>
              <w:pStyle w:val="751"/>
              <w:rPr>
                <w:color w:val="auto"/>
              </w:rPr>
            </w:pPr>
            <w:r>
              <w:rPr>
                <w:rFonts w:hint="eastAsia"/>
                <w:color w:val="auto"/>
              </w:rPr>
              <w:t>Pi</w:t>
            </w:r>
          </w:p>
        </w:tc>
        <w:tc>
          <w:tcPr>
            <w:tcW w:w="1395" w:type="dxa"/>
            <w:vAlign w:val="center"/>
          </w:tcPr>
          <w:p w14:paraId="0E8FA22B">
            <w:pPr>
              <w:pStyle w:val="751"/>
              <w:rPr>
                <w:color w:val="auto"/>
              </w:rPr>
            </w:pPr>
            <w:r>
              <w:rPr>
                <w:rFonts w:hint="eastAsia"/>
                <w:color w:val="auto"/>
              </w:rPr>
              <w:t>/</w:t>
            </w:r>
          </w:p>
        </w:tc>
        <w:tc>
          <w:tcPr>
            <w:tcW w:w="1230" w:type="dxa"/>
            <w:vAlign w:val="center"/>
          </w:tcPr>
          <w:p w14:paraId="21E0819B">
            <w:pPr>
              <w:pStyle w:val="751"/>
              <w:rPr>
                <w:color w:val="auto"/>
              </w:rPr>
            </w:pPr>
            <w:r>
              <w:rPr>
                <w:rFonts w:hint="eastAsia"/>
                <w:color w:val="auto"/>
              </w:rPr>
              <w:t>0.033</w:t>
            </w:r>
          </w:p>
        </w:tc>
        <w:tc>
          <w:tcPr>
            <w:tcW w:w="0" w:type="auto"/>
            <w:vAlign w:val="center"/>
          </w:tcPr>
          <w:p w14:paraId="3216EBFA">
            <w:pPr>
              <w:pStyle w:val="751"/>
              <w:rPr>
                <w:color w:val="auto"/>
              </w:rPr>
            </w:pPr>
            <w:r>
              <w:rPr>
                <w:rFonts w:hint="eastAsia"/>
                <w:color w:val="auto"/>
              </w:rPr>
              <w:t>0.033</w:t>
            </w:r>
          </w:p>
        </w:tc>
        <w:tc>
          <w:tcPr>
            <w:tcW w:w="0" w:type="auto"/>
            <w:vAlign w:val="center"/>
          </w:tcPr>
          <w:p w14:paraId="56F0A051">
            <w:pPr>
              <w:pStyle w:val="751"/>
              <w:rPr>
                <w:color w:val="auto"/>
              </w:rPr>
            </w:pPr>
            <w:r>
              <w:rPr>
                <w:rFonts w:hint="eastAsia"/>
                <w:color w:val="auto"/>
              </w:rPr>
              <w:t>0.033</w:t>
            </w:r>
          </w:p>
        </w:tc>
      </w:tr>
      <w:tr w14:paraId="7545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04A4CDC2">
            <w:pPr>
              <w:pStyle w:val="751"/>
              <w:rPr>
                <w:color w:val="auto"/>
              </w:rPr>
            </w:pPr>
          </w:p>
        </w:tc>
        <w:tc>
          <w:tcPr>
            <w:tcW w:w="2306" w:type="dxa"/>
            <w:gridSpan w:val="2"/>
            <w:vAlign w:val="center"/>
          </w:tcPr>
          <w:p w14:paraId="0B0F2363">
            <w:pPr>
              <w:pStyle w:val="751"/>
              <w:rPr>
                <w:color w:val="auto"/>
              </w:rPr>
            </w:pPr>
            <w:r>
              <w:rPr>
                <w:rFonts w:hint="eastAsia"/>
                <w:color w:val="auto"/>
              </w:rPr>
              <w:t>超标倍数</w:t>
            </w:r>
          </w:p>
        </w:tc>
        <w:tc>
          <w:tcPr>
            <w:tcW w:w="1395" w:type="dxa"/>
            <w:vAlign w:val="center"/>
          </w:tcPr>
          <w:p w14:paraId="474D8341">
            <w:pPr>
              <w:pStyle w:val="751"/>
              <w:rPr>
                <w:color w:val="auto"/>
              </w:rPr>
            </w:pPr>
            <w:r>
              <w:rPr>
                <w:rFonts w:hint="eastAsia"/>
                <w:color w:val="auto"/>
              </w:rPr>
              <w:t>/</w:t>
            </w:r>
          </w:p>
        </w:tc>
        <w:tc>
          <w:tcPr>
            <w:tcW w:w="1230" w:type="dxa"/>
            <w:vAlign w:val="center"/>
          </w:tcPr>
          <w:p w14:paraId="5F10828D">
            <w:pPr>
              <w:pStyle w:val="751"/>
              <w:rPr>
                <w:color w:val="auto"/>
              </w:rPr>
            </w:pPr>
            <w:r>
              <w:rPr>
                <w:rFonts w:hint="eastAsia"/>
                <w:color w:val="auto"/>
              </w:rPr>
              <w:t>0</w:t>
            </w:r>
          </w:p>
        </w:tc>
        <w:tc>
          <w:tcPr>
            <w:tcW w:w="0" w:type="auto"/>
            <w:vAlign w:val="center"/>
          </w:tcPr>
          <w:p w14:paraId="1706F03D">
            <w:pPr>
              <w:pStyle w:val="751"/>
              <w:rPr>
                <w:color w:val="auto"/>
              </w:rPr>
            </w:pPr>
            <w:r>
              <w:rPr>
                <w:rFonts w:hint="eastAsia"/>
                <w:color w:val="auto"/>
              </w:rPr>
              <w:t>0</w:t>
            </w:r>
          </w:p>
        </w:tc>
        <w:tc>
          <w:tcPr>
            <w:tcW w:w="0" w:type="auto"/>
            <w:vAlign w:val="center"/>
          </w:tcPr>
          <w:p w14:paraId="661249D8">
            <w:pPr>
              <w:pStyle w:val="751"/>
              <w:rPr>
                <w:color w:val="auto"/>
              </w:rPr>
            </w:pPr>
            <w:r>
              <w:rPr>
                <w:rFonts w:hint="eastAsia"/>
                <w:color w:val="auto"/>
              </w:rPr>
              <w:t>0</w:t>
            </w:r>
          </w:p>
        </w:tc>
      </w:tr>
      <w:tr w14:paraId="73F0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BFE7491">
            <w:pPr>
              <w:pStyle w:val="751"/>
              <w:rPr>
                <w:color w:val="auto"/>
              </w:rPr>
            </w:pPr>
            <w:r>
              <w:rPr>
                <w:color w:val="auto"/>
              </w:rPr>
              <w:t>锰</w:t>
            </w:r>
          </w:p>
        </w:tc>
        <w:tc>
          <w:tcPr>
            <w:tcW w:w="1143" w:type="dxa"/>
            <w:vAlign w:val="center"/>
          </w:tcPr>
          <w:p w14:paraId="0143985A">
            <w:pPr>
              <w:pStyle w:val="751"/>
              <w:rPr>
                <w:color w:val="auto"/>
              </w:rPr>
            </w:pPr>
            <w:r>
              <w:rPr>
                <w:rFonts w:hint="eastAsia"/>
                <w:color w:val="auto"/>
              </w:rPr>
              <w:t>标准限值</w:t>
            </w:r>
          </w:p>
        </w:tc>
        <w:tc>
          <w:tcPr>
            <w:tcW w:w="1163" w:type="dxa"/>
            <w:vAlign w:val="center"/>
          </w:tcPr>
          <w:p w14:paraId="780EDD93">
            <w:pPr>
              <w:pStyle w:val="751"/>
              <w:rPr>
                <w:color w:val="auto"/>
              </w:rPr>
            </w:pPr>
            <w:r>
              <w:rPr>
                <w:rFonts w:hint="eastAsia"/>
                <w:color w:val="auto"/>
              </w:rPr>
              <w:t>0.10</w:t>
            </w:r>
          </w:p>
        </w:tc>
        <w:tc>
          <w:tcPr>
            <w:tcW w:w="1395" w:type="dxa"/>
            <w:vAlign w:val="center"/>
          </w:tcPr>
          <w:p w14:paraId="0D339357">
            <w:pPr>
              <w:pStyle w:val="751"/>
              <w:rPr>
                <w:color w:val="auto"/>
              </w:rPr>
            </w:pPr>
            <w:r>
              <w:rPr>
                <w:rFonts w:hint="eastAsia"/>
                <w:color w:val="auto"/>
              </w:rPr>
              <w:t>mg/L</w:t>
            </w:r>
          </w:p>
        </w:tc>
        <w:tc>
          <w:tcPr>
            <w:tcW w:w="1230" w:type="dxa"/>
            <w:vAlign w:val="center"/>
          </w:tcPr>
          <w:p w14:paraId="0EFE4B7E">
            <w:pPr>
              <w:pStyle w:val="751"/>
              <w:rPr>
                <w:color w:val="auto"/>
              </w:rPr>
            </w:pPr>
            <w:r>
              <w:rPr>
                <w:rFonts w:hint="eastAsia"/>
                <w:color w:val="auto"/>
              </w:rPr>
              <w:t>0.004L</w:t>
            </w:r>
          </w:p>
        </w:tc>
        <w:tc>
          <w:tcPr>
            <w:tcW w:w="0" w:type="auto"/>
            <w:vAlign w:val="center"/>
          </w:tcPr>
          <w:p w14:paraId="1DD21AE4">
            <w:pPr>
              <w:pStyle w:val="751"/>
              <w:rPr>
                <w:color w:val="auto"/>
              </w:rPr>
            </w:pPr>
            <w:r>
              <w:rPr>
                <w:rFonts w:hint="eastAsia"/>
                <w:color w:val="auto"/>
              </w:rPr>
              <w:t>0.004L</w:t>
            </w:r>
          </w:p>
        </w:tc>
        <w:tc>
          <w:tcPr>
            <w:tcW w:w="0" w:type="auto"/>
            <w:vAlign w:val="center"/>
          </w:tcPr>
          <w:p w14:paraId="08D19901">
            <w:pPr>
              <w:pStyle w:val="751"/>
              <w:rPr>
                <w:color w:val="auto"/>
              </w:rPr>
            </w:pPr>
            <w:r>
              <w:rPr>
                <w:rFonts w:hint="eastAsia"/>
                <w:color w:val="auto"/>
              </w:rPr>
              <w:t>0.004L</w:t>
            </w:r>
          </w:p>
        </w:tc>
      </w:tr>
      <w:tr w14:paraId="0307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428502A">
            <w:pPr>
              <w:pStyle w:val="751"/>
              <w:rPr>
                <w:color w:val="auto"/>
              </w:rPr>
            </w:pPr>
          </w:p>
        </w:tc>
        <w:tc>
          <w:tcPr>
            <w:tcW w:w="2306" w:type="dxa"/>
            <w:gridSpan w:val="2"/>
            <w:vAlign w:val="center"/>
          </w:tcPr>
          <w:p w14:paraId="3E02A853">
            <w:pPr>
              <w:pStyle w:val="751"/>
              <w:rPr>
                <w:color w:val="auto"/>
              </w:rPr>
            </w:pPr>
            <w:r>
              <w:rPr>
                <w:rFonts w:hint="eastAsia"/>
                <w:color w:val="auto"/>
              </w:rPr>
              <w:t>Pi</w:t>
            </w:r>
          </w:p>
        </w:tc>
        <w:tc>
          <w:tcPr>
            <w:tcW w:w="1395" w:type="dxa"/>
            <w:vAlign w:val="center"/>
          </w:tcPr>
          <w:p w14:paraId="5BF0A0DC">
            <w:pPr>
              <w:pStyle w:val="751"/>
              <w:rPr>
                <w:color w:val="auto"/>
              </w:rPr>
            </w:pPr>
            <w:r>
              <w:rPr>
                <w:rFonts w:hint="eastAsia"/>
                <w:color w:val="auto"/>
              </w:rPr>
              <w:t>/</w:t>
            </w:r>
          </w:p>
        </w:tc>
        <w:tc>
          <w:tcPr>
            <w:tcW w:w="1230" w:type="dxa"/>
            <w:vAlign w:val="center"/>
          </w:tcPr>
          <w:p w14:paraId="5F7E2BDD">
            <w:pPr>
              <w:pStyle w:val="751"/>
              <w:rPr>
                <w:color w:val="auto"/>
              </w:rPr>
            </w:pPr>
            <w:r>
              <w:rPr>
                <w:rFonts w:hint="eastAsia"/>
                <w:color w:val="auto"/>
              </w:rPr>
              <w:t>0.02</w:t>
            </w:r>
          </w:p>
        </w:tc>
        <w:tc>
          <w:tcPr>
            <w:tcW w:w="0" w:type="auto"/>
            <w:vAlign w:val="center"/>
          </w:tcPr>
          <w:p w14:paraId="7D923FA9">
            <w:pPr>
              <w:pStyle w:val="751"/>
              <w:rPr>
                <w:color w:val="auto"/>
              </w:rPr>
            </w:pPr>
            <w:r>
              <w:rPr>
                <w:rFonts w:hint="eastAsia"/>
                <w:color w:val="auto"/>
              </w:rPr>
              <w:t>0.02</w:t>
            </w:r>
          </w:p>
        </w:tc>
        <w:tc>
          <w:tcPr>
            <w:tcW w:w="0" w:type="auto"/>
            <w:vAlign w:val="center"/>
          </w:tcPr>
          <w:p w14:paraId="1A1EAE82">
            <w:pPr>
              <w:pStyle w:val="751"/>
              <w:rPr>
                <w:color w:val="auto"/>
              </w:rPr>
            </w:pPr>
            <w:r>
              <w:rPr>
                <w:rFonts w:hint="eastAsia"/>
                <w:color w:val="auto"/>
              </w:rPr>
              <w:t>0.02</w:t>
            </w:r>
          </w:p>
        </w:tc>
      </w:tr>
      <w:tr w14:paraId="0AF7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D283009">
            <w:pPr>
              <w:pStyle w:val="751"/>
              <w:rPr>
                <w:color w:val="auto"/>
              </w:rPr>
            </w:pPr>
          </w:p>
        </w:tc>
        <w:tc>
          <w:tcPr>
            <w:tcW w:w="2306" w:type="dxa"/>
            <w:gridSpan w:val="2"/>
            <w:vAlign w:val="center"/>
          </w:tcPr>
          <w:p w14:paraId="39814001">
            <w:pPr>
              <w:pStyle w:val="751"/>
              <w:rPr>
                <w:color w:val="auto"/>
              </w:rPr>
            </w:pPr>
            <w:r>
              <w:rPr>
                <w:rFonts w:hint="eastAsia"/>
                <w:color w:val="auto"/>
              </w:rPr>
              <w:t>超标倍数</w:t>
            </w:r>
          </w:p>
        </w:tc>
        <w:tc>
          <w:tcPr>
            <w:tcW w:w="1395" w:type="dxa"/>
            <w:vAlign w:val="center"/>
          </w:tcPr>
          <w:p w14:paraId="58D43877">
            <w:pPr>
              <w:pStyle w:val="751"/>
              <w:rPr>
                <w:color w:val="auto"/>
              </w:rPr>
            </w:pPr>
            <w:r>
              <w:rPr>
                <w:rFonts w:hint="eastAsia"/>
                <w:color w:val="auto"/>
              </w:rPr>
              <w:t>/</w:t>
            </w:r>
          </w:p>
        </w:tc>
        <w:tc>
          <w:tcPr>
            <w:tcW w:w="1230" w:type="dxa"/>
            <w:vAlign w:val="center"/>
          </w:tcPr>
          <w:p w14:paraId="6AD0E61D">
            <w:pPr>
              <w:pStyle w:val="751"/>
              <w:rPr>
                <w:color w:val="auto"/>
              </w:rPr>
            </w:pPr>
            <w:r>
              <w:rPr>
                <w:rFonts w:hint="eastAsia"/>
                <w:color w:val="auto"/>
              </w:rPr>
              <w:t>0</w:t>
            </w:r>
          </w:p>
        </w:tc>
        <w:tc>
          <w:tcPr>
            <w:tcW w:w="0" w:type="auto"/>
            <w:vAlign w:val="center"/>
          </w:tcPr>
          <w:p w14:paraId="5CD87A3F">
            <w:pPr>
              <w:pStyle w:val="751"/>
              <w:rPr>
                <w:color w:val="auto"/>
              </w:rPr>
            </w:pPr>
            <w:r>
              <w:rPr>
                <w:rFonts w:hint="eastAsia"/>
                <w:color w:val="auto"/>
              </w:rPr>
              <w:t>0</w:t>
            </w:r>
          </w:p>
        </w:tc>
        <w:tc>
          <w:tcPr>
            <w:tcW w:w="0" w:type="auto"/>
            <w:vAlign w:val="center"/>
          </w:tcPr>
          <w:p w14:paraId="74C147C0">
            <w:pPr>
              <w:pStyle w:val="751"/>
              <w:rPr>
                <w:color w:val="auto"/>
              </w:rPr>
            </w:pPr>
            <w:r>
              <w:rPr>
                <w:rFonts w:hint="eastAsia"/>
                <w:color w:val="auto"/>
              </w:rPr>
              <w:t>0</w:t>
            </w:r>
          </w:p>
        </w:tc>
      </w:tr>
      <w:tr w14:paraId="0A70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2F5B9792">
            <w:pPr>
              <w:pStyle w:val="751"/>
              <w:rPr>
                <w:color w:val="auto"/>
              </w:rPr>
            </w:pPr>
            <w:r>
              <w:rPr>
                <w:rFonts w:hint="eastAsia"/>
                <w:color w:val="auto"/>
              </w:rPr>
              <w:t>六价铬</w:t>
            </w:r>
          </w:p>
        </w:tc>
        <w:tc>
          <w:tcPr>
            <w:tcW w:w="1143" w:type="dxa"/>
            <w:vAlign w:val="center"/>
          </w:tcPr>
          <w:p w14:paraId="7DF2648B">
            <w:pPr>
              <w:pStyle w:val="751"/>
              <w:rPr>
                <w:color w:val="auto"/>
              </w:rPr>
            </w:pPr>
            <w:r>
              <w:rPr>
                <w:rFonts w:hint="eastAsia"/>
                <w:color w:val="auto"/>
              </w:rPr>
              <w:t>标准限值</w:t>
            </w:r>
          </w:p>
        </w:tc>
        <w:tc>
          <w:tcPr>
            <w:tcW w:w="1163" w:type="dxa"/>
            <w:vAlign w:val="center"/>
          </w:tcPr>
          <w:p w14:paraId="6DA646F7">
            <w:pPr>
              <w:pStyle w:val="751"/>
              <w:rPr>
                <w:color w:val="auto"/>
              </w:rPr>
            </w:pPr>
            <w:r>
              <w:rPr>
                <w:rFonts w:hint="eastAsia"/>
                <w:color w:val="auto"/>
              </w:rPr>
              <w:t>0.05</w:t>
            </w:r>
          </w:p>
        </w:tc>
        <w:tc>
          <w:tcPr>
            <w:tcW w:w="1395" w:type="dxa"/>
            <w:vAlign w:val="center"/>
          </w:tcPr>
          <w:p w14:paraId="2D168808">
            <w:pPr>
              <w:pStyle w:val="751"/>
              <w:rPr>
                <w:color w:val="auto"/>
              </w:rPr>
            </w:pPr>
            <w:r>
              <w:rPr>
                <w:rFonts w:hint="eastAsia"/>
                <w:color w:val="auto"/>
              </w:rPr>
              <w:t>mg/L</w:t>
            </w:r>
          </w:p>
        </w:tc>
        <w:tc>
          <w:tcPr>
            <w:tcW w:w="1230" w:type="dxa"/>
            <w:vAlign w:val="center"/>
          </w:tcPr>
          <w:p w14:paraId="727D4986">
            <w:pPr>
              <w:pStyle w:val="751"/>
              <w:rPr>
                <w:color w:val="auto"/>
              </w:rPr>
            </w:pPr>
            <w:r>
              <w:rPr>
                <w:rFonts w:hint="eastAsia"/>
                <w:color w:val="auto"/>
              </w:rPr>
              <w:t>0.004L</w:t>
            </w:r>
          </w:p>
        </w:tc>
        <w:tc>
          <w:tcPr>
            <w:tcW w:w="0" w:type="auto"/>
            <w:vAlign w:val="center"/>
          </w:tcPr>
          <w:p w14:paraId="65A51224">
            <w:pPr>
              <w:pStyle w:val="751"/>
              <w:rPr>
                <w:color w:val="auto"/>
              </w:rPr>
            </w:pPr>
            <w:r>
              <w:rPr>
                <w:rFonts w:hint="eastAsia"/>
                <w:color w:val="auto"/>
              </w:rPr>
              <w:t>0.004L</w:t>
            </w:r>
          </w:p>
        </w:tc>
        <w:tc>
          <w:tcPr>
            <w:tcW w:w="0" w:type="auto"/>
            <w:vAlign w:val="center"/>
          </w:tcPr>
          <w:p w14:paraId="475EACB1">
            <w:pPr>
              <w:pStyle w:val="751"/>
              <w:rPr>
                <w:color w:val="auto"/>
              </w:rPr>
            </w:pPr>
            <w:r>
              <w:rPr>
                <w:rFonts w:hint="eastAsia"/>
                <w:color w:val="auto"/>
              </w:rPr>
              <w:t>0.004L</w:t>
            </w:r>
          </w:p>
        </w:tc>
      </w:tr>
      <w:tr w14:paraId="0C3D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72834F6B">
            <w:pPr>
              <w:pStyle w:val="751"/>
              <w:rPr>
                <w:color w:val="auto"/>
              </w:rPr>
            </w:pPr>
          </w:p>
        </w:tc>
        <w:tc>
          <w:tcPr>
            <w:tcW w:w="2306" w:type="dxa"/>
            <w:gridSpan w:val="2"/>
            <w:vAlign w:val="center"/>
          </w:tcPr>
          <w:p w14:paraId="34FEC0F4">
            <w:pPr>
              <w:pStyle w:val="751"/>
              <w:rPr>
                <w:color w:val="auto"/>
              </w:rPr>
            </w:pPr>
            <w:r>
              <w:rPr>
                <w:rFonts w:hint="eastAsia"/>
                <w:color w:val="auto"/>
              </w:rPr>
              <w:t>Pi</w:t>
            </w:r>
          </w:p>
        </w:tc>
        <w:tc>
          <w:tcPr>
            <w:tcW w:w="1395" w:type="dxa"/>
            <w:vAlign w:val="center"/>
          </w:tcPr>
          <w:p w14:paraId="3C05CECF">
            <w:pPr>
              <w:pStyle w:val="751"/>
              <w:rPr>
                <w:color w:val="auto"/>
              </w:rPr>
            </w:pPr>
            <w:r>
              <w:rPr>
                <w:rFonts w:hint="eastAsia"/>
                <w:color w:val="auto"/>
              </w:rPr>
              <w:t>/</w:t>
            </w:r>
          </w:p>
        </w:tc>
        <w:tc>
          <w:tcPr>
            <w:tcW w:w="1230" w:type="dxa"/>
            <w:vAlign w:val="center"/>
          </w:tcPr>
          <w:p w14:paraId="3895123F">
            <w:pPr>
              <w:pStyle w:val="751"/>
              <w:rPr>
                <w:color w:val="auto"/>
              </w:rPr>
            </w:pPr>
            <w:r>
              <w:rPr>
                <w:rFonts w:hint="eastAsia"/>
                <w:color w:val="auto"/>
              </w:rPr>
              <w:t>0.04</w:t>
            </w:r>
          </w:p>
        </w:tc>
        <w:tc>
          <w:tcPr>
            <w:tcW w:w="0" w:type="auto"/>
            <w:vAlign w:val="center"/>
          </w:tcPr>
          <w:p w14:paraId="6157A91A">
            <w:pPr>
              <w:pStyle w:val="751"/>
              <w:rPr>
                <w:color w:val="auto"/>
              </w:rPr>
            </w:pPr>
            <w:r>
              <w:rPr>
                <w:rFonts w:hint="eastAsia"/>
                <w:color w:val="auto"/>
              </w:rPr>
              <w:t>0.04</w:t>
            </w:r>
          </w:p>
        </w:tc>
        <w:tc>
          <w:tcPr>
            <w:tcW w:w="0" w:type="auto"/>
            <w:vAlign w:val="center"/>
          </w:tcPr>
          <w:p w14:paraId="789E5392">
            <w:pPr>
              <w:pStyle w:val="751"/>
              <w:rPr>
                <w:color w:val="auto"/>
              </w:rPr>
            </w:pPr>
            <w:r>
              <w:rPr>
                <w:rFonts w:hint="eastAsia"/>
                <w:color w:val="auto"/>
              </w:rPr>
              <w:t>0.04</w:t>
            </w:r>
          </w:p>
        </w:tc>
      </w:tr>
      <w:tr w14:paraId="29C2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AF6B331">
            <w:pPr>
              <w:pStyle w:val="751"/>
              <w:rPr>
                <w:color w:val="auto"/>
              </w:rPr>
            </w:pPr>
          </w:p>
        </w:tc>
        <w:tc>
          <w:tcPr>
            <w:tcW w:w="2306" w:type="dxa"/>
            <w:gridSpan w:val="2"/>
            <w:vAlign w:val="center"/>
          </w:tcPr>
          <w:p w14:paraId="4484C0BB">
            <w:pPr>
              <w:pStyle w:val="751"/>
              <w:rPr>
                <w:color w:val="auto"/>
              </w:rPr>
            </w:pPr>
            <w:r>
              <w:rPr>
                <w:rFonts w:hint="eastAsia"/>
                <w:color w:val="auto"/>
              </w:rPr>
              <w:t>超标倍数</w:t>
            </w:r>
          </w:p>
        </w:tc>
        <w:tc>
          <w:tcPr>
            <w:tcW w:w="1395" w:type="dxa"/>
            <w:vAlign w:val="center"/>
          </w:tcPr>
          <w:p w14:paraId="60554789">
            <w:pPr>
              <w:pStyle w:val="751"/>
              <w:rPr>
                <w:color w:val="auto"/>
              </w:rPr>
            </w:pPr>
            <w:r>
              <w:rPr>
                <w:rFonts w:hint="eastAsia"/>
                <w:color w:val="auto"/>
              </w:rPr>
              <w:t>/</w:t>
            </w:r>
          </w:p>
        </w:tc>
        <w:tc>
          <w:tcPr>
            <w:tcW w:w="1230" w:type="dxa"/>
            <w:vAlign w:val="center"/>
          </w:tcPr>
          <w:p w14:paraId="28C4A19B">
            <w:pPr>
              <w:pStyle w:val="751"/>
              <w:rPr>
                <w:color w:val="auto"/>
              </w:rPr>
            </w:pPr>
            <w:r>
              <w:rPr>
                <w:rFonts w:hint="eastAsia"/>
                <w:color w:val="auto"/>
              </w:rPr>
              <w:t>0</w:t>
            </w:r>
          </w:p>
        </w:tc>
        <w:tc>
          <w:tcPr>
            <w:tcW w:w="0" w:type="auto"/>
            <w:vAlign w:val="center"/>
          </w:tcPr>
          <w:p w14:paraId="51E18458">
            <w:pPr>
              <w:pStyle w:val="751"/>
              <w:rPr>
                <w:color w:val="auto"/>
              </w:rPr>
            </w:pPr>
            <w:r>
              <w:rPr>
                <w:rFonts w:hint="eastAsia"/>
                <w:color w:val="auto"/>
              </w:rPr>
              <w:t>0</w:t>
            </w:r>
          </w:p>
        </w:tc>
        <w:tc>
          <w:tcPr>
            <w:tcW w:w="0" w:type="auto"/>
            <w:vAlign w:val="center"/>
          </w:tcPr>
          <w:p w14:paraId="5A3D6509">
            <w:pPr>
              <w:pStyle w:val="751"/>
              <w:rPr>
                <w:color w:val="auto"/>
              </w:rPr>
            </w:pPr>
            <w:r>
              <w:rPr>
                <w:rFonts w:hint="eastAsia"/>
                <w:color w:val="auto"/>
              </w:rPr>
              <w:t>0</w:t>
            </w:r>
          </w:p>
        </w:tc>
      </w:tr>
      <w:tr w14:paraId="6910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078825A2">
            <w:pPr>
              <w:pStyle w:val="751"/>
              <w:rPr>
                <w:color w:val="auto"/>
              </w:rPr>
            </w:pPr>
            <w:r>
              <w:rPr>
                <w:bCs/>
                <w:color w:val="auto"/>
              </w:rPr>
              <w:t>总大肠菌群</w:t>
            </w:r>
          </w:p>
        </w:tc>
        <w:tc>
          <w:tcPr>
            <w:tcW w:w="1143" w:type="dxa"/>
            <w:vAlign w:val="center"/>
          </w:tcPr>
          <w:p w14:paraId="351045F4">
            <w:pPr>
              <w:pStyle w:val="751"/>
              <w:rPr>
                <w:color w:val="auto"/>
              </w:rPr>
            </w:pPr>
            <w:r>
              <w:rPr>
                <w:rFonts w:hint="eastAsia"/>
                <w:color w:val="auto"/>
              </w:rPr>
              <w:t>标准限值</w:t>
            </w:r>
          </w:p>
        </w:tc>
        <w:tc>
          <w:tcPr>
            <w:tcW w:w="1163" w:type="dxa"/>
            <w:vAlign w:val="center"/>
          </w:tcPr>
          <w:p w14:paraId="3ED13B4B">
            <w:pPr>
              <w:pStyle w:val="751"/>
              <w:rPr>
                <w:bCs/>
                <w:color w:val="auto"/>
              </w:rPr>
            </w:pPr>
            <w:r>
              <w:rPr>
                <w:rFonts w:hint="eastAsia"/>
                <w:bCs/>
                <w:color w:val="auto"/>
              </w:rPr>
              <w:t>3.0</w:t>
            </w:r>
          </w:p>
        </w:tc>
        <w:tc>
          <w:tcPr>
            <w:tcW w:w="1395" w:type="dxa"/>
            <w:vAlign w:val="center"/>
          </w:tcPr>
          <w:p w14:paraId="0EEF6422">
            <w:pPr>
              <w:pStyle w:val="751"/>
              <w:rPr>
                <w:color w:val="auto"/>
              </w:rPr>
            </w:pPr>
            <w:r>
              <w:rPr>
                <w:bCs/>
                <w:color w:val="auto"/>
              </w:rPr>
              <w:t>（CFU/m</w:t>
            </w:r>
            <w:r>
              <w:rPr>
                <w:rFonts w:hint="eastAsia"/>
                <w:bCs/>
                <w:color w:val="auto"/>
              </w:rPr>
              <w:t>L</w:t>
            </w:r>
            <w:r>
              <w:rPr>
                <w:bCs/>
                <w:color w:val="auto"/>
              </w:rPr>
              <w:t>）</w:t>
            </w:r>
          </w:p>
        </w:tc>
        <w:tc>
          <w:tcPr>
            <w:tcW w:w="1230" w:type="dxa"/>
            <w:vAlign w:val="center"/>
          </w:tcPr>
          <w:p w14:paraId="0D0D6DB6">
            <w:pPr>
              <w:pStyle w:val="751"/>
              <w:rPr>
                <w:color w:val="auto"/>
              </w:rPr>
            </w:pPr>
            <w:r>
              <w:rPr>
                <w:rFonts w:hint="eastAsia"/>
                <w:bCs/>
                <w:color w:val="auto"/>
              </w:rPr>
              <w:t>未检出</w:t>
            </w:r>
          </w:p>
        </w:tc>
        <w:tc>
          <w:tcPr>
            <w:tcW w:w="0" w:type="auto"/>
            <w:vAlign w:val="center"/>
          </w:tcPr>
          <w:p w14:paraId="261FF987">
            <w:pPr>
              <w:pStyle w:val="751"/>
              <w:rPr>
                <w:color w:val="auto"/>
              </w:rPr>
            </w:pPr>
            <w:r>
              <w:rPr>
                <w:rFonts w:hint="eastAsia"/>
                <w:bCs/>
                <w:color w:val="auto"/>
              </w:rPr>
              <w:t>未检出</w:t>
            </w:r>
          </w:p>
        </w:tc>
        <w:tc>
          <w:tcPr>
            <w:tcW w:w="0" w:type="auto"/>
            <w:vAlign w:val="center"/>
          </w:tcPr>
          <w:p w14:paraId="157EE93A">
            <w:pPr>
              <w:pStyle w:val="751"/>
              <w:rPr>
                <w:color w:val="auto"/>
              </w:rPr>
            </w:pPr>
            <w:r>
              <w:rPr>
                <w:rFonts w:hint="eastAsia"/>
                <w:bCs/>
                <w:color w:val="auto"/>
              </w:rPr>
              <w:t>＜未检出</w:t>
            </w:r>
          </w:p>
        </w:tc>
      </w:tr>
      <w:tr w14:paraId="3AAF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1B2CDCA">
            <w:pPr>
              <w:pStyle w:val="751"/>
              <w:rPr>
                <w:bCs/>
                <w:color w:val="auto"/>
              </w:rPr>
            </w:pPr>
          </w:p>
        </w:tc>
        <w:tc>
          <w:tcPr>
            <w:tcW w:w="2306" w:type="dxa"/>
            <w:gridSpan w:val="2"/>
            <w:vAlign w:val="center"/>
          </w:tcPr>
          <w:p w14:paraId="66B11DF4">
            <w:pPr>
              <w:pStyle w:val="751"/>
              <w:rPr>
                <w:bCs/>
                <w:color w:val="auto"/>
              </w:rPr>
            </w:pPr>
            <w:r>
              <w:rPr>
                <w:rFonts w:hint="eastAsia"/>
                <w:color w:val="auto"/>
              </w:rPr>
              <w:t>Pi</w:t>
            </w:r>
          </w:p>
        </w:tc>
        <w:tc>
          <w:tcPr>
            <w:tcW w:w="1395" w:type="dxa"/>
            <w:vAlign w:val="center"/>
          </w:tcPr>
          <w:p w14:paraId="54D7ED35">
            <w:pPr>
              <w:pStyle w:val="751"/>
              <w:rPr>
                <w:bCs/>
                <w:color w:val="auto"/>
              </w:rPr>
            </w:pPr>
            <w:r>
              <w:rPr>
                <w:rFonts w:hint="eastAsia"/>
                <w:bCs/>
                <w:color w:val="auto"/>
              </w:rPr>
              <w:t>/</w:t>
            </w:r>
          </w:p>
        </w:tc>
        <w:tc>
          <w:tcPr>
            <w:tcW w:w="1230" w:type="dxa"/>
            <w:vAlign w:val="center"/>
          </w:tcPr>
          <w:p w14:paraId="1AB236F3">
            <w:pPr>
              <w:pStyle w:val="751"/>
              <w:rPr>
                <w:bCs/>
                <w:color w:val="auto"/>
              </w:rPr>
            </w:pPr>
            <w:r>
              <w:rPr>
                <w:rFonts w:hint="eastAsia"/>
                <w:bCs/>
                <w:color w:val="auto"/>
              </w:rPr>
              <w:t>/</w:t>
            </w:r>
          </w:p>
        </w:tc>
        <w:tc>
          <w:tcPr>
            <w:tcW w:w="0" w:type="auto"/>
            <w:vAlign w:val="center"/>
          </w:tcPr>
          <w:p w14:paraId="4C4017AA">
            <w:pPr>
              <w:pStyle w:val="751"/>
              <w:rPr>
                <w:bCs/>
                <w:color w:val="auto"/>
              </w:rPr>
            </w:pPr>
            <w:r>
              <w:rPr>
                <w:rFonts w:hint="eastAsia"/>
                <w:bCs/>
                <w:color w:val="auto"/>
              </w:rPr>
              <w:t>/</w:t>
            </w:r>
          </w:p>
        </w:tc>
        <w:tc>
          <w:tcPr>
            <w:tcW w:w="0" w:type="auto"/>
            <w:vAlign w:val="center"/>
          </w:tcPr>
          <w:p w14:paraId="0141497E">
            <w:pPr>
              <w:pStyle w:val="751"/>
              <w:rPr>
                <w:bCs/>
                <w:color w:val="auto"/>
              </w:rPr>
            </w:pPr>
            <w:r>
              <w:rPr>
                <w:rFonts w:hint="eastAsia"/>
                <w:bCs/>
                <w:color w:val="auto"/>
              </w:rPr>
              <w:t>/</w:t>
            </w:r>
          </w:p>
        </w:tc>
      </w:tr>
      <w:tr w14:paraId="4CFA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583A697">
            <w:pPr>
              <w:pStyle w:val="751"/>
              <w:rPr>
                <w:bCs/>
                <w:color w:val="auto"/>
              </w:rPr>
            </w:pPr>
          </w:p>
        </w:tc>
        <w:tc>
          <w:tcPr>
            <w:tcW w:w="2306" w:type="dxa"/>
            <w:gridSpan w:val="2"/>
            <w:vAlign w:val="center"/>
          </w:tcPr>
          <w:p w14:paraId="118D5C5F">
            <w:pPr>
              <w:pStyle w:val="751"/>
              <w:rPr>
                <w:bCs/>
                <w:color w:val="auto"/>
              </w:rPr>
            </w:pPr>
            <w:r>
              <w:rPr>
                <w:rFonts w:hint="eastAsia"/>
                <w:color w:val="auto"/>
              </w:rPr>
              <w:t>超标倍数</w:t>
            </w:r>
          </w:p>
        </w:tc>
        <w:tc>
          <w:tcPr>
            <w:tcW w:w="1395" w:type="dxa"/>
            <w:vAlign w:val="center"/>
          </w:tcPr>
          <w:p w14:paraId="01F3E0AA">
            <w:pPr>
              <w:pStyle w:val="751"/>
              <w:rPr>
                <w:bCs/>
                <w:color w:val="auto"/>
              </w:rPr>
            </w:pPr>
            <w:r>
              <w:rPr>
                <w:rFonts w:hint="eastAsia"/>
                <w:bCs/>
                <w:color w:val="auto"/>
              </w:rPr>
              <w:t>/</w:t>
            </w:r>
          </w:p>
        </w:tc>
        <w:tc>
          <w:tcPr>
            <w:tcW w:w="1230" w:type="dxa"/>
            <w:vAlign w:val="center"/>
          </w:tcPr>
          <w:p w14:paraId="14D11CA0">
            <w:pPr>
              <w:pStyle w:val="751"/>
              <w:rPr>
                <w:bCs/>
                <w:color w:val="auto"/>
              </w:rPr>
            </w:pPr>
            <w:r>
              <w:rPr>
                <w:rFonts w:hint="eastAsia"/>
                <w:bCs/>
                <w:color w:val="auto"/>
              </w:rPr>
              <w:t>0</w:t>
            </w:r>
          </w:p>
        </w:tc>
        <w:tc>
          <w:tcPr>
            <w:tcW w:w="0" w:type="auto"/>
            <w:vAlign w:val="center"/>
          </w:tcPr>
          <w:p w14:paraId="0271FB9E">
            <w:pPr>
              <w:pStyle w:val="751"/>
              <w:rPr>
                <w:bCs/>
                <w:color w:val="auto"/>
              </w:rPr>
            </w:pPr>
            <w:r>
              <w:rPr>
                <w:rFonts w:hint="eastAsia"/>
                <w:bCs/>
                <w:color w:val="auto"/>
              </w:rPr>
              <w:t>0</w:t>
            </w:r>
          </w:p>
        </w:tc>
        <w:tc>
          <w:tcPr>
            <w:tcW w:w="0" w:type="auto"/>
            <w:vAlign w:val="center"/>
          </w:tcPr>
          <w:p w14:paraId="7DDCE343">
            <w:pPr>
              <w:pStyle w:val="751"/>
              <w:rPr>
                <w:bCs/>
                <w:color w:val="auto"/>
              </w:rPr>
            </w:pPr>
            <w:r>
              <w:rPr>
                <w:rFonts w:hint="eastAsia"/>
                <w:bCs/>
                <w:color w:val="auto"/>
              </w:rPr>
              <w:t>0</w:t>
            </w:r>
          </w:p>
        </w:tc>
      </w:tr>
      <w:tr w14:paraId="3078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1F94FCF4">
            <w:pPr>
              <w:pStyle w:val="751"/>
              <w:rPr>
                <w:color w:val="auto"/>
              </w:rPr>
            </w:pPr>
            <w:r>
              <w:rPr>
                <w:rFonts w:hint="eastAsia"/>
                <w:color w:val="auto"/>
                <w:spacing w:val="-11"/>
              </w:rPr>
              <w:t>细菌总数</w:t>
            </w:r>
          </w:p>
        </w:tc>
        <w:tc>
          <w:tcPr>
            <w:tcW w:w="1143" w:type="dxa"/>
            <w:vAlign w:val="center"/>
          </w:tcPr>
          <w:p w14:paraId="31BC2D16">
            <w:pPr>
              <w:pStyle w:val="751"/>
              <w:rPr>
                <w:color w:val="auto"/>
              </w:rPr>
            </w:pPr>
            <w:r>
              <w:rPr>
                <w:rFonts w:hint="eastAsia"/>
                <w:color w:val="auto"/>
              </w:rPr>
              <w:t>标准限值</w:t>
            </w:r>
          </w:p>
        </w:tc>
        <w:tc>
          <w:tcPr>
            <w:tcW w:w="1163" w:type="dxa"/>
            <w:vAlign w:val="center"/>
          </w:tcPr>
          <w:p w14:paraId="191A48F2">
            <w:pPr>
              <w:pStyle w:val="751"/>
              <w:rPr>
                <w:bCs/>
                <w:color w:val="auto"/>
              </w:rPr>
            </w:pPr>
            <w:r>
              <w:rPr>
                <w:rFonts w:hint="eastAsia"/>
                <w:bCs/>
                <w:color w:val="auto"/>
              </w:rPr>
              <w:t>100</w:t>
            </w:r>
          </w:p>
        </w:tc>
        <w:tc>
          <w:tcPr>
            <w:tcW w:w="1395" w:type="dxa"/>
            <w:vAlign w:val="center"/>
          </w:tcPr>
          <w:p w14:paraId="172FAA15">
            <w:pPr>
              <w:pStyle w:val="751"/>
              <w:rPr>
                <w:color w:val="auto"/>
              </w:rPr>
            </w:pPr>
            <w:r>
              <w:rPr>
                <w:bCs/>
                <w:color w:val="auto"/>
              </w:rPr>
              <w:t>（CFU/m</w:t>
            </w:r>
            <w:r>
              <w:rPr>
                <w:rFonts w:hint="eastAsia"/>
                <w:bCs/>
                <w:color w:val="auto"/>
              </w:rPr>
              <w:t>L</w:t>
            </w:r>
            <w:r>
              <w:rPr>
                <w:bCs/>
                <w:color w:val="auto"/>
              </w:rPr>
              <w:t>）</w:t>
            </w:r>
          </w:p>
        </w:tc>
        <w:tc>
          <w:tcPr>
            <w:tcW w:w="1230" w:type="dxa"/>
            <w:vAlign w:val="center"/>
          </w:tcPr>
          <w:p w14:paraId="2AD64FF4">
            <w:pPr>
              <w:pStyle w:val="751"/>
              <w:rPr>
                <w:color w:val="auto"/>
              </w:rPr>
            </w:pPr>
            <w:r>
              <w:rPr>
                <w:rFonts w:hint="eastAsia"/>
                <w:color w:val="auto"/>
                <w:spacing w:val="-11"/>
              </w:rPr>
              <w:t>12</w:t>
            </w:r>
          </w:p>
        </w:tc>
        <w:tc>
          <w:tcPr>
            <w:tcW w:w="0" w:type="auto"/>
            <w:vAlign w:val="center"/>
          </w:tcPr>
          <w:p w14:paraId="57424906">
            <w:pPr>
              <w:pStyle w:val="751"/>
              <w:rPr>
                <w:color w:val="auto"/>
              </w:rPr>
            </w:pPr>
            <w:r>
              <w:rPr>
                <w:rFonts w:hint="eastAsia"/>
                <w:color w:val="auto"/>
                <w:spacing w:val="-11"/>
              </w:rPr>
              <w:t>15</w:t>
            </w:r>
          </w:p>
        </w:tc>
        <w:tc>
          <w:tcPr>
            <w:tcW w:w="0" w:type="auto"/>
            <w:vAlign w:val="center"/>
          </w:tcPr>
          <w:p w14:paraId="6E68DE17">
            <w:pPr>
              <w:pStyle w:val="751"/>
              <w:rPr>
                <w:color w:val="auto"/>
              </w:rPr>
            </w:pPr>
            <w:r>
              <w:rPr>
                <w:rFonts w:hint="eastAsia"/>
                <w:color w:val="auto"/>
                <w:spacing w:val="-11"/>
              </w:rPr>
              <w:t>14</w:t>
            </w:r>
          </w:p>
        </w:tc>
      </w:tr>
      <w:tr w14:paraId="4B5D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776EE2BC">
            <w:pPr>
              <w:pStyle w:val="751"/>
              <w:rPr>
                <w:color w:val="auto"/>
                <w:spacing w:val="-11"/>
              </w:rPr>
            </w:pPr>
          </w:p>
        </w:tc>
        <w:tc>
          <w:tcPr>
            <w:tcW w:w="2306" w:type="dxa"/>
            <w:gridSpan w:val="2"/>
            <w:vAlign w:val="center"/>
          </w:tcPr>
          <w:p w14:paraId="33364C06">
            <w:pPr>
              <w:pStyle w:val="751"/>
              <w:rPr>
                <w:bCs/>
                <w:color w:val="auto"/>
              </w:rPr>
            </w:pPr>
            <w:r>
              <w:rPr>
                <w:rFonts w:hint="eastAsia"/>
                <w:color w:val="auto"/>
              </w:rPr>
              <w:t>Pi</w:t>
            </w:r>
          </w:p>
        </w:tc>
        <w:tc>
          <w:tcPr>
            <w:tcW w:w="1395" w:type="dxa"/>
            <w:vAlign w:val="center"/>
          </w:tcPr>
          <w:p w14:paraId="072E102E">
            <w:pPr>
              <w:pStyle w:val="751"/>
              <w:rPr>
                <w:bCs/>
                <w:color w:val="auto"/>
              </w:rPr>
            </w:pPr>
            <w:r>
              <w:rPr>
                <w:rFonts w:hint="eastAsia"/>
                <w:bCs/>
                <w:color w:val="auto"/>
              </w:rPr>
              <w:t>/</w:t>
            </w:r>
          </w:p>
        </w:tc>
        <w:tc>
          <w:tcPr>
            <w:tcW w:w="1230" w:type="dxa"/>
            <w:vAlign w:val="center"/>
          </w:tcPr>
          <w:p w14:paraId="003CFC49">
            <w:pPr>
              <w:pStyle w:val="751"/>
              <w:rPr>
                <w:color w:val="auto"/>
                <w:spacing w:val="-11"/>
              </w:rPr>
            </w:pPr>
            <w:r>
              <w:rPr>
                <w:rFonts w:hint="eastAsia"/>
                <w:color w:val="auto"/>
                <w:spacing w:val="-11"/>
              </w:rPr>
              <w:t>0.12</w:t>
            </w:r>
          </w:p>
        </w:tc>
        <w:tc>
          <w:tcPr>
            <w:tcW w:w="0" w:type="auto"/>
            <w:vAlign w:val="center"/>
          </w:tcPr>
          <w:p w14:paraId="3A8C5756">
            <w:pPr>
              <w:pStyle w:val="751"/>
              <w:rPr>
                <w:color w:val="auto"/>
                <w:spacing w:val="-11"/>
              </w:rPr>
            </w:pPr>
            <w:r>
              <w:rPr>
                <w:rFonts w:hint="eastAsia"/>
                <w:color w:val="auto"/>
                <w:spacing w:val="-11"/>
              </w:rPr>
              <w:t>0.15</w:t>
            </w:r>
          </w:p>
        </w:tc>
        <w:tc>
          <w:tcPr>
            <w:tcW w:w="0" w:type="auto"/>
            <w:vAlign w:val="center"/>
          </w:tcPr>
          <w:p w14:paraId="64E0ADCA">
            <w:pPr>
              <w:pStyle w:val="751"/>
              <w:rPr>
                <w:color w:val="auto"/>
                <w:spacing w:val="-11"/>
              </w:rPr>
            </w:pPr>
            <w:r>
              <w:rPr>
                <w:rFonts w:hint="eastAsia"/>
                <w:color w:val="auto"/>
                <w:spacing w:val="-11"/>
              </w:rPr>
              <w:t>0.14</w:t>
            </w:r>
          </w:p>
        </w:tc>
      </w:tr>
      <w:tr w14:paraId="6343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09B3418">
            <w:pPr>
              <w:pStyle w:val="751"/>
              <w:rPr>
                <w:color w:val="auto"/>
                <w:spacing w:val="-11"/>
              </w:rPr>
            </w:pPr>
          </w:p>
        </w:tc>
        <w:tc>
          <w:tcPr>
            <w:tcW w:w="2306" w:type="dxa"/>
            <w:gridSpan w:val="2"/>
            <w:vAlign w:val="center"/>
          </w:tcPr>
          <w:p w14:paraId="4FB5306D">
            <w:pPr>
              <w:pStyle w:val="751"/>
              <w:rPr>
                <w:bCs/>
                <w:color w:val="auto"/>
              </w:rPr>
            </w:pPr>
            <w:r>
              <w:rPr>
                <w:rFonts w:hint="eastAsia"/>
                <w:color w:val="auto"/>
              </w:rPr>
              <w:t>超标倍数</w:t>
            </w:r>
          </w:p>
        </w:tc>
        <w:tc>
          <w:tcPr>
            <w:tcW w:w="1395" w:type="dxa"/>
            <w:vAlign w:val="center"/>
          </w:tcPr>
          <w:p w14:paraId="163C552F">
            <w:pPr>
              <w:pStyle w:val="751"/>
              <w:rPr>
                <w:bCs/>
                <w:color w:val="auto"/>
              </w:rPr>
            </w:pPr>
            <w:r>
              <w:rPr>
                <w:rFonts w:hint="eastAsia"/>
                <w:bCs/>
                <w:color w:val="auto"/>
              </w:rPr>
              <w:t>/</w:t>
            </w:r>
          </w:p>
        </w:tc>
        <w:tc>
          <w:tcPr>
            <w:tcW w:w="1230" w:type="dxa"/>
            <w:vAlign w:val="center"/>
          </w:tcPr>
          <w:p w14:paraId="72955F77">
            <w:pPr>
              <w:pStyle w:val="751"/>
              <w:rPr>
                <w:color w:val="auto"/>
                <w:spacing w:val="-11"/>
              </w:rPr>
            </w:pPr>
            <w:r>
              <w:rPr>
                <w:rFonts w:hint="eastAsia"/>
                <w:color w:val="auto"/>
                <w:spacing w:val="-11"/>
              </w:rPr>
              <w:t>0</w:t>
            </w:r>
          </w:p>
        </w:tc>
        <w:tc>
          <w:tcPr>
            <w:tcW w:w="0" w:type="auto"/>
            <w:vAlign w:val="center"/>
          </w:tcPr>
          <w:p w14:paraId="5DA4C589">
            <w:pPr>
              <w:pStyle w:val="751"/>
              <w:rPr>
                <w:color w:val="auto"/>
                <w:spacing w:val="-11"/>
              </w:rPr>
            </w:pPr>
            <w:r>
              <w:rPr>
                <w:rFonts w:hint="eastAsia"/>
                <w:color w:val="auto"/>
                <w:spacing w:val="-11"/>
              </w:rPr>
              <w:t>0</w:t>
            </w:r>
          </w:p>
        </w:tc>
        <w:tc>
          <w:tcPr>
            <w:tcW w:w="0" w:type="auto"/>
            <w:vAlign w:val="center"/>
          </w:tcPr>
          <w:p w14:paraId="4B3E81B1">
            <w:pPr>
              <w:pStyle w:val="751"/>
              <w:rPr>
                <w:color w:val="auto"/>
                <w:spacing w:val="-11"/>
              </w:rPr>
            </w:pPr>
            <w:r>
              <w:rPr>
                <w:rFonts w:hint="eastAsia"/>
                <w:color w:val="auto"/>
                <w:spacing w:val="-11"/>
              </w:rPr>
              <w:t>0</w:t>
            </w:r>
          </w:p>
        </w:tc>
      </w:tr>
      <w:tr w14:paraId="479A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2EAF6E9C">
            <w:pPr>
              <w:pStyle w:val="751"/>
              <w:rPr>
                <w:color w:val="auto"/>
              </w:rPr>
            </w:pPr>
            <w:r>
              <w:rPr>
                <w:color w:val="auto"/>
              </w:rPr>
              <w:t>色度</w:t>
            </w:r>
          </w:p>
        </w:tc>
        <w:tc>
          <w:tcPr>
            <w:tcW w:w="1143" w:type="dxa"/>
            <w:vAlign w:val="center"/>
          </w:tcPr>
          <w:p w14:paraId="089316C4">
            <w:pPr>
              <w:pStyle w:val="751"/>
              <w:rPr>
                <w:color w:val="auto"/>
              </w:rPr>
            </w:pPr>
            <w:r>
              <w:rPr>
                <w:rFonts w:hint="eastAsia"/>
                <w:color w:val="auto"/>
              </w:rPr>
              <w:t>标准限值</w:t>
            </w:r>
          </w:p>
        </w:tc>
        <w:tc>
          <w:tcPr>
            <w:tcW w:w="1163" w:type="dxa"/>
            <w:vAlign w:val="center"/>
          </w:tcPr>
          <w:p w14:paraId="7C5E28C1">
            <w:pPr>
              <w:pStyle w:val="751"/>
              <w:rPr>
                <w:color w:val="auto"/>
              </w:rPr>
            </w:pPr>
            <w:r>
              <w:rPr>
                <w:rFonts w:hint="eastAsia"/>
                <w:color w:val="auto"/>
              </w:rPr>
              <w:t>15</w:t>
            </w:r>
          </w:p>
        </w:tc>
        <w:tc>
          <w:tcPr>
            <w:tcW w:w="1395" w:type="dxa"/>
            <w:vAlign w:val="center"/>
          </w:tcPr>
          <w:p w14:paraId="21FCE973">
            <w:pPr>
              <w:pStyle w:val="751"/>
              <w:rPr>
                <w:color w:val="auto"/>
              </w:rPr>
            </w:pPr>
            <w:r>
              <w:rPr>
                <w:rFonts w:hint="eastAsia"/>
                <w:color w:val="auto"/>
              </w:rPr>
              <w:t>--</w:t>
            </w:r>
          </w:p>
        </w:tc>
        <w:tc>
          <w:tcPr>
            <w:tcW w:w="1230" w:type="dxa"/>
            <w:vAlign w:val="center"/>
          </w:tcPr>
          <w:p w14:paraId="610934EF">
            <w:pPr>
              <w:pStyle w:val="751"/>
              <w:rPr>
                <w:color w:val="auto"/>
              </w:rPr>
            </w:pPr>
            <w:r>
              <w:rPr>
                <w:rFonts w:hint="eastAsia"/>
                <w:color w:val="auto"/>
              </w:rPr>
              <w:t>&lt;5</w:t>
            </w:r>
          </w:p>
        </w:tc>
        <w:tc>
          <w:tcPr>
            <w:tcW w:w="0" w:type="auto"/>
            <w:vAlign w:val="center"/>
          </w:tcPr>
          <w:p w14:paraId="11B7AA8E">
            <w:pPr>
              <w:pStyle w:val="751"/>
              <w:rPr>
                <w:color w:val="auto"/>
              </w:rPr>
            </w:pPr>
            <w:r>
              <w:rPr>
                <w:rFonts w:hint="eastAsia"/>
                <w:color w:val="auto"/>
              </w:rPr>
              <w:t>&lt;5</w:t>
            </w:r>
          </w:p>
        </w:tc>
        <w:tc>
          <w:tcPr>
            <w:tcW w:w="0" w:type="auto"/>
            <w:vAlign w:val="center"/>
          </w:tcPr>
          <w:p w14:paraId="09F3E518">
            <w:pPr>
              <w:pStyle w:val="751"/>
              <w:rPr>
                <w:color w:val="auto"/>
              </w:rPr>
            </w:pPr>
            <w:r>
              <w:rPr>
                <w:rFonts w:hint="eastAsia"/>
                <w:color w:val="auto"/>
              </w:rPr>
              <w:t>&lt;5</w:t>
            </w:r>
          </w:p>
        </w:tc>
      </w:tr>
      <w:tr w14:paraId="131E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8403309">
            <w:pPr>
              <w:pStyle w:val="751"/>
              <w:rPr>
                <w:color w:val="auto"/>
              </w:rPr>
            </w:pPr>
          </w:p>
        </w:tc>
        <w:tc>
          <w:tcPr>
            <w:tcW w:w="2306" w:type="dxa"/>
            <w:gridSpan w:val="2"/>
            <w:vAlign w:val="center"/>
          </w:tcPr>
          <w:p w14:paraId="3D751347">
            <w:pPr>
              <w:pStyle w:val="751"/>
              <w:rPr>
                <w:color w:val="auto"/>
              </w:rPr>
            </w:pPr>
            <w:r>
              <w:rPr>
                <w:rFonts w:hint="eastAsia"/>
                <w:color w:val="auto"/>
              </w:rPr>
              <w:t>Pi</w:t>
            </w:r>
          </w:p>
        </w:tc>
        <w:tc>
          <w:tcPr>
            <w:tcW w:w="1395" w:type="dxa"/>
            <w:vAlign w:val="center"/>
          </w:tcPr>
          <w:p w14:paraId="492138B3">
            <w:pPr>
              <w:pStyle w:val="751"/>
              <w:rPr>
                <w:color w:val="auto"/>
              </w:rPr>
            </w:pPr>
            <w:r>
              <w:rPr>
                <w:rFonts w:hint="eastAsia"/>
                <w:color w:val="auto"/>
              </w:rPr>
              <w:t>/</w:t>
            </w:r>
          </w:p>
        </w:tc>
        <w:tc>
          <w:tcPr>
            <w:tcW w:w="1230" w:type="dxa"/>
            <w:vAlign w:val="center"/>
          </w:tcPr>
          <w:p w14:paraId="101BE123">
            <w:pPr>
              <w:pStyle w:val="751"/>
              <w:rPr>
                <w:color w:val="auto"/>
              </w:rPr>
            </w:pPr>
            <w:r>
              <w:rPr>
                <w:rFonts w:hint="eastAsia"/>
                <w:color w:val="auto"/>
              </w:rPr>
              <w:t>0.167</w:t>
            </w:r>
          </w:p>
        </w:tc>
        <w:tc>
          <w:tcPr>
            <w:tcW w:w="0" w:type="auto"/>
            <w:vAlign w:val="center"/>
          </w:tcPr>
          <w:p w14:paraId="69433077">
            <w:pPr>
              <w:pStyle w:val="751"/>
              <w:rPr>
                <w:color w:val="auto"/>
              </w:rPr>
            </w:pPr>
            <w:r>
              <w:rPr>
                <w:rFonts w:hint="eastAsia"/>
                <w:color w:val="auto"/>
              </w:rPr>
              <w:t>0.167</w:t>
            </w:r>
          </w:p>
        </w:tc>
        <w:tc>
          <w:tcPr>
            <w:tcW w:w="0" w:type="auto"/>
            <w:vAlign w:val="center"/>
          </w:tcPr>
          <w:p w14:paraId="611CE34F">
            <w:pPr>
              <w:pStyle w:val="751"/>
              <w:rPr>
                <w:color w:val="auto"/>
              </w:rPr>
            </w:pPr>
            <w:r>
              <w:rPr>
                <w:rFonts w:hint="eastAsia"/>
                <w:color w:val="auto"/>
              </w:rPr>
              <w:t>0.167</w:t>
            </w:r>
          </w:p>
        </w:tc>
      </w:tr>
      <w:tr w14:paraId="03D8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C8B1E40">
            <w:pPr>
              <w:pStyle w:val="751"/>
              <w:rPr>
                <w:color w:val="auto"/>
              </w:rPr>
            </w:pPr>
          </w:p>
        </w:tc>
        <w:tc>
          <w:tcPr>
            <w:tcW w:w="2306" w:type="dxa"/>
            <w:gridSpan w:val="2"/>
            <w:vAlign w:val="center"/>
          </w:tcPr>
          <w:p w14:paraId="4F2671BA">
            <w:pPr>
              <w:pStyle w:val="751"/>
              <w:rPr>
                <w:color w:val="auto"/>
              </w:rPr>
            </w:pPr>
            <w:r>
              <w:rPr>
                <w:rFonts w:hint="eastAsia"/>
                <w:color w:val="auto"/>
              </w:rPr>
              <w:t>超标倍数</w:t>
            </w:r>
          </w:p>
        </w:tc>
        <w:tc>
          <w:tcPr>
            <w:tcW w:w="1395" w:type="dxa"/>
            <w:vAlign w:val="center"/>
          </w:tcPr>
          <w:p w14:paraId="2D8370B0">
            <w:pPr>
              <w:pStyle w:val="751"/>
              <w:rPr>
                <w:color w:val="auto"/>
              </w:rPr>
            </w:pPr>
            <w:r>
              <w:rPr>
                <w:rFonts w:hint="eastAsia"/>
                <w:color w:val="auto"/>
              </w:rPr>
              <w:t>/</w:t>
            </w:r>
          </w:p>
        </w:tc>
        <w:tc>
          <w:tcPr>
            <w:tcW w:w="1230" w:type="dxa"/>
            <w:vAlign w:val="center"/>
          </w:tcPr>
          <w:p w14:paraId="02177FA4">
            <w:pPr>
              <w:pStyle w:val="751"/>
              <w:rPr>
                <w:color w:val="auto"/>
              </w:rPr>
            </w:pPr>
            <w:r>
              <w:rPr>
                <w:rFonts w:hint="eastAsia"/>
                <w:color w:val="auto"/>
              </w:rPr>
              <w:t>0</w:t>
            </w:r>
          </w:p>
        </w:tc>
        <w:tc>
          <w:tcPr>
            <w:tcW w:w="0" w:type="auto"/>
            <w:vAlign w:val="center"/>
          </w:tcPr>
          <w:p w14:paraId="6AD0BA59">
            <w:pPr>
              <w:pStyle w:val="751"/>
              <w:rPr>
                <w:color w:val="auto"/>
              </w:rPr>
            </w:pPr>
            <w:r>
              <w:rPr>
                <w:rFonts w:hint="eastAsia"/>
                <w:color w:val="auto"/>
              </w:rPr>
              <w:t>0</w:t>
            </w:r>
          </w:p>
        </w:tc>
        <w:tc>
          <w:tcPr>
            <w:tcW w:w="0" w:type="auto"/>
            <w:vAlign w:val="center"/>
          </w:tcPr>
          <w:p w14:paraId="252E2C9C">
            <w:pPr>
              <w:pStyle w:val="751"/>
              <w:rPr>
                <w:color w:val="auto"/>
              </w:rPr>
            </w:pPr>
            <w:r>
              <w:rPr>
                <w:rFonts w:hint="eastAsia"/>
                <w:color w:val="auto"/>
              </w:rPr>
              <w:t>0</w:t>
            </w:r>
          </w:p>
        </w:tc>
      </w:tr>
      <w:tr w14:paraId="0517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4810CFF">
            <w:pPr>
              <w:pStyle w:val="751"/>
              <w:rPr>
                <w:color w:val="auto"/>
              </w:rPr>
            </w:pPr>
            <w:r>
              <w:rPr>
                <w:rFonts w:hint="eastAsia"/>
                <w:color w:val="auto"/>
              </w:rPr>
              <w:t>臭和味</w:t>
            </w:r>
          </w:p>
        </w:tc>
        <w:tc>
          <w:tcPr>
            <w:tcW w:w="1143" w:type="dxa"/>
            <w:vAlign w:val="center"/>
          </w:tcPr>
          <w:p w14:paraId="1B6633A2">
            <w:pPr>
              <w:pStyle w:val="751"/>
              <w:rPr>
                <w:color w:val="auto"/>
              </w:rPr>
            </w:pPr>
            <w:r>
              <w:rPr>
                <w:rFonts w:hint="eastAsia"/>
                <w:color w:val="auto"/>
              </w:rPr>
              <w:t>标准限值</w:t>
            </w:r>
          </w:p>
        </w:tc>
        <w:tc>
          <w:tcPr>
            <w:tcW w:w="1163" w:type="dxa"/>
            <w:vAlign w:val="center"/>
          </w:tcPr>
          <w:p w14:paraId="08CFCDEE">
            <w:pPr>
              <w:pStyle w:val="751"/>
              <w:rPr>
                <w:color w:val="auto"/>
              </w:rPr>
            </w:pPr>
            <w:r>
              <w:rPr>
                <w:rFonts w:hint="eastAsia"/>
                <w:color w:val="auto"/>
              </w:rPr>
              <w:t>无</w:t>
            </w:r>
          </w:p>
        </w:tc>
        <w:tc>
          <w:tcPr>
            <w:tcW w:w="1395" w:type="dxa"/>
            <w:vAlign w:val="center"/>
          </w:tcPr>
          <w:p w14:paraId="7DDD8BFC">
            <w:pPr>
              <w:pStyle w:val="751"/>
              <w:rPr>
                <w:color w:val="auto"/>
              </w:rPr>
            </w:pPr>
            <w:r>
              <w:rPr>
                <w:rFonts w:hint="eastAsia"/>
                <w:color w:val="auto"/>
              </w:rPr>
              <w:t>mg/L</w:t>
            </w:r>
          </w:p>
        </w:tc>
        <w:tc>
          <w:tcPr>
            <w:tcW w:w="1230" w:type="dxa"/>
            <w:vAlign w:val="center"/>
          </w:tcPr>
          <w:p w14:paraId="623233D0">
            <w:pPr>
              <w:pStyle w:val="751"/>
              <w:rPr>
                <w:color w:val="auto"/>
              </w:rPr>
            </w:pPr>
            <w:r>
              <w:rPr>
                <w:rFonts w:hint="eastAsia"/>
                <w:color w:val="auto"/>
              </w:rPr>
              <w:t>无</w:t>
            </w:r>
          </w:p>
        </w:tc>
        <w:tc>
          <w:tcPr>
            <w:tcW w:w="0" w:type="auto"/>
            <w:vAlign w:val="center"/>
          </w:tcPr>
          <w:p w14:paraId="52765C87">
            <w:pPr>
              <w:pStyle w:val="751"/>
              <w:rPr>
                <w:color w:val="auto"/>
              </w:rPr>
            </w:pPr>
            <w:r>
              <w:rPr>
                <w:rFonts w:hint="eastAsia"/>
                <w:color w:val="auto"/>
              </w:rPr>
              <w:t>无</w:t>
            </w:r>
          </w:p>
        </w:tc>
        <w:tc>
          <w:tcPr>
            <w:tcW w:w="0" w:type="auto"/>
            <w:vAlign w:val="center"/>
          </w:tcPr>
          <w:p w14:paraId="1DC08100">
            <w:pPr>
              <w:pStyle w:val="751"/>
              <w:rPr>
                <w:color w:val="auto"/>
              </w:rPr>
            </w:pPr>
            <w:r>
              <w:rPr>
                <w:rFonts w:hint="eastAsia"/>
                <w:color w:val="auto"/>
              </w:rPr>
              <w:t>无</w:t>
            </w:r>
          </w:p>
        </w:tc>
      </w:tr>
      <w:tr w14:paraId="5A19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CEB8463">
            <w:pPr>
              <w:pStyle w:val="751"/>
              <w:rPr>
                <w:color w:val="auto"/>
              </w:rPr>
            </w:pPr>
          </w:p>
        </w:tc>
        <w:tc>
          <w:tcPr>
            <w:tcW w:w="2306" w:type="dxa"/>
            <w:gridSpan w:val="2"/>
            <w:vAlign w:val="center"/>
          </w:tcPr>
          <w:p w14:paraId="2CB9F1E7">
            <w:pPr>
              <w:pStyle w:val="751"/>
              <w:rPr>
                <w:color w:val="auto"/>
              </w:rPr>
            </w:pPr>
            <w:r>
              <w:rPr>
                <w:rFonts w:hint="eastAsia"/>
                <w:color w:val="auto"/>
              </w:rPr>
              <w:t>Pi</w:t>
            </w:r>
          </w:p>
        </w:tc>
        <w:tc>
          <w:tcPr>
            <w:tcW w:w="1395" w:type="dxa"/>
            <w:vAlign w:val="center"/>
          </w:tcPr>
          <w:p w14:paraId="21C1F50A">
            <w:pPr>
              <w:pStyle w:val="751"/>
              <w:rPr>
                <w:color w:val="auto"/>
              </w:rPr>
            </w:pPr>
            <w:r>
              <w:rPr>
                <w:rFonts w:hint="eastAsia"/>
                <w:color w:val="auto"/>
              </w:rPr>
              <w:t>/</w:t>
            </w:r>
          </w:p>
        </w:tc>
        <w:tc>
          <w:tcPr>
            <w:tcW w:w="1230" w:type="dxa"/>
            <w:vAlign w:val="center"/>
          </w:tcPr>
          <w:p w14:paraId="742ABCB8">
            <w:pPr>
              <w:pStyle w:val="751"/>
              <w:rPr>
                <w:color w:val="auto"/>
              </w:rPr>
            </w:pPr>
            <w:r>
              <w:rPr>
                <w:rFonts w:hint="eastAsia"/>
                <w:color w:val="auto"/>
              </w:rPr>
              <w:t>/</w:t>
            </w:r>
          </w:p>
        </w:tc>
        <w:tc>
          <w:tcPr>
            <w:tcW w:w="0" w:type="auto"/>
            <w:vAlign w:val="center"/>
          </w:tcPr>
          <w:p w14:paraId="692A3C8F">
            <w:pPr>
              <w:pStyle w:val="751"/>
              <w:rPr>
                <w:color w:val="auto"/>
              </w:rPr>
            </w:pPr>
            <w:r>
              <w:rPr>
                <w:rFonts w:hint="eastAsia"/>
                <w:color w:val="auto"/>
              </w:rPr>
              <w:t>/</w:t>
            </w:r>
          </w:p>
        </w:tc>
        <w:tc>
          <w:tcPr>
            <w:tcW w:w="0" w:type="auto"/>
            <w:vAlign w:val="center"/>
          </w:tcPr>
          <w:p w14:paraId="7B161C8A">
            <w:pPr>
              <w:pStyle w:val="751"/>
              <w:rPr>
                <w:color w:val="auto"/>
              </w:rPr>
            </w:pPr>
            <w:r>
              <w:rPr>
                <w:rFonts w:hint="eastAsia"/>
                <w:color w:val="auto"/>
              </w:rPr>
              <w:t>/</w:t>
            </w:r>
          </w:p>
        </w:tc>
      </w:tr>
      <w:tr w14:paraId="7FFC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64E5C03C">
            <w:pPr>
              <w:pStyle w:val="751"/>
              <w:rPr>
                <w:color w:val="auto"/>
              </w:rPr>
            </w:pPr>
          </w:p>
        </w:tc>
        <w:tc>
          <w:tcPr>
            <w:tcW w:w="2306" w:type="dxa"/>
            <w:gridSpan w:val="2"/>
            <w:vAlign w:val="center"/>
          </w:tcPr>
          <w:p w14:paraId="1C2C3D8E">
            <w:pPr>
              <w:pStyle w:val="751"/>
              <w:rPr>
                <w:color w:val="auto"/>
              </w:rPr>
            </w:pPr>
            <w:r>
              <w:rPr>
                <w:rFonts w:hint="eastAsia"/>
                <w:color w:val="auto"/>
              </w:rPr>
              <w:t>超标倍数</w:t>
            </w:r>
          </w:p>
        </w:tc>
        <w:tc>
          <w:tcPr>
            <w:tcW w:w="1395" w:type="dxa"/>
            <w:vAlign w:val="center"/>
          </w:tcPr>
          <w:p w14:paraId="2489F777">
            <w:pPr>
              <w:pStyle w:val="751"/>
              <w:rPr>
                <w:color w:val="auto"/>
              </w:rPr>
            </w:pPr>
            <w:r>
              <w:rPr>
                <w:rFonts w:hint="eastAsia"/>
                <w:color w:val="auto"/>
              </w:rPr>
              <w:t>/</w:t>
            </w:r>
          </w:p>
        </w:tc>
        <w:tc>
          <w:tcPr>
            <w:tcW w:w="1230" w:type="dxa"/>
            <w:vAlign w:val="center"/>
          </w:tcPr>
          <w:p w14:paraId="75208ED1">
            <w:pPr>
              <w:pStyle w:val="751"/>
              <w:rPr>
                <w:color w:val="auto"/>
              </w:rPr>
            </w:pPr>
            <w:r>
              <w:rPr>
                <w:rFonts w:hint="eastAsia"/>
                <w:color w:val="auto"/>
              </w:rPr>
              <w:t>0</w:t>
            </w:r>
          </w:p>
        </w:tc>
        <w:tc>
          <w:tcPr>
            <w:tcW w:w="0" w:type="auto"/>
            <w:vAlign w:val="center"/>
          </w:tcPr>
          <w:p w14:paraId="6AB92853">
            <w:pPr>
              <w:pStyle w:val="751"/>
              <w:rPr>
                <w:color w:val="auto"/>
              </w:rPr>
            </w:pPr>
            <w:r>
              <w:rPr>
                <w:rFonts w:hint="eastAsia"/>
                <w:color w:val="auto"/>
              </w:rPr>
              <w:t>0</w:t>
            </w:r>
          </w:p>
        </w:tc>
        <w:tc>
          <w:tcPr>
            <w:tcW w:w="0" w:type="auto"/>
            <w:vAlign w:val="center"/>
          </w:tcPr>
          <w:p w14:paraId="7016DE5B">
            <w:pPr>
              <w:pStyle w:val="751"/>
              <w:rPr>
                <w:color w:val="auto"/>
              </w:rPr>
            </w:pPr>
            <w:r>
              <w:rPr>
                <w:rFonts w:hint="eastAsia"/>
                <w:color w:val="auto"/>
              </w:rPr>
              <w:t>0</w:t>
            </w:r>
          </w:p>
        </w:tc>
      </w:tr>
      <w:tr w14:paraId="700E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648DB5F">
            <w:pPr>
              <w:pStyle w:val="751"/>
              <w:rPr>
                <w:color w:val="auto"/>
              </w:rPr>
            </w:pPr>
            <w:r>
              <w:rPr>
                <w:rFonts w:hint="eastAsia"/>
                <w:color w:val="auto"/>
              </w:rPr>
              <w:t>浑浊度</w:t>
            </w:r>
          </w:p>
        </w:tc>
        <w:tc>
          <w:tcPr>
            <w:tcW w:w="1143" w:type="dxa"/>
            <w:vAlign w:val="center"/>
          </w:tcPr>
          <w:p w14:paraId="4AB5F34F">
            <w:pPr>
              <w:pStyle w:val="751"/>
              <w:rPr>
                <w:color w:val="auto"/>
              </w:rPr>
            </w:pPr>
            <w:r>
              <w:rPr>
                <w:rFonts w:hint="eastAsia"/>
                <w:color w:val="auto"/>
              </w:rPr>
              <w:t>标准限值</w:t>
            </w:r>
          </w:p>
        </w:tc>
        <w:tc>
          <w:tcPr>
            <w:tcW w:w="1163" w:type="dxa"/>
            <w:vAlign w:val="center"/>
          </w:tcPr>
          <w:p w14:paraId="1A0C07D9">
            <w:pPr>
              <w:pStyle w:val="751"/>
              <w:rPr>
                <w:bCs/>
                <w:color w:val="auto"/>
              </w:rPr>
            </w:pPr>
            <w:r>
              <w:rPr>
                <w:rFonts w:hint="eastAsia"/>
                <w:bCs/>
                <w:color w:val="auto"/>
              </w:rPr>
              <w:t>3</w:t>
            </w:r>
          </w:p>
        </w:tc>
        <w:tc>
          <w:tcPr>
            <w:tcW w:w="1395" w:type="dxa"/>
            <w:vAlign w:val="center"/>
          </w:tcPr>
          <w:p w14:paraId="6BAF871D">
            <w:pPr>
              <w:pStyle w:val="751"/>
              <w:rPr>
                <w:color w:val="auto"/>
              </w:rPr>
            </w:pPr>
            <w:r>
              <w:rPr>
                <w:rFonts w:hint="eastAsia"/>
                <w:bCs/>
                <w:color w:val="auto"/>
              </w:rPr>
              <w:t>NTU</w:t>
            </w:r>
          </w:p>
        </w:tc>
        <w:tc>
          <w:tcPr>
            <w:tcW w:w="1230" w:type="dxa"/>
            <w:vAlign w:val="center"/>
          </w:tcPr>
          <w:p w14:paraId="6C614C61">
            <w:pPr>
              <w:pStyle w:val="751"/>
              <w:rPr>
                <w:color w:val="auto"/>
              </w:rPr>
            </w:pPr>
            <w:r>
              <w:rPr>
                <w:rFonts w:hint="eastAsia"/>
                <w:color w:val="auto"/>
              </w:rPr>
              <w:t>&lt;1</w:t>
            </w:r>
          </w:p>
        </w:tc>
        <w:tc>
          <w:tcPr>
            <w:tcW w:w="0" w:type="auto"/>
            <w:vAlign w:val="center"/>
          </w:tcPr>
          <w:p w14:paraId="02E1B5A2">
            <w:pPr>
              <w:pStyle w:val="751"/>
              <w:rPr>
                <w:color w:val="auto"/>
              </w:rPr>
            </w:pPr>
            <w:r>
              <w:rPr>
                <w:rFonts w:hint="eastAsia"/>
                <w:color w:val="auto"/>
              </w:rPr>
              <w:t>&lt;1</w:t>
            </w:r>
          </w:p>
        </w:tc>
        <w:tc>
          <w:tcPr>
            <w:tcW w:w="0" w:type="auto"/>
            <w:vAlign w:val="center"/>
          </w:tcPr>
          <w:p w14:paraId="50F21351">
            <w:pPr>
              <w:pStyle w:val="751"/>
              <w:rPr>
                <w:color w:val="auto"/>
              </w:rPr>
            </w:pPr>
            <w:r>
              <w:rPr>
                <w:rFonts w:hint="eastAsia"/>
                <w:color w:val="auto"/>
              </w:rPr>
              <w:t>&lt;1</w:t>
            </w:r>
          </w:p>
        </w:tc>
      </w:tr>
      <w:tr w14:paraId="0B11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F201E72">
            <w:pPr>
              <w:pStyle w:val="751"/>
              <w:rPr>
                <w:color w:val="auto"/>
              </w:rPr>
            </w:pPr>
          </w:p>
        </w:tc>
        <w:tc>
          <w:tcPr>
            <w:tcW w:w="2306" w:type="dxa"/>
            <w:gridSpan w:val="2"/>
            <w:vAlign w:val="center"/>
          </w:tcPr>
          <w:p w14:paraId="4EEFE9A1">
            <w:pPr>
              <w:pStyle w:val="751"/>
              <w:rPr>
                <w:bCs/>
                <w:color w:val="auto"/>
              </w:rPr>
            </w:pPr>
            <w:r>
              <w:rPr>
                <w:rFonts w:hint="eastAsia"/>
                <w:color w:val="auto"/>
              </w:rPr>
              <w:t>Pi</w:t>
            </w:r>
          </w:p>
        </w:tc>
        <w:tc>
          <w:tcPr>
            <w:tcW w:w="1395" w:type="dxa"/>
            <w:vAlign w:val="center"/>
          </w:tcPr>
          <w:p w14:paraId="04F21BFE">
            <w:pPr>
              <w:pStyle w:val="751"/>
              <w:rPr>
                <w:bCs/>
                <w:color w:val="auto"/>
              </w:rPr>
            </w:pPr>
            <w:r>
              <w:rPr>
                <w:rFonts w:hint="eastAsia"/>
                <w:bCs/>
                <w:color w:val="auto"/>
              </w:rPr>
              <w:t>/</w:t>
            </w:r>
          </w:p>
        </w:tc>
        <w:tc>
          <w:tcPr>
            <w:tcW w:w="1230" w:type="dxa"/>
            <w:vAlign w:val="center"/>
          </w:tcPr>
          <w:p w14:paraId="2A7FC760">
            <w:pPr>
              <w:pStyle w:val="751"/>
              <w:rPr>
                <w:color w:val="auto"/>
              </w:rPr>
            </w:pPr>
            <w:r>
              <w:rPr>
                <w:rFonts w:hint="eastAsia"/>
                <w:color w:val="auto"/>
              </w:rPr>
              <w:t>0.167</w:t>
            </w:r>
          </w:p>
        </w:tc>
        <w:tc>
          <w:tcPr>
            <w:tcW w:w="0" w:type="auto"/>
            <w:vAlign w:val="center"/>
          </w:tcPr>
          <w:p w14:paraId="7B01EDC3">
            <w:pPr>
              <w:pStyle w:val="751"/>
              <w:rPr>
                <w:color w:val="auto"/>
              </w:rPr>
            </w:pPr>
            <w:r>
              <w:rPr>
                <w:rFonts w:hint="eastAsia"/>
                <w:color w:val="auto"/>
              </w:rPr>
              <w:t>0.167</w:t>
            </w:r>
          </w:p>
        </w:tc>
        <w:tc>
          <w:tcPr>
            <w:tcW w:w="0" w:type="auto"/>
            <w:vAlign w:val="center"/>
          </w:tcPr>
          <w:p w14:paraId="31823435">
            <w:pPr>
              <w:pStyle w:val="751"/>
              <w:rPr>
                <w:color w:val="auto"/>
              </w:rPr>
            </w:pPr>
            <w:r>
              <w:rPr>
                <w:rFonts w:hint="eastAsia"/>
                <w:color w:val="auto"/>
              </w:rPr>
              <w:t>0.167</w:t>
            </w:r>
          </w:p>
        </w:tc>
      </w:tr>
      <w:tr w14:paraId="21EE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6820671">
            <w:pPr>
              <w:pStyle w:val="751"/>
              <w:rPr>
                <w:color w:val="auto"/>
              </w:rPr>
            </w:pPr>
          </w:p>
        </w:tc>
        <w:tc>
          <w:tcPr>
            <w:tcW w:w="2306" w:type="dxa"/>
            <w:gridSpan w:val="2"/>
            <w:vAlign w:val="center"/>
          </w:tcPr>
          <w:p w14:paraId="5150FEF8">
            <w:pPr>
              <w:pStyle w:val="751"/>
              <w:rPr>
                <w:bCs/>
                <w:color w:val="auto"/>
              </w:rPr>
            </w:pPr>
            <w:r>
              <w:rPr>
                <w:rFonts w:hint="eastAsia"/>
                <w:color w:val="auto"/>
              </w:rPr>
              <w:t>超标倍数</w:t>
            </w:r>
          </w:p>
        </w:tc>
        <w:tc>
          <w:tcPr>
            <w:tcW w:w="1395" w:type="dxa"/>
            <w:vAlign w:val="center"/>
          </w:tcPr>
          <w:p w14:paraId="14F5401E">
            <w:pPr>
              <w:pStyle w:val="751"/>
              <w:rPr>
                <w:bCs/>
                <w:color w:val="auto"/>
              </w:rPr>
            </w:pPr>
            <w:r>
              <w:rPr>
                <w:rFonts w:hint="eastAsia"/>
                <w:bCs/>
                <w:color w:val="auto"/>
              </w:rPr>
              <w:t>/</w:t>
            </w:r>
          </w:p>
        </w:tc>
        <w:tc>
          <w:tcPr>
            <w:tcW w:w="1230" w:type="dxa"/>
            <w:vAlign w:val="center"/>
          </w:tcPr>
          <w:p w14:paraId="56660EE8">
            <w:pPr>
              <w:pStyle w:val="751"/>
              <w:rPr>
                <w:color w:val="auto"/>
              </w:rPr>
            </w:pPr>
            <w:r>
              <w:rPr>
                <w:rFonts w:hint="eastAsia"/>
                <w:color w:val="auto"/>
              </w:rPr>
              <w:t>0</w:t>
            </w:r>
          </w:p>
        </w:tc>
        <w:tc>
          <w:tcPr>
            <w:tcW w:w="0" w:type="auto"/>
            <w:vAlign w:val="center"/>
          </w:tcPr>
          <w:p w14:paraId="5B614A96">
            <w:pPr>
              <w:pStyle w:val="751"/>
              <w:rPr>
                <w:color w:val="auto"/>
              </w:rPr>
            </w:pPr>
            <w:r>
              <w:rPr>
                <w:rFonts w:hint="eastAsia"/>
                <w:color w:val="auto"/>
              </w:rPr>
              <w:t>0</w:t>
            </w:r>
          </w:p>
        </w:tc>
        <w:tc>
          <w:tcPr>
            <w:tcW w:w="0" w:type="auto"/>
            <w:vAlign w:val="center"/>
          </w:tcPr>
          <w:p w14:paraId="1F83A0B1">
            <w:pPr>
              <w:pStyle w:val="751"/>
              <w:rPr>
                <w:color w:val="auto"/>
              </w:rPr>
            </w:pPr>
            <w:r>
              <w:rPr>
                <w:rFonts w:hint="eastAsia"/>
                <w:color w:val="auto"/>
              </w:rPr>
              <w:t>0</w:t>
            </w:r>
          </w:p>
        </w:tc>
      </w:tr>
      <w:tr w14:paraId="1F9C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47D3F904">
            <w:pPr>
              <w:pStyle w:val="751"/>
              <w:rPr>
                <w:color w:val="auto"/>
              </w:rPr>
            </w:pPr>
            <w:r>
              <w:rPr>
                <w:rFonts w:hint="eastAsia"/>
                <w:color w:val="auto"/>
              </w:rPr>
              <w:t>肉眼可见物</w:t>
            </w:r>
          </w:p>
        </w:tc>
        <w:tc>
          <w:tcPr>
            <w:tcW w:w="1143" w:type="dxa"/>
            <w:vAlign w:val="center"/>
          </w:tcPr>
          <w:p w14:paraId="7CF665F0">
            <w:pPr>
              <w:pStyle w:val="751"/>
              <w:rPr>
                <w:color w:val="auto"/>
              </w:rPr>
            </w:pPr>
            <w:r>
              <w:rPr>
                <w:rFonts w:hint="eastAsia"/>
                <w:color w:val="auto"/>
              </w:rPr>
              <w:t>标准限值</w:t>
            </w:r>
          </w:p>
        </w:tc>
        <w:tc>
          <w:tcPr>
            <w:tcW w:w="1163" w:type="dxa"/>
            <w:vAlign w:val="center"/>
          </w:tcPr>
          <w:p w14:paraId="0CCB8BE4">
            <w:pPr>
              <w:pStyle w:val="751"/>
              <w:rPr>
                <w:color w:val="auto"/>
              </w:rPr>
            </w:pPr>
            <w:r>
              <w:rPr>
                <w:rFonts w:hint="eastAsia"/>
                <w:color w:val="auto"/>
              </w:rPr>
              <w:t>无</w:t>
            </w:r>
          </w:p>
        </w:tc>
        <w:tc>
          <w:tcPr>
            <w:tcW w:w="1395" w:type="dxa"/>
            <w:vAlign w:val="center"/>
          </w:tcPr>
          <w:p w14:paraId="35AEB86A">
            <w:pPr>
              <w:pStyle w:val="751"/>
              <w:rPr>
                <w:color w:val="auto"/>
              </w:rPr>
            </w:pPr>
            <w:r>
              <w:rPr>
                <w:rFonts w:hint="eastAsia"/>
                <w:color w:val="auto"/>
              </w:rPr>
              <w:t>--</w:t>
            </w:r>
          </w:p>
        </w:tc>
        <w:tc>
          <w:tcPr>
            <w:tcW w:w="1230" w:type="dxa"/>
            <w:vAlign w:val="center"/>
          </w:tcPr>
          <w:p w14:paraId="28D7444E">
            <w:pPr>
              <w:pStyle w:val="751"/>
              <w:rPr>
                <w:color w:val="auto"/>
              </w:rPr>
            </w:pPr>
            <w:r>
              <w:rPr>
                <w:rFonts w:hint="eastAsia"/>
                <w:color w:val="auto"/>
              </w:rPr>
              <w:t>无</w:t>
            </w:r>
          </w:p>
        </w:tc>
        <w:tc>
          <w:tcPr>
            <w:tcW w:w="0" w:type="auto"/>
            <w:vAlign w:val="center"/>
          </w:tcPr>
          <w:p w14:paraId="66117E5A">
            <w:pPr>
              <w:pStyle w:val="751"/>
              <w:rPr>
                <w:color w:val="auto"/>
              </w:rPr>
            </w:pPr>
            <w:r>
              <w:rPr>
                <w:rFonts w:hint="eastAsia"/>
                <w:color w:val="auto"/>
              </w:rPr>
              <w:t>无</w:t>
            </w:r>
          </w:p>
        </w:tc>
        <w:tc>
          <w:tcPr>
            <w:tcW w:w="0" w:type="auto"/>
            <w:vAlign w:val="center"/>
          </w:tcPr>
          <w:p w14:paraId="76545E89">
            <w:pPr>
              <w:pStyle w:val="751"/>
              <w:rPr>
                <w:color w:val="auto"/>
              </w:rPr>
            </w:pPr>
            <w:r>
              <w:rPr>
                <w:rFonts w:hint="eastAsia"/>
                <w:color w:val="auto"/>
              </w:rPr>
              <w:t>无</w:t>
            </w:r>
          </w:p>
        </w:tc>
      </w:tr>
      <w:tr w14:paraId="763D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D3DF7CC">
            <w:pPr>
              <w:pStyle w:val="751"/>
              <w:rPr>
                <w:color w:val="auto"/>
              </w:rPr>
            </w:pPr>
          </w:p>
        </w:tc>
        <w:tc>
          <w:tcPr>
            <w:tcW w:w="2306" w:type="dxa"/>
            <w:gridSpan w:val="2"/>
            <w:vAlign w:val="center"/>
          </w:tcPr>
          <w:p w14:paraId="38497773">
            <w:pPr>
              <w:pStyle w:val="751"/>
              <w:rPr>
                <w:color w:val="auto"/>
              </w:rPr>
            </w:pPr>
            <w:r>
              <w:rPr>
                <w:rFonts w:hint="eastAsia"/>
                <w:color w:val="auto"/>
              </w:rPr>
              <w:t>Pi</w:t>
            </w:r>
          </w:p>
        </w:tc>
        <w:tc>
          <w:tcPr>
            <w:tcW w:w="1395" w:type="dxa"/>
            <w:vAlign w:val="center"/>
          </w:tcPr>
          <w:p w14:paraId="08AB5BCD">
            <w:pPr>
              <w:pStyle w:val="751"/>
              <w:rPr>
                <w:color w:val="auto"/>
              </w:rPr>
            </w:pPr>
            <w:r>
              <w:rPr>
                <w:rFonts w:hint="eastAsia"/>
                <w:color w:val="auto"/>
              </w:rPr>
              <w:t>/</w:t>
            </w:r>
          </w:p>
        </w:tc>
        <w:tc>
          <w:tcPr>
            <w:tcW w:w="1230" w:type="dxa"/>
            <w:vAlign w:val="center"/>
          </w:tcPr>
          <w:p w14:paraId="39C3E85E">
            <w:pPr>
              <w:pStyle w:val="751"/>
              <w:rPr>
                <w:color w:val="auto"/>
              </w:rPr>
            </w:pPr>
            <w:r>
              <w:rPr>
                <w:rFonts w:hint="eastAsia"/>
                <w:color w:val="auto"/>
              </w:rPr>
              <w:t>/</w:t>
            </w:r>
          </w:p>
        </w:tc>
        <w:tc>
          <w:tcPr>
            <w:tcW w:w="0" w:type="auto"/>
            <w:vAlign w:val="center"/>
          </w:tcPr>
          <w:p w14:paraId="6E5AAB9E">
            <w:pPr>
              <w:pStyle w:val="751"/>
              <w:rPr>
                <w:color w:val="auto"/>
              </w:rPr>
            </w:pPr>
            <w:r>
              <w:rPr>
                <w:rFonts w:hint="eastAsia"/>
                <w:color w:val="auto"/>
              </w:rPr>
              <w:t>/</w:t>
            </w:r>
          </w:p>
        </w:tc>
        <w:tc>
          <w:tcPr>
            <w:tcW w:w="0" w:type="auto"/>
            <w:vAlign w:val="center"/>
          </w:tcPr>
          <w:p w14:paraId="1D8A429B">
            <w:pPr>
              <w:pStyle w:val="751"/>
              <w:rPr>
                <w:color w:val="auto"/>
              </w:rPr>
            </w:pPr>
            <w:r>
              <w:rPr>
                <w:rFonts w:hint="eastAsia"/>
                <w:color w:val="auto"/>
              </w:rPr>
              <w:t>/</w:t>
            </w:r>
          </w:p>
        </w:tc>
      </w:tr>
      <w:tr w14:paraId="2783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4069B5B">
            <w:pPr>
              <w:pStyle w:val="751"/>
              <w:rPr>
                <w:color w:val="auto"/>
              </w:rPr>
            </w:pPr>
          </w:p>
        </w:tc>
        <w:tc>
          <w:tcPr>
            <w:tcW w:w="2306" w:type="dxa"/>
            <w:gridSpan w:val="2"/>
            <w:vAlign w:val="center"/>
          </w:tcPr>
          <w:p w14:paraId="499BC3C8">
            <w:pPr>
              <w:pStyle w:val="751"/>
              <w:rPr>
                <w:color w:val="auto"/>
              </w:rPr>
            </w:pPr>
            <w:r>
              <w:rPr>
                <w:rFonts w:hint="eastAsia"/>
                <w:color w:val="auto"/>
              </w:rPr>
              <w:t>超标倍数</w:t>
            </w:r>
          </w:p>
        </w:tc>
        <w:tc>
          <w:tcPr>
            <w:tcW w:w="1395" w:type="dxa"/>
            <w:vAlign w:val="center"/>
          </w:tcPr>
          <w:p w14:paraId="389C07D5">
            <w:pPr>
              <w:pStyle w:val="751"/>
              <w:rPr>
                <w:color w:val="auto"/>
              </w:rPr>
            </w:pPr>
            <w:r>
              <w:rPr>
                <w:rFonts w:hint="eastAsia"/>
                <w:color w:val="auto"/>
              </w:rPr>
              <w:t>/</w:t>
            </w:r>
          </w:p>
        </w:tc>
        <w:tc>
          <w:tcPr>
            <w:tcW w:w="1230" w:type="dxa"/>
            <w:vAlign w:val="center"/>
          </w:tcPr>
          <w:p w14:paraId="57A32889">
            <w:pPr>
              <w:pStyle w:val="751"/>
              <w:rPr>
                <w:color w:val="auto"/>
              </w:rPr>
            </w:pPr>
            <w:r>
              <w:rPr>
                <w:rFonts w:hint="eastAsia"/>
                <w:color w:val="auto"/>
              </w:rPr>
              <w:t>0</w:t>
            </w:r>
          </w:p>
        </w:tc>
        <w:tc>
          <w:tcPr>
            <w:tcW w:w="0" w:type="auto"/>
            <w:vAlign w:val="center"/>
          </w:tcPr>
          <w:p w14:paraId="3DB9BD84">
            <w:pPr>
              <w:pStyle w:val="751"/>
              <w:rPr>
                <w:color w:val="auto"/>
              </w:rPr>
            </w:pPr>
            <w:r>
              <w:rPr>
                <w:rFonts w:hint="eastAsia"/>
                <w:color w:val="auto"/>
              </w:rPr>
              <w:t>0</w:t>
            </w:r>
          </w:p>
        </w:tc>
        <w:tc>
          <w:tcPr>
            <w:tcW w:w="0" w:type="auto"/>
            <w:vAlign w:val="center"/>
          </w:tcPr>
          <w:p w14:paraId="3E60B2C9">
            <w:pPr>
              <w:pStyle w:val="751"/>
              <w:rPr>
                <w:color w:val="auto"/>
              </w:rPr>
            </w:pPr>
            <w:r>
              <w:rPr>
                <w:rFonts w:hint="eastAsia"/>
                <w:color w:val="auto"/>
              </w:rPr>
              <w:t>0</w:t>
            </w:r>
          </w:p>
        </w:tc>
      </w:tr>
      <w:tr w14:paraId="71EB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709B0F8B">
            <w:pPr>
              <w:pStyle w:val="751"/>
              <w:rPr>
                <w:color w:val="auto"/>
              </w:rPr>
            </w:pPr>
            <w:r>
              <w:rPr>
                <w:color w:val="auto"/>
              </w:rPr>
              <w:t>阴离子表面活性剂</w:t>
            </w:r>
          </w:p>
        </w:tc>
        <w:tc>
          <w:tcPr>
            <w:tcW w:w="1143" w:type="dxa"/>
            <w:vAlign w:val="center"/>
          </w:tcPr>
          <w:p w14:paraId="7B5B732E">
            <w:pPr>
              <w:pStyle w:val="751"/>
              <w:rPr>
                <w:color w:val="auto"/>
              </w:rPr>
            </w:pPr>
            <w:r>
              <w:rPr>
                <w:rFonts w:hint="eastAsia"/>
                <w:color w:val="auto"/>
              </w:rPr>
              <w:t>标准限值</w:t>
            </w:r>
          </w:p>
        </w:tc>
        <w:tc>
          <w:tcPr>
            <w:tcW w:w="1163" w:type="dxa"/>
            <w:vAlign w:val="center"/>
          </w:tcPr>
          <w:p w14:paraId="0ADEAB7C">
            <w:pPr>
              <w:pStyle w:val="751"/>
              <w:rPr>
                <w:color w:val="auto"/>
              </w:rPr>
            </w:pPr>
            <w:r>
              <w:rPr>
                <w:rFonts w:hint="eastAsia"/>
                <w:color w:val="auto"/>
              </w:rPr>
              <w:t>0.3</w:t>
            </w:r>
          </w:p>
        </w:tc>
        <w:tc>
          <w:tcPr>
            <w:tcW w:w="1395" w:type="dxa"/>
            <w:vAlign w:val="center"/>
          </w:tcPr>
          <w:p w14:paraId="014B7468">
            <w:pPr>
              <w:pStyle w:val="751"/>
              <w:rPr>
                <w:color w:val="auto"/>
              </w:rPr>
            </w:pPr>
            <w:r>
              <w:rPr>
                <w:rFonts w:hint="eastAsia"/>
                <w:color w:val="auto"/>
              </w:rPr>
              <w:t>mg/L</w:t>
            </w:r>
          </w:p>
        </w:tc>
        <w:tc>
          <w:tcPr>
            <w:tcW w:w="1230" w:type="dxa"/>
            <w:vAlign w:val="center"/>
          </w:tcPr>
          <w:p w14:paraId="201826AE">
            <w:pPr>
              <w:pStyle w:val="751"/>
              <w:rPr>
                <w:color w:val="auto"/>
              </w:rPr>
            </w:pPr>
            <w:r>
              <w:rPr>
                <w:rFonts w:hint="eastAsia"/>
                <w:color w:val="auto"/>
              </w:rPr>
              <w:t>0.05L</w:t>
            </w:r>
          </w:p>
        </w:tc>
        <w:tc>
          <w:tcPr>
            <w:tcW w:w="0" w:type="auto"/>
            <w:vAlign w:val="center"/>
          </w:tcPr>
          <w:p w14:paraId="0C4ABAFE">
            <w:pPr>
              <w:pStyle w:val="751"/>
              <w:rPr>
                <w:color w:val="auto"/>
              </w:rPr>
            </w:pPr>
            <w:r>
              <w:rPr>
                <w:rFonts w:hint="eastAsia"/>
                <w:color w:val="auto"/>
              </w:rPr>
              <w:t>0.05L</w:t>
            </w:r>
          </w:p>
        </w:tc>
        <w:tc>
          <w:tcPr>
            <w:tcW w:w="0" w:type="auto"/>
            <w:vAlign w:val="center"/>
          </w:tcPr>
          <w:p w14:paraId="5BB034A7">
            <w:pPr>
              <w:pStyle w:val="751"/>
              <w:rPr>
                <w:color w:val="auto"/>
              </w:rPr>
            </w:pPr>
            <w:r>
              <w:rPr>
                <w:rFonts w:hint="eastAsia"/>
                <w:color w:val="auto"/>
              </w:rPr>
              <w:t>0.05L</w:t>
            </w:r>
          </w:p>
        </w:tc>
      </w:tr>
      <w:tr w14:paraId="1847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A3DAD81">
            <w:pPr>
              <w:pStyle w:val="751"/>
              <w:rPr>
                <w:color w:val="auto"/>
              </w:rPr>
            </w:pPr>
          </w:p>
        </w:tc>
        <w:tc>
          <w:tcPr>
            <w:tcW w:w="2306" w:type="dxa"/>
            <w:gridSpan w:val="2"/>
            <w:vAlign w:val="center"/>
          </w:tcPr>
          <w:p w14:paraId="7D24BBF7">
            <w:pPr>
              <w:pStyle w:val="751"/>
              <w:rPr>
                <w:color w:val="auto"/>
              </w:rPr>
            </w:pPr>
            <w:r>
              <w:rPr>
                <w:rFonts w:hint="eastAsia"/>
                <w:color w:val="auto"/>
              </w:rPr>
              <w:t>Pi</w:t>
            </w:r>
          </w:p>
        </w:tc>
        <w:tc>
          <w:tcPr>
            <w:tcW w:w="1395" w:type="dxa"/>
            <w:vAlign w:val="center"/>
          </w:tcPr>
          <w:p w14:paraId="7BACC4A2">
            <w:pPr>
              <w:pStyle w:val="751"/>
              <w:rPr>
                <w:color w:val="auto"/>
              </w:rPr>
            </w:pPr>
            <w:r>
              <w:rPr>
                <w:rFonts w:hint="eastAsia"/>
                <w:color w:val="auto"/>
              </w:rPr>
              <w:t>/</w:t>
            </w:r>
          </w:p>
        </w:tc>
        <w:tc>
          <w:tcPr>
            <w:tcW w:w="1230" w:type="dxa"/>
            <w:vAlign w:val="center"/>
          </w:tcPr>
          <w:p w14:paraId="236C5B7F">
            <w:pPr>
              <w:pStyle w:val="751"/>
              <w:rPr>
                <w:color w:val="auto"/>
              </w:rPr>
            </w:pPr>
            <w:r>
              <w:rPr>
                <w:rFonts w:hint="eastAsia"/>
                <w:color w:val="auto"/>
              </w:rPr>
              <w:t>0.083</w:t>
            </w:r>
          </w:p>
        </w:tc>
        <w:tc>
          <w:tcPr>
            <w:tcW w:w="0" w:type="auto"/>
            <w:vAlign w:val="center"/>
          </w:tcPr>
          <w:p w14:paraId="140BC277">
            <w:pPr>
              <w:pStyle w:val="751"/>
              <w:rPr>
                <w:color w:val="auto"/>
              </w:rPr>
            </w:pPr>
            <w:r>
              <w:rPr>
                <w:rFonts w:hint="eastAsia"/>
                <w:color w:val="auto"/>
              </w:rPr>
              <w:t>0.083</w:t>
            </w:r>
          </w:p>
        </w:tc>
        <w:tc>
          <w:tcPr>
            <w:tcW w:w="0" w:type="auto"/>
            <w:vAlign w:val="center"/>
          </w:tcPr>
          <w:p w14:paraId="48BEEAE7">
            <w:pPr>
              <w:pStyle w:val="751"/>
              <w:rPr>
                <w:color w:val="auto"/>
              </w:rPr>
            </w:pPr>
            <w:r>
              <w:rPr>
                <w:rFonts w:hint="eastAsia"/>
                <w:color w:val="auto"/>
              </w:rPr>
              <w:t>0.083</w:t>
            </w:r>
          </w:p>
        </w:tc>
      </w:tr>
      <w:tr w14:paraId="5137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5898BA9">
            <w:pPr>
              <w:pStyle w:val="751"/>
              <w:rPr>
                <w:color w:val="auto"/>
              </w:rPr>
            </w:pPr>
          </w:p>
        </w:tc>
        <w:tc>
          <w:tcPr>
            <w:tcW w:w="2306" w:type="dxa"/>
            <w:gridSpan w:val="2"/>
            <w:vAlign w:val="center"/>
          </w:tcPr>
          <w:p w14:paraId="5C515126">
            <w:pPr>
              <w:pStyle w:val="751"/>
              <w:rPr>
                <w:color w:val="auto"/>
              </w:rPr>
            </w:pPr>
            <w:r>
              <w:rPr>
                <w:rFonts w:hint="eastAsia"/>
                <w:color w:val="auto"/>
              </w:rPr>
              <w:t>超标倍数</w:t>
            </w:r>
          </w:p>
        </w:tc>
        <w:tc>
          <w:tcPr>
            <w:tcW w:w="1395" w:type="dxa"/>
            <w:vAlign w:val="center"/>
          </w:tcPr>
          <w:p w14:paraId="1944F8E4">
            <w:pPr>
              <w:pStyle w:val="751"/>
              <w:rPr>
                <w:color w:val="auto"/>
              </w:rPr>
            </w:pPr>
            <w:r>
              <w:rPr>
                <w:rFonts w:hint="eastAsia"/>
                <w:color w:val="auto"/>
              </w:rPr>
              <w:t>/</w:t>
            </w:r>
          </w:p>
        </w:tc>
        <w:tc>
          <w:tcPr>
            <w:tcW w:w="1230" w:type="dxa"/>
            <w:vAlign w:val="center"/>
          </w:tcPr>
          <w:p w14:paraId="155BA407">
            <w:pPr>
              <w:pStyle w:val="751"/>
              <w:rPr>
                <w:color w:val="auto"/>
              </w:rPr>
            </w:pPr>
            <w:r>
              <w:rPr>
                <w:rFonts w:hint="eastAsia"/>
                <w:color w:val="auto"/>
              </w:rPr>
              <w:t>0</w:t>
            </w:r>
          </w:p>
        </w:tc>
        <w:tc>
          <w:tcPr>
            <w:tcW w:w="0" w:type="auto"/>
            <w:vAlign w:val="center"/>
          </w:tcPr>
          <w:p w14:paraId="1E905104">
            <w:pPr>
              <w:pStyle w:val="751"/>
              <w:rPr>
                <w:color w:val="auto"/>
              </w:rPr>
            </w:pPr>
            <w:r>
              <w:rPr>
                <w:rFonts w:hint="eastAsia"/>
                <w:color w:val="auto"/>
              </w:rPr>
              <w:t>0</w:t>
            </w:r>
          </w:p>
        </w:tc>
        <w:tc>
          <w:tcPr>
            <w:tcW w:w="0" w:type="auto"/>
            <w:vAlign w:val="center"/>
          </w:tcPr>
          <w:p w14:paraId="27B9C127">
            <w:pPr>
              <w:pStyle w:val="751"/>
              <w:rPr>
                <w:color w:val="auto"/>
              </w:rPr>
            </w:pPr>
            <w:r>
              <w:rPr>
                <w:rFonts w:hint="eastAsia"/>
                <w:color w:val="auto"/>
              </w:rPr>
              <w:t>0</w:t>
            </w:r>
          </w:p>
        </w:tc>
      </w:tr>
      <w:tr w14:paraId="06D6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restart"/>
            <w:vAlign w:val="center"/>
          </w:tcPr>
          <w:p w14:paraId="2EC51C0C">
            <w:pPr>
              <w:pStyle w:val="751"/>
              <w:rPr>
                <w:color w:val="auto"/>
              </w:rPr>
            </w:pPr>
            <w:r>
              <w:rPr>
                <w:color w:val="auto"/>
              </w:rPr>
              <w:t>硫化物</w:t>
            </w:r>
          </w:p>
        </w:tc>
        <w:tc>
          <w:tcPr>
            <w:tcW w:w="1143" w:type="dxa"/>
            <w:vAlign w:val="center"/>
          </w:tcPr>
          <w:p w14:paraId="42BC77DB">
            <w:pPr>
              <w:pStyle w:val="751"/>
              <w:rPr>
                <w:color w:val="auto"/>
              </w:rPr>
            </w:pPr>
            <w:r>
              <w:rPr>
                <w:rFonts w:hint="eastAsia"/>
                <w:color w:val="auto"/>
              </w:rPr>
              <w:t>标准限值</w:t>
            </w:r>
          </w:p>
        </w:tc>
        <w:tc>
          <w:tcPr>
            <w:tcW w:w="1163" w:type="dxa"/>
            <w:vAlign w:val="center"/>
          </w:tcPr>
          <w:p w14:paraId="7563095D">
            <w:pPr>
              <w:pStyle w:val="751"/>
              <w:rPr>
                <w:color w:val="auto"/>
              </w:rPr>
            </w:pPr>
            <w:r>
              <w:rPr>
                <w:rFonts w:hint="eastAsia"/>
                <w:color w:val="auto"/>
              </w:rPr>
              <w:t>0.02</w:t>
            </w:r>
          </w:p>
        </w:tc>
        <w:tc>
          <w:tcPr>
            <w:tcW w:w="1395" w:type="dxa"/>
            <w:vAlign w:val="center"/>
          </w:tcPr>
          <w:p w14:paraId="20A3B9F2">
            <w:pPr>
              <w:pStyle w:val="751"/>
              <w:rPr>
                <w:color w:val="auto"/>
              </w:rPr>
            </w:pPr>
            <w:r>
              <w:rPr>
                <w:rFonts w:hint="eastAsia"/>
                <w:color w:val="auto"/>
              </w:rPr>
              <w:t>mg/L</w:t>
            </w:r>
          </w:p>
        </w:tc>
        <w:tc>
          <w:tcPr>
            <w:tcW w:w="1230" w:type="dxa"/>
            <w:vAlign w:val="center"/>
          </w:tcPr>
          <w:p w14:paraId="55991BE2">
            <w:pPr>
              <w:pStyle w:val="751"/>
              <w:rPr>
                <w:color w:val="auto"/>
              </w:rPr>
            </w:pPr>
            <w:r>
              <w:rPr>
                <w:rFonts w:hint="eastAsia"/>
                <w:color w:val="auto"/>
              </w:rPr>
              <w:t>0.01L</w:t>
            </w:r>
          </w:p>
        </w:tc>
        <w:tc>
          <w:tcPr>
            <w:tcW w:w="0" w:type="auto"/>
            <w:vAlign w:val="center"/>
          </w:tcPr>
          <w:p w14:paraId="79734182">
            <w:pPr>
              <w:pStyle w:val="751"/>
              <w:rPr>
                <w:color w:val="auto"/>
              </w:rPr>
            </w:pPr>
            <w:r>
              <w:rPr>
                <w:rFonts w:hint="eastAsia"/>
                <w:color w:val="auto"/>
              </w:rPr>
              <w:t>0.01L</w:t>
            </w:r>
          </w:p>
        </w:tc>
        <w:tc>
          <w:tcPr>
            <w:tcW w:w="0" w:type="auto"/>
            <w:vAlign w:val="center"/>
          </w:tcPr>
          <w:p w14:paraId="298F5568">
            <w:pPr>
              <w:pStyle w:val="751"/>
              <w:rPr>
                <w:color w:val="auto"/>
              </w:rPr>
            </w:pPr>
            <w:r>
              <w:rPr>
                <w:rFonts w:hint="eastAsia"/>
                <w:color w:val="auto"/>
              </w:rPr>
              <w:t>0.01L</w:t>
            </w:r>
          </w:p>
        </w:tc>
      </w:tr>
      <w:tr w14:paraId="5170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continue"/>
            <w:vAlign w:val="center"/>
          </w:tcPr>
          <w:p w14:paraId="3EF58A99">
            <w:pPr>
              <w:pStyle w:val="751"/>
              <w:rPr>
                <w:color w:val="auto"/>
              </w:rPr>
            </w:pPr>
          </w:p>
        </w:tc>
        <w:tc>
          <w:tcPr>
            <w:tcW w:w="2306" w:type="dxa"/>
            <w:gridSpan w:val="2"/>
            <w:vAlign w:val="center"/>
          </w:tcPr>
          <w:p w14:paraId="01BFB871">
            <w:pPr>
              <w:pStyle w:val="751"/>
              <w:rPr>
                <w:color w:val="auto"/>
              </w:rPr>
            </w:pPr>
            <w:r>
              <w:rPr>
                <w:rFonts w:hint="eastAsia"/>
                <w:color w:val="auto"/>
              </w:rPr>
              <w:t>Pi</w:t>
            </w:r>
          </w:p>
        </w:tc>
        <w:tc>
          <w:tcPr>
            <w:tcW w:w="1395" w:type="dxa"/>
            <w:vAlign w:val="center"/>
          </w:tcPr>
          <w:p w14:paraId="26BF5F55">
            <w:pPr>
              <w:pStyle w:val="751"/>
              <w:rPr>
                <w:color w:val="auto"/>
              </w:rPr>
            </w:pPr>
            <w:r>
              <w:rPr>
                <w:rFonts w:hint="eastAsia"/>
                <w:color w:val="auto"/>
              </w:rPr>
              <w:t>/</w:t>
            </w:r>
          </w:p>
        </w:tc>
        <w:tc>
          <w:tcPr>
            <w:tcW w:w="1230" w:type="dxa"/>
            <w:vAlign w:val="center"/>
          </w:tcPr>
          <w:p w14:paraId="02F5B81D">
            <w:pPr>
              <w:pStyle w:val="751"/>
              <w:rPr>
                <w:color w:val="auto"/>
              </w:rPr>
            </w:pPr>
            <w:r>
              <w:rPr>
                <w:rFonts w:hint="eastAsia"/>
                <w:color w:val="auto"/>
              </w:rPr>
              <w:t>0.25</w:t>
            </w:r>
          </w:p>
        </w:tc>
        <w:tc>
          <w:tcPr>
            <w:tcW w:w="0" w:type="auto"/>
            <w:vAlign w:val="center"/>
          </w:tcPr>
          <w:p w14:paraId="109ABB9C">
            <w:pPr>
              <w:pStyle w:val="751"/>
              <w:rPr>
                <w:color w:val="auto"/>
              </w:rPr>
            </w:pPr>
            <w:r>
              <w:rPr>
                <w:rFonts w:hint="eastAsia"/>
                <w:color w:val="auto"/>
              </w:rPr>
              <w:t>0.25</w:t>
            </w:r>
          </w:p>
        </w:tc>
        <w:tc>
          <w:tcPr>
            <w:tcW w:w="0" w:type="auto"/>
            <w:vAlign w:val="center"/>
          </w:tcPr>
          <w:p w14:paraId="45C0EA4C">
            <w:pPr>
              <w:pStyle w:val="751"/>
              <w:rPr>
                <w:color w:val="auto"/>
              </w:rPr>
            </w:pPr>
            <w:r>
              <w:rPr>
                <w:rFonts w:hint="eastAsia"/>
                <w:color w:val="auto"/>
              </w:rPr>
              <w:t>0.25</w:t>
            </w:r>
          </w:p>
        </w:tc>
      </w:tr>
      <w:tr w14:paraId="1D5D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5" w:type="dxa"/>
            <w:vMerge w:val="continue"/>
            <w:vAlign w:val="center"/>
          </w:tcPr>
          <w:p w14:paraId="6BB7CD74">
            <w:pPr>
              <w:pStyle w:val="751"/>
              <w:rPr>
                <w:color w:val="auto"/>
              </w:rPr>
            </w:pPr>
          </w:p>
        </w:tc>
        <w:tc>
          <w:tcPr>
            <w:tcW w:w="2306" w:type="dxa"/>
            <w:gridSpan w:val="2"/>
            <w:vAlign w:val="center"/>
          </w:tcPr>
          <w:p w14:paraId="43A85E4A">
            <w:pPr>
              <w:pStyle w:val="751"/>
              <w:rPr>
                <w:color w:val="auto"/>
              </w:rPr>
            </w:pPr>
            <w:r>
              <w:rPr>
                <w:rFonts w:hint="eastAsia"/>
                <w:color w:val="auto"/>
              </w:rPr>
              <w:t>超标倍数</w:t>
            </w:r>
          </w:p>
        </w:tc>
        <w:tc>
          <w:tcPr>
            <w:tcW w:w="1395" w:type="dxa"/>
            <w:vAlign w:val="center"/>
          </w:tcPr>
          <w:p w14:paraId="46524CB6">
            <w:pPr>
              <w:pStyle w:val="751"/>
              <w:rPr>
                <w:color w:val="auto"/>
              </w:rPr>
            </w:pPr>
            <w:r>
              <w:rPr>
                <w:rFonts w:hint="eastAsia"/>
                <w:color w:val="auto"/>
              </w:rPr>
              <w:t>/</w:t>
            </w:r>
          </w:p>
        </w:tc>
        <w:tc>
          <w:tcPr>
            <w:tcW w:w="1230" w:type="dxa"/>
            <w:vAlign w:val="center"/>
          </w:tcPr>
          <w:p w14:paraId="38B54686">
            <w:pPr>
              <w:pStyle w:val="751"/>
              <w:rPr>
                <w:color w:val="auto"/>
              </w:rPr>
            </w:pPr>
            <w:r>
              <w:rPr>
                <w:rFonts w:hint="eastAsia"/>
                <w:color w:val="auto"/>
              </w:rPr>
              <w:t>0</w:t>
            </w:r>
          </w:p>
        </w:tc>
        <w:tc>
          <w:tcPr>
            <w:tcW w:w="0" w:type="auto"/>
            <w:vAlign w:val="center"/>
          </w:tcPr>
          <w:p w14:paraId="14DF71A9">
            <w:pPr>
              <w:pStyle w:val="751"/>
              <w:rPr>
                <w:color w:val="auto"/>
              </w:rPr>
            </w:pPr>
            <w:r>
              <w:rPr>
                <w:rFonts w:hint="eastAsia"/>
                <w:color w:val="auto"/>
              </w:rPr>
              <w:t>0</w:t>
            </w:r>
          </w:p>
        </w:tc>
        <w:tc>
          <w:tcPr>
            <w:tcW w:w="0" w:type="auto"/>
            <w:vAlign w:val="center"/>
          </w:tcPr>
          <w:p w14:paraId="7DD147A0">
            <w:pPr>
              <w:pStyle w:val="751"/>
              <w:rPr>
                <w:color w:val="auto"/>
              </w:rPr>
            </w:pPr>
            <w:r>
              <w:rPr>
                <w:rFonts w:hint="eastAsia"/>
                <w:color w:val="auto"/>
              </w:rPr>
              <w:t>0</w:t>
            </w:r>
          </w:p>
        </w:tc>
      </w:tr>
      <w:tr w14:paraId="5145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4DBA3B0C">
            <w:pPr>
              <w:pStyle w:val="751"/>
              <w:rPr>
                <w:color w:val="auto"/>
              </w:rPr>
            </w:pPr>
            <w:r>
              <w:rPr>
                <w:color w:val="auto"/>
              </w:rPr>
              <w:t>碘</w:t>
            </w:r>
            <w:r>
              <w:rPr>
                <w:rFonts w:hint="eastAsia"/>
                <w:color w:val="auto"/>
              </w:rPr>
              <w:t>化物</w:t>
            </w:r>
          </w:p>
        </w:tc>
        <w:tc>
          <w:tcPr>
            <w:tcW w:w="1143" w:type="dxa"/>
            <w:vAlign w:val="center"/>
          </w:tcPr>
          <w:p w14:paraId="15851288">
            <w:pPr>
              <w:pStyle w:val="751"/>
              <w:rPr>
                <w:color w:val="auto"/>
              </w:rPr>
            </w:pPr>
            <w:r>
              <w:rPr>
                <w:rFonts w:hint="eastAsia"/>
                <w:color w:val="auto"/>
              </w:rPr>
              <w:t>标准限值</w:t>
            </w:r>
          </w:p>
        </w:tc>
        <w:tc>
          <w:tcPr>
            <w:tcW w:w="1163" w:type="dxa"/>
            <w:vAlign w:val="center"/>
          </w:tcPr>
          <w:p w14:paraId="6BF7145B">
            <w:pPr>
              <w:pStyle w:val="751"/>
              <w:rPr>
                <w:color w:val="auto"/>
              </w:rPr>
            </w:pPr>
            <w:r>
              <w:rPr>
                <w:rFonts w:hint="eastAsia"/>
                <w:color w:val="auto"/>
              </w:rPr>
              <w:t>0.08</w:t>
            </w:r>
          </w:p>
        </w:tc>
        <w:tc>
          <w:tcPr>
            <w:tcW w:w="1395" w:type="dxa"/>
            <w:vAlign w:val="center"/>
          </w:tcPr>
          <w:p w14:paraId="3F91182F">
            <w:pPr>
              <w:pStyle w:val="751"/>
              <w:rPr>
                <w:color w:val="auto"/>
              </w:rPr>
            </w:pPr>
            <w:r>
              <w:rPr>
                <w:rFonts w:hint="eastAsia"/>
                <w:color w:val="auto"/>
              </w:rPr>
              <w:t>mg/L</w:t>
            </w:r>
          </w:p>
        </w:tc>
        <w:tc>
          <w:tcPr>
            <w:tcW w:w="1230" w:type="dxa"/>
            <w:vAlign w:val="center"/>
          </w:tcPr>
          <w:p w14:paraId="24E1D338">
            <w:pPr>
              <w:pStyle w:val="751"/>
              <w:rPr>
                <w:color w:val="auto"/>
              </w:rPr>
            </w:pPr>
            <w:r>
              <w:rPr>
                <w:rFonts w:hint="eastAsia"/>
                <w:color w:val="auto"/>
              </w:rPr>
              <w:t>0.01L</w:t>
            </w:r>
          </w:p>
        </w:tc>
        <w:tc>
          <w:tcPr>
            <w:tcW w:w="0" w:type="auto"/>
            <w:vAlign w:val="center"/>
          </w:tcPr>
          <w:p w14:paraId="6B511619">
            <w:pPr>
              <w:pStyle w:val="751"/>
              <w:rPr>
                <w:color w:val="auto"/>
              </w:rPr>
            </w:pPr>
            <w:r>
              <w:rPr>
                <w:rFonts w:hint="eastAsia"/>
                <w:color w:val="auto"/>
              </w:rPr>
              <w:t>0.01L</w:t>
            </w:r>
          </w:p>
        </w:tc>
        <w:tc>
          <w:tcPr>
            <w:tcW w:w="0" w:type="auto"/>
            <w:vAlign w:val="center"/>
          </w:tcPr>
          <w:p w14:paraId="13FE273C">
            <w:pPr>
              <w:pStyle w:val="751"/>
              <w:rPr>
                <w:color w:val="auto"/>
              </w:rPr>
            </w:pPr>
            <w:r>
              <w:rPr>
                <w:rFonts w:hint="eastAsia"/>
                <w:color w:val="auto"/>
              </w:rPr>
              <w:t>0.01L</w:t>
            </w:r>
          </w:p>
        </w:tc>
      </w:tr>
      <w:tr w14:paraId="11B5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25661A7">
            <w:pPr>
              <w:pStyle w:val="751"/>
              <w:rPr>
                <w:color w:val="auto"/>
              </w:rPr>
            </w:pPr>
          </w:p>
        </w:tc>
        <w:tc>
          <w:tcPr>
            <w:tcW w:w="2306" w:type="dxa"/>
            <w:gridSpan w:val="2"/>
            <w:vAlign w:val="center"/>
          </w:tcPr>
          <w:p w14:paraId="5E67E8C1">
            <w:pPr>
              <w:pStyle w:val="751"/>
              <w:rPr>
                <w:color w:val="auto"/>
              </w:rPr>
            </w:pPr>
            <w:r>
              <w:rPr>
                <w:rFonts w:hint="eastAsia"/>
                <w:color w:val="auto"/>
              </w:rPr>
              <w:t>Pi</w:t>
            </w:r>
          </w:p>
        </w:tc>
        <w:tc>
          <w:tcPr>
            <w:tcW w:w="1395" w:type="dxa"/>
            <w:vAlign w:val="center"/>
          </w:tcPr>
          <w:p w14:paraId="2A39A312">
            <w:pPr>
              <w:pStyle w:val="751"/>
              <w:rPr>
                <w:color w:val="auto"/>
              </w:rPr>
            </w:pPr>
            <w:r>
              <w:rPr>
                <w:rFonts w:hint="eastAsia"/>
                <w:color w:val="auto"/>
              </w:rPr>
              <w:t>/</w:t>
            </w:r>
          </w:p>
        </w:tc>
        <w:tc>
          <w:tcPr>
            <w:tcW w:w="1230" w:type="dxa"/>
            <w:vAlign w:val="center"/>
          </w:tcPr>
          <w:p w14:paraId="625D08F4">
            <w:pPr>
              <w:pStyle w:val="751"/>
              <w:rPr>
                <w:color w:val="auto"/>
              </w:rPr>
            </w:pPr>
            <w:r>
              <w:rPr>
                <w:rFonts w:hint="eastAsia"/>
                <w:color w:val="auto"/>
              </w:rPr>
              <w:t>0.0625</w:t>
            </w:r>
          </w:p>
        </w:tc>
        <w:tc>
          <w:tcPr>
            <w:tcW w:w="0" w:type="auto"/>
            <w:vAlign w:val="center"/>
          </w:tcPr>
          <w:p w14:paraId="6CAB5FD9">
            <w:pPr>
              <w:pStyle w:val="751"/>
              <w:rPr>
                <w:color w:val="auto"/>
              </w:rPr>
            </w:pPr>
            <w:r>
              <w:rPr>
                <w:rFonts w:hint="eastAsia"/>
                <w:color w:val="auto"/>
              </w:rPr>
              <w:t>0.0625</w:t>
            </w:r>
          </w:p>
        </w:tc>
        <w:tc>
          <w:tcPr>
            <w:tcW w:w="0" w:type="auto"/>
            <w:vAlign w:val="center"/>
          </w:tcPr>
          <w:p w14:paraId="6C4862D0">
            <w:pPr>
              <w:pStyle w:val="751"/>
              <w:rPr>
                <w:color w:val="auto"/>
              </w:rPr>
            </w:pPr>
            <w:r>
              <w:rPr>
                <w:rFonts w:hint="eastAsia"/>
                <w:color w:val="auto"/>
              </w:rPr>
              <w:t>0.0625</w:t>
            </w:r>
          </w:p>
        </w:tc>
      </w:tr>
      <w:tr w14:paraId="564D8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7126808">
            <w:pPr>
              <w:pStyle w:val="751"/>
              <w:rPr>
                <w:color w:val="auto"/>
              </w:rPr>
            </w:pPr>
          </w:p>
        </w:tc>
        <w:tc>
          <w:tcPr>
            <w:tcW w:w="2306" w:type="dxa"/>
            <w:gridSpan w:val="2"/>
            <w:vAlign w:val="center"/>
          </w:tcPr>
          <w:p w14:paraId="268AA39F">
            <w:pPr>
              <w:pStyle w:val="751"/>
              <w:rPr>
                <w:color w:val="auto"/>
              </w:rPr>
            </w:pPr>
            <w:r>
              <w:rPr>
                <w:rFonts w:hint="eastAsia"/>
                <w:color w:val="auto"/>
              </w:rPr>
              <w:t>超标倍数</w:t>
            </w:r>
          </w:p>
        </w:tc>
        <w:tc>
          <w:tcPr>
            <w:tcW w:w="1395" w:type="dxa"/>
            <w:vAlign w:val="center"/>
          </w:tcPr>
          <w:p w14:paraId="621EBA2F">
            <w:pPr>
              <w:pStyle w:val="751"/>
              <w:rPr>
                <w:color w:val="auto"/>
              </w:rPr>
            </w:pPr>
            <w:r>
              <w:rPr>
                <w:rFonts w:hint="eastAsia"/>
                <w:color w:val="auto"/>
              </w:rPr>
              <w:t>/</w:t>
            </w:r>
          </w:p>
        </w:tc>
        <w:tc>
          <w:tcPr>
            <w:tcW w:w="1230" w:type="dxa"/>
            <w:vAlign w:val="center"/>
          </w:tcPr>
          <w:p w14:paraId="0C9C80F1">
            <w:pPr>
              <w:pStyle w:val="751"/>
              <w:rPr>
                <w:color w:val="auto"/>
              </w:rPr>
            </w:pPr>
            <w:r>
              <w:rPr>
                <w:rFonts w:hint="eastAsia"/>
                <w:color w:val="auto"/>
              </w:rPr>
              <w:t>0</w:t>
            </w:r>
          </w:p>
        </w:tc>
        <w:tc>
          <w:tcPr>
            <w:tcW w:w="0" w:type="auto"/>
            <w:vAlign w:val="center"/>
          </w:tcPr>
          <w:p w14:paraId="2F22EE5C">
            <w:pPr>
              <w:pStyle w:val="751"/>
              <w:rPr>
                <w:color w:val="auto"/>
              </w:rPr>
            </w:pPr>
            <w:r>
              <w:rPr>
                <w:rFonts w:hint="eastAsia"/>
                <w:color w:val="auto"/>
              </w:rPr>
              <w:t>0</w:t>
            </w:r>
          </w:p>
        </w:tc>
        <w:tc>
          <w:tcPr>
            <w:tcW w:w="0" w:type="auto"/>
            <w:vAlign w:val="center"/>
          </w:tcPr>
          <w:p w14:paraId="11F9DB60">
            <w:pPr>
              <w:pStyle w:val="751"/>
              <w:rPr>
                <w:color w:val="auto"/>
              </w:rPr>
            </w:pPr>
            <w:r>
              <w:rPr>
                <w:rFonts w:hint="eastAsia"/>
                <w:color w:val="auto"/>
              </w:rPr>
              <w:t>0</w:t>
            </w:r>
          </w:p>
        </w:tc>
      </w:tr>
      <w:tr w14:paraId="30EE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4983FD1C">
            <w:pPr>
              <w:pStyle w:val="751"/>
              <w:rPr>
                <w:color w:val="auto"/>
              </w:rPr>
            </w:pPr>
            <w:r>
              <w:rPr>
                <w:color w:val="auto"/>
              </w:rPr>
              <w:t>硒</w:t>
            </w:r>
          </w:p>
        </w:tc>
        <w:tc>
          <w:tcPr>
            <w:tcW w:w="1143" w:type="dxa"/>
            <w:vAlign w:val="center"/>
          </w:tcPr>
          <w:p w14:paraId="39B6553A">
            <w:pPr>
              <w:pStyle w:val="751"/>
              <w:rPr>
                <w:color w:val="auto"/>
              </w:rPr>
            </w:pPr>
            <w:r>
              <w:rPr>
                <w:rFonts w:hint="eastAsia"/>
                <w:color w:val="auto"/>
              </w:rPr>
              <w:t>标准限值</w:t>
            </w:r>
          </w:p>
        </w:tc>
        <w:tc>
          <w:tcPr>
            <w:tcW w:w="1163" w:type="dxa"/>
            <w:vAlign w:val="center"/>
          </w:tcPr>
          <w:p w14:paraId="28DE89CC">
            <w:pPr>
              <w:pStyle w:val="751"/>
              <w:rPr>
                <w:color w:val="auto"/>
              </w:rPr>
            </w:pPr>
            <w:r>
              <w:rPr>
                <w:rFonts w:hint="eastAsia"/>
                <w:color w:val="auto"/>
              </w:rPr>
              <w:t>0.01</w:t>
            </w:r>
          </w:p>
        </w:tc>
        <w:tc>
          <w:tcPr>
            <w:tcW w:w="1395" w:type="dxa"/>
            <w:vAlign w:val="center"/>
          </w:tcPr>
          <w:p w14:paraId="1A3658BF">
            <w:pPr>
              <w:pStyle w:val="751"/>
              <w:rPr>
                <w:color w:val="auto"/>
              </w:rPr>
            </w:pPr>
            <w:r>
              <w:rPr>
                <w:rFonts w:hint="eastAsia"/>
                <w:color w:val="auto"/>
              </w:rPr>
              <w:t>mg/L</w:t>
            </w:r>
          </w:p>
        </w:tc>
        <w:tc>
          <w:tcPr>
            <w:tcW w:w="1230" w:type="dxa"/>
            <w:vAlign w:val="center"/>
          </w:tcPr>
          <w:p w14:paraId="58480374">
            <w:pPr>
              <w:pStyle w:val="751"/>
              <w:rPr>
                <w:color w:val="auto"/>
              </w:rPr>
            </w:pPr>
            <w:r>
              <w:rPr>
                <w:color w:val="auto"/>
              </w:rPr>
              <w:t>0.4×10</w:t>
            </w:r>
            <w:r>
              <w:rPr>
                <w:color w:val="auto"/>
                <w:vertAlign w:val="superscript"/>
              </w:rPr>
              <w:t>-3</w:t>
            </w:r>
            <w:r>
              <w:rPr>
                <w:rFonts w:hint="eastAsia"/>
                <w:color w:val="auto"/>
              </w:rPr>
              <w:t>L</w:t>
            </w:r>
          </w:p>
        </w:tc>
        <w:tc>
          <w:tcPr>
            <w:tcW w:w="0" w:type="auto"/>
            <w:vAlign w:val="center"/>
          </w:tcPr>
          <w:p w14:paraId="0510B10A">
            <w:pPr>
              <w:pStyle w:val="751"/>
              <w:rPr>
                <w:color w:val="auto"/>
              </w:rPr>
            </w:pPr>
            <w:r>
              <w:rPr>
                <w:color w:val="auto"/>
              </w:rPr>
              <w:t>0.4×10</w:t>
            </w:r>
            <w:r>
              <w:rPr>
                <w:color w:val="auto"/>
                <w:vertAlign w:val="superscript"/>
              </w:rPr>
              <w:t>-3</w:t>
            </w:r>
            <w:r>
              <w:rPr>
                <w:rFonts w:hint="eastAsia"/>
                <w:color w:val="auto"/>
              </w:rPr>
              <w:t>L</w:t>
            </w:r>
          </w:p>
        </w:tc>
        <w:tc>
          <w:tcPr>
            <w:tcW w:w="0" w:type="auto"/>
            <w:vAlign w:val="center"/>
          </w:tcPr>
          <w:p w14:paraId="5AA90BF5">
            <w:pPr>
              <w:pStyle w:val="751"/>
              <w:rPr>
                <w:color w:val="auto"/>
              </w:rPr>
            </w:pPr>
            <w:r>
              <w:rPr>
                <w:color w:val="auto"/>
              </w:rPr>
              <w:t>0.4×10</w:t>
            </w:r>
            <w:r>
              <w:rPr>
                <w:color w:val="auto"/>
                <w:vertAlign w:val="superscript"/>
              </w:rPr>
              <w:t>-3</w:t>
            </w:r>
            <w:r>
              <w:rPr>
                <w:rFonts w:hint="eastAsia"/>
                <w:color w:val="auto"/>
              </w:rPr>
              <w:t>L</w:t>
            </w:r>
          </w:p>
        </w:tc>
      </w:tr>
      <w:tr w14:paraId="3D78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E22BAAB">
            <w:pPr>
              <w:pStyle w:val="751"/>
              <w:rPr>
                <w:color w:val="auto"/>
              </w:rPr>
            </w:pPr>
          </w:p>
        </w:tc>
        <w:tc>
          <w:tcPr>
            <w:tcW w:w="2306" w:type="dxa"/>
            <w:gridSpan w:val="2"/>
            <w:vAlign w:val="center"/>
          </w:tcPr>
          <w:p w14:paraId="19790A09">
            <w:pPr>
              <w:pStyle w:val="751"/>
              <w:rPr>
                <w:color w:val="auto"/>
              </w:rPr>
            </w:pPr>
            <w:r>
              <w:rPr>
                <w:rFonts w:hint="eastAsia"/>
                <w:color w:val="auto"/>
              </w:rPr>
              <w:t>Pi</w:t>
            </w:r>
          </w:p>
        </w:tc>
        <w:tc>
          <w:tcPr>
            <w:tcW w:w="1395" w:type="dxa"/>
            <w:vAlign w:val="center"/>
          </w:tcPr>
          <w:p w14:paraId="22603E35">
            <w:pPr>
              <w:pStyle w:val="751"/>
              <w:rPr>
                <w:color w:val="auto"/>
              </w:rPr>
            </w:pPr>
            <w:r>
              <w:rPr>
                <w:rFonts w:hint="eastAsia"/>
                <w:color w:val="auto"/>
              </w:rPr>
              <w:t>/</w:t>
            </w:r>
          </w:p>
        </w:tc>
        <w:tc>
          <w:tcPr>
            <w:tcW w:w="1230" w:type="dxa"/>
            <w:vAlign w:val="center"/>
          </w:tcPr>
          <w:p w14:paraId="10EA2FE5">
            <w:pPr>
              <w:pStyle w:val="751"/>
              <w:rPr>
                <w:color w:val="auto"/>
              </w:rPr>
            </w:pPr>
            <w:r>
              <w:rPr>
                <w:rFonts w:hint="eastAsia"/>
                <w:color w:val="auto"/>
              </w:rPr>
              <w:t>0.02</w:t>
            </w:r>
          </w:p>
        </w:tc>
        <w:tc>
          <w:tcPr>
            <w:tcW w:w="0" w:type="auto"/>
            <w:vAlign w:val="center"/>
          </w:tcPr>
          <w:p w14:paraId="75BA7240">
            <w:pPr>
              <w:pStyle w:val="751"/>
              <w:rPr>
                <w:color w:val="auto"/>
              </w:rPr>
            </w:pPr>
            <w:r>
              <w:rPr>
                <w:rFonts w:hint="eastAsia"/>
                <w:color w:val="auto"/>
              </w:rPr>
              <w:t>0.02</w:t>
            </w:r>
          </w:p>
        </w:tc>
        <w:tc>
          <w:tcPr>
            <w:tcW w:w="0" w:type="auto"/>
            <w:vAlign w:val="center"/>
          </w:tcPr>
          <w:p w14:paraId="6290F2A9">
            <w:pPr>
              <w:pStyle w:val="751"/>
              <w:rPr>
                <w:color w:val="auto"/>
              </w:rPr>
            </w:pPr>
            <w:r>
              <w:rPr>
                <w:rFonts w:hint="eastAsia"/>
                <w:color w:val="auto"/>
              </w:rPr>
              <w:t>0.02</w:t>
            </w:r>
          </w:p>
        </w:tc>
      </w:tr>
      <w:tr w14:paraId="41FC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0A4BB57">
            <w:pPr>
              <w:pStyle w:val="751"/>
              <w:rPr>
                <w:color w:val="auto"/>
              </w:rPr>
            </w:pPr>
          </w:p>
        </w:tc>
        <w:tc>
          <w:tcPr>
            <w:tcW w:w="2306" w:type="dxa"/>
            <w:gridSpan w:val="2"/>
            <w:vAlign w:val="center"/>
          </w:tcPr>
          <w:p w14:paraId="5A6D7FD6">
            <w:pPr>
              <w:pStyle w:val="751"/>
              <w:rPr>
                <w:color w:val="auto"/>
              </w:rPr>
            </w:pPr>
            <w:r>
              <w:rPr>
                <w:rFonts w:hint="eastAsia"/>
                <w:color w:val="auto"/>
              </w:rPr>
              <w:t>超标倍数</w:t>
            </w:r>
          </w:p>
        </w:tc>
        <w:tc>
          <w:tcPr>
            <w:tcW w:w="1395" w:type="dxa"/>
            <w:vAlign w:val="center"/>
          </w:tcPr>
          <w:p w14:paraId="28BF0047">
            <w:pPr>
              <w:pStyle w:val="751"/>
              <w:rPr>
                <w:color w:val="auto"/>
              </w:rPr>
            </w:pPr>
            <w:r>
              <w:rPr>
                <w:rFonts w:hint="eastAsia"/>
                <w:color w:val="auto"/>
              </w:rPr>
              <w:t>/</w:t>
            </w:r>
          </w:p>
        </w:tc>
        <w:tc>
          <w:tcPr>
            <w:tcW w:w="1230" w:type="dxa"/>
            <w:vAlign w:val="center"/>
          </w:tcPr>
          <w:p w14:paraId="78C65893">
            <w:pPr>
              <w:pStyle w:val="751"/>
              <w:rPr>
                <w:color w:val="auto"/>
              </w:rPr>
            </w:pPr>
            <w:r>
              <w:rPr>
                <w:rFonts w:hint="eastAsia"/>
                <w:color w:val="auto"/>
              </w:rPr>
              <w:t>0</w:t>
            </w:r>
          </w:p>
        </w:tc>
        <w:tc>
          <w:tcPr>
            <w:tcW w:w="0" w:type="auto"/>
            <w:vAlign w:val="center"/>
          </w:tcPr>
          <w:p w14:paraId="37CCF06A">
            <w:pPr>
              <w:pStyle w:val="751"/>
              <w:rPr>
                <w:color w:val="auto"/>
              </w:rPr>
            </w:pPr>
            <w:r>
              <w:rPr>
                <w:rFonts w:hint="eastAsia"/>
                <w:color w:val="auto"/>
              </w:rPr>
              <w:t>0</w:t>
            </w:r>
          </w:p>
        </w:tc>
        <w:tc>
          <w:tcPr>
            <w:tcW w:w="0" w:type="auto"/>
            <w:vAlign w:val="center"/>
          </w:tcPr>
          <w:p w14:paraId="25A27B68">
            <w:pPr>
              <w:pStyle w:val="751"/>
              <w:rPr>
                <w:color w:val="auto"/>
              </w:rPr>
            </w:pPr>
            <w:r>
              <w:rPr>
                <w:rFonts w:hint="eastAsia"/>
                <w:color w:val="auto"/>
              </w:rPr>
              <w:t>0</w:t>
            </w:r>
          </w:p>
        </w:tc>
      </w:tr>
      <w:tr w14:paraId="2EDB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276ADDDC">
            <w:pPr>
              <w:pStyle w:val="751"/>
              <w:rPr>
                <w:color w:val="auto"/>
              </w:rPr>
            </w:pPr>
            <w:r>
              <w:rPr>
                <w:rFonts w:hint="eastAsia"/>
                <w:bCs/>
                <w:color w:val="auto"/>
                <w:kern w:val="2"/>
              </w:rPr>
              <w:t>铝</w:t>
            </w:r>
          </w:p>
        </w:tc>
        <w:tc>
          <w:tcPr>
            <w:tcW w:w="1143" w:type="dxa"/>
            <w:vAlign w:val="center"/>
          </w:tcPr>
          <w:p w14:paraId="536B65B8">
            <w:pPr>
              <w:pStyle w:val="751"/>
              <w:rPr>
                <w:color w:val="auto"/>
              </w:rPr>
            </w:pPr>
            <w:r>
              <w:rPr>
                <w:rFonts w:hint="eastAsia"/>
                <w:color w:val="auto"/>
              </w:rPr>
              <w:t>标准限值</w:t>
            </w:r>
          </w:p>
        </w:tc>
        <w:tc>
          <w:tcPr>
            <w:tcW w:w="1163" w:type="dxa"/>
            <w:vAlign w:val="center"/>
          </w:tcPr>
          <w:p w14:paraId="3CD01F28">
            <w:pPr>
              <w:pStyle w:val="751"/>
              <w:rPr>
                <w:color w:val="auto"/>
              </w:rPr>
            </w:pPr>
            <w:r>
              <w:rPr>
                <w:rFonts w:hint="eastAsia"/>
                <w:color w:val="auto"/>
              </w:rPr>
              <w:t>0.20</w:t>
            </w:r>
          </w:p>
        </w:tc>
        <w:tc>
          <w:tcPr>
            <w:tcW w:w="1395" w:type="dxa"/>
            <w:vAlign w:val="center"/>
          </w:tcPr>
          <w:p w14:paraId="67928783">
            <w:pPr>
              <w:pStyle w:val="751"/>
              <w:rPr>
                <w:color w:val="auto"/>
              </w:rPr>
            </w:pPr>
            <w:r>
              <w:rPr>
                <w:rFonts w:hint="eastAsia"/>
                <w:color w:val="auto"/>
              </w:rPr>
              <w:t>mg/L</w:t>
            </w:r>
          </w:p>
        </w:tc>
        <w:tc>
          <w:tcPr>
            <w:tcW w:w="1230" w:type="dxa"/>
            <w:vAlign w:val="center"/>
          </w:tcPr>
          <w:p w14:paraId="70F108BE">
            <w:pPr>
              <w:pStyle w:val="751"/>
              <w:rPr>
                <w:color w:val="auto"/>
              </w:rPr>
            </w:pPr>
            <w:r>
              <w:rPr>
                <w:rFonts w:hint="eastAsia"/>
                <w:color w:val="auto"/>
              </w:rPr>
              <w:t>0.07L</w:t>
            </w:r>
          </w:p>
        </w:tc>
        <w:tc>
          <w:tcPr>
            <w:tcW w:w="0" w:type="auto"/>
            <w:vAlign w:val="center"/>
          </w:tcPr>
          <w:p w14:paraId="6F933C1E">
            <w:pPr>
              <w:pStyle w:val="751"/>
              <w:rPr>
                <w:color w:val="auto"/>
              </w:rPr>
            </w:pPr>
            <w:r>
              <w:rPr>
                <w:rFonts w:hint="eastAsia"/>
                <w:color w:val="auto"/>
              </w:rPr>
              <w:t>0.07L</w:t>
            </w:r>
          </w:p>
        </w:tc>
        <w:tc>
          <w:tcPr>
            <w:tcW w:w="0" w:type="auto"/>
            <w:vAlign w:val="center"/>
          </w:tcPr>
          <w:p w14:paraId="19B97677">
            <w:pPr>
              <w:pStyle w:val="751"/>
              <w:rPr>
                <w:color w:val="auto"/>
              </w:rPr>
            </w:pPr>
            <w:r>
              <w:rPr>
                <w:rFonts w:hint="eastAsia"/>
                <w:color w:val="auto"/>
              </w:rPr>
              <w:t>0.07L</w:t>
            </w:r>
          </w:p>
        </w:tc>
      </w:tr>
      <w:tr w14:paraId="6EBE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547EEA7">
            <w:pPr>
              <w:pStyle w:val="751"/>
              <w:rPr>
                <w:bCs/>
                <w:color w:val="auto"/>
                <w:kern w:val="2"/>
              </w:rPr>
            </w:pPr>
          </w:p>
        </w:tc>
        <w:tc>
          <w:tcPr>
            <w:tcW w:w="2306" w:type="dxa"/>
            <w:gridSpan w:val="2"/>
            <w:vAlign w:val="center"/>
          </w:tcPr>
          <w:p w14:paraId="15C36683">
            <w:pPr>
              <w:pStyle w:val="751"/>
              <w:rPr>
                <w:color w:val="auto"/>
              </w:rPr>
            </w:pPr>
            <w:r>
              <w:rPr>
                <w:rFonts w:hint="eastAsia"/>
                <w:color w:val="auto"/>
              </w:rPr>
              <w:t>Pi</w:t>
            </w:r>
          </w:p>
        </w:tc>
        <w:tc>
          <w:tcPr>
            <w:tcW w:w="1395" w:type="dxa"/>
            <w:vAlign w:val="center"/>
          </w:tcPr>
          <w:p w14:paraId="459C4ECC">
            <w:pPr>
              <w:pStyle w:val="751"/>
              <w:rPr>
                <w:color w:val="auto"/>
              </w:rPr>
            </w:pPr>
            <w:r>
              <w:rPr>
                <w:rFonts w:hint="eastAsia"/>
                <w:color w:val="auto"/>
              </w:rPr>
              <w:t>/</w:t>
            </w:r>
          </w:p>
        </w:tc>
        <w:tc>
          <w:tcPr>
            <w:tcW w:w="1230" w:type="dxa"/>
            <w:vAlign w:val="center"/>
          </w:tcPr>
          <w:p w14:paraId="576B05D5">
            <w:pPr>
              <w:pStyle w:val="751"/>
              <w:rPr>
                <w:color w:val="auto"/>
              </w:rPr>
            </w:pPr>
            <w:r>
              <w:rPr>
                <w:rFonts w:hint="eastAsia"/>
                <w:color w:val="auto"/>
              </w:rPr>
              <w:t>0.175</w:t>
            </w:r>
          </w:p>
        </w:tc>
        <w:tc>
          <w:tcPr>
            <w:tcW w:w="0" w:type="auto"/>
            <w:vAlign w:val="center"/>
          </w:tcPr>
          <w:p w14:paraId="5A83C8CF">
            <w:pPr>
              <w:pStyle w:val="751"/>
              <w:rPr>
                <w:color w:val="auto"/>
              </w:rPr>
            </w:pPr>
            <w:r>
              <w:rPr>
                <w:rFonts w:hint="eastAsia"/>
                <w:color w:val="auto"/>
              </w:rPr>
              <w:t>0.175</w:t>
            </w:r>
          </w:p>
        </w:tc>
        <w:tc>
          <w:tcPr>
            <w:tcW w:w="0" w:type="auto"/>
            <w:vAlign w:val="center"/>
          </w:tcPr>
          <w:p w14:paraId="12464B41">
            <w:pPr>
              <w:pStyle w:val="751"/>
              <w:rPr>
                <w:color w:val="auto"/>
              </w:rPr>
            </w:pPr>
            <w:r>
              <w:rPr>
                <w:rFonts w:hint="eastAsia"/>
                <w:color w:val="auto"/>
              </w:rPr>
              <w:t>0.175</w:t>
            </w:r>
          </w:p>
        </w:tc>
      </w:tr>
      <w:tr w14:paraId="2ACC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7665774">
            <w:pPr>
              <w:pStyle w:val="751"/>
              <w:rPr>
                <w:bCs/>
                <w:color w:val="auto"/>
                <w:kern w:val="2"/>
              </w:rPr>
            </w:pPr>
          </w:p>
        </w:tc>
        <w:tc>
          <w:tcPr>
            <w:tcW w:w="2306" w:type="dxa"/>
            <w:gridSpan w:val="2"/>
            <w:vAlign w:val="center"/>
          </w:tcPr>
          <w:p w14:paraId="0857749D">
            <w:pPr>
              <w:pStyle w:val="751"/>
              <w:rPr>
                <w:color w:val="auto"/>
              </w:rPr>
            </w:pPr>
            <w:r>
              <w:rPr>
                <w:rFonts w:hint="eastAsia"/>
                <w:color w:val="auto"/>
              </w:rPr>
              <w:t>超标倍数</w:t>
            </w:r>
          </w:p>
        </w:tc>
        <w:tc>
          <w:tcPr>
            <w:tcW w:w="1395" w:type="dxa"/>
            <w:vAlign w:val="center"/>
          </w:tcPr>
          <w:p w14:paraId="65E7B81C">
            <w:pPr>
              <w:pStyle w:val="751"/>
              <w:rPr>
                <w:color w:val="auto"/>
              </w:rPr>
            </w:pPr>
            <w:r>
              <w:rPr>
                <w:rFonts w:hint="eastAsia"/>
                <w:color w:val="auto"/>
              </w:rPr>
              <w:t>/</w:t>
            </w:r>
          </w:p>
        </w:tc>
        <w:tc>
          <w:tcPr>
            <w:tcW w:w="1230" w:type="dxa"/>
            <w:vAlign w:val="center"/>
          </w:tcPr>
          <w:p w14:paraId="1DB6FC26">
            <w:pPr>
              <w:pStyle w:val="751"/>
              <w:rPr>
                <w:color w:val="auto"/>
              </w:rPr>
            </w:pPr>
            <w:r>
              <w:rPr>
                <w:rFonts w:hint="eastAsia"/>
                <w:color w:val="auto"/>
              </w:rPr>
              <w:t>0</w:t>
            </w:r>
          </w:p>
        </w:tc>
        <w:tc>
          <w:tcPr>
            <w:tcW w:w="0" w:type="auto"/>
            <w:vAlign w:val="center"/>
          </w:tcPr>
          <w:p w14:paraId="45A8FDAE">
            <w:pPr>
              <w:pStyle w:val="751"/>
              <w:rPr>
                <w:color w:val="auto"/>
              </w:rPr>
            </w:pPr>
            <w:r>
              <w:rPr>
                <w:rFonts w:hint="eastAsia"/>
                <w:color w:val="auto"/>
              </w:rPr>
              <w:t>0</w:t>
            </w:r>
          </w:p>
        </w:tc>
        <w:tc>
          <w:tcPr>
            <w:tcW w:w="0" w:type="auto"/>
            <w:vAlign w:val="center"/>
          </w:tcPr>
          <w:p w14:paraId="34A20764">
            <w:pPr>
              <w:pStyle w:val="751"/>
              <w:rPr>
                <w:color w:val="auto"/>
              </w:rPr>
            </w:pPr>
            <w:r>
              <w:rPr>
                <w:rFonts w:hint="eastAsia"/>
                <w:color w:val="auto"/>
              </w:rPr>
              <w:t>0</w:t>
            </w:r>
          </w:p>
        </w:tc>
      </w:tr>
      <w:tr w14:paraId="3286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10E9EA9B">
            <w:pPr>
              <w:pStyle w:val="751"/>
              <w:rPr>
                <w:color w:val="auto"/>
              </w:rPr>
            </w:pPr>
            <w:r>
              <w:rPr>
                <w:color w:val="auto"/>
              </w:rPr>
              <w:t>苯</w:t>
            </w:r>
          </w:p>
        </w:tc>
        <w:tc>
          <w:tcPr>
            <w:tcW w:w="1143" w:type="dxa"/>
            <w:vAlign w:val="center"/>
          </w:tcPr>
          <w:p w14:paraId="6DC48450">
            <w:pPr>
              <w:pStyle w:val="751"/>
              <w:rPr>
                <w:color w:val="auto"/>
              </w:rPr>
            </w:pPr>
            <w:r>
              <w:rPr>
                <w:rFonts w:hint="eastAsia"/>
                <w:color w:val="auto"/>
              </w:rPr>
              <w:t>标准限值</w:t>
            </w:r>
          </w:p>
        </w:tc>
        <w:tc>
          <w:tcPr>
            <w:tcW w:w="1163" w:type="dxa"/>
            <w:vAlign w:val="center"/>
          </w:tcPr>
          <w:p w14:paraId="1C81A122">
            <w:pPr>
              <w:pStyle w:val="751"/>
              <w:rPr>
                <w:color w:val="auto"/>
              </w:rPr>
            </w:pPr>
            <w:r>
              <w:rPr>
                <w:rFonts w:hint="eastAsia"/>
                <w:color w:val="auto"/>
              </w:rPr>
              <w:t>10.0</w:t>
            </w:r>
          </w:p>
        </w:tc>
        <w:tc>
          <w:tcPr>
            <w:tcW w:w="1395" w:type="dxa"/>
            <w:vAlign w:val="center"/>
          </w:tcPr>
          <w:p w14:paraId="564F2464">
            <w:pPr>
              <w:pStyle w:val="751"/>
              <w:rPr>
                <w:color w:val="auto"/>
              </w:rPr>
            </w:pPr>
            <w:r>
              <w:rPr>
                <w:rFonts w:hint="eastAsia"/>
                <w:color w:val="auto"/>
              </w:rPr>
              <w:t>mg/L</w:t>
            </w:r>
          </w:p>
        </w:tc>
        <w:tc>
          <w:tcPr>
            <w:tcW w:w="1230" w:type="dxa"/>
            <w:vAlign w:val="center"/>
          </w:tcPr>
          <w:p w14:paraId="7338B60E">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0" w:type="auto"/>
            <w:vAlign w:val="center"/>
          </w:tcPr>
          <w:p w14:paraId="2CF562F1">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0" w:type="auto"/>
            <w:vAlign w:val="center"/>
          </w:tcPr>
          <w:p w14:paraId="7870D456">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r>
      <w:tr w14:paraId="639C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022BD92">
            <w:pPr>
              <w:pStyle w:val="751"/>
              <w:rPr>
                <w:color w:val="auto"/>
              </w:rPr>
            </w:pPr>
          </w:p>
        </w:tc>
        <w:tc>
          <w:tcPr>
            <w:tcW w:w="2306" w:type="dxa"/>
            <w:gridSpan w:val="2"/>
            <w:vAlign w:val="center"/>
          </w:tcPr>
          <w:p w14:paraId="184C9B7A">
            <w:pPr>
              <w:pStyle w:val="751"/>
              <w:rPr>
                <w:color w:val="auto"/>
              </w:rPr>
            </w:pPr>
            <w:r>
              <w:rPr>
                <w:rFonts w:hint="eastAsia"/>
                <w:color w:val="auto"/>
              </w:rPr>
              <w:t>Pi</w:t>
            </w:r>
          </w:p>
        </w:tc>
        <w:tc>
          <w:tcPr>
            <w:tcW w:w="1395" w:type="dxa"/>
            <w:vAlign w:val="center"/>
          </w:tcPr>
          <w:p w14:paraId="7B5091A7">
            <w:pPr>
              <w:pStyle w:val="751"/>
              <w:rPr>
                <w:color w:val="auto"/>
              </w:rPr>
            </w:pPr>
            <w:r>
              <w:rPr>
                <w:rFonts w:hint="eastAsia"/>
                <w:color w:val="auto"/>
              </w:rPr>
              <w:t>/</w:t>
            </w:r>
          </w:p>
        </w:tc>
        <w:tc>
          <w:tcPr>
            <w:tcW w:w="1230" w:type="dxa"/>
            <w:vAlign w:val="center"/>
          </w:tcPr>
          <w:p w14:paraId="2D1CE35F">
            <w:pPr>
              <w:pStyle w:val="751"/>
              <w:rPr>
                <w:color w:val="auto"/>
              </w:rPr>
            </w:pPr>
            <w:r>
              <w:rPr>
                <w:rFonts w:hint="eastAsia"/>
                <w:color w:val="auto"/>
              </w:rPr>
              <w:t>0.0001</w:t>
            </w:r>
          </w:p>
        </w:tc>
        <w:tc>
          <w:tcPr>
            <w:tcW w:w="0" w:type="auto"/>
            <w:vAlign w:val="center"/>
          </w:tcPr>
          <w:p w14:paraId="4C7DA2AE">
            <w:pPr>
              <w:pStyle w:val="751"/>
              <w:rPr>
                <w:color w:val="auto"/>
              </w:rPr>
            </w:pPr>
            <w:r>
              <w:rPr>
                <w:rFonts w:hint="eastAsia"/>
                <w:color w:val="auto"/>
              </w:rPr>
              <w:t>0.0001</w:t>
            </w:r>
          </w:p>
        </w:tc>
        <w:tc>
          <w:tcPr>
            <w:tcW w:w="0" w:type="auto"/>
            <w:vAlign w:val="center"/>
          </w:tcPr>
          <w:p w14:paraId="36B48936">
            <w:pPr>
              <w:pStyle w:val="751"/>
              <w:rPr>
                <w:color w:val="auto"/>
              </w:rPr>
            </w:pPr>
            <w:r>
              <w:rPr>
                <w:rFonts w:hint="eastAsia"/>
                <w:color w:val="auto"/>
              </w:rPr>
              <w:t>0.0001</w:t>
            </w:r>
          </w:p>
        </w:tc>
      </w:tr>
      <w:tr w14:paraId="1D87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023A9BBE">
            <w:pPr>
              <w:pStyle w:val="751"/>
              <w:rPr>
                <w:color w:val="auto"/>
              </w:rPr>
            </w:pPr>
          </w:p>
        </w:tc>
        <w:tc>
          <w:tcPr>
            <w:tcW w:w="2306" w:type="dxa"/>
            <w:gridSpan w:val="2"/>
            <w:vAlign w:val="center"/>
          </w:tcPr>
          <w:p w14:paraId="7DC5418D">
            <w:pPr>
              <w:pStyle w:val="751"/>
              <w:rPr>
                <w:color w:val="auto"/>
              </w:rPr>
            </w:pPr>
            <w:r>
              <w:rPr>
                <w:rFonts w:hint="eastAsia"/>
                <w:color w:val="auto"/>
              </w:rPr>
              <w:t>超标倍数</w:t>
            </w:r>
          </w:p>
        </w:tc>
        <w:tc>
          <w:tcPr>
            <w:tcW w:w="1395" w:type="dxa"/>
            <w:vAlign w:val="center"/>
          </w:tcPr>
          <w:p w14:paraId="06BF1CD8">
            <w:pPr>
              <w:pStyle w:val="751"/>
              <w:rPr>
                <w:color w:val="auto"/>
              </w:rPr>
            </w:pPr>
            <w:r>
              <w:rPr>
                <w:rFonts w:hint="eastAsia"/>
                <w:color w:val="auto"/>
              </w:rPr>
              <w:t>/</w:t>
            </w:r>
          </w:p>
        </w:tc>
        <w:tc>
          <w:tcPr>
            <w:tcW w:w="1230" w:type="dxa"/>
            <w:vAlign w:val="center"/>
          </w:tcPr>
          <w:p w14:paraId="199B2C19">
            <w:pPr>
              <w:pStyle w:val="751"/>
              <w:rPr>
                <w:color w:val="auto"/>
              </w:rPr>
            </w:pPr>
            <w:r>
              <w:rPr>
                <w:rFonts w:hint="eastAsia"/>
                <w:color w:val="auto"/>
              </w:rPr>
              <w:t>0</w:t>
            </w:r>
          </w:p>
        </w:tc>
        <w:tc>
          <w:tcPr>
            <w:tcW w:w="0" w:type="auto"/>
            <w:vAlign w:val="center"/>
          </w:tcPr>
          <w:p w14:paraId="09D53F8E">
            <w:pPr>
              <w:pStyle w:val="751"/>
              <w:rPr>
                <w:color w:val="auto"/>
              </w:rPr>
            </w:pPr>
            <w:r>
              <w:rPr>
                <w:rFonts w:hint="eastAsia"/>
                <w:color w:val="auto"/>
              </w:rPr>
              <w:t>0</w:t>
            </w:r>
          </w:p>
        </w:tc>
        <w:tc>
          <w:tcPr>
            <w:tcW w:w="0" w:type="auto"/>
            <w:vAlign w:val="center"/>
          </w:tcPr>
          <w:p w14:paraId="385E2AD0">
            <w:pPr>
              <w:pStyle w:val="751"/>
              <w:rPr>
                <w:color w:val="auto"/>
              </w:rPr>
            </w:pPr>
            <w:r>
              <w:rPr>
                <w:rFonts w:hint="eastAsia"/>
                <w:color w:val="auto"/>
              </w:rPr>
              <w:t>0</w:t>
            </w:r>
          </w:p>
        </w:tc>
      </w:tr>
      <w:tr w14:paraId="604B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275C1586">
            <w:pPr>
              <w:pStyle w:val="751"/>
              <w:rPr>
                <w:color w:val="auto"/>
              </w:rPr>
            </w:pPr>
            <w:r>
              <w:rPr>
                <w:color w:val="auto"/>
              </w:rPr>
              <w:t>甲苯</w:t>
            </w:r>
          </w:p>
        </w:tc>
        <w:tc>
          <w:tcPr>
            <w:tcW w:w="1143" w:type="dxa"/>
            <w:vAlign w:val="center"/>
          </w:tcPr>
          <w:p w14:paraId="523BFCDA">
            <w:pPr>
              <w:pStyle w:val="751"/>
              <w:rPr>
                <w:color w:val="auto"/>
              </w:rPr>
            </w:pPr>
            <w:r>
              <w:rPr>
                <w:rFonts w:hint="eastAsia"/>
                <w:color w:val="auto"/>
              </w:rPr>
              <w:t>标准限值</w:t>
            </w:r>
          </w:p>
        </w:tc>
        <w:tc>
          <w:tcPr>
            <w:tcW w:w="1163" w:type="dxa"/>
            <w:vAlign w:val="center"/>
          </w:tcPr>
          <w:p w14:paraId="38632DBF">
            <w:pPr>
              <w:pStyle w:val="751"/>
              <w:rPr>
                <w:color w:val="auto"/>
              </w:rPr>
            </w:pPr>
            <w:r>
              <w:rPr>
                <w:rFonts w:hint="eastAsia"/>
                <w:color w:val="auto"/>
              </w:rPr>
              <w:t>700</w:t>
            </w:r>
          </w:p>
        </w:tc>
        <w:tc>
          <w:tcPr>
            <w:tcW w:w="1395" w:type="dxa"/>
            <w:vAlign w:val="center"/>
          </w:tcPr>
          <w:p w14:paraId="4B0720AF">
            <w:pPr>
              <w:pStyle w:val="751"/>
              <w:rPr>
                <w:color w:val="auto"/>
              </w:rPr>
            </w:pPr>
            <w:r>
              <w:rPr>
                <w:rFonts w:hint="eastAsia"/>
                <w:color w:val="auto"/>
              </w:rPr>
              <w:t>mg/L</w:t>
            </w:r>
          </w:p>
        </w:tc>
        <w:tc>
          <w:tcPr>
            <w:tcW w:w="1230" w:type="dxa"/>
            <w:vAlign w:val="center"/>
          </w:tcPr>
          <w:p w14:paraId="037E4A26">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0" w:type="auto"/>
            <w:vAlign w:val="center"/>
          </w:tcPr>
          <w:p w14:paraId="4972E152">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c>
          <w:tcPr>
            <w:tcW w:w="0" w:type="auto"/>
            <w:vAlign w:val="center"/>
          </w:tcPr>
          <w:p w14:paraId="3106F3AC">
            <w:pPr>
              <w:pStyle w:val="751"/>
              <w:rPr>
                <w:color w:val="auto"/>
              </w:rPr>
            </w:pPr>
            <w:r>
              <w:rPr>
                <w:rFonts w:hint="eastAsia"/>
                <w:color w:val="auto"/>
              </w:rPr>
              <w:t>2</w:t>
            </w:r>
            <w:r>
              <w:rPr>
                <w:color w:val="auto"/>
              </w:rPr>
              <w:t>×10</w:t>
            </w:r>
            <w:r>
              <w:rPr>
                <w:color w:val="auto"/>
                <w:vertAlign w:val="superscript"/>
              </w:rPr>
              <w:t>-3</w:t>
            </w:r>
            <w:r>
              <w:rPr>
                <w:rFonts w:hint="eastAsia"/>
                <w:color w:val="auto"/>
              </w:rPr>
              <w:t>L</w:t>
            </w:r>
          </w:p>
        </w:tc>
      </w:tr>
      <w:tr w14:paraId="7D1C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A0E4D54">
            <w:pPr>
              <w:pStyle w:val="751"/>
              <w:rPr>
                <w:color w:val="auto"/>
              </w:rPr>
            </w:pPr>
          </w:p>
        </w:tc>
        <w:tc>
          <w:tcPr>
            <w:tcW w:w="2306" w:type="dxa"/>
            <w:gridSpan w:val="2"/>
            <w:vAlign w:val="center"/>
          </w:tcPr>
          <w:p w14:paraId="42F887EB">
            <w:pPr>
              <w:pStyle w:val="751"/>
              <w:rPr>
                <w:color w:val="auto"/>
              </w:rPr>
            </w:pPr>
            <w:r>
              <w:rPr>
                <w:rFonts w:hint="eastAsia"/>
                <w:color w:val="auto"/>
              </w:rPr>
              <w:t>Pi</w:t>
            </w:r>
          </w:p>
        </w:tc>
        <w:tc>
          <w:tcPr>
            <w:tcW w:w="1395" w:type="dxa"/>
            <w:vAlign w:val="center"/>
          </w:tcPr>
          <w:p w14:paraId="14D4CC4F">
            <w:pPr>
              <w:pStyle w:val="751"/>
              <w:rPr>
                <w:color w:val="auto"/>
              </w:rPr>
            </w:pPr>
            <w:r>
              <w:rPr>
                <w:rFonts w:hint="eastAsia"/>
                <w:color w:val="auto"/>
              </w:rPr>
              <w:t>/</w:t>
            </w:r>
          </w:p>
        </w:tc>
        <w:tc>
          <w:tcPr>
            <w:tcW w:w="1230" w:type="dxa"/>
            <w:vAlign w:val="center"/>
          </w:tcPr>
          <w:p w14:paraId="4DB64E18">
            <w:pPr>
              <w:pStyle w:val="751"/>
              <w:rPr>
                <w:color w:val="auto"/>
              </w:rPr>
            </w:pPr>
            <w:r>
              <w:rPr>
                <w:rFonts w:hint="eastAsia"/>
                <w:color w:val="auto"/>
              </w:rPr>
              <w:t>1.43×10</w:t>
            </w:r>
            <w:r>
              <w:rPr>
                <w:rFonts w:hint="eastAsia"/>
                <w:color w:val="auto"/>
                <w:vertAlign w:val="superscript"/>
              </w:rPr>
              <w:t>-6</w:t>
            </w:r>
          </w:p>
        </w:tc>
        <w:tc>
          <w:tcPr>
            <w:tcW w:w="0" w:type="auto"/>
            <w:vAlign w:val="center"/>
          </w:tcPr>
          <w:p w14:paraId="0A81242B">
            <w:pPr>
              <w:pStyle w:val="751"/>
              <w:rPr>
                <w:color w:val="auto"/>
              </w:rPr>
            </w:pPr>
            <w:r>
              <w:rPr>
                <w:rFonts w:hint="eastAsia"/>
                <w:color w:val="auto"/>
              </w:rPr>
              <w:t>1.43×10</w:t>
            </w:r>
            <w:r>
              <w:rPr>
                <w:rFonts w:hint="eastAsia"/>
                <w:color w:val="auto"/>
                <w:vertAlign w:val="superscript"/>
              </w:rPr>
              <w:t>-6</w:t>
            </w:r>
          </w:p>
        </w:tc>
        <w:tc>
          <w:tcPr>
            <w:tcW w:w="0" w:type="auto"/>
            <w:vAlign w:val="center"/>
          </w:tcPr>
          <w:p w14:paraId="26DA8759">
            <w:pPr>
              <w:pStyle w:val="751"/>
              <w:rPr>
                <w:color w:val="auto"/>
              </w:rPr>
            </w:pPr>
            <w:r>
              <w:rPr>
                <w:rFonts w:hint="eastAsia"/>
                <w:color w:val="auto"/>
              </w:rPr>
              <w:t>1.43×10</w:t>
            </w:r>
            <w:r>
              <w:rPr>
                <w:rFonts w:hint="eastAsia"/>
                <w:color w:val="auto"/>
                <w:vertAlign w:val="superscript"/>
              </w:rPr>
              <w:t>-6</w:t>
            </w:r>
          </w:p>
        </w:tc>
      </w:tr>
      <w:tr w14:paraId="4919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5D721E1B">
            <w:pPr>
              <w:pStyle w:val="751"/>
              <w:rPr>
                <w:color w:val="auto"/>
              </w:rPr>
            </w:pPr>
          </w:p>
        </w:tc>
        <w:tc>
          <w:tcPr>
            <w:tcW w:w="2306" w:type="dxa"/>
            <w:gridSpan w:val="2"/>
            <w:vAlign w:val="center"/>
          </w:tcPr>
          <w:p w14:paraId="13339DE7">
            <w:pPr>
              <w:pStyle w:val="751"/>
              <w:rPr>
                <w:color w:val="auto"/>
              </w:rPr>
            </w:pPr>
            <w:r>
              <w:rPr>
                <w:rFonts w:hint="eastAsia"/>
                <w:color w:val="auto"/>
              </w:rPr>
              <w:t>超标倍数</w:t>
            </w:r>
          </w:p>
        </w:tc>
        <w:tc>
          <w:tcPr>
            <w:tcW w:w="1395" w:type="dxa"/>
            <w:vAlign w:val="center"/>
          </w:tcPr>
          <w:p w14:paraId="574D1632">
            <w:pPr>
              <w:pStyle w:val="751"/>
              <w:rPr>
                <w:color w:val="auto"/>
              </w:rPr>
            </w:pPr>
            <w:r>
              <w:rPr>
                <w:rFonts w:hint="eastAsia"/>
                <w:color w:val="auto"/>
              </w:rPr>
              <w:t>/</w:t>
            </w:r>
          </w:p>
        </w:tc>
        <w:tc>
          <w:tcPr>
            <w:tcW w:w="1230" w:type="dxa"/>
            <w:vAlign w:val="center"/>
          </w:tcPr>
          <w:p w14:paraId="274D7F9E">
            <w:pPr>
              <w:pStyle w:val="751"/>
              <w:rPr>
                <w:color w:val="auto"/>
              </w:rPr>
            </w:pPr>
            <w:r>
              <w:rPr>
                <w:rFonts w:hint="eastAsia"/>
                <w:color w:val="auto"/>
              </w:rPr>
              <w:t>0</w:t>
            </w:r>
          </w:p>
        </w:tc>
        <w:tc>
          <w:tcPr>
            <w:tcW w:w="0" w:type="auto"/>
            <w:vAlign w:val="center"/>
          </w:tcPr>
          <w:p w14:paraId="2FDE00DB">
            <w:pPr>
              <w:pStyle w:val="751"/>
              <w:rPr>
                <w:color w:val="auto"/>
              </w:rPr>
            </w:pPr>
            <w:r>
              <w:rPr>
                <w:rFonts w:hint="eastAsia"/>
                <w:color w:val="auto"/>
              </w:rPr>
              <w:t>0</w:t>
            </w:r>
          </w:p>
        </w:tc>
        <w:tc>
          <w:tcPr>
            <w:tcW w:w="0" w:type="auto"/>
            <w:vAlign w:val="center"/>
          </w:tcPr>
          <w:p w14:paraId="3941DDFF">
            <w:pPr>
              <w:pStyle w:val="751"/>
              <w:rPr>
                <w:color w:val="auto"/>
              </w:rPr>
            </w:pPr>
            <w:r>
              <w:rPr>
                <w:rFonts w:hint="eastAsia"/>
                <w:color w:val="auto"/>
              </w:rPr>
              <w:t>0</w:t>
            </w:r>
          </w:p>
        </w:tc>
      </w:tr>
      <w:tr w14:paraId="4AB6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5AFE7254">
            <w:pPr>
              <w:pStyle w:val="751"/>
              <w:rPr>
                <w:color w:val="auto"/>
              </w:rPr>
            </w:pPr>
            <w:r>
              <w:rPr>
                <w:rFonts w:hint="eastAsia"/>
                <w:color w:val="auto"/>
                <w:kern w:val="2"/>
              </w:rPr>
              <w:t>三氯甲烷</w:t>
            </w:r>
          </w:p>
        </w:tc>
        <w:tc>
          <w:tcPr>
            <w:tcW w:w="1143" w:type="dxa"/>
            <w:vAlign w:val="center"/>
          </w:tcPr>
          <w:p w14:paraId="4176E9A0">
            <w:pPr>
              <w:pStyle w:val="751"/>
              <w:rPr>
                <w:color w:val="auto"/>
              </w:rPr>
            </w:pPr>
            <w:r>
              <w:rPr>
                <w:rFonts w:hint="eastAsia"/>
                <w:color w:val="auto"/>
              </w:rPr>
              <w:t>标准限值</w:t>
            </w:r>
          </w:p>
        </w:tc>
        <w:tc>
          <w:tcPr>
            <w:tcW w:w="1163" w:type="dxa"/>
            <w:vAlign w:val="center"/>
          </w:tcPr>
          <w:p w14:paraId="250AAED9">
            <w:pPr>
              <w:pStyle w:val="751"/>
              <w:rPr>
                <w:color w:val="auto"/>
              </w:rPr>
            </w:pPr>
            <w:r>
              <w:rPr>
                <w:rFonts w:hint="eastAsia"/>
                <w:color w:val="auto"/>
              </w:rPr>
              <w:t>60</w:t>
            </w:r>
          </w:p>
        </w:tc>
        <w:tc>
          <w:tcPr>
            <w:tcW w:w="1395" w:type="dxa"/>
            <w:vAlign w:val="center"/>
          </w:tcPr>
          <w:p w14:paraId="0768A376">
            <w:pPr>
              <w:pStyle w:val="751"/>
              <w:rPr>
                <w:color w:val="auto"/>
              </w:rPr>
            </w:pPr>
            <w:r>
              <w:rPr>
                <w:rFonts w:hint="eastAsia"/>
                <w:color w:val="auto"/>
              </w:rPr>
              <w:t>mg/L</w:t>
            </w:r>
          </w:p>
        </w:tc>
        <w:tc>
          <w:tcPr>
            <w:tcW w:w="1230" w:type="dxa"/>
            <w:vAlign w:val="center"/>
          </w:tcPr>
          <w:p w14:paraId="6A2DF6A5">
            <w:pPr>
              <w:pStyle w:val="751"/>
              <w:rPr>
                <w:color w:val="auto"/>
              </w:rPr>
            </w:pPr>
            <w:r>
              <w:rPr>
                <w:rFonts w:hint="eastAsia"/>
                <w:color w:val="auto"/>
                <w:kern w:val="2"/>
              </w:rPr>
              <w:t>0.02</w:t>
            </w:r>
            <w:r>
              <w:rPr>
                <w:color w:val="auto"/>
              </w:rPr>
              <w:t>×10</w:t>
            </w:r>
            <w:r>
              <w:rPr>
                <w:color w:val="auto"/>
                <w:vertAlign w:val="superscript"/>
              </w:rPr>
              <w:t>-3</w:t>
            </w:r>
            <w:r>
              <w:rPr>
                <w:rFonts w:hint="eastAsia"/>
                <w:color w:val="auto"/>
              </w:rPr>
              <w:t>L</w:t>
            </w:r>
          </w:p>
        </w:tc>
        <w:tc>
          <w:tcPr>
            <w:tcW w:w="0" w:type="auto"/>
            <w:vAlign w:val="center"/>
          </w:tcPr>
          <w:p w14:paraId="4A622D1A">
            <w:pPr>
              <w:pStyle w:val="751"/>
              <w:rPr>
                <w:color w:val="auto"/>
              </w:rPr>
            </w:pPr>
            <w:r>
              <w:rPr>
                <w:rFonts w:hint="eastAsia"/>
                <w:color w:val="auto"/>
                <w:kern w:val="2"/>
              </w:rPr>
              <w:t>0.02</w:t>
            </w:r>
            <w:r>
              <w:rPr>
                <w:color w:val="auto"/>
              </w:rPr>
              <w:t>×10</w:t>
            </w:r>
            <w:r>
              <w:rPr>
                <w:color w:val="auto"/>
                <w:vertAlign w:val="superscript"/>
              </w:rPr>
              <w:t>-3</w:t>
            </w:r>
            <w:r>
              <w:rPr>
                <w:rFonts w:hint="eastAsia"/>
                <w:color w:val="auto"/>
              </w:rPr>
              <w:t>L</w:t>
            </w:r>
          </w:p>
        </w:tc>
        <w:tc>
          <w:tcPr>
            <w:tcW w:w="0" w:type="auto"/>
            <w:vAlign w:val="center"/>
          </w:tcPr>
          <w:p w14:paraId="61E3B19A">
            <w:pPr>
              <w:pStyle w:val="751"/>
              <w:rPr>
                <w:color w:val="auto"/>
              </w:rPr>
            </w:pPr>
            <w:r>
              <w:rPr>
                <w:rFonts w:hint="eastAsia"/>
                <w:color w:val="auto"/>
                <w:kern w:val="2"/>
              </w:rPr>
              <w:t>0.02</w:t>
            </w:r>
            <w:r>
              <w:rPr>
                <w:color w:val="auto"/>
              </w:rPr>
              <w:t>×10</w:t>
            </w:r>
            <w:r>
              <w:rPr>
                <w:color w:val="auto"/>
                <w:vertAlign w:val="superscript"/>
              </w:rPr>
              <w:t>-3</w:t>
            </w:r>
            <w:r>
              <w:rPr>
                <w:rFonts w:hint="eastAsia"/>
                <w:color w:val="auto"/>
              </w:rPr>
              <w:t>L</w:t>
            </w:r>
          </w:p>
        </w:tc>
      </w:tr>
      <w:tr w14:paraId="0935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FB5604E">
            <w:pPr>
              <w:pStyle w:val="751"/>
              <w:rPr>
                <w:color w:val="auto"/>
                <w:kern w:val="2"/>
              </w:rPr>
            </w:pPr>
          </w:p>
        </w:tc>
        <w:tc>
          <w:tcPr>
            <w:tcW w:w="2306" w:type="dxa"/>
            <w:gridSpan w:val="2"/>
            <w:vAlign w:val="center"/>
          </w:tcPr>
          <w:p w14:paraId="43534C1D">
            <w:pPr>
              <w:pStyle w:val="751"/>
              <w:rPr>
                <w:color w:val="auto"/>
              </w:rPr>
            </w:pPr>
            <w:r>
              <w:rPr>
                <w:rFonts w:hint="eastAsia"/>
                <w:color w:val="auto"/>
              </w:rPr>
              <w:t>Pi</w:t>
            </w:r>
          </w:p>
        </w:tc>
        <w:tc>
          <w:tcPr>
            <w:tcW w:w="1395" w:type="dxa"/>
            <w:vAlign w:val="center"/>
          </w:tcPr>
          <w:p w14:paraId="5EAB1E4C">
            <w:pPr>
              <w:pStyle w:val="751"/>
              <w:rPr>
                <w:color w:val="auto"/>
              </w:rPr>
            </w:pPr>
            <w:r>
              <w:rPr>
                <w:rFonts w:hint="eastAsia"/>
                <w:color w:val="auto"/>
              </w:rPr>
              <w:t>/</w:t>
            </w:r>
          </w:p>
        </w:tc>
        <w:tc>
          <w:tcPr>
            <w:tcW w:w="1230" w:type="dxa"/>
            <w:vAlign w:val="center"/>
          </w:tcPr>
          <w:p w14:paraId="668FE394">
            <w:pPr>
              <w:pStyle w:val="751"/>
              <w:rPr>
                <w:color w:val="auto"/>
                <w:kern w:val="2"/>
              </w:rPr>
            </w:pPr>
            <w:r>
              <w:rPr>
                <w:rFonts w:hint="eastAsia"/>
                <w:color w:val="auto"/>
                <w:kern w:val="2"/>
              </w:rPr>
              <w:t>5</w:t>
            </w:r>
            <w:r>
              <w:rPr>
                <w:rFonts w:hint="eastAsia"/>
                <w:color w:val="auto"/>
              </w:rPr>
              <w:t>×10</w:t>
            </w:r>
            <w:r>
              <w:rPr>
                <w:rFonts w:hint="eastAsia"/>
                <w:color w:val="auto"/>
                <w:vertAlign w:val="superscript"/>
              </w:rPr>
              <w:t>-6</w:t>
            </w:r>
          </w:p>
        </w:tc>
        <w:tc>
          <w:tcPr>
            <w:tcW w:w="0" w:type="auto"/>
            <w:vAlign w:val="center"/>
          </w:tcPr>
          <w:p w14:paraId="030DF6AD">
            <w:pPr>
              <w:pStyle w:val="751"/>
              <w:rPr>
                <w:color w:val="auto"/>
                <w:kern w:val="2"/>
              </w:rPr>
            </w:pPr>
            <w:r>
              <w:rPr>
                <w:rFonts w:hint="eastAsia"/>
                <w:color w:val="auto"/>
                <w:kern w:val="2"/>
              </w:rPr>
              <w:t>5</w:t>
            </w:r>
            <w:r>
              <w:rPr>
                <w:rFonts w:hint="eastAsia"/>
                <w:color w:val="auto"/>
              </w:rPr>
              <w:t>×10</w:t>
            </w:r>
            <w:r>
              <w:rPr>
                <w:rFonts w:hint="eastAsia"/>
                <w:color w:val="auto"/>
                <w:vertAlign w:val="superscript"/>
              </w:rPr>
              <w:t>-6</w:t>
            </w:r>
          </w:p>
        </w:tc>
        <w:tc>
          <w:tcPr>
            <w:tcW w:w="0" w:type="auto"/>
            <w:vAlign w:val="center"/>
          </w:tcPr>
          <w:p w14:paraId="6B312C87">
            <w:pPr>
              <w:pStyle w:val="751"/>
              <w:rPr>
                <w:color w:val="auto"/>
                <w:kern w:val="2"/>
              </w:rPr>
            </w:pPr>
            <w:r>
              <w:rPr>
                <w:rFonts w:hint="eastAsia"/>
                <w:color w:val="auto"/>
                <w:kern w:val="2"/>
              </w:rPr>
              <w:t>5</w:t>
            </w:r>
            <w:r>
              <w:rPr>
                <w:rFonts w:hint="eastAsia"/>
                <w:color w:val="auto"/>
              </w:rPr>
              <w:t>×10</w:t>
            </w:r>
            <w:r>
              <w:rPr>
                <w:rFonts w:hint="eastAsia"/>
                <w:color w:val="auto"/>
                <w:vertAlign w:val="superscript"/>
              </w:rPr>
              <w:t>-6</w:t>
            </w:r>
          </w:p>
        </w:tc>
      </w:tr>
      <w:tr w14:paraId="5B78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C25E2E9">
            <w:pPr>
              <w:pStyle w:val="751"/>
              <w:rPr>
                <w:color w:val="auto"/>
                <w:kern w:val="2"/>
              </w:rPr>
            </w:pPr>
          </w:p>
        </w:tc>
        <w:tc>
          <w:tcPr>
            <w:tcW w:w="2306" w:type="dxa"/>
            <w:gridSpan w:val="2"/>
            <w:vAlign w:val="center"/>
          </w:tcPr>
          <w:p w14:paraId="2E305566">
            <w:pPr>
              <w:pStyle w:val="751"/>
              <w:rPr>
                <w:color w:val="auto"/>
              </w:rPr>
            </w:pPr>
            <w:r>
              <w:rPr>
                <w:rFonts w:hint="eastAsia"/>
                <w:color w:val="auto"/>
              </w:rPr>
              <w:t>超标倍数</w:t>
            </w:r>
          </w:p>
        </w:tc>
        <w:tc>
          <w:tcPr>
            <w:tcW w:w="1395" w:type="dxa"/>
            <w:vAlign w:val="center"/>
          </w:tcPr>
          <w:p w14:paraId="4671A5EB">
            <w:pPr>
              <w:pStyle w:val="751"/>
              <w:rPr>
                <w:color w:val="auto"/>
              </w:rPr>
            </w:pPr>
            <w:r>
              <w:rPr>
                <w:rFonts w:hint="eastAsia"/>
                <w:color w:val="auto"/>
              </w:rPr>
              <w:t>/</w:t>
            </w:r>
          </w:p>
        </w:tc>
        <w:tc>
          <w:tcPr>
            <w:tcW w:w="1230" w:type="dxa"/>
            <w:vAlign w:val="center"/>
          </w:tcPr>
          <w:p w14:paraId="44BE04DE">
            <w:pPr>
              <w:pStyle w:val="751"/>
              <w:rPr>
                <w:color w:val="auto"/>
                <w:kern w:val="2"/>
              </w:rPr>
            </w:pPr>
            <w:r>
              <w:rPr>
                <w:rFonts w:hint="eastAsia"/>
                <w:color w:val="auto"/>
                <w:kern w:val="2"/>
              </w:rPr>
              <w:t>0</w:t>
            </w:r>
          </w:p>
        </w:tc>
        <w:tc>
          <w:tcPr>
            <w:tcW w:w="0" w:type="auto"/>
            <w:vAlign w:val="center"/>
          </w:tcPr>
          <w:p w14:paraId="18E0C9E8">
            <w:pPr>
              <w:pStyle w:val="751"/>
              <w:rPr>
                <w:color w:val="auto"/>
                <w:kern w:val="2"/>
              </w:rPr>
            </w:pPr>
            <w:r>
              <w:rPr>
                <w:rFonts w:hint="eastAsia"/>
                <w:color w:val="auto"/>
                <w:kern w:val="2"/>
              </w:rPr>
              <w:t>0</w:t>
            </w:r>
          </w:p>
        </w:tc>
        <w:tc>
          <w:tcPr>
            <w:tcW w:w="0" w:type="auto"/>
            <w:vAlign w:val="center"/>
          </w:tcPr>
          <w:p w14:paraId="5DCC9620">
            <w:pPr>
              <w:pStyle w:val="751"/>
              <w:rPr>
                <w:color w:val="auto"/>
                <w:kern w:val="2"/>
              </w:rPr>
            </w:pPr>
            <w:r>
              <w:rPr>
                <w:rFonts w:hint="eastAsia"/>
                <w:color w:val="auto"/>
                <w:kern w:val="2"/>
              </w:rPr>
              <w:t>0</w:t>
            </w:r>
          </w:p>
        </w:tc>
      </w:tr>
      <w:tr w14:paraId="0DD6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4A26E719">
            <w:pPr>
              <w:pStyle w:val="751"/>
              <w:rPr>
                <w:color w:val="auto"/>
              </w:rPr>
            </w:pPr>
            <w:r>
              <w:rPr>
                <w:rFonts w:hint="eastAsia"/>
                <w:color w:val="auto"/>
                <w:spacing w:val="-11"/>
              </w:rPr>
              <w:t>四氯化碳</w:t>
            </w:r>
          </w:p>
        </w:tc>
        <w:tc>
          <w:tcPr>
            <w:tcW w:w="1143" w:type="dxa"/>
            <w:vAlign w:val="center"/>
          </w:tcPr>
          <w:p w14:paraId="111FAC82">
            <w:pPr>
              <w:pStyle w:val="751"/>
              <w:rPr>
                <w:color w:val="auto"/>
              </w:rPr>
            </w:pPr>
            <w:r>
              <w:rPr>
                <w:rFonts w:hint="eastAsia"/>
                <w:color w:val="auto"/>
              </w:rPr>
              <w:t>标准限值</w:t>
            </w:r>
          </w:p>
        </w:tc>
        <w:tc>
          <w:tcPr>
            <w:tcW w:w="1163" w:type="dxa"/>
            <w:vAlign w:val="center"/>
          </w:tcPr>
          <w:p w14:paraId="5017CBD9">
            <w:pPr>
              <w:pStyle w:val="751"/>
              <w:rPr>
                <w:color w:val="auto"/>
              </w:rPr>
            </w:pPr>
            <w:r>
              <w:rPr>
                <w:rFonts w:hint="eastAsia"/>
                <w:color w:val="auto"/>
              </w:rPr>
              <w:t>2.0</w:t>
            </w:r>
          </w:p>
        </w:tc>
        <w:tc>
          <w:tcPr>
            <w:tcW w:w="1395" w:type="dxa"/>
            <w:vAlign w:val="center"/>
          </w:tcPr>
          <w:p w14:paraId="555C07C9">
            <w:pPr>
              <w:pStyle w:val="751"/>
              <w:rPr>
                <w:color w:val="auto"/>
              </w:rPr>
            </w:pPr>
            <w:r>
              <w:rPr>
                <w:rFonts w:hint="eastAsia"/>
                <w:color w:val="auto"/>
              </w:rPr>
              <w:t>mg/L</w:t>
            </w:r>
          </w:p>
        </w:tc>
        <w:tc>
          <w:tcPr>
            <w:tcW w:w="1230" w:type="dxa"/>
            <w:vAlign w:val="center"/>
          </w:tcPr>
          <w:p w14:paraId="6985A32E">
            <w:pPr>
              <w:pStyle w:val="751"/>
              <w:rPr>
                <w:color w:val="auto"/>
              </w:rPr>
            </w:pPr>
            <w:r>
              <w:rPr>
                <w:rFonts w:hint="eastAsia"/>
                <w:color w:val="auto"/>
                <w:kern w:val="2"/>
              </w:rPr>
              <w:t>0.03</w:t>
            </w:r>
            <w:r>
              <w:rPr>
                <w:color w:val="auto"/>
              </w:rPr>
              <w:t>×10</w:t>
            </w:r>
            <w:r>
              <w:rPr>
                <w:color w:val="auto"/>
                <w:vertAlign w:val="superscript"/>
              </w:rPr>
              <w:t>-3</w:t>
            </w:r>
            <w:r>
              <w:rPr>
                <w:rFonts w:hint="eastAsia"/>
                <w:color w:val="auto"/>
              </w:rPr>
              <w:t>L</w:t>
            </w:r>
          </w:p>
        </w:tc>
        <w:tc>
          <w:tcPr>
            <w:tcW w:w="0" w:type="auto"/>
            <w:vAlign w:val="center"/>
          </w:tcPr>
          <w:p w14:paraId="67460F2A">
            <w:pPr>
              <w:pStyle w:val="751"/>
              <w:rPr>
                <w:color w:val="auto"/>
              </w:rPr>
            </w:pPr>
            <w:r>
              <w:rPr>
                <w:rFonts w:hint="eastAsia"/>
                <w:color w:val="auto"/>
                <w:kern w:val="2"/>
              </w:rPr>
              <w:t>0.03</w:t>
            </w:r>
            <w:r>
              <w:rPr>
                <w:color w:val="auto"/>
              </w:rPr>
              <w:t>×10</w:t>
            </w:r>
            <w:r>
              <w:rPr>
                <w:color w:val="auto"/>
                <w:vertAlign w:val="superscript"/>
              </w:rPr>
              <w:t>-3</w:t>
            </w:r>
            <w:r>
              <w:rPr>
                <w:rFonts w:hint="eastAsia"/>
                <w:color w:val="auto"/>
              </w:rPr>
              <w:t>L</w:t>
            </w:r>
          </w:p>
        </w:tc>
        <w:tc>
          <w:tcPr>
            <w:tcW w:w="0" w:type="auto"/>
            <w:vAlign w:val="center"/>
          </w:tcPr>
          <w:p w14:paraId="7C3AD8D6">
            <w:pPr>
              <w:pStyle w:val="751"/>
              <w:rPr>
                <w:color w:val="auto"/>
              </w:rPr>
            </w:pPr>
            <w:r>
              <w:rPr>
                <w:rFonts w:hint="eastAsia"/>
                <w:color w:val="auto"/>
                <w:kern w:val="2"/>
              </w:rPr>
              <w:t>0.03</w:t>
            </w:r>
            <w:r>
              <w:rPr>
                <w:color w:val="auto"/>
              </w:rPr>
              <w:t>×10</w:t>
            </w:r>
            <w:r>
              <w:rPr>
                <w:color w:val="auto"/>
                <w:vertAlign w:val="superscript"/>
              </w:rPr>
              <w:t>-3</w:t>
            </w:r>
            <w:r>
              <w:rPr>
                <w:rFonts w:hint="eastAsia"/>
                <w:color w:val="auto"/>
              </w:rPr>
              <w:t>L</w:t>
            </w:r>
          </w:p>
        </w:tc>
      </w:tr>
      <w:tr w14:paraId="4C23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4186981E">
            <w:pPr>
              <w:pStyle w:val="751"/>
              <w:rPr>
                <w:color w:val="auto"/>
                <w:spacing w:val="-11"/>
              </w:rPr>
            </w:pPr>
          </w:p>
        </w:tc>
        <w:tc>
          <w:tcPr>
            <w:tcW w:w="2306" w:type="dxa"/>
            <w:gridSpan w:val="2"/>
            <w:vAlign w:val="center"/>
          </w:tcPr>
          <w:p w14:paraId="6E6658B2">
            <w:pPr>
              <w:pStyle w:val="751"/>
              <w:rPr>
                <w:color w:val="auto"/>
              </w:rPr>
            </w:pPr>
            <w:r>
              <w:rPr>
                <w:rFonts w:hint="eastAsia"/>
                <w:color w:val="auto"/>
              </w:rPr>
              <w:t>Pi</w:t>
            </w:r>
          </w:p>
        </w:tc>
        <w:tc>
          <w:tcPr>
            <w:tcW w:w="1395" w:type="dxa"/>
            <w:vAlign w:val="center"/>
          </w:tcPr>
          <w:p w14:paraId="19F5C38F">
            <w:pPr>
              <w:pStyle w:val="751"/>
              <w:rPr>
                <w:color w:val="auto"/>
              </w:rPr>
            </w:pPr>
            <w:r>
              <w:rPr>
                <w:rFonts w:hint="eastAsia"/>
                <w:color w:val="auto"/>
              </w:rPr>
              <w:t>/</w:t>
            </w:r>
          </w:p>
        </w:tc>
        <w:tc>
          <w:tcPr>
            <w:tcW w:w="1230" w:type="dxa"/>
            <w:vAlign w:val="center"/>
          </w:tcPr>
          <w:p w14:paraId="61376F3E">
            <w:pPr>
              <w:pStyle w:val="751"/>
              <w:rPr>
                <w:color w:val="auto"/>
                <w:kern w:val="2"/>
              </w:rPr>
            </w:pPr>
            <w:r>
              <w:rPr>
                <w:rFonts w:hint="eastAsia"/>
                <w:color w:val="auto"/>
                <w:kern w:val="2"/>
              </w:rPr>
              <w:t>7.5</w:t>
            </w:r>
            <w:r>
              <w:rPr>
                <w:rFonts w:hint="eastAsia"/>
                <w:color w:val="auto"/>
              </w:rPr>
              <w:t>×10</w:t>
            </w:r>
            <w:r>
              <w:rPr>
                <w:rFonts w:hint="eastAsia"/>
                <w:color w:val="auto"/>
                <w:vertAlign w:val="superscript"/>
              </w:rPr>
              <w:t>-6</w:t>
            </w:r>
          </w:p>
        </w:tc>
        <w:tc>
          <w:tcPr>
            <w:tcW w:w="0" w:type="auto"/>
            <w:vAlign w:val="center"/>
          </w:tcPr>
          <w:p w14:paraId="6A975229">
            <w:pPr>
              <w:pStyle w:val="751"/>
              <w:rPr>
                <w:color w:val="auto"/>
                <w:kern w:val="2"/>
              </w:rPr>
            </w:pPr>
            <w:r>
              <w:rPr>
                <w:rFonts w:hint="eastAsia"/>
                <w:color w:val="auto"/>
                <w:kern w:val="2"/>
              </w:rPr>
              <w:t>7.5</w:t>
            </w:r>
            <w:r>
              <w:rPr>
                <w:rFonts w:hint="eastAsia"/>
                <w:color w:val="auto"/>
              </w:rPr>
              <w:t>×10</w:t>
            </w:r>
            <w:r>
              <w:rPr>
                <w:rFonts w:hint="eastAsia"/>
                <w:color w:val="auto"/>
                <w:vertAlign w:val="superscript"/>
              </w:rPr>
              <w:t>-6</w:t>
            </w:r>
          </w:p>
        </w:tc>
        <w:tc>
          <w:tcPr>
            <w:tcW w:w="0" w:type="auto"/>
            <w:vAlign w:val="center"/>
          </w:tcPr>
          <w:p w14:paraId="4D791318">
            <w:pPr>
              <w:pStyle w:val="751"/>
              <w:rPr>
                <w:color w:val="auto"/>
                <w:kern w:val="2"/>
              </w:rPr>
            </w:pPr>
            <w:r>
              <w:rPr>
                <w:rFonts w:hint="eastAsia"/>
                <w:color w:val="auto"/>
                <w:kern w:val="2"/>
              </w:rPr>
              <w:t>7.5</w:t>
            </w:r>
            <w:r>
              <w:rPr>
                <w:rFonts w:hint="eastAsia"/>
                <w:color w:val="auto"/>
              </w:rPr>
              <w:t>×10</w:t>
            </w:r>
            <w:r>
              <w:rPr>
                <w:rFonts w:hint="eastAsia"/>
                <w:color w:val="auto"/>
                <w:vertAlign w:val="superscript"/>
              </w:rPr>
              <w:t>-6</w:t>
            </w:r>
          </w:p>
        </w:tc>
      </w:tr>
      <w:tr w14:paraId="4938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3216C798">
            <w:pPr>
              <w:pStyle w:val="751"/>
              <w:rPr>
                <w:color w:val="auto"/>
                <w:spacing w:val="-11"/>
              </w:rPr>
            </w:pPr>
          </w:p>
        </w:tc>
        <w:tc>
          <w:tcPr>
            <w:tcW w:w="2306" w:type="dxa"/>
            <w:gridSpan w:val="2"/>
            <w:vAlign w:val="center"/>
          </w:tcPr>
          <w:p w14:paraId="08F50302">
            <w:pPr>
              <w:pStyle w:val="751"/>
              <w:rPr>
                <w:color w:val="auto"/>
              </w:rPr>
            </w:pPr>
            <w:r>
              <w:rPr>
                <w:rFonts w:hint="eastAsia"/>
                <w:color w:val="auto"/>
              </w:rPr>
              <w:t>超标倍数</w:t>
            </w:r>
          </w:p>
        </w:tc>
        <w:tc>
          <w:tcPr>
            <w:tcW w:w="1395" w:type="dxa"/>
            <w:vAlign w:val="center"/>
          </w:tcPr>
          <w:p w14:paraId="19EB26E8">
            <w:pPr>
              <w:pStyle w:val="751"/>
              <w:rPr>
                <w:color w:val="auto"/>
              </w:rPr>
            </w:pPr>
            <w:r>
              <w:rPr>
                <w:rFonts w:hint="eastAsia"/>
                <w:color w:val="auto"/>
              </w:rPr>
              <w:t>/</w:t>
            </w:r>
          </w:p>
        </w:tc>
        <w:tc>
          <w:tcPr>
            <w:tcW w:w="1230" w:type="dxa"/>
            <w:vAlign w:val="center"/>
          </w:tcPr>
          <w:p w14:paraId="1314D0C8">
            <w:pPr>
              <w:pStyle w:val="751"/>
              <w:rPr>
                <w:color w:val="auto"/>
                <w:kern w:val="2"/>
              </w:rPr>
            </w:pPr>
            <w:r>
              <w:rPr>
                <w:rFonts w:hint="eastAsia"/>
                <w:color w:val="auto"/>
                <w:kern w:val="2"/>
              </w:rPr>
              <w:t>0</w:t>
            </w:r>
          </w:p>
        </w:tc>
        <w:tc>
          <w:tcPr>
            <w:tcW w:w="0" w:type="auto"/>
            <w:vAlign w:val="center"/>
          </w:tcPr>
          <w:p w14:paraId="500034D1">
            <w:pPr>
              <w:pStyle w:val="751"/>
              <w:rPr>
                <w:color w:val="auto"/>
                <w:kern w:val="2"/>
              </w:rPr>
            </w:pPr>
            <w:r>
              <w:rPr>
                <w:rFonts w:hint="eastAsia"/>
                <w:color w:val="auto"/>
                <w:kern w:val="2"/>
              </w:rPr>
              <w:t>0</w:t>
            </w:r>
          </w:p>
        </w:tc>
        <w:tc>
          <w:tcPr>
            <w:tcW w:w="0" w:type="auto"/>
            <w:vAlign w:val="center"/>
          </w:tcPr>
          <w:p w14:paraId="40E82A0D">
            <w:pPr>
              <w:pStyle w:val="751"/>
              <w:rPr>
                <w:color w:val="auto"/>
                <w:kern w:val="2"/>
              </w:rPr>
            </w:pPr>
            <w:r>
              <w:rPr>
                <w:rFonts w:hint="eastAsia"/>
                <w:color w:val="auto"/>
                <w:kern w:val="2"/>
              </w:rPr>
              <w:t>0</w:t>
            </w:r>
          </w:p>
        </w:tc>
      </w:tr>
      <w:tr w14:paraId="6F8E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299774E2">
            <w:pPr>
              <w:pStyle w:val="751"/>
              <w:rPr>
                <w:color w:val="auto"/>
              </w:rPr>
            </w:pPr>
            <w:r>
              <w:rPr>
                <w:rFonts w:hint="eastAsia"/>
                <w:color w:val="auto"/>
                <w:spacing w:val="-11"/>
              </w:rPr>
              <w:t>铜</w:t>
            </w:r>
          </w:p>
        </w:tc>
        <w:tc>
          <w:tcPr>
            <w:tcW w:w="1143" w:type="dxa"/>
            <w:vAlign w:val="center"/>
          </w:tcPr>
          <w:p w14:paraId="7FECA3F8">
            <w:pPr>
              <w:pStyle w:val="751"/>
              <w:rPr>
                <w:color w:val="auto"/>
              </w:rPr>
            </w:pPr>
            <w:r>
              <w:rPr>
                <w:rFonts w:hint="eastAsia"/>
                <w:color w:val="auto"/>
              </w:rPr>
              <w:t>标准限值</w:t>
            </w:r>
          </w:p>
        </w:tc>
        <w:tc>
          <w:tcPr>
            <w:tcW w:w="1163" w:type="dxa"/>
            <w:vAlign w:val="center"/>
          </w:tcPr>
          <w:p w14:paraId="213F2089">
            <w:pPr>
              <w:pStyle w:val="751"/>
              <w:rPr>
                <w:color w:val="auto"/>
              </w:rPr>
            </w:pPr>
            <w:r>
              <w:rPr>
                <w:rFonts w:hint="eastAsia"/>
                <w:color w:val="auto"/>
              </w:rPr>
              <w:t>1.00</w:t>
            </w:r>
          </w:p>
        </w:tc>
        <w:tc>
          <w:tcPr>
            <w:tcW w:w="1395" w:type="dxa"/>
            <w:vAlign w:val="center"/>
          </w:tcPr>
          <w:p w14:paraId="2DA73FA0">
            <w:pPr>
              <w:pStyle w:val="751"/>
              <w:rPr>
                <w:color w:val="auto"/>
              </w:rPr>
            </w:pPr>
            <w:r>
              <w:rPr>
                <w:rFonts w:hint="eastAsia"/>
                <w:color w:val="auto"/>
              </w:rPr>
              <w:t>mg/L</w:t>
            </w:r>
          </w:p>
        </w:tc>
        <w:tc>
          <w:tcPr>
            <w:tcW w:w="1230" w:type="dxa"/>
            <w:vAlign w:val="center"/>
          </w:tcPr>
          <w:p w14:paraId="6FA4CDC0">
            <w:pPr>
              <w:pStyle w:val="751"/>
              <w:rPr>
                <w:color w:val="auto"/>
              </w:rPr>
            </w:pPr>
            <w:r>
              <w:rPr>
                <w:rFonts w:hint="eastAsia"/>
                <w:bCs/>
                <w:color w:val="auto"/>
              </w:rPr>
              <w:t>0.006L</w:t>
            </w:r>
          </w:p>
        </w:tc>
        <w:tc>
          <w:tcPr>
            <w:tcW w:w="0" w:type="auto"/>
            <w:vAlign w:val="center"/>
          </w:tcPr>
          <w:p w14:paraId="7AABA8DD">
            <w:pPr>
              <w:pStyle w:val="751"/>
              <w:rPr>
                <w:color w:val="auto"/>
              </w:rPr>
            </w:pPr>
            <w:r>
              <w:rPr>
                <w:rFonts w:hint="eastAsia"/>
                <w:bCs/>
                <w:color w:val="auto"/>
              </w:rPr>
              <w:t>0.006L</w:t>
            </w:r>
          </w:p>
        </w:tc>
        <w:tc>
          <w:tcPr>
            <w:tcW w:w="0" w:type="auto"/>
            <w:vAlign w:val="center"/>
          </w:tcPr>
          <w:p w14:paraId="7AD29572">
            <w:pPr>
              <w:pStyle w:val="751"/>
              <w:rPr>
                <w:color w:val="auto"/>
              </w:rPr>
            </w:pPr>
            <w:r>
              <w:rPr>
                <w:rFonts w:hint="eastAsia"/>
                <w:bCs/>
                <w:color w:val="auto"/>
              </w:rPr>
              <w:t>0.006L</w:t>
            </w:r>
          </w:p>
        </w:tc>
      </w:tr>
      <w:tr w14:paraId="6DF8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0C4FA510">
            <w:pPr>
              <w:pStyle w:val="751"/>
              <w:rPr>
                <w:color w:val="auto"/>
                <w:spacing w:val="-11"/>
              </w:rPr>
            </w:pPr>
          </w:p>
        </w:tc>
        <w:tc>
          <w:tcPr>
            <w:tcW w:w="2306" w:type="dxa"/>
            <w:gridSpan w:val="2"/>
            <w:vAlign w:val="center"/>
          </w:tcPr>
          <w:p w14:paraId="6636922B">
            <w:pPr>
              <w:pStyle w:val="751"/>
              <w:rPr>
                <w:color w:val="auto"/>
              </w:rPr>
            </w:pPr>
            <w:r>
              <w:rPr>
                <w:rFonts w:hint="eastAsia"/>
                <w:color w:val="auto"/>
              </w:rPr>
              <w:t>Pi</w:t>
            </w:r>
          </w:p>
        </w:tc>
        <w:tc>
          <w:tcPr>
            <w:tcW w:w="1395" w:type="dxa"/>
            <w:vAlign w:val="center"/>
          </w:tcPr>
          <w:p w14:paraId="4BC4561A">
            <w:pPr>
              <w:pStyle w:val="751"/>
              <w:rPr>
                <w:color w:val="auto"/>
              </w:rPr>
            </w:pPr>
            <w:r>
              <w:rPr>
                <w:rFonts w:hint="eastAsia"/>
                <w:color w:val="auto"/>
              </w:rPr>
              <w:t>/</w:t>
            </w:r>
          </w:p>
        </w:tc>
        <w:tc>
          <w:tcPr>
            <w:tcW w:w="1230" w:type="dxa"/>
            <w:vAlign w:val="center"/>
          </w:tcPr>
          <w:p w14:paraId="138ACD12">
            <w:pPr>
              <w:pStyle w:val="751"/>
              <w:rPr>
                <w:bCs/>
                <w:color w:val="auto"/>
              </w:rPr>
            </w:pPr>
            <w:r>
              <w:rPr>
                <w:rFonts w:hint="eastAsia"/>
                <w:bCs/>
                <w:color w:val="auto"/>
              </w:rPr>
              <w:t>0.003</w:t>
            </w:r>
          </w:p>
        </w:tc>
        <w:tc>
          <w:tcPr>
            <w:tcW w:w="0" w:type="auto"/>
            <w:vAlign w:val="center"/>
          </w:tcPr>
          <w:p w14:paraId="4658FB56">
            <w:pPr>
              <w:pStyle w:val="751"/>
              <w:rPr>
                <w:bCs/>
                <w:color w:val="auto"/>
              </w:rPr>
            </w:pPr>
            <w:r>
              <w:rPr>
                <w:rFonts w:hint="eastAsia"/>
                <w:bCs/>
                <w:color w:val="auto"/>
              </w:rPr>
              <w:t>0.003</w:t>
            </w:r>
          </w:p>
        </w:tc>
        <w:tc>
          <w:tcPr>
            <w:tcW w:w="0" w:type="auto"/>
            <w:vAlign w:val="center"/>
          </w:tcPr>
          <w:p w14:paraId="3EA4D5C0">
            <w:pPr>
              <w:pStyle w:val="751"/>
              <w:rPr>
                <w:bCs/>
                <w:color w:val="auto"/>
              </w:rPr>
            </w:pPr>
            <w:r>
              <w:rPr>
                <w:rFonts w:hint="eastAsia"/>
                <w:bCs/>
                <w:color w:val="auto"/>
              </w:rPr>
              <w:t>0.003</w:t>
            </w:r>
          </w:p>
        </w:tc>
      </w:tr>
      <w:tr w14:paraId="3AF0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2A1B2064">
            <w:pPr>
              <w:pStyle w:val="751"/>
              <w:rPr>
                <w:color w:val="auto"/>
                <w:spacing w:val="-11"/>
              </w:rPr>
            </w:pPr>
          </w:p>
        </w:tc>
        <w:tc>
          <w:tcPr>
            <w:tcW w:w="2306" w:type="dxa"/>
            <w:gridSpan w:val="2"/>
            <w:vAlign w:val="center"/>
          </w:tcPr>
          <w:p w14:paraId="0AFE3F7F">
            <w:pPr>
              <w:pStyle w:val="751"/>
              <w:rPr>
                <w:color w:val="auto"/>
              </w:rPr>
            </w:pPr>
            <w:r>
              <w:rPr>
                <w:rFonts w:hint="eastAsia"/>
                <w:color w:val="auto"/>
              </w:rPr>
              <w:t>超标倍数</w:t>
            </w:r>
          </w:p>
        </w:tc>
        <w:tc>
          <w:tcPr>
            <w:tcW w:w="1395" w:type="dxa"/>
            <w:vAlign w:val="center"/>
          </w:tcPr>
          <w:p w14:paraId="13E84AF4">
            <w:pPr>
              <w:pStyle w:val="751"/>
              <w:rPr>
                <w:color w:val="auto"/>
              </w:rPr>
            </w:pPr>
            <w:r>
              <w:rPr>
                <w:rFonts w:hint="eastAsia"/>
                <w:color w:val="auto"/>
              </w:rPr>
              <w:t>/</w:t>
            </w:r>
          </w:p>
        </w:tc>
        <w:tc>
          <w:tcPr>
            <w:tcW w:w="1230" w:type="dxa"/>
            <w:vAlign w:val="center"/>
          </w:tcPr>
          <w:p w14:paraId="25EDF316">
            <w:pPr>
              <w:pStyle w:val="751"/>
              <w:rPr>
                <w:bCs/>
                <w:color w:val="auto"/>
              </w:rPr>
            </w:pPr>
            <w:r>
              <w:rPr>
                <w:rFonts w:hint="eastAsia"/>
                <w:bCs/>
                <w:color w:val="auto"/>
              </w:rPr>
              <w:t>0</w:t>
            </w:r>
          </w:p>
        </w:tc>
        <w:tc>
          <w:tcPr>
            <w:tcW w:w="0" w:type="auto"/>
            <w:vAlign w:val="center"/>
          </w:tcPr>
          <w:p w14:paraId="7E8C499D">
            <w:pPr>
              <w:pStyle w:val="751"/>
              <w:rPr>
                <w:bCs/>
                <w:color w:val="auto"/>
              </w:rPr>
            </w:pPr>
            <w:r>
              <w:rPr>
                <w:rFonts w:hint="eastAsia"/>
                <w:bCs/>
                <w:color w:val="auto"/>
              </w:rPr>
              <w:t>0</w:t>
            </w:r>
          </w:p>
        </w:tc>
        <w:tc>
          <w:tcPr>
            <w:tcW w:w="0" w:type="auto"/>
            <w:vAlign w:val="center"/>
          </w:tcPr>
          <w:p w14:paraId="4832A91C">
            <w:pPr>
              <w:pStyle w:val="751"/>
              <w:rPr>
                <w:bCs/>
                <w:color w:val="auto"/>
              </w:rPr>
            </w:pPr>
            <w:r>
              <w:rPr>
                <w:rFonts w:hint="eastAsia"/>
                <w:bCs/>
                <w:color w:val="auto"/>
              </w:rPr>
              <w:t>0</w:t>
            </w:r>
          </w:p>
        </w:tc>
      </w:tr>
      <w:tr w14:paraId="6856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restart"/>
            <w:vAlign w:val="center"/>
          </w:tcPr>
          <w:p w14:paraId="3EEDDE72">
            <w:pPr>
              <w:pStyle w:val="751"/>
              <w:rPr>
                <w:color w:val="auto"/>
              </w:rPr>
            </w:pPr>
            <w:r>
              <w:rPr>
                <w:rFonts w:hint="eastAsia"/>
                <w:color w:val="auto"/>
                <w:spacing w:val="-11"/>
              </w:rPr>
              <w:t>锌</w:t>
            </w:r>
          </w:p>
        </w:tc>
        <w:tc>
          <w:tcPr>
            <w:tcW w:w="1143" w:type="dxa"/>
            <w:vAlign w:val="center"/>
          </w:tcPr>
          <w:p w14:paraId="679B128E">
            <w:pPr>
              <w:pStyle w:val="751"/>
              <w:rPr>
                <w:color w:val="auto"/>
              </w:rPr>
            </w:pPr>
            <w:r>
              <w:rPr>
                <w:rFonts w:hint="eastAsia"/>
                <w:color w:val="auto"/>
              </w:rPr>
              <w:t>标准限值</w:t>
            </w:r>
          </w:p>
        </w:tc>
        <w:tc>
          <w:tcPr>
            <w:tcW w:w="1163" w:type="dxa"/>
            <w:vAlign w:val="center"/>
          </w:tcPr>
          <w:p w14:paraId="2686C85A">
            <w:pPr>
              <w:pStyle w:val="751"/>
              <w:rPr>
                <w:color w:val="auto"/>
              </w:rPr>
            </w:pPr>
            <w:r>
              <w:rPr>
                <w:rFonts w:hint="eastAsia"/>
                <w:color w:val="auto"/>
              </w:rPr>
              <w:t>1.00</w:t>
            </w:r>
          </w:p>
        </w:tc>
        <w:tc>
          <w:tcPr>
            <w:tcW w:w="1395" w:type="dxa"/>
            <w:vAlign w:val="center"/>
          </w:tcPr>
          <w:p w14:paraId="36CE129B">
            <w:pPr>
              <w:pStyle w:val="751"/>
              <w:rPr>
                <w:color w:val="auto"/>
              </w:rPr>
            </w:pPr>
            <w:r>
              <w:rPr>
                <w:rFonts w:hint="eastAsia"/>
                <w:color w:val="auto"/>
              </w:rPr>
              <w:t>mg/L</w:t>
            </w:r>
          </w:p>
        </w:tc>
        <w:tc>
          <w:tcPr>
            <w:tcW w:w="1230" w:type="dxa"/>
            <w:vAlign w:val="center"/>
          </w:tcPr>
          <w:p w14:paraId="5595C2AF">
            <w:pPr>
              <w:pStyle w:val="751"/>
              <w:rPr>
                <w:color w:val="auto"/>
              </w:rPr>
            </w:pPr>
            <w:r>
              <w:rPr>
                <w:rFonts w:hint="eastAsia"/>
                <w:bCs/>
                <w:color w:val="auto"/>
              </w:rPr>
              <w:t>0.004L</w:t>
            </w:r>
          </w:p>
        </w:tc>
        <w:tc>
          <w:tcPr>
            <w:tcW w:w="0" w:type="auto"/>
            <w:vAlign w:val="center"/>
          </w:tcPr>
          <w:p w14:paraId="7B1F86CA">
            <w:pPr>
              <w:pStyle w:val="751"/>
              <w:rPr>
                <w:color w:val="auto"/>
              </w:rPr>
            </w:pPr>
            <w:r>
              <w:rPr>
                <w:rFonts w:hint="eastAsia"/>
                <w:bCs/>
                <w:color w:val="auto"/>
              </w:rPr>
              <w:t>0.004L</w:t>
            </w:r>
          </w:p>
        </w:tc>
        <w:tc>
          <w:tcPr>
            <w:tcW w:w="0" w:type="auto"/>
            <w:vAlign w:val="center"/>
          </w:tcPr>
          <w:p w14:paraId="772AC597">
            <w:pPr>
              <w:pStyle w:val="751"/>
              <w:rPr>
                <w:color w:val="auto"/>
              </w:rPr>
            </w:pPr>
            <w:r>
              <w:rPr>
                <w:rFonts w:hint="eastAsia"/>
                <w:bCs/>
                <w:color w:val="auto"/>
              </w:rPr>
              <w:t>0.004L</w:t>
            </w:r>
          </w:p>
        </w:tc>
      </w:tr>
      <w:tr w14:paraId="2366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64FFADA9">
            <w:pPr>
              <w:pStyle w:val="751"/>
              <w:rPr>
                <w:color w:val="auto"/>
                <w:spacing w:val="-11"/>
              </w:rPr>
            </w:pPr>
          </w:p>
        </w:tc>
        <w:tc>
          <w:tcPr>
            <w:tcW w:w="2306" w:type="dxa"/>
            <w:gridSpan w:val="2"/>
            <w:vAlign w:val="center"/>
          </w:tcPr>
          <w:p w14:paraId="7CF070E4">
            <w:pPr>
              <w:pStyle w:val="751"/>
              <w:rPr>
                <w:color w:val="auto"/>
              </w:rPr>
            </w:pPr>
            <w:r>
              <w:rPr>
                <w:rFonts w:hint="eastAsia"/>
                <w:color w:val="auto"/>
              </w:rPr>
              <w:t>Pi</w:t>
            </w:r>
          </w:p>
        </w:tc>
        <w:tc>
          <w:tcPr>
            <w:tcW w:w="1395" w:type="dxa"/>
            <w:vAlign w:val="center"/>
          </w:tcPr>
          <w:p w14:paraId="0EA7AFCF">
            <w:pPr>
              <w:pStyle w:val="751"/>
              <w:rPr>
                <w:color w:val="auto"/>
              </w:rPr>
            </w:pPr>
            <w:r>
              <w:rPr>
                <w:rFonts w:hint="eastAsia"/>
                <w:color w:val="auto"/>
              </w:rPr>
              <w:t>/</w:t>
            </w:r>
          </w:p>
        </w:tc>
        <w:tc>
          <w:tcPr>
            <w:tcW w:w="1230" w:type="dxa"/>
            <w:vAlign w:val="center"/>
          </w:tcPr>
          <w:p w14:paraId="0160FF42">
            <w:pPr>
              <w:pStyle w:val="751"/>
              <w:rPr>
                <w:bCs/>
                <w:color w:val="auto"/>
              </w:rPr>
            </w:pPr>
            <w:r>
              <w:rPr>
                <w:rFonts w:hint="eastAsia"/>
                <w:bCs/>
                <w:color w:val="auto"/>
              </w:rPr>
              <w:t>0.002</w:t>
            </w:r>
          </w:p>
        </w:tc>
        <w:tc>
          <w:tcPr>
            <w:tcW w:w="0" w:type="auto"/>
            <w:vAlign w:val="center"/>
          </w:tcPr>
          <w:p w14:paraId="387AF034">
            <w:pPr>
              <w:pStyle w:val="751"/>
              <w:rPr>
                <w:bCs/>
                <w:color w:val="auto"/>
              </w:rPr>
            </w:pPr>
            <w:r>
              <w:rPr>
                <w:rFonts w:hint="eastAsia"/>
                <w:bCs/>
                <w:color w:val="auto"/>
              </w:rPr>
              <w:t>0.002</w:t>
            </w:r>
          </w:p>
        </w:tc>
        <w:tc>
          <w:tcPr>
            <w:tcW w:w="0" w:type="auto"/>
            <w:vAlign w:val="center"/>
          </w:tcPr>
          <w:p w14:paraId="209EF1FC">
            <w:pPr>
              <w:pStyle w:val="751"/>
              <w:rPr>
                <w:bCs/>
                <w:color w:val="auto"/>
              </w:rPr>
            </w:pPr>
            <w:r>
              <w:rPr>
                <w:rFonts w:hint="eastAsia"/>
                <w:bCs/>
                <w:color w:val="auto"/>
              </w:rPr>
              <w:t>0.002</w:t>
            </w:r>
          </w:p>
        </w:tc>
      </w:tr>
      <w:tr w14:paraId="309E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vMerge w:val="continue"/>
            <w:vAlign w:val="center"/>
          </w:tcPr>
          <w:p w14:paraId="1AAD1551">
            <w:pPr>
              <w:pStyle w:val="751"/>
              <w:rPr>
                <w:color w:val="auto"/>
                <w:spacing w:val="-11"/>
              </w:rPr>
            </w:pPr>
          </w:p>
        </w:tc>
        <w:tc>
          <w:tcPr>
            <w:tcW w:w="2306" w:type="dxa"/>
            <w:gridSpan w:val="2"/>
            <w:vAlign w:val="center"/>
          </w:tcPr>
          <w:p w14:paraId="69426354">
            <w:pPr>
              <w:pStyle w:val="751"/>
              <w:rPr>
                <w:color w:val="auto"/>
              </w:rPr>
            </w:pPr>
            <w:r>
              <w:rPr>
                <w:rFonts w:hint="eastAsia"/>
                <w:color w:val="auto"/>
              </w:rPr>
              <w:t>超标倍数</w:t>
            </w:r>
          </w:p>
        </w:tc>
        <w:tc>
          <w:tcPr>
            <w:tcW w:w="1395" w:type="dxa"/>
            <w:vAlign w:val="center"/>
          </w:tcPr>
          <w:p w14:paraId="4FB3337A">
            <w:pPr>
              <w:pStyle w:val="751"/>
              <w:rPr>
                <w:color w:val="auto"/>
              </w:rPr>
            </w:pPr>
            <w:r>
              <w:rPr>
                <w:rFonts w:hint="eastAsia"/>
                <w:color w:val="auto"/>
              </w:rPr>
              <w:t>/</w:t>
            </w:r>
          </w:p>
        </w:tc>
        <w:tc>
          <w:tcPr>
            <w:tcW w:w="1230" w:type="dxa"/>
            <w:vAlign w:val="center"/>
          </w:tcPr>
          <w:p w14:paraId="52B7020E">
            <w:pPr>
              <w:pStyle w:val="751"/>
              <w:rPr>
                <w:bCs/>
                <w:color w:val="auto"/>
              </w:rPr>
            </w:pPr>
            <w:r>
              <w:rPr>
                <w:rFonts w:hint="eastAsia"/>
                <w:bCs/>
                <w:color w:val="auto"/>
              </w:rPr>
              <w:t>0</w:t>
            </w:r>
          </w:p>
        </w:tc>
        <w:tc>
          <w:tcPr>
            <w:tcW w:w="0" w:type="auto"/>
            <w:vAlign w:val="center"/>
          </w:tcPr>
          <w:p w14:paraId="27E7FD86">
            <w:pPr>
              <w:pStyle w:val="751"/>
              <w:rPr>
                <w:bCs/>
                <w:color w:val="auto"/>
              </w:rPr>
            </w:pPr>
            <w:r>
              <w:rPr>
                <w:rFonts w:hint="eastAsia"/>
                <w:bCs/>
                <w:color w:val="auto"/>
              </w:rPr>
              <w:t>0</w:t>
            </w:r>
          </w:p>
        </w:tc>
        <w:tc>
          <w:tcPr>
            <w:tcW w:w="0" w:type="auto"/>
            <w:vAlign w:val="center"/>
          </w:tcPr>
          <w:p w14:paraId="6498227C">
            <w:pPr>
              <w:pStyle w:val="751"/>
              <w:rPr>
                <w:bCs/>
                <w:color w:val="auto"/>
              </w:rPr>
            </w:pPr>
            <w:r>
              <w:rPr>
                <w:rFonts w:hint="eastAsia"/>
                <w:bCs/>
                <w:color w:val="auto"/>
              </w:rPr>
              <w:t>0</w:t>
            </w:r>
          </w:p>
        </w:tc>
      </w:tr>
      <w:bookmarkEnd w:id="290"/>
      <w:bookmarkEnd w:id="291"/>
      <w:bookmarkEnd w:id="292"/>
      <w:bookmarkEnd w:id="293"/>
      <w:bookmarkEnd w:id="296"/>
    </w:tbl>
    <w:p w14:paraId="1515C6F3">
      <w:pPr>
        <w:pStyle w:val="105"/>
        <w:ind w:firstLine="480"/>
      </w:pPr>
      <w:bookmarkStart w:id="300" w:name="_Toc32610"/>
      <w:r>
        <w:rPr>
          <w:rFonts w:hint="eastAsia"/>
        </w:rPr>
        <w:t>根据地下水环境质量现状监测结果，各监测点位、各监测项目均符合《地下水质量标准》（GB/T14848-2017）Ⅲ类标准要求</w:t>
      </w:r>
      <w:r>
        <w:t>。</w:t>
      </w:r>
    </w:p>
    <w:p w14:paraId="566A3A6C">
      <w:pPr>
        <w:pStyle w:val="105"/>
        <w:ind w:firstLine="0" w:firstLineChars="0"/>
      </w:pPr>
      <w:r>
        <w:rPr>
          <w:rFonts w:hint="eastAsia"/>
        </w:rPr>
        <w:drawing>
          <wp:inline distT="0" distB="0" distL="114300" distR="114300">
            <wp:extent cx="5754370" cy="3646170"/>
            <wp:effectExtent l="0" t="0" r="11430" b="11430"/>
            <wp:docPr id="81" name="图片 81" descr="C:/Users/lianglong/Desktop/微信截图_20240509093310.png微信截图_2024050909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C:/Users/lianglong/Desktop/微信截图_20240509093310.png微信截图_20240509093310"/>
                    <pic:cNvPicPr>
                      <a:picLocks noChangeAspect="1"/>
                    </pic:cNvPicPr>
                  </pic:nvPicPr>
                  <pic:blipFill>
                    <a:blip r:embed="rId49"/>
                    <a:srcRect l="26" r="26"/>
                    <a:stretch>
                      <a:fillRect/>
                    </a:stretch>
                  </pic:blipFill>
                  <pic:spPr>
                    <a:xfrm>
                      <a:off x="0" y="0"/>
                      <a:ext cx="5754370" cy="3646170"/>
                    </a:xfrm>
                    <a:prstGeom prst="rect">
                      <a:avLst/>
                    </a:prstGeom>
                  </pic:spPr>
                </pic:pic>
              </a:graphicData>
            </a:graphic>
          </wp:inline>
        </w:drawing>
      </w:r>
    </w:p>
    <w:p w14:paraId="15B6A61A">
      <w:pPr>
        <w:pStyle w:val="105"/>
        <w:ind w:firstLine="0" w:firstLineChars="0"/>
        <w:jc w:val="center"/>
      </w:pPr>
      <w:r>
        <w:rPr>
          <w:rFonts w:hint="eastAsia"/>
          <w:b/>
          <w:bCs/>
        </w:rPr>
        <w:t>图4.3-2 项目区等水位线图</w:t>
      </w:r>
    </w:p>
    <w:p w14:paraId="65397CFC">
      <w:pPr>
        <w:pStyle w:val="10"/>
      </w:pPr>
      <w:bookmarkStart w:id="301" w:name="_Toc166572296"/>
      <w:r>
        <w:t>4.</w:t>
      </w:r>
      <w:bookmarkStart w:id="302" w:name="_Toc244406150"/>
      <w:bookmarkStart w:id="303" w:name="_Toc225874400"/>
      <w:bookmarkStart w:id="304" w:name="_Toc244406860"/>
      <w:bookmarkStart w:id="305" w:name="_Toc230246379"/>
      <w:bookmarkStart w:id="306" w:name="_Toc246499943"/>
      <w:bookmarkStart w:id="307" w:name="_Toc229383393"/>
      <w:bookmarkStart w:id="308" w:name="_Toc225873596"/>
      <w:r>
        <w:t>4声环境质量现状监测与评价</w:t>
      </w:r>
      <w:bookmarkEnd w:id="300"/>
      <w:bookmarkEnd w:id="301"/>
      <w:bookmarkEnd w:id="302"/>
      <w:bookmarkEnd w:id="303"/>
      <w:bookmarkEnd w:id="304"/>
      <w:bookmarkEnd w:id="305"/>
      <w:bookmarkEnd w:id="306"/>
      <w:bookmarkEnd w:id="307"/>
      <w:bookmarkEnd w:id="308"/>
    </w:p>
    <w:p w14:paraId="3F09B7F2">
      <w:pPr>
        <w:pStyle w:val="105"/>
        <w:ind w:firstLine="480"/>
      </w:pPr>
      <w:r>
        <w:t>本次噪声监测委托内蒙古金玥检测技术有限公司进行监测于2023年6月14-15日，对本项目环境影响评价区域的声环境质量进行了现状监测。</w:t>
      </w:r>
    </w:p>
    <w:p w14:paraId="3462BBB5">
      <w:pPr>
        <w:pStyle w:val="11"/>
      </w:pPr>
      <w:bookmarkStart w:id="309" w:name="_Toc166572297"/>
      <w:r>
        <w:t>4.4.1声环境质量现状监测</w:t>
      </w:r>
      <w:bookmarkEnd w:id="309"/>
    </w:p>
    <w:p w14:paraId="11DE3E9D">
      <w:pPr>
        <w:pStyle w:val="105"/>
        <w:ind w:firstLine="480"/>
      </w:pPr>
      <w:r>
        <w:t>1、监测布点</w:t>
      </w:r>
    </w:p>
    <w:p w14:paraId="57859C72">
      <w:pPr>
        <w:pStyle w:val="105"/>
        <w:ind w:firstLine="480"/>
      </w:pPr>
      <w:r>
        <w:t>根据工程厂址的位置、厂区平面布置及其周围环境特点，为掌握工程所在地噪声环境现状，本次评价分别在项目</w:t>
      </w:r>
      <w:r>
        <w:rPr>
          <w:rFonts w:hint="eastAsia"/>
        </w:rPr>
        <w:t>厂界外东南西北</w:t>
      </w:r>
      <w:r>
        <w:t>1m处各设一个测点，噪声现状监测布点情况具体见图4.</w:t>
      </w:r>
      <w:r>
        <w:rPr>
          <w:rFonts w:hint="eastAsia"/>
        </w:rPr>
        <w:t>4</w:t>
      </w:r>
      <w:r>
        <w:t>-1。</w:t>
      </w:r>
    </w:p>
    <w:p w14:paraId="0E0BF340">
      <w:pPr>
        <w:pStyle w:val="104"/>
        <w:ind w:firstLine="0" w:firstLineChars="0"/>
        <w:jc w:val="center"/>
      </w:pPr>
      <w:r>
        <w:rPr>
          <w:rFonts w:hint="eastAsia"/>
        </w:rPr>
        <w:drawing>
          <wp:inline distT="0" distB="0" distL="114300" distR="114300">
            <wp:extent cx="5759450" cy="3729990"/>
            <wp:effectExtent l="0" t="0" r="6350" b="3810"/>
            <wp:docPr id="39" name="图片 39" descr="C:/Users/lianglong/Desktop/声环境监测布点.png声环境监测布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lianglong/Desktop/声环境监测布点.png声环境监测布点"/>
                    <pic:cNvPicPr>
                      <a:picLocks noChangeAspect="1"/>
                    </pic:cNvPicPr>
                  </pic:nvPicPr>
                  <pic:blipFill>
                    <a:blip r:embed="rId50"/>
                    <a:srcRect l="9" r="9"/>
                    <a:stretch>
                      <a:fillRect/>
                    </a:stretch>
                  </pic:blipFill>
                  <pic:spPr>
                    <a:xfrm>
                      <a:off x="0" y="0"/>
                      <a:ext cx="5759450" cy="3729990"/>
                    </a:xfrm>
                    <a:prstGeom prst="rect">
                      <a:avLst/>
                    </a:prstGeom>
                  </pic:spPr>
                </pic:pic>
              </a:graphicData>
            </a:graphic>
          </wp:inline>
        </w:drawing>
      </w:r>
    </w:p>
    <w:p w14:paraId="32BEB7B3">
      <w:pPr>
        <w:pStyle w:val="104"/>
        <w:ind w:firstLine="0" w:firstLineChars="0"/>
        <w:jc w:val="center"/>
      </w:pPr>
      <w:r>
        <w:rPr>
          <w:rFonts w:hint="eastAsia"/>
          <w:b/>
          <w:bCs/>
        </w:rPr>
        <w:t>图4.4-1 声环境质量现状监测布点图</w:t>
      </w:r>
    </w:p>
    <w:p w14:paraId="37492702">
      <w:pPr>
        <w:pStyle w:val="104"/>
      </w:pPr>
      <w:r>
        <w:t>2、监测时间和频次</w:t>
      </w:r>
    </w:p>
    <w:p w14:paraId="199ACA34">
      <w:pPr>
        <w:pStyle w:val="104"/>
      </w:pPr>
      <w:r>
        <w:t>监测时间为</w:t>
      </w:r>
      <w:r>
        <w:rPr>
          <w:szCs w:val="22"/>
        </w:rPr>
        <w:t>2023年6月14日</w:t>
      </w:r>
      <w:r>
        <w:t>-</w:t>
      </w:r>
      <w:r>
        <w:rPr>
          <w:szCs w:val="22"/>
        </w:rPr>
        <w:t>2023年6月15</w:t>
      </w:r>
      <w:r>
        <w:t>日，监测2天，昼间和夜间各进行一次，昼间监测时间为6:00～22:00，夜间监测时间为22:00～6:00。</w:t>
      </w:r>
    </w:p>
    <w:p w14:paraId="1185E895">
      <w:pPr>
        <w:pStyle w:val="104"/>
      </w:pPr>
      <w:r>
        <w:t>3、监测项目</w:t>
      </w:r>
    </w:p>
    <w:p w14:paraId="36D7F9AE">
      <w:pPr>
        <w:pStyle w:val="104"/>
      </w:pPr>
      <w:r>
        <w:t>连续等效A声级。</w:t>
      </w:r>
    </w:p>
    <w:p w14:paraId="42EEAFCA">
      <w:pPr>
        <w:pStyle w:val="104"/>
      </w:pPr>
      <w:r>
        <w:t>4、监测方法</w:t>
      </w:r>
    </w:p>
    <w:p w14:paraId="12E05311">
      <w:pPr>
        <w:pStyle w:val="104"/>
      </w:pPr>
      <w:r>
        <w:t>本次监测严格按照《声环境质量标准》（GB3096-2008）的规定进行，选择无雨、风速小于5.5m/s时进行测量。</w:t>
      </w:r>
    </w:p>
    <w:p w14:paraId="7D972A21">
      <w:pPr>
        <w:pStyle w:val="104"/>
      </w:pPr>
      <w:r>
        <w:t>5、监测结果</w:t>
      </w:r>
    </w:p>
    <w:p w14:paraId="32418BC8">
      <w:pPr>
        <w:pStyle w:val="104"/>
      </w:pPr>
      <w:r>
        <w:t>噪声监测结果见表4.</w:t>
      </w:r>
      <w:r>
        <w:rPr>
          <w:rFonts w:hint="eastAsia"/>
        </w:rPr>
        <w:t>4</w:t>
      </w:r>
      <w:r>
        <w:t>-</w:t>
      </w:r>
      <w:r>
        <w:rPr>
          <w:rFonts w:hint="eastAsia"/>
        </w:rPr>
        <w:t>1</w:t>
      </w:r>
      <w:r>
        <w:t>。</w:t>
      </w:r>
    </w:p>
    <w:p w14:paraId="7F10999A">
      <w:pPr>
        <w:pStyle w:val="756"/>
      </w:pPr>
      <w:r>
        <w:t>表4.</w:t>
      </w:r>
      <w:r>
        <w:rPr>
          <w:rFonts w:hint="eastAsia"/>
        </w:rPr>
        <w:t>4</w:t>
      </w:r>
      <w:r>
        <w:t>-</w:t>
      </w:r>
      <w:r>
        <w:rPr>
          <w:rFonts w:hint="eastAsia"/>
        </w:rPr>
        <w:t>1</w:t>
      </w:r>
      <w:r>
        <w:t xml:space="preserve">  声环境质量监测结果一览表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135"/>
        <w:gridCol w:w="1250"/>
        <w:gridCol w:w="1417"/>
        <w:gridCol w:w="1631"/>
        <w:gridCol w:w="1476"/>
        <w:gridCol w:w="1202"/>
      </w:tblGrid>
      <w:tr w14:paraId="043A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restart"/>
            <w:vAlign w:val="center"/>
          </w:tcPr>
          <w:p w14:paraId="78BE9138">
            <w:pPr>
              <w:pStyle w:val="756"/>
              <w:rPr>
                <w:b w:val="0"/>
                <w:bCs/>
                <w:sz w:val="21"/>
                <w:szCs w:val="21"/>
              </w:rPr>
            </w:pPr>
            <w:r>
              <w:rPr>
                <w:rFonts w:hint="eastAsia"/>
                <w:b w:val="0"/>
                <w:bCs/>
                <w:sz w:val="21"/>
                <w:szCs w:val="21"/>
              </w:rPr>
              <w:t>时间</w:t>
            </w:r>
          </w:p>
        </w:tc>
        <w:tc>
          <w:tcPr>
            <w:tcW w:w="1135" w:type="dxa"/>
            <w:vMerge w:val="restart"/>
            <w:vAlign w:val="center"/>
          </w:tcPr>
          <w:p w14:paraId="5EB2AE8D">
            <w:pPr>
              <w:pStyle w:val="756"/>
              <w:rPr>
                <w:b w:val="0"/>
                <w:bCs/>
                <w:sz w:val="21"/>
                <w:szCs w:val="21"/>
              </w:rPr>
            </w:pPr>
            <w:r>
              <w:rPr>
                <w:rFonts w:hint="eastAsia"/>
                <w:b w:val="0"/>
                <w:bCs/>
                <w:sz w:val="21"/>
                <w:szCs w:val="21"/>
              </w:rPr>
              <w:t>点位编号</w:t>
            </w:r>
          </w:p>
        </w:tc>
        <w:tc>
          <w:tcPr>
            <w:tcW w:w="1250" w:type="dxa"/>
            <w:vMerge w:val="restart"/>
            <w:vAlign w:val="center"/>
          </w:tcPr>
          <w:p w14:paraId="13419691">
            <w:pPr>
              <w:pStyle w:val="756"/>
              <w:rPr>
                <w:b w:val="0"/>
                <w:bCs/>
                <w:sz w:val="21"/>
                <w:szCs w:val="21"/>
              </w:rPr>
            </w:pPr>
            <w:r>
              <w:rPr>
                <w:rFonts w:hint="eastAsia"/>
                <w:b w:val="0"/>
                <w:bCs/>
                <w:sz w:val="21"/>
                <w:szCs w:val="21"/>
              </w:rPr>
              <w:t>相对位置</w:t>
            </w:r>
          </w:p>
        </w:tc>
        <w:tc>
          <w:tcPr>
            <w:tcW w:w="1417" w:type="dxa"/>
            <w:vMerge w:val="restart"/>
            <w:vAlign w:val="center"/>
          </w:tcPr>
          <w:p w14:paraId="3A9A9C46">
            <w:pPr>
              <w:pStyle w:val="756"/>
              <w:rPr>
                <w:b w:val="0"/>
                <w:bCs/>
                <w:sz w:val="21"/>
                <w:szCs w:val="21"/>
              </w:rPr>
            </w:pPr>
            <w:r>
              <w:rPr>
                <w:rFonts w:hint="eastAsia"/>
                <w:b w:val="0"/>
                <w:bCs/>
                <w:sz w:val="21"/>
                <w:szCs w:val="21"/>
              </w:rPr>
              <w:t>标准限值</w:t>
            </w:r>
          </w:p>
        </w:tc>
        <w:tc>
          <w:tcPr>
            <w:tcW w:w="3107" w:type="dxa"/>
            <w:gridSpan w:val="2"/>
            <w:vAlign w:val="center"/>
          </w:tcPr>
          <w:p w14:paraId="1D91B8E9">
            <w:pPr>
              <w:pStyle w:val="756"/>
              <w:rPr>
                <w:b w:val="0"/>
                <w:bCs/>
                <w:sz w:val="21"/>
                <w:szCs w:val="21"/>
              </w:rPr>
            </w:pPr>
            <w:r>
              <w:rPr>
                <w:rFonts w:hint="eastAsia"/>
                <w:b w:val="0"/>
                <w:bCs/>
                <w:sz w:val="21"/>
                <w:szCs w:val="21"/>
              </w:rPr>
              <w:t>测量值</w:t>
            </w:r>
          </w:p>
        </w:tc>
        <w:tc>
          <w:tcPr>
            <w:tcW w:w="1202" w:type="dxa"/>
            <w:vMerge w:val="restart"/>
            <w:vAlign w:val="center"/>
          </w:tcPr>
          <w:p w14:paraId="06218920">
            <w:pPr>
              <w:pStyle w:val="756"/>
              <w:rPr>
                <w:b w:val="0"/>
                <w:bCs/>
                <w:sz w:val="21"/>
                <w:szCs w:val="21"/>
              </w:rPr>
            </w:pPr>
            <w:r>
              <w:rPr>
                <w:rFonts w:hint="eastAsia"/>
                <w:b w:val="0"/>
                <w:bCs/>
                <w:sz w:val="21"/>
                <w:szCs w:val="21"/>
              </w:rPr>
              <w:t>达标情况</w:t>
            </w:r>
          </w:p>
        </w:tc>
      </w:tr>
      <w:tr w14:paraId="505F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continue"/>
            <w:vAlign w:val="center"/>
          </w:tcPr>
          <w:p w14:paraId="29324FC2">
            <w:pPr>
              <w:pStyle w:val="756"/>
              <w:rPr>
                <w:b w:val="0"/>
                <w:bCs/>
                <w:sz w:val="21"/>
                <w:szCs w:val="21"/>
              </w:rPr>
            </w:pPr>
          </w:p>
        </w:tc>
        <w:tc>
          <w:tcPr>
            <w:tcW w:w="1135" w:type="dxa"/>
            <w:vMerge w:val="continue"/>
            <w:vAlign w:val="center"/>
          </w:tcPr>
          <w:p w14:paraId="474B1FB0">
            <w:pPr>
              <w:pStyle w:val="756"/>
              <w:rPr>
                <w:b w:val="0"/>
                <w:bCs/>
                <w:sz w:val="21"/>
                <w:szCs w:val="21"/>
              </w:rPr>
            </w:pPr>
          </w:p>
        </w:tc>
        <w:tc>
          <w:tcPr>
            <w:tcW w:w="1250" w:type="dxa"/>
            <w:vMerge w:val="continue"/>
            <w:vAlign w:val="center"/>
          </w:tcPr>
          <w:p w14:paraId="3F549B29">
            <w:pPr>
              <w:pStyle w:val="756"/>
              <w:rPr>
                <w:b w:val="0"/>
                <w:bCs/>
                <w:sz w:val="21"/>
                <w:szCs w:val="21"/>
              </w:rPr>
            </w:pPr>
          </w:p>
        </w:tc>
        <w:tc>
          <w:tcPr>
            <w:tcW w:w="1417" w:type="dxa"/>
            <w:vMerge w:val="continue"/>
            <w:vAlign w:val="center"/>
          </w:tcPr>
          <w:p w14:paraId="5DAD414E">
            <w:pPr>
              <w:pStyle w:val="756"/>
              <w:rPr>
                <w:b w:val="0"/>
                <w:bCs/>
                <w:sz w:val="21"/>
                <w:szCs w:val="21"/>
              </w:rPr>
            </w:pPr>
          </w:p>
        </w:tc>
        <w:tc>
          <w:tcPr>
            <w:tcW w:w="1631" w:type="dxa"/>
            <w:vAlign w:val="center"/>
          </w:tcPr>
          <w:p w14:paraId="11EE0275">
            <w:pPr>
              <w:pStyle w:val="756"/>
              <w:rPr>
                <w:b w:val="0"/>
                <w:bCs/>
                <w:sz w:val="21"/>
                <w:szCs w:val="21"/>
              </w:rPr>
            </w:pPr>
            <w:r>
              <w:rPr>
                <w:rFonts w:hint="eastAsia"/>
                <w:b w:val="0"/>
                <w:bCs/>
                <w:sz w:val="21"/>
                <w:szCs w:val="21"/>
              </w:rPr>
              <w:t>昼间dB(A)</w:t>
            </w:r>
          </w:p>
        </w:tc>
        <w:tc>
          <w:tcPr>
            <w:tcW w:w="1476" w:type="dxa"/>
            <w:vAlign w:val="center"/>
          </w:tcPr>
          <w:p w14:paraId="54773B55">
            <w:pPr>
              <w:pStyle w:val="756"/>
              <w:rPr>
                <w:b w:val="0"/>
                <w:bCs/>
                <w:sz w:val="21"/>
                <w:szCs w:val="21"/>
              </w:rPr>
            </w:pPr>
            <w:r>
              <w:rPr>
                <w:rFonts w:hint="eastAsia"/>
                <w:b w:val="0"/>
                <w:bCs/>
                <w:sz w:val="21"/>
                <w:szCs w:val="21"/>
              </w:rPr>
              <w:t>夜间dB(A)</w:t>
            </w:r>
          </w:p>
        </w:tc>
        <w:tc>
          <w:tcPr>
            <w:tcW w:w="1202" w:type="dxa"/>
            <w:vMerge w:val="continue"/>
            <w:vAlign w:val="center"/>
          </w:tcPr>
          <w:p w14:paraId="1816A6E4">
            <w:pPr>
              <w:pStyle w:val="756"/>
              <w:rPr>
                <w:b w:val="0"/>
                <w:bCs/>
                <w:sz w:val="21"/>
                <w:szCs w:val="21"/>
              </w:rPr>
            </w:pPr>
          </w:p>
        </w:tc>
      </w:tr>
      <w:tr w14:paraId="38A4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restart"/>
            <w:vAlign w:val="center"/>
          </w:tcPr>
          <w:p w14:paraId="36FB061B">
            <w:pPr>
              <w:pStyle w:val="756"/>
              <w:rPr>
                <w:b w:val="0"/>
                <w:bCs/>
                <w:sz w:val="21"/>
                <w:szCs w:val="21"/>
              </w:rPr>
            </w:pPr>
            <w:r>
              <w:rPr>
                <w:rFonts w:hint="eastAsia"/>
                <w:b w:val="0"/>
                <w:bCs/>
                <w:sz w:val="21"/>
                <w:szCs w:val="21"/>
              </w:rPr>
              <w:t>2</w:t>
            </w:r>
            <w:r>
              <w:rPr>
                <w:b w:val="0"/>
                <w:bCs/>
                <w:sz w:val="21"/>
                <w:szCs w:val="21"/>
              </w:rPr>
              <w:t>023.6.14</w:t>
            </w:r>
          </w:p>
        </w:tc>
        <w:tc>
          <w:tcPr>
            <w:tcW w:w="1135" w:type="dxa"/>
            <w:vAlign w:val="center"/>
          </w:tcPr>
          <w:p w14:paraId="1499E750">
            <w:pPr>
              <w:pStyle w:val="756"/>
              <w:rPr>
                <w:b w:val="0"/>
                <w:bCs/>
                <w:sz w:val="21"/>
                <w:szCs w:val="21"/>
              </w:rPr>
            </w:pPr>
            <w:r>
              <w:rPr>
                <w:rFonts w:hint="eastAsia"/>
                <w:b w:val="0"/>
                <w:bCs/>
                <w:sz w:val="21"/>
                <w:szCs w:val="21"/>
              </w:rPr>
              <w:t>1#</w:t>
            </w:r>
          </w:p>
        </w:tc>
        <w:tc>
          <w:tcPr>
            <w:tcW w:w="1250" w:type="dxa"/>
            <w:vAlign w:val="center"/>
          </w:tcPr>
          <w:p w14:paraId="207E3F1F">
            <w:pPr>
              <w:pStyle w:val="756"/>
              <w:rPr>
                <w:b w:val="0"/>
                <w:bCs/>
                <w:sz w:val="21"/>
                <w:szCs w:val="21"/>
              </w:rPr>
            </w:pPr>
            <w:r>
              <w:rPr>
                <w:rFonts w:hint="eastAsia"/>
                <w:b w:val="0"/>
                <w:bCs/>
                <w:sz w:val="21"/>
                <w:szCs w:val="21"/>
              </w:rPr>
              <w:t>东</w:t>
            </w:r>
          </w:p>
        </w:tc>
        <w:tc>
          <w:tcPr>
            <w:tcW w:w="1417" w:type="dxa"/>
            <w:vMerge w:val="restart"/>
            <w:vAlign w:val="center"/>
          </w:tcPr>
          <w:p w14:paraId="5C824A5C">
            <w:pPr>
              <w:pStyle w:val="756"/>
              <w:rPr>
                <w:b w:val="0"/>
                <w:bCs/>
                <w:sz w:val="21"/>
                <w:szCs w:val="21"/>
              </w:rPr>
            </w:pPr>
            <w:r>
              <w:rPr>
                <w:rFonts w:hint="eastAsia"/>
                <w:b w:val="0"/>
                <w:bCs/>
                <w:sz w:val="21"/>
                <w:szCs w:val="21"/>
              </w:rPr>
              <w:t>昼间60dB(A)</w:t>
            </w:r>
          </w:p>
          <w:p w14:paraId="2531F9E7">
            <w:pPr>
              <w:pStyle w:val="756"/>
              <w:rPr>
                <w:b w:val="0"/>
                <w:bCs/>
                <w:sz w:val="21"/>
                <w:szCs w:val="21"/>
              </w:rPr>
            </w:pPr>
            <w:r>
              <w:rPr>
                <w:rFonts w:hint="eastAsia"/>
                <w:b w:val="0"/>
                <w:bCs/>
                <w:sz w:val="21"/>
                <w:szCs w:val="21"/>
              </w:rPr>
              <w:t>夜间50dB(A)</w:t>
            </w:r>
          </w:p>
        </w:tc>
        <w:tc>
          <w:tcPr>
            <w:tcW w:w="1631" w:type="dxa"/>
            <w:vAlign w:val="center"/>
          </w:tcPr>
          <w:p w14:paraId="37ED44DE">
            <w:pPr>
              <w:pStyle w:val="756"/>
              <w:rPr>
                <w:b w:val="0"/>
                <w:bCs/>
                <w:sz w:val="21"/>
                <w:szCs w:val="21"/>
              </w:rPr>
            </w:pPr>
            <w:r>
              <w:rPr>
                <w:rFonts w:hint="eastAsia"/>
                <w:b w:val="0"/>
                <w:bCs/>
                <w:kern w:val="0"/>
                <w:sz w:val="21"/>
                <w:szCs w:val="21"/>
              </w:rPr>
              <w:t>46.6</w:t>
            </w:r>
          </w:p>
        </w:tc>
        <w:tc>
          <w:tcPr>
            <w:tcW w:w="1476" w:type="dxa"/>
            <w:vAlign w:val="center"/>
          </w:tcPr>
          <w:p w14:paraId="6CB32BAF">
            <w:pPr>
              <w:pStyle w:val="756"/>
              <w:rPr>
                <w:b w:val="0"/>
                <w:bCs/>
                <w:sz w:val="21"/>
                <w:szCs w:val="21"/>
              </w:rPr>
            </w:pPr>
            <w:r>
              <w:rPr>
                <w:rFonts w:hint="eastAsia"/>
                <w:b w:val="0"/>
                <w:bCs/>
                <w:kern w:val="0"/>
                <w:sz w:val="21"/>
                <w:szCs w:val="21"/>
              </w:rPr>
              <w:t>43.4</w:t>
            </w:r>
          </w:p>
        </w:tc>
        <w:tc>
          <w:tcPr>
            <w:tcW w:w="1202" w:type="dxa"/>
            <w:vAlign w:val="center"/>
          </w:tcPr>
          <w:p w14:paraId="5DE93E1D">
            <w:pPr>
              <w:pStyle w:val="756"/>
              <w:rPr>
                <w:b w:val="0"/>
                <w:bCs/>
                <w:sz w:val="21"/>
                <w:szCs w:val="21"/>
              </w:rPr>
            </w:pPr>
            <w:r>
              <w:rPr>
                <w:rFonts w:hint="eastAsia"/>
                <w:b w:val="0"/>
                <w:bCs/>
                <w:sz w:val="21"/>
                <w:szCs w:val="21"/>
              </w:rPr>
              <w:t>达标</w:t>
            </w:r>
          </w:p>
        </w:tc>
      </w:tr>
      <w:tr w14:paraId="5FF3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continue"/>
            <w:vAlign w:val="center"/>
          </w:tcPr>
          <w:p w14:paraId="328A13BB">
            <w:pPr>
              <w:pStyle w:val="756"/>
              <w:rPr>
                <w:b w:val="0"/>
                <w:bCs/>
                <w:sz w:val="21"/>
                <w:szCs w:val="21"/>
              </w:rPr>
            </w:pPr>
          </w:p>
        </w:tc>
        <w:tc>
          <w:tcPr>
            <w:tcW w:w="1135" w:type="dxa"/>
            <w:vAlign w:val="center"/>
          </w:tcPr>
          <w:p w14:paraId="4B663E61">
            <w:pPr>
              <w:pStyle w:val="756"/>
              <w:rPr>
                <w:b w:val="0"/>
                <w:bCs/>
                <w:sz w:val="21"/>
                <w:szCs w:val="21"/>
              </w:rPr>
            </w:pPr>
            <w:r>
              <w:rPr>
                <w:rFonts w:hint="eastAsia"/>
                <w:b w:val="0"/>
                <w:bCs/>
                <w:sz w:val="21"/>
                <w:szCs w:val="21"/>
              </w:rPr>
              <w:t>2#</w:t>
            </w:r>
          </w:p>
        </w:tc>
        <w:tc>
          <w:tcPr>
            <w:tcW w:w="1250" w:type="dxa"/>
            <w:vAlign w:val="center"/>
          </w:tcPr>
          <w:p w14:paraId="103509E1">
            <w:pPr>
              <w:pStyle w:val="756"/>
              <w:rPr>
                <w:b w:val="0"/>
                <w:bCs/>
                <w:sz w:val="21"/>
                <w:szCs w:val="21"/>
              </w:rPr>
            </w:pPr>
            <w:r>
              <w:rPr>
                <w:rFonts w:hint="eastAsia"/>
                <w:b w:val="0"/>
                <w:bCs/>
                <w:sz w:val="21"/>
                <w:szCs w:val="21"/>
              </w:rPr>
              <w:t>南</w:t>
            </w:r>
          </w:p>
        </w:tc>
        <w:tc>
          <w:tcPr>
            <w:tcW w:w="1417" w:type="dxa"/>
            <w:vMerge w:val="continue"/>
            <w:vAlign w:val="center"/>
          </w:tcPr>
          <w:p w14:paraId="590D8771">
            <w:pPr>
              <w:pStyle w:val="756"/>
              <w:rPr>
                <w:b w:val="0"/>
                <w:bCs/>
                <w:sz w:val="21"/>
                <w:szCs w:val="21"/>
              </w:rPr>
            </w:pPr>
          </w:p>
        </w:tc>
        <w:tc>
          <w:tcPr>
            <w:tcW w:w="1631" w:type="dxa"/>
            <w:vAlign w:val="center"/>
          </w:tcPr>
          <w:p w14:paraId="3CDF78BB">
            <w:pPr>
              <w:pStyle w:val="756"/>
              <w:rPr>
                <w:b w:val="0"/>
                <w:bCs/>
                <w:sz w:val="21"/>
                <w:szCs w:val="21"/>
              </w:rPr>
            </w:pPr>
            <w:r>
              <w:rPr>
                <w:rFonts w:hint="eastAsia"/>
                <w:b w:val="0"/>
                <w:bCs/>
                <w:kern w:val="0"/>
                <w:sz w:val="21"/>
                <w:szCs w:val="21"/>
              </w:rPr>
              <w:t>47.9</w:t>
            </w:r>
          </w:p>
        </w:tc>
        <w:tc>
          <w:tcPr>
            <w:tcW w:w="1476" w:type="dxa"/>
            <w:vAlign w:val="center"/>
          </w:tcPr>
          <w:p w14:paraId="15B42D9E">
            <w:pPr>
              <w:pStyle w:val="756"/>
              <w:rPr>
                <w:b w:val="0"/>
                <w:bCs/>
                <w:sz w:val="21"/>
                <w:szCs w:val="21"/>
              </w:rPr>
            </w:pPr>
            <w:r>
              <w:rPr>
                <w:rFonts w:hint="eastAsia"/>
                <w:b w:val="0"/>
                <w:bCs/>
                <w:kern w:val="0"/>
                <w:sz w:val="21"/>
                <w:szCs w:val="21"/>
              </w:rPr>
              <w:t>43.2</w:t>
            </w:r>
          </w:p>
        </w:tc>
        <w:tc>
          <w:tcPr>
            <w:tcW w:w="1202" w:type="dxa"/>
            <w:vAlign w:val="center"/>
          </w:tcPr>
          <w:p w14:paraId="3AF323D4">
            <w:pPr>
              <w:pStyle w:val="756"/>
              <w:rPr>
                <w:b w:val="0"/>
                <w:bCs/>
                <w:sz w:val="21"/>
                <w:szCs w:val="21"/>
              </w:rPr>
            </w:pPr>
            <w:r>
              <w:rPr>
                <w:rFonts w:hint="eastAsia"/>
                <w:b w:val="0"/>
                <w:bCs/>
                <w:sz w:val="21"/>
                <w:szCs w:val="21"/>
              </w:rPr>
              <w:t>达标</w:t>
            </w:r>
          </w:p>
        </w:tc>
      </w:tr>
      <w:tr w14:paraId="6D64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continue"/>
            <w:vAlign w:val="center"/>
          </w:tcPr>
          <w:p w14:paraId="1DEE1F04">
            <w:pPr>
              <w:pStyle w:val="756"/>
              <w:rPr>
                <w:b w:val="0"/>
                <w:bCs/>
                <w:sz w:val="21"/>
                <w:szCs w:val="21"/>
              </w:rPr>
            </w:pPr>
          </w:p>
        </w:tc>
        <w:tc>
          <w:tcPr>
            <w:tcW w:w="1135" w:type="dxa"/>
            <w:vAlign w:val="center"/>
          </w:tcPr>
          <w:p w14:paraId="0471ED78">
            <w:pPr>
              <w:pStyle w:val="756"/>
              <w:rPr>
                <w:b w:val="0"/>
                <w:bCs/>
                <w:sz w:val="21"/>
                <w:szCs w:val="21"/>
              </w:rPr>
            </w:pPr>
            <w:r>
              <w:rPr>
                <w:rFonts w:hint="eastAsia"/>
                <w:b w:val="0"/>
                <w:bCs/>
                <w:sz w:val="21"/>
                <w:szCs w:val="21"/>
              </w:rPr>
              <w:t>3#</w:t>
            </w:r>
          </w:p>
        </w:tc>
        <w:tc>
          <w:tcPr>
            <w:tcW w:w="1250" w:type="dxa"/>
            <w:vAlign w:val="center"/>
          </w:tcPr>
          <w:p w14:paraId="1CBAC9D5">
            <w:pPr>
              <w:pStyle w:val="756"/>
              <w:rPr>
                <w:b w:val="0"/>
                <w:bCs/>
                <w:sz w:val="21"/>
                <w:szCs w:val="21"/>
              </w:rPr>
            </w:pPr>
            <w:r>
              <w:rPr>
                <w:rFonts w:hint="eastAsia"/>
                <w:b w:val="0"/>
                <w:bCs/>
                <w:sz w:val="21"/>
                <w:szCs w:val="21"/>
              </w:rPr>
              <w:t>西</w:t>
            </w:r>
          </w:p>
        </w:tc>
        <w:tc>
          <w:tcPr>
            <w:tcW w:w="1417" w:type="dxa"/>
            <w:vMerge w:val="continue"/>
            <w:vAlign w:val="center"/>
          </w:tcPr>
          <w:p w14:paraId="45DC63C5">
            <w:pPr>
              <w:pStyle w:val="756"/>
              <w:rPr>
                <w:b w:val="0"/>
                <w:bCs/>
                <w:sz w:val="21"/>
                <w:szCs w:val="21"/>
              </w:rPr>
            </w:pPr>
          </w:p>
        </w:tc>
        <w:tc>
          <w:tcPr>
            <w:tcW w:w="1631" w:type="dxa"/>
            <w:vAlign w:val="center"/>
          </w:tcPr>
          <w:p w14:paraId="67EC147F">
            <w:pPr>
              <w:pStyle w:val="756"/>
              <w:rPr>
                <w:b w:val="0"/>
                <w:bCs/>
                <w:sz w:val="21"/>
                <w:szCs w:val="21"/>
              </w:rPr>
            </w:pPr>
            <w:r>
              <w:rPr>
                <w:rFonts w:hint="eastAsia"/>
                <w:b w:val="0"/>
                <w:bCs/>
                <w:kern w:val="0"/>
                <w:sz w:val="21"/>
                <w:szCs w:val="21"/>
              </w:rPr>
              <w:t>47.4</w:t>
            </w:r>
          </w:p>
        </w:tc>
        <w:tc>
          <w:tcPr>
            <w:tcW w:w="1476" w:type="dxa"/>
            <w:vAlign w:val="center"/>
          </w:tcPr>
          <w:p w14:paraId="6ACAED44">
            <w:pPr>
              <w:pStyle w:val="756"/>
              <w:rPr>
                <w:b w:val="0"/>
                <w:bCs/>
                <w:sz w:val="21"/>
                <w:szCs w:val="21"/>
              </w:rPr>
            </w:pPr>
            <w:r>
              <w:rPr>
                <w:rFonts w:hint="eastAsia"/>
                <w:b w:val="0"/>
                <w:bCs/>
                <w:kern w:val="0"/>
                <w:sz w:val="21"/>
                <w:szCs w:val="21"/>
              </w:rPr>
              <w:t>43.6</w:t>
            </w:r>
          </w:p>
        </w:tc>
        <w:tc>
          <w:tcPr>
            <w:tcW w:w="1202" w:type="dxa"/>
            <w:vAlign w:val="center"/>
          </w:tcPr>
          <w:p w14:paraId="68F078F5">
            <w:pPr>
              <w:pStyle w:val="756"/>
              <w:rPr>
                <w:b w:val="0"/>
                <w:bCs/>
                <w:sz w:val="21"/>
                <w:szCs w:val="21"/>
              </w:rPr>
            </w:pPr>
            <w:r>
              <w:rPr>
                <w:rFonts w:hint="eastAsia"/>
                <w:b w:val="0"/>
                <w:bCs/>
                <w:sz w:val="21"/>
                <w:szCs w:val="21"/>
              </w:rPr>
              <w:t>达标</w:t>
            </w:r>
          </w:p>
        </w:tc>
      </w:tr>
      <w:tr w14:paraId="64E6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continue"/>
            <w:vAlign w:val="center"/>
          </w:tcPr>
          <w:p w14:paraId="6532D820">
            <w:pPr>
              <w:pStyle w:val="756"/>
              <w:rPr>
                <w:b w:val="0"/>
                <w:bCs/>
                <w:sz w:val="21"/>
                <w:szCs w:val="21"/>
              </w:rPr>
            </w:pPr>
          </w:p>
        </w:tc>
        <w:tc>
          <w:tcPr>
            <w:tcW w:w="1135" w:type="dxa"/>
            <w:vAlign w:val="center"/>
          </w:tcPr>
          <w:p w14:paraId="65605481">
            <w:pPr>
              <w:pStyle w:val="756"/>
              <w:rPr>
                <w:b w:val="0"/>
                <w:bCs/>
                <w:sz w:val="21"/>
                <w:szCs w:val="21"/>
              </w:rPr>
            </w:pPr>
            <w:r>
              <w:rPr>
                <w:rFonts w:hint="eastAsia"/>
                <w:b w:val="0"/>
                <w:bCs/>
                <w:sz w:val="21"/>
                <w:szCs w:val="21"/>
              </w:rPr>
              <w:t>4#</w:t>
            </w:r>
          </w:p>
        </w:tc>
        <w:tc>
          <w:tcPr>
            <w:tcW w:w="1250" w:type="dxa"/>
            <w:vAlign w:val="center"/>
          </w:tcPr>
          <w:p w14:paraId="3B6ED8F1">
            <w:pPr>
              <w:pStyle w:val="756"/>
              <w:rPr>
                <w:b w:val="0"/>
                <w:bCs/>
                <w:sz w:val="21"/>
                <w:szCs w:val="21"/>
              </w:rPr>
            </w:pPr>
            <w:r>
              <w:rPr>
                <w:rFonts w:hint="eastAsia"/>
                <w:b w:val="0"/>
                <w:bCs/>
                <w:sz w:val="21"/>
                <w:szCs w:val="21"/>
              </w:rPr>
              <w:t>北</w:t>
            </w:r>
          </w:p>
        </w:tc>
        <w:tc>
          <w:tcPr>
            <w:tcW w:w="1417" w:type="dxa"/>
            <w:vMerge w:val="continue"/>
            <w:vAlign w:val="center"/>
          </w:tcPr>
          <w:p w14:paraId="46EFBB57">
            <w:pPr>
              <w:pStyle w:val="756"/>
              <w:rPr>
                <w:b w:val="0"/>
                <w:bCs/>
                <w:sz w:val="21"/>
                <w:szCs w:val="21"/>
              </w:rPr>
            </w:pPr>
          </w:p>
        </w:tc>
        <w:tc>
          <w:tcPr>
            <w:tcW w:w="1631" w:type="dxa"/>
            <w:vAlign w:val="center"/>
          </w:tcPr>
          <w:p w14:paraId="1BF87C53">
            <w:pPr>
              <w:pStyle w:val="756"/>
              <w:rPr>
                <w:b w:val="0"/>
                <w:bCs/>
                <w:sz w:val="21"/>
                <w:szCs w:val="21"/>
              </w:rPr>
            </w:pPr>
            <w:r>
              <w:rPr>
                <w:rFonts w:hint="eastAsia"/>
                <w:b w:val="0"/>
                <w:bCs/>
                <w:kern w:val="0"/>
                <w:sz w:val="21"/>
                <w:szCs w:val="21"/>
              </w:rPr>
              <w:t>46.5</w:t>
            </w:r>
          </w:p>
        </w:tc>
        <w:tc>
          <w:tcPr>
            <w:tcW w:w="1476" w:type="dxa"/>
            <w:vAlign w:val="center"/>
          </w:tcPr>
          <w:p w14:paraId="75778BA2">
            <w:pPr>
              <w:pStyle w:val="756"/>
              <w:rPr>
                <w:b w:val="0"/>
                <w:bCs/>
                <w:sz w:val="21"/>
                <w:szCs w:val="21"/>
              </w:rPr>
            </w:pPr>
            <w:r>
              <w:rPr>
                <w:rFonts w:hint="eastAsia"/>
                <w:b w:val="0"/>
                <w:bCs/>
                <w:kern w:val="0"/>
                <w:sz w:val="21"/>
                <w:szCs w:val="21"/>
              </w:rPr>
              <w:t>43.8</w:t>
            </w:r>
          </w:p>
        </w:tc>
        <w:tc>
          <w:tcPr>
            <w:tcW w:w="1202" w:type="dxa"/>
            <w:vAlign w:val="center"/>
          </w:tcPr>
          <w:p w14:paraId="50573470">
            <w:pPr>
              <w:pStyle w:val="756"/>
              <w:rPr>
                <w:b w:val="0"/>
                <w:bCs/>
                <w:sz w:val="21"/>
                <w:szCs w:val="21"/>
              </w:rPr>
            </w:pPr>
            <w:r>
              <w:rPr>
                <w:rFonts w:hint="eastAsia"/>
                <w:b w:val="0"/>
                <w:bCs/>
                <w:sz w:val="21"/>
                <w:szCs w:val="21"/>
              </w:rPr>
              <w:t>达标</w:t>
            </w:r>
          </w:p>
        </w:tc>
      </w:tr>
      <w:tr w14:paraId="4704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restart"/>
            <w:vAlign w:val="center"/>
          </w:tcPr>
          <w:p w14:paraId="3E1BCAF9">
            <w:pPr>
              <w:pStyle w:val="756"/>
              <w:rPr>
                <w:b w:val="0"/>
                <w:bCs/>
                <w:sz w:val="21"/>
                <w:szCs w:val="21"/>
              </w:rPr>
            </w:pPr>
            <w:r>
              <w:rPr>
                <w:rFonts w:hint="eastAsia"/>
                <w:b w:val="0"/>
                <w:bCs/>
                <w:sz w:val="21"/>
                <w:szCs w:val="21"/>
              </w:rPr>
              <w:t>2</w:t>
            </w:r>
            <w:r>
              <w:rPr>
                <w:b w:val="0"/>
                <w:bCs/>
                <w:sz w:val="21"/>
                <w:szCs w:val="21"/>
              </w:rPr>
              <w:t>023.6.15</w:t>
            </w:r>
          </w:p>
        </w:tc>
        <w:tc>
          <w:tcPr>
            <w:tcW w:w="1135" w:type="dxa"/>
            <w:vAlign w:val="center"/>
          </w:tcPr>
          <w:p w14:paraId="252B025A">
            <w:pPr>
              <w:pStyle w:val="756"/>
              <w:rPr>
                <w:b w:val="0"/>
                <w:bCs/>
                <w:sz w:val="21"/>
                <w:szCs w:val="21"/>
              </w:rPr>
            </w:pPr>
            <w:r>
              <w:rPr>
                <w:rFonts w:hint="eastAsia"/>
                <w:b w:val="0"/>
                <w:bCs/>
                <w:sz w:val="21"/>
                <w:szCs w:val="21"/>
              </w:rPr>
              <w:t>1#</w:t>
            </w:r>
          </w:p>
        </w:tc>
        <w:tc>
          <w:tcPr>
            <w:tcW w:w="1250" w:type="dxa"/>
            <w:vAlign w:val="center"/>
          </w:tcPr>
          <w:p w14:paraId="15B92267">
            <w:pPr>
              <w:pStyle w:val="756"/>
              <w:rPr>
                <w:b w:val="0"/>
                <w:bCs/>
                <w:sz w:val="21"/>
                <w:szCs w:val="21"/>
              </w:rPr>
            </w:pPr>
            <w:r>
              <w:rPr>
                <w:rFonts w:hint="eastAsia"/>
                <w:b w:val="0"/>
                <w:bCs/>
                <w:sz w:val="21"/>
                <w:szCs w:val="21"/>
              </w:rPr>
              <w:t>东</w:t>
            </w:r>
          </w:p>
        </w:tc>
        <w:tc>
          <w:tcPr>
            <w:tcW w:w="1417" w:type="dxa"/>
            <w:vMerge w:val="continue"/>
            <w:vAlign w:val="center"/>
          </w:tcPr>
          <w:p w14:paraId="29A77DDE">
            <w:pPr>
              <w:pStyle w:val="756"/>
              <w:rPr>
                <w:b w:val="0"/>
                <w:bCs/>
                <w:sz w:val="21"/>
                <w:szCs w:val="21"/>
              </w:rPr>
            </w:pPr>
          </w:p>
        </w:tc>
        <w:tc>
          <w:tcPr>
            <w:tcW w:w="1631" w:type="dxa"/>
            <w:vAlign w:val="center"/>
          </w:tcPr>
          <w:p w14:paraId="38DB1A92">
            <w:pPr>
              <w:pStyle w:val="756"/>
              <w:rPr>
                <w:b w:val="0"/>
                <w:bCs/>
                <w:kern w:val="0"/>
                <w:sz w:val="21"/>
                <w:szCs w:val="21"/>
              </w:rPr>
            </w:pPr>
            <w:r>
              <w:rPr>
                <w:rFonts w:hint="eastAsia"/>
                <w:b w:val="0"/>
                <w:bCs/>
                <w:kern w:val="0"/>
                <w:sz w:val="21"/>
                <w:szCs w:val="21"/>
              </w:rPr>
              <w:t>48.0</w:t>
            </w:r>
          </w:p>
        </w:tc>
        <w:tc>
          <w:tcPr>
            <w:tcW w:w="1476" w:type="dxa"/>
            <w:vAlign w:val="center"/>
          </w:tcPr>
          <w:p w14:paraId="18363A15">
            <w:pPr>
              <w:pStyle w:val="756"/>
              <w:rPr>
                <w:b w:val="0"/>
                <w:bCs/>
                <w:kern w:val="0"/>
                <w:sz w:val="21"/>
                <w:szCs w:val="21"/>
              </w:rPr>
            </w:pPr>
            <w:r>
              <w:rPr>
                <w:rFonts w:hint="eastAsia"/>
                <w:b w:val="0"/>
                <w:bCs/>
                <w:kern w:val="0"/>
                <w:sz w:val="21"/>
                <w:szCs w:val="21"/>
              </w:rPr>
              <w:t>42.9</w:t>
            </w:r>
          </w:p>
        </w:tc>
        <w:tc>
          <w:tcPr>
            <w:tcW w:w="1202" w:type="dxa"/>
            <w:vAlign w:val="center"/>
          </w:tcPr>
          <w:p w14:paraId="764F8D64">
            <w:pPr>
              <w:pStyle w:val="756"/>
              <w:rPr>
                <w:b w:val="0"/>
                <w:bCs/>
                <w:sz w:val="21"/>
                <w:szCs w:val="21"/>
              </w:rPr>
            </w:pPr>
            <w:r>
              <w:rPr>
                <w:rFonts w:hint="eastAsia"/>
                <w:b w:val="0"/>
                <w:bCs/>
                <w:sz w:val="21"/>
                <w:szCs w:val="21"/>
              </w:rPr>
              <w:t>达标</w:t>
            </w:r>
          </w:p>
        </w:tc>
      </w:tr>
      <w:tr w14:paraId="64AF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continue"/>
            <w:vAlign w:val="center"/>
          </w:tcPr>
          <w:p w14:paraId="674AAF24">
            <w:pPr>
              <w:pStyle w:val="756"/>
              <w:rPr>
                <w:b w:val="0"/>
                <w:bCs/>
                <w:sz w:val="21"/>
                <w:szCs w:val="21"/>
              </w:rPr>
            </w:pPr>
          </w:p>
        </w:tc>
        <w:tc>
          <w:tcPr>
            <w:tcW w:w="1135" w:type="dxa"/>
            <w:vAlign w:val="center"/>
          </w:tcPr>
          <w:p w14:paraId="65B01453">
            <w:pPr>
              <w:pStyle w:val="756"/>
              <w:rPr>
                <w:b w:val="0"/>
                <w:bCs/>
                <w:sz w:val="21"/>
                <w:szCs w:val="21"/>
              </w:rPr>
            </w:pPr>
            <w:r>
              <w:rPr>
                <w:rFonts w:hint="eastAsia"/>
                <w:b w:val="0"/>
                <w:bCs/>
                <w:sz w:val="21"/>
                <w:szCs w:val="21"/>
              </w:rPr>
              <w:t>2#</w:t>
            </w:r>
          </w:p>
        </w:tc>
        <w:tc>
          <w:tcPr>
            <w:tcW w:w="1250" w:type="dxa"/>
            <w:vAlign w:val="center"/>
          </w:tcPr>
          <w:p w14:paraId="5467E516">
            <w:pPr>
              <w:pStyle w:val="756"/>
              <w:rPr>
                <w:b w:val="0"/>
                <w:bCs/>
                <w:sz w:val="21"/>
                <w:szCs w:val="21"/>
              </w:rPr>
            </w:pPr>
            <w:r>
              <w:rPr>
                <w:rFonts w:hint="eastAsia"/>
                <w:b w:val="0"/>
                <w:bCs/>
                <w:sz w:val="21"/>
                <w:szCs w:val="21"/>
              </w:rPr>
              <w:t>南</w:t>
            </w:r>
          </w:p>
        </w:tc>
        <w:tc>
          <w:tcPr>
            <w:tcW w:w="1417" w:type="dxa"/>
            <w:vMerge w:val="continue"/>
            <w:vAlign w:val="center"/>
          </w:tcPr>
          <w:p w14:paraId="1A60D4AA">
            <w:pPr>
              <w:pStyle w:val="756"/>
              <w:rPr>
                <w:b w:val="0"/>
                <w:bCs/>
                <w:sz w:val="21"/>
                <w:szCs w:val="21"/>
              </w:rPr>
            </w:pPr>
          </w:p>
        </w:tc>
        <w:tc>
          <w:tcPr>
            <w:tcW w:w="1631" w:type="dxa"/>
            <w:vAlign w:val="center"/>
          </w:tcPr>
          <w:p w14:paraId="2FA769DD">
            <w:pPr>
              <w:pStyle w:val="756"/>
              <w:rPr>
                <w:b w:val="0"/>
                <w:bCs/>
                <w:kern w:val="0"/>
                <w:sz w:val="21"/>
                <w:szCs w:val="21"/>
              </w:rPr>
            </w:pPr>
            <w:r>
              <w:rPr>
                <w:rFonts w:hint="eastAsia"/>
                <w:b w:val="0"/>
                <w:bCs/>
                <w:kern w:val="0"/>
                <w:sz w:val="21"/>
                <w:szCs w:val="21"/>
              </w:rPr>
              <w:t>47.7</w:t>
            </w:r>
          </w:p>
        </w:tc>
        <w:tc>
          <w:tcPr>
            <w:tcW w:w="1476" w:type="dxa"/>
            <w:vAlign w:val="center"/>
          </w:tcPr>
          <w:p w14:paraId="1AFA3EFA">
            <w:pPr>
              <w:pStyle w:val="756"/>
              <w:rPr>
                <w:b w:val="0"/>
                <w:bCs/>
                <w:kern w:val="0"/>
                <w:sz w:val="21"/>
                <w:szCs w:val="21"/>
              </w:rPr>
            </w:pPr>
            <w:r>
              <w:rPr>
                <w:rFonts w:hint="eastAsia"/>
                <w:b w:val="0"/>
                <w:bCs/>
                <w:kern w:val="0"/>
                <w:sz w:val="21"/>
                <w:szCs w:val="21"/>
              </w:rPr>
              <w:t>43.4</w:t>
            </w:r>
          </w:p>
        </w:tc>
        <w:tc>
          <w:tcPr>
            <w:tcW w:w="1202" w:type="dxa"/>
            <w:vAlign w:val="center"/>
          </w:tcPr>
          <w:p w14:paraId="316D6383">
            <w:pPr>
              <w:pStyle w:val="756"/>
              <w:rPr>
                <w:b w:val="0"/>
                <w:bCs/>
                <w:sz w:val="21"/>
                <w:szCs w:val="21"/>
              </w:rPr>
            </w:pPr>
            <w:r>
              <w:rPr>
                <w:rFonts w:hint="eastAsia"/>
                <w:b w:val="0"/>
                <w:bCs/>
                <w:sz w:val="21"/>
                <w:szCs w:val="21"/>
              </w:rPr>
              <w:t>达标</w:t>
            </w:r>
          </w:p>
        </w:tc>
      </w:tr>
      <w:tr w14:paraId="2046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continue"/>
            <w:vAlign w:val="center"/>
          </w:tcPr>
          <w:p w14:paraId="2DBDD45D">
            <w:pPr>
              <w:pStyle w:val="756"/>
              <w:rPr>
                <w:b w:val="0"/>
                <w:bCs/>
                <w:sz w:val="21"/>
                <w:szCs w:val="21"/>
              </w:rPr>
            </w:pPr>
          </w:p>
        </w:tc>
        <w:tc>
          <w:tcPr>
            <w:tcW w:w="1135" w:type="dxa"/>
            <w:vAlign w:val="center"/>
          </w:tcPr>
          <w:p w14:paraId="6273D9F3">
            <w:pPr>
              <w:pStyle w:val="756"/>
              <w:rPr>
                <w:b w:val="0"/>
                <w:bCs/>
                <w:sz w:val="21"/>
                <w:szCs w:val="21"/>
              </w:rPr>
            </w:pPr>
            <w:r>
              <w:rPr>
                <w:rFonts w:hint="eastAsia"/>
                <w:b w:val="0"/>
                <w:bCs/>
                <w:sz w:val="21"/>
                <w:szCs w:val="21"/>
              </w:rPr>
              <w:t>3#</w:t>
            </w:r>
          </w:p>
        </w:tc>
        <w:tc>
          <w:tcPr>
            <w:tcW w:w="1250" w:type="dxa"/>
            <w:vAlign w:val="center"/>
          </w:tcPr>
          <w:p w14:paraId="75CD4732">
            <w:pPr>
              <w:pStyle w:val="756"/>
              <w:rPr>
                <w:b w:val="0"/>
                <w:bCs/>
                <w:sz w:val="21"/>
                <w:szCs w:val="21"/>
              </w:rPr>
            </w:pPr>
            <w:r>
              <w:rPr>
                <w:rFonts w:hint="eastAsia"/>
                <w:b w:val="0"/>
                <w:bCs/>
                <w:sz w:val="21"/>
                <w:szCs w:val="21"/>
              </w:rPr>
              <w:t>西</w:t>
            </w:r>
          </w:p>
        </w:tc>
        <w:tc>
          <w:tcPr>
            <w:tcW w:w="1417" w:type="dxa"/>
            <w:vMerge w:val="continue"/>
            <w:vAlign w:val="center"/>
          </w:tcPr>
          <w:p w14:paraId="0D16C291">
            <w:pPr>
              <w:pStyle w:val="756"/>
              <w:rPr>
                <w:b w:val="0"/>
                <w:bCs/>
                <w:sz w:val="21"/>
                <w:szCs w:val="21"/>
              </w:rPr>
            </w:pPr>
          </w:p>
        </w:tc>
        <w:tc>
          <w:tcPr>
            <w:tcW w:w="1631" w:type="dxa"/>
            <w:vAlign w:val="center"/>
          </w:tcPr>
          <w:p w14:paraId="66640CB3">
            <w:pPr>
              <w:pStyle w:val="756"/>
              <w:rPr>
                <w:b w:val="0"/>
                <w:bCs/>
                <w:kern w:val="0"/>
                <w:sz w:val="21"/>
                <w:szCs w:val="21"/>
              </w:rPr>
            </w:pPr>
            <w:r>
              <w:rPr>
                <w:rFonts w:hint="eastAsia"/>
                <w:b w:val="0"/>
                <w:bCs/>
                <w:kern w:val="0"/>
                <w:sz w:val="21"/>
                <w:szCs w:val="21"/>
              </w:rPr>
              <w:t>46.9</w:t>
            </w:r>
          </w:p>
        </w:tc>
        <w:tc>
          <w:tcPr>
            <w:tcW w:w="1476" w:type="dxa"/>
            <w:vAlign w:val="center"/>
          </w:tcPr>
          <w:p w14:paraId="422DF748">
            <w:pPr>
              <w:pStyle w:val="756"/>
              <w:rPr>
                <w:b w:val="0"/>
                <w:bCs/>
                <w:kern w:val="0"/>
                <w:sz w:val="21"/>
                <w:szCs w:val="21"/>
              </w:rPr>
            </w:pPr>
            <w:r>
              <w:rPr>
                <w:rFonts w:hint="eastAsia"/>
                <w:b w:val="0"/>
                <w:bCs/>
                <w:kern w:val="0"/>
                <w:sz w:val="21"/>
                <w:szCs w:val="21"/>
              </w:rPr>
              <w:t>43.4</w:t>
            </w:r>
          </w:p>
        </w:tc>
        <w:tc>
          <w:tcPr>
            <w:tcW w:w="1202" w:type="dxa"/>
            <w:vAlign w:val="center"/>
          </w:tcPr>
          <w:p w14:paraId="253A2A3E">
            <w:pPr>
              <w:pStyle w:val="756"/>
              <w:rPr>
                <w:b w:val="0"/>
                <w:bCs/>
                <w:sz w:val="21"/>
                <w:szCs w:val="21"/>
              </w:rPr>
            </w:pPr>
            <w:r>
              <w:rPr>
                <w:rFonts w:hint="eastAsia"/>
                <w:b w:val="0"/>
                <w:bCs/>
                <w:sz w:val="21"/>
                <w:szCs w:val="21"/>
              </w:rPr>
              <w:t>达标</w:t>
            </w:r>
          </w:p>
        </w:tc>
      </w:tr>
      <w:tr w14:paraId="77B1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Merge w:val="continue"/>
            <w:vAlign w:val="center"/>
          </w:tcPr>
          <w:p w14:paraId="56891B38">
            <w:pPr>
              <w:pStyle w:val="756"/>
              <w:rPr>
                <w:b w:val="0"/>
                <w:bCs/>
                <w:sz w:val="21"/>
                <w:szCs w:val="21"/>
              </w:rPr>
            </w:pPr>
          </w:p>
        </w:tc>
        <w:tc>
          <w:tcPr>
            <w:tcW w:w="1135" w:type="dxa"/>
            <w:vAlign w:val="center"/>
          </w:tcPr>
          <w:p w14:paraId="7AFAF0E2">
            <w:pPr>
              <w:pStyle w:val="756"/>
              <w:rPr>
                <w:b w:val="0"/>
                <w:bCs/>
                <w:sz w:val="21"/>
                <w:szCs w:val="21"/>
              </w:rPr>
            </w:pPr>
            <w:r>
              <w:rPr>
                <w:rFonts w:hint="eastAsia"/>
                <w:b w:val="0"/>
                <w:bCs/>
                <w:sz w:val="21"/>
                <w:szCs w:val="21"/>
              </w:rPr>
              <w:t>4#</w:t>
            </w:r>
          </w:p>
        </w:tc>
        <w:tc>
          <w:tcPr>
            <w:tcW w:w="1250" w:type="dxa"/>
            <w:vAlign w:val="center"/>
          </w:tcPr>
          <w:p w14:paraId="717FAD1D">
            <w:pPr>
              <w:pStyle w:val="756"/>
              <w:rPr>
                <w:b w:val="0"/>
                <w:bCs/>
                <w:sz w:val="21"/>
                <w:szCs w:val="21"/>
              </w:rPr>
            </w:pPr>
            <w:r>
              <w:rPr>
                <w:rFonts w:hint="eastAsia"/>
                <w:b w:val="0"/>
                <w:bCs/>
                <w:sz w:val="21"/>
                <w:szCs w:val="21"/>
              </w:rPr>
              <w:t>北</w:t>
            </w:r>
          </w:p>
        </w:tc>
        <w:tc>
          <w:tcPr>
            <w:tcW w:w="1417" w:type="dxa"/>
            <w:vMerge w:val="continue"/>
            <w:vAlign w:val="center"/>
          </w:tcPr>
          <w:p w14:paraId="1DAECE0B">
            <w:pPr>
              <w:pStyle w:val="756"/>
              <w:rPr>
                <w:b w:val="0"/>
                <w:bCs/>
                <w:sz w:val="21"/>
                <w:szCs w:val="21"/>
              </w:rPr>
            </w:pPr>
          </w:p>
        </w:tc>
        <w:tc>
          <w:tcPr>
            <w:tcW w:w="1631" w:type="dxa"/>
            <w:vAlign w:val="center"/>
          </w:tcPr>
          <w:p w14:paraId="2A2964D3">
            <w:pPr>
              <w:pStyle w:val="756"/>
              <w:rPr>
                <w:b w:val="0"/>
                <w:bCs/>
                <w:kern w:val="0"/>
                <w:sz w:val="21"/>
                <w:szCs w:val="21"/>
              </w:rPr>
            </w:pPr>
            <w:r>
              <w:rPr>
                <w:rFonts w:hint="eastAsia"/>
                <w:b w:val="0"/>
                <w:bCs/>
                <w:kern w:val="0"/>
                <w:sz w:val="21"/>
                <w:szCs w:val="21"/>
              </w:rPr>
              <w:t>46.4</w:t>
            </w:r>
          </w:p>
        </w:tc>
        <w:tc>
          <w:tcPr>
            <w:tcW w:w="1476" w:type="dxa"/>
            <w:vAlign w:val="center"/>
          </w:tcPr>
          <w:p w14:paraId="66E88031">
            <w:pPr>
              <w:pStyle w:val="756"/>
              <w:rPr>
                <w:b w:val="0"/>
                <w:bCs/>
                <w:kern w:val="0"/>
                <w:sz w:val="21"/>
                <w:szCs w:val="21"/>
              </w:rPr>
            </w:pPr>
            <w:r>
              <w:rPr>
                <w:rFonts w:hint="eastAsia"/>
                <w:b w:val="0"/>
                <w:bCs/>
                <w:kern w:val="0"/>
                <w:sz w:val="21"/>
                <w:szCs w:val="21"/>
              </w:rPr>
              <w:t>43.7</w:t>
            </w:r>
          </w:p>
        </w:tc>
        <w:tc>
          <w:tcPr>
            <w:tcW w:w="1202" w:type="dxa"/>
            <w:vAlign w:val="center"/>
          </w:tcPr>
          <w:p w14:paraId="14E143E8">
            <w:pPr>
              <w:pStyle w:val="756"/>
              <w:rPr>
                <w:b w:val="0"/>
                <w:bCs/>
                <w:sz w:val="21"/>
                <w:szCs w:val="21"/>
              </w:rPr>
            </w:pPr>
            <w:r>
              <w:rPr>
                <w:rFonts w:hint="eastAsia"/>
                <w:b w:val="0"/>
                <w:bCs/>
                <w:sz w:val="21"/>
                <w:szCs w:val="21"/>
              </w:rPr>
              <w:t>达标</w:t>
            </w:r>
          </w:p>
        </w:tc>
      </w:tr>
    </w:tbl>
    <w:p w14:paraId="4829FAAA">
      <w:pPr>
        <w:pStyle w:val="756"/>
      </w:pPr>
    </w:p>
    <w:p w14:paraId="253DAB46">
      <w:pPr>
        <w:pStyle w:val="11"/>
      </w:pPr>
      <w:bookmarkStart w:id="310" w:name="_Toc326843511"/>
      <w:bookmarkStart w:id="311" w:name="_Toc300647747"/>
      <w:bookmarkStart w:id="312" w:name="_Toc166572298"/>
      <w:bookmarkStart w:id="313" w:name="_Toc346715591"/>
      <w:bookmarkStart w:id="314" w:name="_Toc312653503"/>
      <w:bookmarkStart w:id="315" w:name="_Toc304627269"/>
      <w:bookmarkStart w:id="316" w:name="_Toc413141571"/>
      <w:bookmarkStart w:id="317" w:name="_Toc31831"/>
      <w:r>
        <w:t>4.4.2声环境质量现状评价</w:t>
      </w:r>
      <w:bookmarkEnd w:id="310"/>
      <w:bookmarkEnd w:id="311"/>
      <w:bookmarkEnd w:id="312"/>
      <w:bookmarkEnd w:id="313"/>
      <w:bookmarkEnd w:id="314"/>
      <w:bookmarkEnd w:id="315"/>
    </w:p>
    <w:bookmarkEnd w:id="316"/>
    <w:bookmarkEnd w:id="317"/>
    <w:p w14:paraId="7C32EEC0">
      <w:pPr>
        <w:pStyle w:val="104"/>
      </w:pPr>
      <w:r>
        <w:t>1、评</w:t>
      </w:r>
      <w:r>
        <w:rPr>
          <w:rFonts w:hint="eastAsia"/>
        </w:rPr>
        <w:t>价</w:t>
      </w:r>
      <w:r>
        <w:t>标准</w:t>
      </w:r>
    </w:p>
    <w:p w14:paraId="4F41DC60">
      <w:pPr>
        <w:pStyle w:val="104"/>
      </w:pPr>
      <w:r>
        <w:t>厂界执行《声环境质量标准》（GB3096-2008）2类标准，即昼间60dB(A)，夜间50dB(A)。</w:t>
      </w:r>
    </w:p>
    <w:p w14:paraId="058FE6E6">
      <w:pPr>
        <w:pStyle w:val="104"/>
      </w:pPr>
      <w:bookmarkStart w:id="318" w:name="_Toc462668185"/>
      <w:r>
        <w:t>2、评</w:t>
      </w:r>
      <w:r>
        <w:rPr>
          <w:rFonts w:hint="eastAsia"/>
        </w:rPr>
        <w:t>价</w:t>
      </w:r>
      <w:r>
        <w:t>结果</w:t>
      </w:r>
      <w:bookmarkEnd w:id="318"/>
    </w:p>
    <w:p w14:paraId="3B617BB9">
      <w:pPr>
        <w:pStyle w:val="104"/>
      </w:pPr>
      <w:bookmarkStart w:id="319" w:name="_Toc16901"/>
      <w:bookmarkStart w:id="320" w:name="_Toc790"/>
      <w:bookmarkStart w:id="321" w:name="_Toc27791"/>
      <w:bookmarkStart w:id="322" w:name="_Toc3676"/>
      <w:bookmarkStart w:id="323" w:name="_Toc16804"/>
      <w:bookmarkStart w:id="324" w:name="_Toc31550"/>
      <w:r>
        <w:t>由</w:t>
      </w:r>
      <w:r>
        <w:rPr>
          <w:rFonts w:hint="eastAsia"/>
        </w:rPr>
        <w:t>现状监测结果</w:t>
      </w:r>
      <w:r>
        <w:t>，昼夜间各厂界监测点位环境噪声均能满足《声环境质量标准》（GB3096-2008）2类标准要求。</w:t>
      </w:r>
      <w:bookmarkEnd w:id="319"/>
      <w:bookmarkEnd w:id="320"/>
      <w:bookmarkEnd w:id="321"/>
      <w:bookmarkEnd w:id="322"/>
      <w:bookmarkEnd w:id="323"/>
      <w:bookmarkEnd w:id="324"/>
    </w:p>
    <w:p w14:paraId="75F37639">
      <w:pPr>
        <w:pStyle w:val="10"/>
      </w:pPr>
      <w:bookmarkStart w:id="325" w:name="_Toc166572299"/>
      <w:bookmarkStart w:id="326" w:name="_Toc12561"/>
      <w:r>
        <w:t>4.5土壤环境质量现状调查与评价</w:t>
      </w:r>
      <w:bookmarkEnd w:id="325"/>
      <w:bookmarkEnd w:id="326"/>
    </w:p>
    <w:p w14:paraId="057CCAC6">
      <w:pPr>
        <w:pStyle w:val="11"/>
      </w:pPr>
      <w:bookmarkStart w:id="327" w:name="4.6.1土壤现状监测"/>
      <w:bookmarkEnd w:id="327"/>
      <w:bookmarkStart w:id="328" w:name="_Toc166572300"/>
      <w:r>
        <w:t>4.5.1土壤环境质量现状监测</w:t>
      </w:r>
      <w:bookmarkEnd w:id="328"/>
    </w:p>
    <w:p w14:paraId="68005028">
      <w:pPr>
        <w:pStyle w:val="104"/>
        <w:rPr>
          <w:bCs/>
          <w:szCs w:val="24"/>
        </w:rPr>
      </w:pPr>
      <w:r>
        <w:t>本项目委托内蒙古金玥检测技术有限公司于2023年6月</w:t>
      </w:r>
      <w:r>
        <w:rPr>
          <w:bCs/>
          <w:szCs w:val="24"/>
        </w:rPr>
        <w:t>进行了土壤环境质量现状监测，以下为监测详情。</w:t>
      </w:r>
    </w:p>
    <w:p w14:paraId="280DDAFA">
      <w:pPr>
        <w:pStyle w:val="104"/>
      </w:pPr>
      <w:r>
        <w:t>（1）监测布点</w:t>
      </w:r>
    </w:p>
    <w:p w14:paraId="06A2B63A">
      <w:pPr>
        <w:pStyle w:val="104"/>
      </w:pPr>
      <w:r>
        <w:t>根据《环境影响评价技术导则土壤环境（试行）》（HJ964-2018）中有关规定，于厂区内共设3个</w:t>
      </w:r>
      <w:r>
        <w:rPr>
          <w:szCs w:val="21"/>
        </w:rPr>
        <w:t>表层样</w:t>
      </w:r>
      <w:r>
        <w:t>，具体监测点位分布具体见表4.5-1和图4.</w:t>
      </w:r>
      <w:r>
        <w:rPr>
          <w:rFonts w:hint="eastAsia"/>
        </w:rPr>
        <w:t>5</w:t>
      </w:r>
      <w:r>
        <w:t>-1。</w:t>
      </w:r>
    </w:p>
    <w:p w14:paraId="46C90F7C">
      <w:pPr>
        <w:pStyle w:val="756"/>
      </w:pPr>
      <w:r>
        <w:t>表4.5-1  项目厂址土壤现状监测布点情况</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2683"/>
        <w:gridCol w:w="4195"/>
        <w:gridCol w:w="1074"/>
      </w:tblGrid>
      <w:tr w14:paraId="40F8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35" w:type="dxa"/>
            <w:vAlign w:val="center"/>
          </w:tcPr>
          <w:p w14:paraId="7C60356B">
            <w:pPr>
              <w:pStyle w:val="751"/>
              <w:rPr>
                <w:color w:val="auto"/>
              </w:rPr>
            </w:pPr>
            <w:r>
              <w:rPr>
                <w:rFonts w:hint="eastAsia"/>
                <w:color w:val="auto"/>
              </w:rPr>
              <w:t>点位名称</w:t>
            </w:r>
          </w:p>
        </w:tc>
        <w:tc>
          <w:tcPr>
            <w:tcW w:w="2683" w:type="dxa"/>
            <w:vAlign w:val="center"/>
          </w:tcPr>
          <w:p w14:paraId="0A4C4813">
            <w:pPr>
              <w:pStyle w:val="751"/>
              <w:rPr>
                <w:color w:val="auto"/>
              </w:rPr>
            </w:pPr>
            <w:r>
              <w:rPr>
                <w:color w:val="auto"/>
              </w:rPr>
              <w:t>监测样类型及取样深度</w:t>
            </w:r>
          </w:p>
        </w:tc>
        <w:tc>
          <w:tcPr>
            <w:tcW w:w="4195" w:type="dxa"/>
            <w:vAlign w:val="center"/>
          </w:tcPr>
          <w:p w14:paraId="6C1321B8">
            <w:pPr>
              <w:pStyle w:val="751"/>
              <w:rPr>
                <w:color w:val="auto"/>
              </w:rPr>
            </w:pPr>
            <w:r>
              <w:rPr>
                <w:color w:val="auto"/>
              </w:rPr>
              <w:t>监测因子</w:t>
            </w:r>
          </w:p>
        </w:tc>
        <w:tc>
          <w:tcPr>
            <w:tcW w:w="1074" w:type="dxa"/>
            <w:vAlign w:val="center"/>
          </w:tcPr>
          <w:p w14:paraId="4A07D6D0">
            <w:pPr>
              <w:pStyle w:val="751"/>
              <w:rPr>
                <w:color w:val="auto"/>
              </w:rPr>
            </w:pPr>
            <w:r>
              <w:rPr>
                <w:color w:val="auto"/>
              </w:rPr>
              <w:t>监测频次</w:t>
            </w:r>
          </w:p>
        </w:tc>
      </w:tr>
      <w:tr w14:paraId="7255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35" w:type="dxa"/>
            <w:vAlign w:val="center"/>
          </w:tcPr>
          <w:p w14:paraId="4F2E367F">
            <w:pPr>
              <w:pStyle w:val="751"/>
              <w:rPr>
                <w:bCs/>
                <w:color w:val="auto"/>
              </w:rPr>
            </w:pPr>
            <w:r>
              <w:rPr>
                <w:rFonts w:hint="eastAsia"/>
                <w:bCs/>
                <w:color w:val="auto"/>
              </w:rPr>
              <w:t>厂区内1#</w:t>
            </w:r>
          </w:p>
        </w:tc>
        <w:tc>
          <w:tcPr>
            <w:tcW w:w="2683" w:type="dxa"/>
            <w:vAlign w:val="center"/>
          </w:tcPr>
          <w:p w14:paraId="7634181E">
            <w:pPr>
              <w:pStyle w:val="751"/>
              <w:rPr>
                <w:color w:val="auto"/>
              </w:rPr>
            </w:pPr>
            <w:r>
              <w:rPr>
                <w:color w:val="auto"/>
              </w:rPr>
              <w:t>表层样</w:t>
            </w:r>
            <w:r>
              <w:rPr>
                <w:rFonts w:hint="eastAsia"/>
                <w:color w:val="auto"/>
              </w:rPr>
              <w:t>；0~0.2</w:t>
            </w:r>
            <w:r>
              <w:rPr>
                <w:color w:val="auto"/>
              </w:rPr>
              <w:t>m</w:t>
            </w:r>
          </w:p>
        </w:tc>
        <w:tc>
          <w:tcPr>
            <w:tcW w:w="4195" w:type="dxa"/>
            <w:vMerge w:val="restart"/>
            <w:vAlign w:val="center"/>
          </w:tcPr>
          <w:p w14:paraId="032559AA">
            <w:pPr>
              <w:pStyle w:val="751"/>
              <w:rPr>
                <w:color w:val="auto"/>
              </w:rPr>
            </w:pPr>
            <w:r>
              <w:rPr>
                <w:color w:val="auto"/>
              </w:rPr>
              <w:t>镉、汞、砷、铅、铬、镍、pH值、铜、锌共9项</w:t>
            </w:r>
          </w:p>
        </w:tc>
        <w:tc>
          <w:tcPr>
            <w:tcW w:w="1074" w:type="dxa"/>
            <w:vMerge w:val="restart"/>
            <w:vAlign w:val="center"/>
          </w:tcPr>
          <w:p w14:paraId="410EE4DD">
            <w:pPr>
              <w:pStyle w:val="751"/>
              <w:rPr>
                <w:color w:val="auto"/>
              </w:rPr>
            </w:pPr>
            <w:r>
              <w:rPr>
                <w:color w:val="auto"/>
              </w:rPr>
              <w:t>监测一天，一次。</w:t>
            </w:r>
          </w:p>
        </w:tc>
      </w:tr>
      <w:tr w14:paraId="4AC9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35" w:type="dxa"/>
            <w:vAlign w:val="center"/>
          </w:tcPr>
          <w:p w14:paraId="48BA6946">
            <w:pPr>
              <w:pStyle w:val="751"/>
              <w:rPr>
                <w:bCs/>
                <w:color w:val="auto"/>
              </w:rPr>
            </w:pPr>
            <w:r>
              <w:rPr>
                <w:rFonts w:hint="eastAsia"/>
                <w:bCs/>
                <w:color w:val="auto"/>
              </w:rPr>
              <w:t>厂区内2#</w:t>
            </w:r>
          </w:p>
        </w:tc>
        <w:tc>
          <w:tcPr>
            <w:tcW w:w="2683" w:type="dxa"/>
            <w:vAlign w:val="center"/>
          </w:tcPr>
          <w:p w14:paraId="2389BA89">
            <w:pPr>
              <w:pStyle w:val="751"/>
              <w:rPr>
                <w:color w:val="auto"/>
              </w:rPr>
            </w:pPr>
            <w:r>
              <w:rPr>
                <w:color w:val="auto"/>
              </w:rPr>
              <w:t>表层样</w:t>
            </w:r>
            <w:r>
              <w:rPr>
                <w:rFonts w:hint="eastAsia"/>
                <w:color w:val="auto"/>
              </w:rPr>
              <w:t>；0~0.2</w:t>
            </w:r>
            <w:r>
              <w:rPr>
                <w:color w:val="auto"/>
              </w:rPr>
              <w:t>m</w:t>
            </w:r>
          </w:p>
        </w:tc>
        <w:tc>
          <w:tcPr>
            <w:tcW w:w="4195" w:type="dxa"/>
            <w:vMerge w:val="continue"/>
            <w:vAlign w:val="center"/>
          </w:tcPr>
          <w:p w14:paraId="6CA2AB96">
            <w:pPr>
              <w:pStyle w:val="751"/>
              <w:rPr>
                <w:color w:val="auto"/>
              </w:rPr>
            </w:pPr>
          </w:p>
        </w:tc>
        <w:tc>
          <w:tcPr>
            <w:tcW w:w="1074" w:type="dxa"/>
            <w:vMerge w:val="continue"/>
            <w:vAlign w:val="center"/>
          </w:tcPr>
          <w:p w14:paraId="5D211A8D">
            <w:pPr>
              <w:pStyle w:val="751"/>
              <w:rPr>
                <w:color w:val="auto"/>
              </w:rPr>
            </w:pPr>
          </w:p>
        </w:tc>
      </w:tr>
      <w:tr w14:paraId="3A6D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35" w:type="dxa"/>
            <w:vAlign w:val="center"/>
          </w:tcPr>
          <w:p w14:paraId="6675CFE0">
            <w:pPr>
              <w:pStyle w:val="751"/>
              <w:rPr>
                <w:bCs/>
                <w:color w:val="auto"/>
              </w:rPr>
            </w:pPr>
            <w:r>
              <w:rPr>
                <w:rFonts w:hint="eastAsia"/>
                <w:bCs/>
                <w:color w:val="auto"/>
              </w:rPr>
              <w:t>厂区内3#</w:t>
            </w:r>
          </w:p>
        </w:tc>
        <w:tc>
          <w:tcPr>
            <w:tcW w:w="2683" w:type="dxa"/>
            <w:vAlign w:val="center"/>
          </w:tcPr>
          <w:p w14:paraId="69F730D8">
            <w:pPr>
              <w:pStyle w:val="751"/>
              <w:rPr>
                <w:color w:val="auto"/>
              </w:rPr>
            </w:pPr>
            <w:r>
              <w:rPr>
                <w:color w:val="auto"/>
              </w:rPr>
              <w:t>表层样</w:t>
            </w:r>
            <w:r>
              <w:rPr>
                <w:rFonts w:hint="eastAsia"/>
                <w:color w:val="auto"/>
              </w:rPr>
              <w:t>；0~0.2</w:t>
            </w:r>
            <w:r>
              <w:rPr>
                <w:color w:val="auto"/>
              </w:rPr>
              <w:t>m</w:t>
            </w:r>
          </w:p>
        </w:tc>
        <w:tc>
          <w:tcPr>
            <w:tcW w:w="4195" w:type="dxa"/>
            <w:vMerge w:val="continue"/>
            <w:vAlign w:val="center"/>
          </w:tcPr>
          <w:p w14:paraId="5ADD2A24">
            <w:pPr>
              <w:pStyle w:val="751"/>
              <w:rPr>
                <w:color w:val="auto"/>
              </w:rPr>
            </w:pPr>
          </w:p>
        </w:tc>
        <w:tc>
          <w:tcPr>
            <w:tcW w:w="1074" w:type="dxa"/>
            <w:vMerge w:val="continue"/>
            <w:vAlign w:val="center"/>
          </w:tcPr>
          <w:p w14:paraId="256B55E4">
            <w:pPr>
              <w:pStyle w:val="751"/>
              <w:rPr>
                <w:color w:val="auto"/>
              </w:rPr>
            </w:pPr>
          </w:p>
        </w:tc>
      </w:tr>
    </w:tbl>
    <w:p w14:paraId="01E61BD0">
      <w:pPr>
        <w:pStyle w:val="104"/>
        <w:ind w:firstLine="0" w:firstLineChars="0"/>
      </w:pPr>
      <w:r>
        <w:rPr>
          <w:rFonts w:hint="eastAsia"/>
        </w:rPr>
        <w:drawing>
          <wp:inline distT="0" distB="0" distL="114300" distR="114300">
            <wp:extent cx="5758180" cy="3723005"/>
            <wp:effectExtent l="0" t="0" r="7620" b="10795"/>
            <wp:docPr id="41" name="图片 41" descr="土壤环境监测布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土壤环境监测布点"/>
                    <pic:cNvPicPr>
                      <a:picLocks noChangeAspect="1"/>
                    </pic:cNvPicPr>
                  </pic:nvPicPr>
                  <pic:blipFill>
                    <a:blip r:embed="rId51"/>
                    <a:stretch>
                      <a:fillRect/>
                    </a:stretch>
                  </pic:blipFill>
                  <pic:spPr>
                    <a:xfrm>
                      <a:off x="0" y="0"/>
                      <a:ext cx="5758180" cy="3723005"/>
                    </a:xfrm>
                    <a:prstGeom prst="rect">
                      <a:avLst/>
                    </a:prstGeom>
                  </pic:spPr>
                </pic:pic>
              </a:graphicData>
            </a:graphic>
          </wp:inline>
        </w:drawing>
      </w:r>
    </w:p>
    <w:p w14:paraId="333493B9">
      <w:pPr>
        <w:pStyle w:val="104"/>
        <w:ind w:firstLine="0" w:firstLineChars="0"/>
        <w:jc w:val="center"/>
        <w:rPr>
          <w:b/>
          <w:bCs/>
        </w:rPr>
      </w:pPr>
      <w:r>
        <w:rPr>
          <w:rFonts w:hint="eastAsia"/>
          <w:b/>
          <w:bCs/>
        </w:rPr>
        <w:t>图4.5-1 土壤环境质量现状监测布点图</w:t>
      </w:r>
    </w:p>
    <w:p w14:paraId="7F8506E2">
      <w:pPr>
        <w:pStyle w:val="104"/>
      </w:pPr>
      <w:r>
        <w:t>（2）监测项目</w:t>
      </w:r>
    </w:p>
    <w:p w14:paraId="1E1ADFD3">
      <w:pPr>
        <w:pStyle w:val="104"/>
      </w:pPr>
      <w:r>
        <w:t>pH值、镉、汞、砷、铅、铬、铜、镍、锌。</w:t>
      </w:r>
    </w:p>
    <w:p w14:paraId="1A1E0E68">
      <w:pPr>
        <w:pStyle w:val="104"/>
      </w:pPr>
      <w:r>
        <w:t>（3）监测时间与频次</w:t>
      </w:r>
    </w:p>
    <w:p w14:paraId="2CAA2560">
      <w:pPr>
        <w:pStyle w:val="104"/>
      </w:pPr>
      <w:r>
        <w:rPr>
          <w:rFonts w:hint="eastAsia"/>
        </w:rPr>
        <w:t>一次</w:t>
      </w:r>
      <w:r>
        <w:t>。</w:t>
      </w:r>
    </w:p>
    <w:p w14:paraId="3DD0AAE0">
      <w:pPr>
        <w:pStyle w:val="104"/>
      </w:pPr>
      <w:r>
        <w:t>（</w:t>
      </w:r>
      <w:r>
        <w:rPr>
          <w:rFonts w:hint="eastAsia"/>
        </w:rPr>
        <w:t>4</w:t>
      </w:r>
      <w:r>
        <w:t>）监测结果</w:t>
      </w:r>
    </w:p>
    <w:p w14:paraId="0D2F709E">
      <w:pPr>
        <w:pStyle w:val="104"/>
      </w:pPr>
      <w:r>
        <w:t>监测结果如表4.5-</w:t>
      </w:r>
      <w:r>
        <w:rPr>
          <w:rFonts w:hint="eastAsia"/>
        </w:rPr>
        <w:t>2</w:t>
      </w:r>
      <w:r>
        <w:t>所示。</w:t>
      </w:r>
    </w:p>
    <w:p w14:paraId="390BB319">
      <w:pPr>
        <w:pStyle w:val="756"/>
      </w:pPr>
      <w:r>
        <w:t>表4.5-</w:t>
      </w:r>
      <w:r>
        <w:rPr>
          <w:rFonts w:hint="eastAsia"/>
        </w:rPr>
        <w:t>2</w:t>
      </w:r>
      <w:r>
        <w:t xml:space="preserve">  土壤现状监测结果一览表</w:t>
      </w:r>
    </w:p>
    <w:tbl>
      <w:tblPr>
        <w:tblStyle w:val="82"/>
        <w:tblW w:w="50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58"/>
        <w:gridCol w:w="1401"/>
        <w:gridCol w:w="1376"/>
        <w:gridCol w:w="1573"/>
        <w:gridCol w:w="1377"/>
        <w:gridCol w:w="2361"/>
      </w:tblGrid>
      <w:tr w14:paraId="7DF48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4EA9D6D6">
            <w:pPr>
              <w:pStyle w:val="751"/>
              <w:rPr>
                <w:color w:val="auto"/>
              </w:rPr>
            </w:pPr>
            <w:r>
              <w:rPr>
                <w:color w:val="auto"/>
              </w:rPr>
              <w:t>项目</w:t>
            </w:r>
          </w:p>
        </w:tc>
        <w:tc>
          <w:tcPr>
            <w:tcW w:w="1400" w:type="dxa"/>
            <w:vAlign w:val="center"/>
          </w:tcPr>
          <w:p w14:paraId="4512DE53">
            <w:pPr>
              <w:pStyle w:val="751"/>
              <w:rPr>
                <w:color w:val="auto"/>
              </w:rPr>
            </w:pPr>
            <w:r>
              <w:rPr>
                <w:color w:val="auto"/>
              </w:rPr>
              <w:t>单位</w:t>
            </w:r>
          </w:p>
        </w:tc>
        <w:tc>
          <w:tcPr>
            <w:tcW w:w="1375" w:type="dxa"/>
            <w:vAlign w:val="center"/>
          </w:tcPr>
          <w:p w14:paraId="5FCA6AFD">
            <w:pPr>
              <w:pStyle w:val="751"/>
              <w:rPr>
                <w:color w:val="auto"/>
              </w:rPr>
            </w:pPr>
            <w:r>
              <w:rPr>
                <w:color w:val="auto"/>
              </w:rPr>
              <w:t>1#</w:t>
            </w:r>
          </w:p>
        </w:tc>
        <w:tc>
          <w:tcPr>
            <w:tcW w:w="1571" w:type="dxa"/>
            <w:vAlign w:val="center"/>
          </w:tcPr>
          <w:p w14:paraId="00808A90">
            <w:pPr>
              <w:pStyle w:val="751"/>
              <w:rPr>
                <w:color w:val="auto"/>
              </w:rPr>
            </w:pPr>
            <w:r>
              <w:rPr>
                <w:color w:val="auto"/>
              </w:rPr>
              <w:t>2#</w:t>
            </w:r>
          </w:p>
        </w:tc>
        <w:tc>
          <w:tcPr>
            <w:tcW w:w="1376" w:type="dxa"/>
            <w:vAlign w:val="center"/>
          </w:tcPr>
          <w:p w14:paraId="434FEF54">
            <w:pPr>
              <w:pStyle w:val="751"/>
              <w:rPr>
                <w:color w:val="auto"/>
              </w:rPr>
            </w:pPr>
            <w:r>
              <w:rPr>
                <w:color w:val="auto"/>
              </w:rPr>
              <w:t>3#</w:t>
            </w:r>
          </w:p>
        </w:tc>
        <w:tc>
          <w:tcPr>
            <w:tcW w:w="2359" w:type="dxa"/>
            <w:vAlign w:val="center"/>
          </w:tcPr>
          <w:p w14:paraId="43727182">
            <w:pPr>
              <w:pStyle w:val="751"/>
              <w:rPr>
                <w:color w:val="auto"/>
              </w:rPr>
            </w:pPr>
            <w:r>
              <w:rPr>
                <w:color w:val="auto"/>
              </w:rPr>
              <w:t>风险筛选值</w:t>
            </w:r>
          </w:p>
        </w:tc>
      </w:tr>
      <w:tr w14:paraId="0AF7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2173D63F">
            <w:pPr>
              <w:pStyle w:val="751"/>
              <w:rPr>
                <w:color w:val="auto"/>
              </w:rPr>
            </w:pPr>
            <w:r>
              <w:rPr>
                <w:color w:val="auto"/>
                <w:kern w:val="2"/>
              </w:rPr>
              <w:t>pH值</w:t>
            </w:r>
          </w:p>
        </w:tc>
        <w:tc>
          <w:tcPr>
            <w:tcW w:w="1400" w:type="dxa"/>
            <w:vAlign w:val="center"/>
          </w:tcPr>
          <w:p w14:paraId="45A1B104">
            <w:pPr>
              <w:pStyle w:val="751"/>
              <w:rPr>
                <w:color w:val="auto"/>
              </w:rPr>
            </w:pPr>
            <w:r>
              <w:rPr>
                <w:color w:val="auto"/>
              </w:rPr>
              <w:t>无量纲</w:t>
            </w:r>
          </w:p>
        </w:tc>
        <w:tc>
          <w:tcPr>
            <w:tcW w:w="1375" w:type="dxa"/>
            <w:vAlign w:val="center"/>
          </w:tcPr>
          <w:p w14:paraId="1B32F8DE">
            <w:pPr>
              <w:pStyle w:val="751"/>
              <w:rPr>
                <w:color w:val="auto"/>
              </w:rPr>
            </w:pPr>
            <w:r>
              <w:rPr>
                <w:rFonts w:hint="eastAsia"/>
                <w:bCs/>
                <w:color w:val="auto"/>
              </w:rPr>
              <w:t>8.50</w:t>
            </w:r>
          </w:p>
        </w:tc>
        <w:tc>
          <w:tcPr>
            <w:tcW w:w="1571" w:type="dxa"/>
            <w:vAlign w:val="center"/>
          </w:tcPr>
          <w:p w14:paraId="00523254">
            <w:pPr>
              <w:pStyle w:val="751"/>
              <w:rPr>
                <w:color w:val="auto"/>
              </w:rPr>
            </w:pPr>
            <w:r>
              <w:rPr>
                <w:rFonts w:hint="eastAsia"/>
                <w:bCs/>
                <w:color w:val="auto"/>
              </w:rPr>
              <w:t>8.59</w:t>
            </w:r>
          </w:p>
        </w:tc>
        <w:tc>
          <w:tcPr>
            <w:tcW w:w="1376" w:type="dxa"/>
            <w:vAlign w:val="center"/>
          </w:tcPr>
          <w:p w14:paraId="531F81C8">
            <w:pPr>
              <w:pStyle w:val="751"/>
              <w:rPr>
                <w:color w:val="auto"/>
              </w:rPr>
            </w:pPr>
            <w:r>
              <w:rPr>
                <w:rFonts w:hint="eastAsia"/>
                <w:bCs/>
                <w:color w:val="auto"/>
              </w:rPr>
              <w:t>8.63</w:t>
            </w:r>
          </w:p>
        </w:tc>
        <w:tc>
          <w:tcPr>
            <w:tcW w:w="2359" w:type="dxa"/>
            <w:vAlign w:val="center"/>
          </w:tcPr>
          <w:p w14:paraId="3C02A689">
            <w:pPr>
              <w:pStyle w:val="751"/>
              <w:rPr>
                <w:color w:val="auto"/>
              </w:rPr>
            </w:pPr>
            <w:r>
              <w:rPr>
                <w:rFonts w:hint="eastAsia"/>
                <w:bCs/>
                <w:color w:val="auto"/>
              </w:rPr>
              <w:t>pH＞7.5</w:t>
            </w:r>
          </w:p>
        </w:tc>
      </w:tr>
      <w:tr w14:paraId="2635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485D079E">
            <w:pPr>
              <w:pStyle w:val="751"/>
              <w:rPr>
                <w:color w:val="auto"/>
              </w:rPr>
            </w:pPr>
            <w:r>
              <w:rPr>
                <w:color w:val="auto"/>
              </w:rPr>
              <w:t>镉</w:t>
            </w:r>
          </w:p>
        </w:tc>
        <w:tc>
          <w:tcPr>
            <w:tcW w:w="1400" w:type="dxa"/>
            <w:vAlign w:val="center"/>
          </w:tcPr>
          <w:p w14:paraId="3BE4AABF">
            <w:pPr>
              <w:pStyle w:val="751"/>
              <w:rPr>
                <w:color w:val="auto"/>
              </w:rPr>
            </w:pPr>
            <w:r>
              <w:rPr>
                <w:color w:val="auto"/>
              </w:rPr>
              <w:t>mg/kg</w:t>
            </w:r>
          </w:p>
        </w:tc>
        <w:tc>
          <w:tcPr>
            <w:tcW w:w="1375" w:type="dxa"/>
            <w:vAlign w:val="center"/>
          </w:tcPr>
          <w:p w14:paraId="3F8DB37C">
            <w:pPr>
              <w:pStyle w:val="751"/>
              <w:rPr>
                <w:color w:val="auto"/>
              </w:rPr>
            </w:pPr>
            <w:r>
              <w:rPr>
                <w:rFonts w:hint="eastAsia"/>
                <w:bCs/>
                <w:color w:val="auto"/>
              </w:rPr>
              <w:t>0.07L</w:t>
            </w:r>
          </w:p>
        </w:tc>
        <w:tc>
          <w:tcPr>
            <w:tcW w:w="1571" w:type="dxa"/>
            <w:vAlign w:val="center"/>
          </w:tcPr>
          <w:p w14:paraId="7E251F4A">
            <w:pPr>
              <w:pStyle w:val="751"/>
              <w:rPr>
                <w:color w:val="auto"/>
              </w:rPr>
            </w:pPr>
            <w:r>
              <w:rPr>
                <w:rFonts w:hint="eastAsia"/>
                <w:bCs/>
                <w:color w:val="auto"/>
              </w:rPr>
              <w:t>0.07L</w:t>
            </w:r>
          </w:p>
        </w:tc>
        <w:tc>
          <w:tcPr>
            <w:tcW w:w="1376" w:type="dxa"/>
            <w:vAlign w:val="center"/>
          </w:tcPr>
          <w:p w14:paraId="36B1472F">
            <w:pPr>
              <w:pStyle w:val="751"/>
              <w:rPr>
                <w:color w:val="auto"/>
              </w:rPr>
            </w:pPr>
            <w:r>
              <w:rPr>
                <w:rFonts w:hint="eastAsia"/>
                <w:bCs/>
                <w:color w:val="auto"/>
              </w:rPr>
              <w:t>0.07L</w:t>
            </w:r>
          </w:p>
        </w:tc>
        <w:tc>
          <w:tcPr>
            <w:tcW w:w="2359" w:type="dxa"/>
            <w:vAlign w:val="center"/>
          </w:tcPr>
          <w:p w14:paraId="30D5292F">
            <w:pPr>
              <w:pStyle w:val="751"/>
              <w:rPr>
                <w:color w:val="auto"/>
              </w:rPr>
            </w:pPr>
            <w:r>
              <w:rPr>
                <w:rFonts w:hint="eastAsia"/>
                <w:bCs/>
                <w:color w:val="auto"/>
              </w:rPr>
              <w:t>0.6</w:t>
            </w:r>
          </w:p>
        </w:tc>
      </w:tr>
      <w:tr w14:paraId="1355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5DD53E9F">
            <w:pPr>
              <w:pStyle w:val="751"/>
              <w:rPr>
                <w:color w:val="auto"/>
              </w:rPr>
            </w:pPr>
            <w:r>
              <w:rPr>
                <w:color w:val="auto"/>
              </w:rPr>
              <w:t>汞</w:t>
            </w:r>
          </w:p>
        </w:tc>
        <w:tc>
          <w:tcPr>
            <w:tcW w:w="1400" w:type="dxa"/>
            <w:vAlign w:val="center"/>
          </w:tcPr>
          <w:p w14:paraId="0BAB5560">
            <w:pPr>
              <w:pStyle w:val="751"/>
              <w:rPr>
                <w:color w:val="auto"/>
              </w:rPr>
            </w:pPr>
            <w:r>
              <w:rPr>
                <w:color w:val="auto"/>
              </w:rPr>
              <w:t>mg/kg</w:t>
            </w:r>
          </w:p>
        </w:tc>
        <w:tc>
          <w:tcPr>
            <w:tcW w:w="1375" w:type="dxa"/>
            <w:vAlign w:val="center"/>
          </w:tcPr>
          <w:p w14:paraId="1FADB9E0">
            <w:pPr>
              <w:pStyle w:val="751"/>
              <w:rPr>
                <w:color w:val="auto"/>
              </w:rPr>
            </w:pPr>
            <w:r>
              <w:rPr>
                <w:rFonts w:hint="eastAsia"/>
                <w:bCs/>
                <w:color w:val="auto"/>
              </w:rPr>
              <w:t>0.070</w:t>
            </w:r>
          </w:p>
        </w:tc>
        <w:tc>
          <w:tcPr>
            <w:tcW w:w="1571" w:type="dxa"/>
            <w:vAlign w:val="center"/>
          </w:tcPr>
          <w:p w14:paraId="5614DFF9">
            <w:pPr>
              <w:pStyle w:val="751"/>
              <w:rPr>
                <w:color w:val="auto"/>
              </w:rPr>
            </w:pPr>
            <w:r>
              <w:rPr>
                <w:rFonts w:hint="eastAsia"/>
                <w:bCs/>
                <w:color w:val="auto"/>
              </w:rPr>
              <w:t>0.100</w:t>
            </w:r>
          </w:p>
        </w:tc>
        <w:tc>
          <w:tcPr>
            <w:tcW w:w="1376" w:type="dxa"/>
            <w:vAlign w:val="center"/>
          </w:tcPr>
          <w:p w14:paraId="58D6D3FC">
            <w:pPr>
              <w:pStyle w:val="751"/>
              <w:rPr>
                <w:color w:val="auto"/>
              </w:rPr>
            </w:pPr>
            <w:r>
              <w:rPr>
                <w:rFonts w:hint="eastAsia"/>
                <w:bCs/>
                <w:color w:val="auto"/>
              </w:rPr>
              <w:t>0.014</w:t>
            </w:r>
          </w:p>
        </w:tc>
        <w:tc>
          <w:tcPr>
            <w:tcW w:w="2359" w:type="dxa"/>
            <w:vAlign w:val="center"/>
          </w:tcPr>
          <w:p w14:paraId="6898E031">
            <w:pPr>
              <w:pStyle w:val="751"/>
              <w:rPr>
                <w:color w:val="auto"/>
              </w:rPr>
            </w:pPr>
            <w:r>
              <w:rPr>
                <w:rFonts w:hint="eastAsia"/>
                <w:bCs/>
                <w:color w:val="auto"/>
              </w:rPr>
              <w:t>3.4</w:t>
            </w:r>
          </w:p>
        </w:tc>
      </w:tr>
      <w:tr w14:paraId="55D0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46EA5356">
            <w:pPr>
              <w:pStyle w:val="751"/>
              <w:rPr>
                <w:color w:val="auto"/>
              </w:rPr>
            </w:pPr>
            <w:r>
              <w:rPr>
                <w:color w:val="auto"/>
              </w:rPr>
              <w:t>砷</w:t>
            </w:r>
          </w:p>
        </w:tc>
        <w:tc>
          <w:tcPr>
            <w:tcW w:w="1400" w:type="dxa"/>
            <w:vAlign w:val="center"/>
          </w:tcPr>
          <w:p w14:paraId="005B67D9">
            <w:pPr>
              <w:pStyle w:val="751"/>
              <w:rPr>
                <w:color w:val="auto"/>
              </w:rPr>
            </w:pPr>
            <w:r>
              <w:rPr>
                <w:color w:val="auto"/>
              </w:rPr>
              <w:t>mg/kg</w:t>
            </w:r>
          </w:p>
        </w:tc>
        <w:tc>
          <w:tcPr>
            <w:tcW w:w="1375" w:type="dxa"/>
            <w:vAlign w:val="center"/>
          </w:tcPr>
          <w:p w14:paraId="305359F0">
            <w:pPr>
              <w:pStyle w:val="751"/>
              <w:rPr>
                <w:color w:val="auto"/>
              </w:rPr>
            </w:pPr>
            <w:r>
              <w:rPr>
                <w:rFonts w:hint="eastAsia"/>
                <w:bCs/>
                <w:color w:val="auto"/>
              </w:rPr>
              <w:t>8.35</w:t>
            </w:r>
          </w:p>
        </w:tc>
        <w:tc>
          <w:tcPr>
            <w:tcW w:w="1571" w:type="dxa"/>
            <w:vAlign w:val="center"/>
          </w:tcPr>
          <w:p w14:paraId="45AC9A36">
            <w:pPr>
              <w:pStyle w:val="751"/>
              <w:rPr>
                <w:color w:val="auto"/>
              </w:rPr>
            </w:pPr>
            <w:r>
              <w:rPr>
                <w:rFonts w:hint="eastAsia"/>
                <w:bCs/>
                <w:color w:val="auto"/>
              </w:rPr>
              <w:t>9.79</w:t>
            </w:r>
          </w:p>
        </w:tc>
        <w:tc>
          <w:tcPr>
            <w:tcW w:w="1376" w:type="dxa"/>
            <w:vAlign w:val="center"/>
          </w:tcPr>
          <w:p w14:paraId="34BC4D0D">
            <w:pPr>
              <w:pStyle w:val="751"/>
              <w:rPr>
                <w:color w:val="auto"/>
              </w:rPr>
            </w:pPr>
            <w:r>
              <w:rPr>
                <w:rFonts w:hint="eastAsia"/>
                <w:bCs/>
                <w:color w:val="auto"/>
              </w:rPr>
              <w:t>4.55</w:t>
            </w:r>
          </w:p>
        </w:tc>
        <w:tc>
          <w:tcPr>
            <w:tcW w:w="2359" w:type="dxa"/>
            <w:vAlign w:val="center"/>
          </w:tcPr>
          <w:p w14:paraId="45ED352D">
            <w:pPr>
              <w:pStyle w:val="751"/>
              <w:rPr>
                <w:color w:val="auto"/>
              </w:rPr>
            </w:pPr>
            <w:r>
              <w:rPr>
                <w:rFonts w:hint="eastAsia"/>
                <w:bCs/>
                <w:color w:val="auto"/>
              </w:rPr>
              <w:t>25</w:t>
            </w:r>
          </w:p>
        </w:tc>
      </w:tr>
      <w:tr w14:paraId="5E45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492ACF5B">
            <w:pPr>
              <w:pStyle w:val="751"/>
              <w:rPr>
                <w:color w:val="auto"/>
              </w:rPr>
            </w:pPr>
            <w:r>
              <w:rPr>
                <w:color w:val="auto"/>
              </w:rPr>
              <w:t>铅</w:t>
            </w:r>
          </w:p>
        </w:tc>
        <w:tc>
          <w:tcPr>
            <w:tcW w:w="1400" w:type="dxa"/>
            <w:vAlign w:val="center"/>
          </w:tcPr>
          <w:p w14:paraId="4CEF2A28">
            <w:pPr>
              <w:pStyle w:val="751"/>
              <w:rPr>
                <w:color w:val="auto"/>
              </w:rPr>
            </w:pPr>
            <w:r>
              <w:rPr>
                <w:color w:val="auto"/>
              </w:rPr>
              <w:t>mg/kg</w:t>
            </w:r>
          </w:p>
        </w:tc>
        <w:tc>
          <w:tcPr>
            <w:tcW w:w="1375" w:type="dxa"/>
            <w:vAlign w:val="center"/>
          </w:tcPr>
          <w:p w14:paraId="3B7906F6">
            <w:pPr>
              <w:pStyle w:val="751"/>
              <w:rPr>
                <w:color w:val="auto"/>
              </w:rPr>
            </w:pPr>
            <w:r>
              <w:rPr>
                <w:rFonts w:hint="eastAsia"/>
                <w:bCs/>
                <w:color w:val="auto"/>
              </w:rPr>
              <w:t>17</w:t>
            </w:r>
          </w:p>
        </w:tc>
        <w:tc>
          <w:tcPr>
            <w:tcW w:w="1571" w:type="dxa"/>
            <w:vAlign w:val="center"/>
          </w:tcPr>
          <w:p w14:paraId="7C7E6A5A">
            <w:pPr>
              <w:pStyle w:val="751"/>
              <w:rPr>
                <w:color w:val="auto"/>
              </w:rPr>
            </w:pPr>
            <w:r>
              <w:rPr>
                <w:rFonts w:hint="eastAsia"/>
                <w:bCs/>
                <w:color w:val="auto"/>
              </w:rPr>
              <w:t>12</w:t>
            </w:r>
          </w:p>
        </w:tc>
        <w:tc>
          <w:tcPr>
            <w:tcW w:w="1376" w:type="dxa"/>
            <w:vAlign w:val="center"/>
          </w:tcPr>
          <w:p w14:paraId="49337FCC">
            <w:pPr>
              <w:pStyle w:val="751"/>
              <w:rPr>
                <w:color w:val="auto"/>
              </w:rPr>
            </w:pPr>
            <w:r>
              <w:rPr>
                <w:rFonts w:hint="eastAsia"/>
                <w:bCs/>
                <w:color w:val="auto"/>
              </w:rPr>
              <w:t>14</w:t>
            </w:r>
          </w:p>
        </w:tc>
        <w:tc>
          <w:tcPr>
            <w:tcW w:w="2359" w:type="dxa"/>
            <w:vAlign w:val="center"/>
          </w:tcPr>
          <w:p w14:paraId="256C3015">
            <w:pPr>
              <w:pStyle w:val="751"/>
              <w:rPr>
                <w:color w:val="auto"/>
              </w:rPr>
            </w:pPr>
            <w:r>
              <w:rPr>
                <w:rFonts w:hint="eastAsia"/>
                <w:bCs/>
                <w:color w:val="auto"/>
              </w:rPr>
              <w:t>170</w:t>
            </w:r>
          </w:p>
        </w:tc>
      </w:tr>
      <w:tr w14:paraId="04A7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7B195693">
            <w:pPr>
              <w:pStyle w:val="751"/>
              <w:rPr>
                <w:color w:val="auto"/>
              </w:rPr>
            </w:pPr>
            <w:r>
              <w:rPr>
                <w:color w:val="auto"/>
              </w:rPr>
              <w:t>镍</w:t>
            </w:r>
          </w:p>
        </w:tc>
        <w:tc>
          <w:tcPr>
            <w:tcW w:w="1400" w:type="dxa"/>
            <w:vAlign w:val="center"/>
          </w:tcPr>
          <w:p w14:paraId="2FB870D3">
            <w:pPr>
              <w:pStyle w:val="751"/>
              <w:rPr>
                <w:color w:val="auto"/>
              </w:rPr>
            </w:pPr>
            <w:r>
              <w:rPr>
                <w:color w:val="auto"/>
              </w:rPr>
              <w:t>mg/kg</w:t>
            </w:r>
          </w:p>
        </w:tc>
        <w:tc>
          <w:tcPr>
            <w:tcW w:w="1375" w:type="dxa"/>
            <w:vAlign w:val="center"/>
          </w:tcPr>
          <w:p w14:paraId="19F89EE5">
            <w:pPr>
              <w:pStyle w:val="751"/>
              <w:rPr>
                <w:color w:val="auto"/>
              </w:rPr>
            </w:pPr>
            <w:r>
              <w:rPr>
                <w:rFonts w:hint="eastAsia"/>
                <w:bCs/>
                <w:color w:val="auto"/>
              </w:rPr>
              <w:t>22</w:t>
            </w:r>
          </w:p>
        </w:tc>
        <w:tc>
          <w:tcPr>
            <w:tcW w:w="1571" w:type="dxa"/>
            <w:vAlign w:val="center"/>
          </w:tcPr>
          <w:p w14:paraId="4B388B33">
            <w:pPr>
              <w:pStyle w:val="751"/>
              <w:rPr>
                <w:color w:val="auto"/>
              </w:rPr>
            </w:pPr>
            <w:r>
              <w:rPr>
                <w:rFonts w:hint="eastAsia"/>
                <w:bCs/>
                <w:color w:val="auto"/>
              </w:rPr>
              <w:t>22</w:t>
            </w:r>
          </w:p>
        </w:tc>
        <w:tc>
          <w:tcPr>
            <w:tcW w:w="1376" w:type="dxa"/>
            <w:vAlign w:val="center"/>
          </w:tcPr>
          <w:p w14:paraId="3BB09049">
            <w:pPr>
              <w:pStyle w:val="751"/>
              <w:rPr>
                <w:color w:val="auto"/>
              </w:rPr>
            </w:pPr>
            <w:r>
              <w:rPr>
                <w:rFonts w:hint="eastAsia"/>
                <w:bCs/>
                <w:color w:val="auto"/>
              </w:rPr>
              <w:t>19</w:t>
            </w:r>
          </w:p>
        </w:tc>
        <w:tc>
          <w:tcPr>
            <w:tcW w:w="2359" w:type="dxa"/>
            <w:vAlign w:val="center"/>
          </w:tcPr>
          <w:p w14:paraId="3629D008">
            <w:pPr>
              <w:pStyle w:val="751"/>
              <w:rPr>
                <w:color w:val="auto"/>
              </w:rPr>
            </w:pPr>
            <w:r>
              <w:rPr>
                <w:rFonts w:hint="eastAsia"/>
                <w:bCs/>
                <w:color w:val="auto"/>
              </w:rPr>
              <w:t>190</w:t>
            </w:r>
          </w:p>
        </w:tc>
      </w:tr>
      <w:tr w14:paraId="0B75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233BE715">
            <w:pPr>
              <w:pStyle w:val="751"/>
              <w:rPr>
                <w:color w:val="auto"/>
              </w:rPr>
            </w:pPr>
            <w:r>
              <w:rPr>
                <w:rFonts w:hint="eastAsia"/>
                <w:color w:val="auto"/>
              </w:rPr>
              <w:t>铜</w:t>
            </w:r>
          </w:p>
        </w:tc>
        <w:tc>
          <w:tcPr>
            <w:tcW w:w="1400" w:type="dxa"/>
            <w:vAlign w:val="center"/>
          </w:tcPr>
          <w:p w14:paraId="0FE96897">
            <w:pPr>
              <w:pStyle w:val="751"/>
              <w:rPr>
                <w:color w:val="auto"/>
              </w:rPr>
            </w:pPr>
            <w:r>
              <w:rPr>
                <w:color w:val="auto"/>
              </w:rPr>
              <w:t>mg/kg</w:t>
            </w:r>
          </w:p>
        </w:tc>
        <w:tc>
          <w:tcPr>
            <w:tcW w:w="1375" w:type="dxa"/>
            <w:vAlign w:val="center"/>
          </w:tcPr>
          <w:p w14:paraId="704B0A30">
            <w:pPr>
              <w:pStyle w:val="751"/>
              <w:rPr>
                <w:color w:val="auto"/>
              </w:rPr>
            </w:pPr>
            <w:r>
              <w:rPr>
                <w:rFonts w:hint="eastAsia"/>
                <w:bCs/>
                <w:color w:val="auto"/>
              </w:rPr>
              <w:t>13.7</w:t>
            </w:r>
          </w:p>
        </w:tc>
        <w:tc>
          <w:tcPr>
            <w:tcW w:w="1571" w:type="dxa"/>
            <w:vAlign w:val="center"/>
          </w:tcPr>
          <w:p w14:paraId="23F90985">
            <w:pPr>
              <w:pStyle w:val="751"/>
              <w:rPr>
                <w:color w:val="auto"/>
              </w:rPr>
            </w:pPr>
            <w:r>
              <w:rPr>
                <w:rFonts w:hint="eastAsia"/>
                <w:bCs/>
                <w:color w:val="auto"/>
              </w:rPr>
              <w:t>18.3</w:t>
            </w:r>
          </w:p>
        </w:tc>
        <w:tc>
          <w:tcPr>
            <w:tcW w:w="1376" w:type="dxa"/>
            <w:vAlign w:val="center"/>
          </w:tcPr>
          <w:p w14:paraId="05EA8E81">
            <w:pPr>
              <w:pStyle w:val="751"/>
              <w:rPr>
                <w:color w:val="auto"/>
              </w:rPr>
            </w:pPr>
            <w:r>
              <w:rPr>
                <w:rFonts w:hint="eastAsia"/>
                <w:bCs/>
                <w:color w:val="auto"/>
              </w:rPr>
              <w:t>16.3</w:t>
            </w:r>
          </w:p>
        </w:tc>
        <w:tc>
          <w:tcPr>
            <w:tcW w:w="2359" w:type="dxa"/>
            <w:vAlign w:val="center"/>
          </w:tcPr>
          <w:p w14:paraId="2B1F4741">
            <w:pPr>
              <w:pStyle w:val="751"/>
              <w:rPr>
                <w:color w:val="auto"/>
              </w:rPr>
            </w:pPr>
            <w:r>
              <w:rPr>
                <w:rFonts w:hint="eastAsia"/>
                <w:bCs/>
                <w:color w:val="auto"/>
              </w:rPr>
              <w:t>100</w:t>
            </w:r>
          </w:p>
        </w:tc>
      </w:tr>
      <w:tr w14:paraId="0E5A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exact"/>
          <w:jc w:val="center"/>
        </w:trPr>
        <w:tc>
          <w:tcPr>
            <w:tcW w:w="1156" w:type="dxa"/>
            <w:vAlign w:val="center"/>
          </w:tcPr>
          <w:p w14:paraId="59B0B657">
            <w:pPr>
              <w:pStyle w:val="751"/>
              <w:rPr>
                <w:color w:val="auto"/>
              </w:rPr>
            </w:pPr>
            <w:r>
              <w:rPr>
                <w:color w:val="auto"/>
              </w:rPr>
              <w:t>铬</w:t>
            </w:r>
          </w:p>
        </w:tc>
        <w:tc>
          <w:tcPr>
            <w:tcW w:w="1400" w:type="dxa"/>
            <w:vAlign w:val="center"/>
          </w:tcPr>
          <w:p w14:paraId="14C26E6A">
            <w:pPr>
              <w:pStyle w:val="751"/>
              <w:rPr>
                <w:color w:val="auto"/>
              </w:rPr>
            </w:pPr>
            <w:r>
              <w:rPr>
                <w:color w:val="auto"/>
              </w:rPr>
              <w:t>mg/kg</w:t>
            </w:r>
          </w:p>
        </w:tc>
        <w:tc>
          <w:tcPr>
            <w:tcW w:w="1375" w:type="dxa"/>
            <w:vAlign w:val="center"/>
          </w:tcPr>
          <w:p w14:paraId="77ADD9E5">
            <w:pPr>
              <w:pStyle w:val="751"/>
              <w:rPr>
                <w:color w:val="auto"/>
              </w:rPr>
            </w:pPr>
            <w:r>
              <w:rPr>
                <w:rFonts w:hint="eastAsia"/>
                <w:bCs/>
                <w:color w:val="auto"/>
              </w:rPr>
              <w:t>72</w:t>
            </w:r>
          </w:p>
        </w:tc>
        <w:tc>
          <w:tcPr>
            <w:tcW w:w="1571" w:type="dxa"/>
            <w:vAlign w:val="center"/>
          </w:tcPr>
          <w:p w14:paraId="40981858">
            <w:pPr>
              <w:pStyle w:val="751"/>
              <w:rPr>
                <w:color w:val="auto"/>
              </w:rPr>
            </w:pPr>
            <w:r>
              <w:rPr>
                <w:rFonts w:hint="eastAsia"/>
                <w:bCs/>
                <w:color w:val="auto"/>
              </w:rPr>
              <w:t>62</w:t>
            </w:r>
          </w:p>
        </w:tc>
        <w:tc>
          <w:tcPr>
            <w:tcW w:w="1376" w:type="dxa"/>
            <w:vAlign w:val="center"/>
          </w:tcPr>
          <w:p w14:paraId="735F058F">
            <w:pPr>
              <w:pStyle w:val="751"/>
              <w:rPr>
                <w:color w:val="auto"/>
              </w:rPr>
            </w:pPr>
            <w:r>
              <w:rPr>
                <w:rFonts w:hint="eastAsia"/>
                <w:bCs/>
                <w:color w:val="auto"/>
              </w:rPr>
              <w:t>72</w:t>
            </w:r>
          </w:p>
        </w:tc>
        <w:tc>
          <w:tcPr>
            <w:tcW w:w="2359" w:type="dxa"/>
            <w:vAlign w:val="center"/>
          </w:tcPr>
          <w:p w14:paraId="65962ED1">
            <w:pPr>
              <w:pStyle w:val="751"/>
              <w:rPr>
                <w:color w:val="auto"/>
              </w:rPr>
            </w:pPr>
            <w:r>
              <w:rPr>
                <w:rFonts w:hint="eastAsia"/>
                <w:bCs/>
                <w:color w:val="auto"/>
              </w:rPr>
              <w:t>250</w:t>
            </w:r>
          </w:p>
        </w:tc>
      </w:tr>
      <w:tr w14:paraId="0E6A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4" w:hRule="exact"/>
          <w:jc w:val="center"/>
        </w:trPr>
        <w:tc>
          <w:tcPr>
            <w:tcW w:w="1156" w:type="dxa"/>
            <w:vAlign w:val="center"/>
          </w:tcPr>
          <w:p w14:paraId="6606B42B">
            <w:pPr>
              <w:pStyle w:val="751"/>
              <w:rPr>
                <w:color w:val="auto"/>
              </w:rPr>
            </w:pPr>
            <w:r>
              <w:rPr>
                <w:color w:val="auto"/>
              </w:rPr>
              <w:t>锌</w:t>
            </w:r>
          </w:p>
        </w:tc>
        <w:tc>
          <w:tcPr>
            <w:tcW w:w="1400" w:type="dxa"/>
            <w:vAlign w:val="center"/>
          </w:tcPr>
          <w:p w14:paraId="4B6ED4DA">
            <w:pPr>
              <w:pStyle w:val="751"/>
              <w:rPr>
                <w:color w:val="auto"/>
              </w:rPr>
            </w:pPr>
            <w:r>
              <w:rPr>
                <w:color w:val="auto"/>
              </w:rPr>
              <w:t>mg/kg</w:t>
            </w:r>
          </w:p>
        </w:tc>
        <w:tc>
          <w:tcPr>
            <w:tcW w:w="1375" w:type="dxa"/>
            <w:vAlign w:val="center"/>
          </w:tcPr>
          <w:p w14:paraId="7F3BFEDE">
            <w:pPr>
              <w:pStyle w:val="751"/>
              <w:rPr>
                <w:color w:val="auto"/>
              </w:rPr>
            </w:pPr>
            <w:r>
              <w:rPr>
                <w:rFonts w:hint="eastAsia"/>
                <w:bCs/>
                <w:color w:val="auto"/>
              </w:rPr>
              <w:t>63</w:t>
            </w:r>
          </w:p>
        </w:tc>
        <w:tc>
          <w:tcPr>
            <w:tcW w:w="1571" w:type="dxa"/>
            <w:vAlign w:val="center"/>
          </w:tcPr>
          <w:p w14:paraId="5EF4B070">
            <w:pPr>
              <w:pStyle w:val="751"/>
              <w:rPr>
                <w:color w:val="auto"/>
              </w:rPr>
            </w:pPr>
            <w:r>
              <w:rPr>
                <w:rFonts w:hint="eastAsia"/>
                <w:bCs/>
                <w:color w:val="auto"/>
              </w:rPr>
              <w:t>61</w:t>
            </w:r>
          </w:p>
        </w:tc>
        <w:tc>
          <w:tcPr>
            <w:tcW w:w="1376" w:type="dxa"/>
            <w:vAlign w:val="center"/>
          </w:tcPr>
          <w:p w14:paraId="112009B2">
            <w:pPr>
              <w:pStyle w:val="751"/>
              <w:rPr>
                <w:color w:val="auto"/>
              </w:rPr>
            </w:pPr>
            <w:r>
              <w:rPr>
                <w:rFonts w:hint="eastAsia"/>
                <w:bCs/>
                <w:color w:val="auto"/>
              </w:rPr>
              <w:t>57</w:t>
            </w:r>
          </w:p>
        </w:tc>
        <w:tc>
          <w:tcPr>
            <w:tcW w:w="2359" w:type="dxa"/>
            <w:vAlign w:val="center"/>
          </w:tcPr>
          <w:p w14:paraId="47C9576D">
            <w:pPr>
              <w:pStyle w:val="751"/>
              <w:rPr>
                <w:color w:val="auto"/>
              </w:rPr>
            </w:pPr>
            <w:r>
              <w:rPr>
                <w:rFonts w:hint="eastAsia"/>
                <w:bCs/>
                <w:color w:val="auto"/>
              </w:rPr>
              <w:t>300</w:t>
            </w:r>
          </w:p>
        </w:tc>
      </w:tr>
    </w:tbl>
    <w:p w14:paraId="43AB8714">
      <w:pPr>
        <w:spacing w:line="240" w:lineRule="auto"/>
        <w:ind w:firstLine="0" w:firstLineChars="0"/>
        <w:jc w:val="center"/>
      </w:pPr>
      <w:r>
        <w:rPr>
          <w:rFonts w:hint="eastAsia"/>
          <w:b/>
          <w:bCs/>
        </w:rPr>
        <w:t>表4.5-3 土壤理化性质一览表</w:t>
      </w:r>
    </w:p>
    <w:tbl>
      <w:tblPr>
        <w:tblStyle w:val="83"/>
        <w:tblW w:w="9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9"/>
        <w:gridCol w:w="2309"/>
        <w:gridCol w:w="2309"/>
        <w:gridCol w:w="2310"/>
      </w:tblGrid>
      <w:tr w14:paraId="0A19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53C6F5A4">
            <w:pPr>
              <w:spacing w:line="240" w:lineRule="auto"/>
              <w:ind w:firstLine="0" w:firstLineChars="0"/>
              <w:jc w:val="center"/>
            </w:pPr>
            <w:r>
              <w:rPr>
                <w:rFonts w:hint="eastAsia"/>
              </w:rPr>
              <w:t>项目</w:t>
            </w:r>
          </w:p>
        </w:tc>
        <w:tc>
          <w:tcPr>
            <w:tcW w:w="2309" w:type="dxa"/>
            <w:vAlign w:val="center"/>
          </w:tcPr>
          <w:p w14:paraId="46842E24">
            <w:pPr>
              <w:spacing w:line="240" w:lineRule="auto"/>
              <w:ind w:firstLine="0" w:firstLineChars="0"/>
              <w:jc w:val="center"/>
            </w:pPr>
            <w:r>
              <w:rPr>
                <w:rFonts w:hint="eastAsia"/>
              </w:rPr>
              <w:t>1#</w:t>
            </w:r>
          </w:p>
        </w:tc>
        <w:tc>
          <w:tcPr>
            <w:tcW w:w="2309" w:type="dxa"/>
            <w:vAlign w:val="center"/>
          </w:tcPr>
          <w:p w14:paraId="17921BEE">
            <w:pPr>
              <w:spacing w:line="240" w:lineRule="auto"/>
              <w:ind w:firstLine="0" w:firstLineChars="0"/>
              <w:jc w:val="center"/>
            </w:pPr>
            <w:r>
              <w:rPr>
                <w:rFonts w:hint="eastAsia"/>
              </w:rPr>
              <w:t>2#</w:t>
            </w:r>
          </w:p>
        </w:tc>
        <w:tc>
          <w:tcPr>
            <w:tcW w:w="2310" w:type="dxa"/>
            <w:vAlign w:val="center"/>
          </w:tcPr>
          <w:p w14:paraId="2E215DD7">
            <w:pPr>
              <w:spacing w:line="240" w:lineRule="auto"/>
              <w:ind w:firstLine="0" w:firstLineChars="0"/>
              <w:jc w:val="center"/>
            </w:pPr>
            <w:r>
              <w:rPr>
                <w:rFonts w:hint="eastAsia"/>
              </w:rPr>
              <w:t>3#</w:t>
            </w:r>
          </w:p>
        </w:tc>
      </w:tr>
      <w:tr w14:paraId="52A0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54147180">
            <w:pPr>
              <w:spacing w:line="240" w:lineRule="auto"/>
              <w:ind w:firstLine="0" w:firstLineChars="0"/>
              <w:jc w:val="center"/>
            </w:pPr>
            <w:r>
              <w:rPr>
                <w:rFonts w:hint="eastAsia"/>
              </w:rPr>
              <w:t>颜色</w:t>
            </w:r>
          </w:p>
        </w:tc>
        <w:tc>
          <w:tcPr>
            <w:tcW w:w="2309" w:type="dxa"/>
            <w:vAlign w:val="center"/>
          </w:tcPr>
          <w:p w14:paraId="0E645A48">
            <w:pPr>
              <w:spacing w:line="240" w:lineRule="auto"/>
              <w:ind w:firstLine="0" w:firstLineChars="0"/>
              <w:jc w:val="center"/>
            </w:pPr>
            <w:r>
              <w:rPr>
                <w:rFonts w:hint="eastAsia"/>
              </w:rPr>
              <w:t>黄棕</w:t>
            </w:r>
          </w:p>
        </w:tc>
        <w:tc>
          <w:tcPr>
            <w:tcW w:w="2309" w:type="dxa"/>
            <w:vAlign w:val="center"/>
          </w:tcPr>
          <w:p w14:paraId="69094A45">
            <w:pPr>
              <w:spacing w:line="240" w:lineRule="auto"/>
              <w:ind w:firstLine="0" w:firstLineChars="0"/>
              <w:jc w:val="center"/>
            </w:pPr>
            <w:r>
              <w:rPr>
                <w:rFonts w:hint="eastAsia"/>
              </w:rPr>
              <w:t>黄棕</w:t>
            </w:r>
          </w:p>
        </w:tc>
        <w:tc>
          <w:tcPr>
            <w:tcW w:w="2310" w:type="dxa"/>
            <w:vAlign w:val="center"/>
          </w:tcPr>
          <w:p w14:paraId="1DE72A4C">
            <w:pPr>
              <w:spacing w:line="240" w:lineRule="auto"/>
              <w:ind w:firstLine="0" w:firstLineChars="0"/>
              <w:jc w:val="center"/>
            </w:pPr>
            <w:r>
              <w:rPr>
                <w:rFonts w:hint="eastAsia"/>
              </w:rPr>
              <w:t>黄棕</w:t>
            </w:r>
          </w:p>
        </w:tc>
      </w:tr>
      <w:tr w14:paraId="0C5D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5305BF23">
            <w:pPr>
              <w:spacing w:line="240" w:lineRule="auto"/>
              <w:ind w:firstLine="0" w:firstLineChars="0"/>
              <w:jc w:val="center"/>
            </w:pPr>
            <w:r>
              <w:rPr>
                <w:rFonts w:hint="eastAsia"/>
              </w:rPr>
              <w:t>结构</w:t>
            </w:r>
          </w:p>
        </w:tc>
        <w:tc>
          <w:tcPr>
            <w:tcW w:w="2309" w:type="dxa"/>
            <w:vAlign w:val="center"/>
          </w:tcPr>
          <w:p w14:paraId="1AC38606">
            <w:pPr>
              <w:spacing w:line="240" w:lineRule="auto"/>
              <w:ind w:firstLine="0" w:firstLineChars="0"/>
              <w:jc w:val="center"/>
            </w:pPr>
            <w:r>
              <w:rPr>
                <w:rFonts w:hint="eastAsia"/>
              </w:rPr>
              <w:t>沙地黄棕壤</w:t>
            </w:r>
          </w:p>
        </w:tc>
        <w:tc>
          <w:tcPr>
            <w:tcW w:w="2309" w:type="dxa"/>
            <w:vAlign w:val="center"/>
          </w:tcPr>
          <w:p w14:paraId="393BC1A6">
            <w:pPr>
              <w:spacing w:line="240" w:lineRule="auto"/>
              <w:ind w:firstLine="0" w:firstLineChars="0"/>
              <w:jc w:val="center"/>
            </w:pPr>
            <w:r>
              <w:rPr>
                <w:rFonts w:hint="eastAsia"/>
              </w:rPr>
              <w:t>沙地黄棕壤</w:t>
            </w:r>
          </w:p>
        </w:tc>
        <w:tc>
          <w:tcPr>
            <w:tcW w:w="2310" w:type="dxa"/>
            <w:vAlign w:val="center"/>
          </w:tcPr>
          <w:p w14:paraId="7B5F7855">
            <w:pPr>
              <w:spacing w:line="240" w:lineRule="auto"/>
              <w:ind w:firstLine="0" w:firstLineChars="0"/>
              <w:jc w:val="center"/>
            </w:pPr>
            <w:r>
              <w:rPr>
                <w:rFonts w:hint="eastAsia"/>
              </w:rPr>
              <w:t>沙地黄棕壤</w:t>
            </w:r>
          </w:p>
        </w:tc>
      </w:tr>
      <w:tr w14:paraId="4573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2E19150E">
            <w:pPr>
              <w:spacing w:line="240" w:lineRule="auto"/>
              <w:ind w:firstLine="0" w:firstLineChars="0"/>
              <w:jc w:val="center"/>
            </w:pPr>
            <w:r>
              <w:rPr>
                <w:rFonts w:hint="eastAsia"/>
              </w:rPr>
              <w:t>质地</w:t>
            </w:r>
          </w:p>
        </w:tc>
        <w:tc>
          <w:tcPr>
            <w:tcW w:w="2309" w:type="dxa"/>
            <w:vAlign w:val="center"/>
          </w:tcPr>
          <w:p w14:paraId="5EC97E5B">
            <w:pPr>
              <w:spacing w:line="240" w:lineRule="auto"/>
              <w:ind w:firstLine="0" w:firstLineChars="0"/>
              <w:jc w:val="center"/>
            </w:pPr>
            <w:r>
              <w:rPr>
                <w:rFonts w:hint="eastAsia"/>
              </w:rPr>
              <w:t>砂壤土</w:t>
            </w:r>
          </w:p>
        </w:tc>
        <w:tc>
          <w:tcPr>
            <w:tcW w:w="2309" w:type="dxa"/>
            <w:vAlign w:val="center"/>
          </w:tcPr>
          <w:p w14:paraId="10661282">
            <w:pPr>
              <w:spacing w:line="240" w:lineRule="auto"/>
              <w:ind w:firstLine="0" w:firstLineChars="0"/>
              <w:jc w:val="center"/>
            </w:pPr>
            <w:r>
              <w:rPr>
                <w:rFonts w:hint="eastAsia"/>
              </w:rPr>
              <w:t>砂壤土</w:t>
            </w:r>
          </w:p>
        </w:tc>
        <w:tc>
          <w:tcPr>
            <w:tcW w:w="2310" w:type="dxa"/>
            <w:vAlign w:val="center"/>
          </w:tcPr>
          <w:p w14:paraId="5E70E66E">
            <w:pPr>
              <w:spacing w:line="240" w:lineRule="auto"/>
              <w:ind w:firstLine="0" w:firstLineChars="0"/>
              <w:jc w:val="center"/>
            </w:pPr>
            <w:r>
              <w:rPr>
                <w:rFonts w:hint="eastAsia"/>
              </w:rPr>
              <w:t>砂壤土</w:t>
            </w:r>
          </w:p>
        </w:tc>
      </w:tr>
      <w:tr w14:paraId="04E9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06B62021">
            <w:pPr>
              <w:spacing w:line="240" w:lineRule="auto"/>
              <w:ind w:firstLine="0" w:firstLineChars="0"/>
              <w:jc w:val="center"/>
            </w:pPr>
            <w:r>
              <w:rPr>
                <w:rFonts w:hint="eastAsia"/>
              </w:rPr>
              <w:t>砂砾含量</w:t>
            </w:r>
          </w:p>
        </w:tc>
        <w:tc>
          <w:tcPr>
            <w:tcW w:w="2309" w:type="dxa"/>
            <w:vAlign w:val="center"/>
          </w:tcPr>
          <w:p w14:paraId="3930FB49">
            <w:pPr>
              <w:spacing w:line="240" w:lineRule="auto"/>
              <w:ind w:firstLine="0" w:firstLineChars="0"/>
              <w:jc w:val="center"/>
            </w:pPr>
            <w:r>
              <w:rPr>
                <w:rFonts w:hint="eastAsia"/>
              </w:rPr>
              <w:t>6%</w:t>
            </w:r>
          </w:p>
        </w:tc>
        <w:tc>
          <w:tcPr>
            <w:tcW w:w="2309" w:type="dxa"/>
            <w:vAlign w:val="center"/>
          </w:tcPr>
          <w:p w14:paraId="5E21A3C1">
            <w:pPr>
              <w:spacing w:line="240" w:lineRule="auto"/>
              <w:ind w:firstLine="0" w:firstLineChars="0"/>
              <w:jc w:val="center"/>
            </w:pPr>
            <w:r>
              <w:rPr>
                <w:rFonts w:hint="eastAsia"/>
              </w:rPr>
              <w:t>4%</w:t>
            </w:r>
          </w:p>
        </w:tc>
        <w:tc>
          <w:tcPr>
            <w:tcW w:w="2310" w:type="dxa"/>
            <w:vAlign w:val="center"/>
          </w:tcPr>
          <w:p w14:paraId="388D6095">
            <w:pPr>
              <w:spacing w:line="240" w:lineRule="auto"/>
              <w:ind w:firstLine="0" w:firstLineChars="0"/>
              <w:jc w:val="center"/>
            </w:pPr>
            <w:r>
              <w:rPr>
                <w:rFonts w:hint="eastAsia"/>
              </w:rPr>
              <w:t>7%</w:t>
            </w:r>
          </w:p>
        </w:tc>
      </w:tr>
      <w:tr w14:paraId="2A8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695D082F">
            <w:pPr>
              <w:spacing w:line="240" w:lineRule="auto"/>
              <w:ind w:firstLine="0" w:firstLineChars="0"/>
              <w:jc w:val="center"/>
            </w:pPr>
            <w:r>
              <w:rPr>
                <w:rFonts w:hint="eastAsia"/>
              </w:rPr>
              <w:t>其他异物</w:t>
            </w:r>
          </w:p>
        </w:tc>
        <w:tc>
          <w:tcPr>
            <w:tcW w:w="2309" w:type="dxa"/>
            <w:vAlign w:val="center"/>
          </w:tcPr>
          <w:p w14:paraId="5F96F300">
            <w:pPr>
              <w:spacing w:line="240" w:lineRule="auto"/>
              <w:ind w:firstLine="0" w:firstLineChars="0"/>
              <w:jc w:val="center"/>
            </w:pPr>
            <w:r>
              <w:rPr>
                <w:rFonts w:hint="eastAsia"/>
              </w:rPr>
              <w:t>少量根系</w:t>
            </w:r>
          </w:p>
        </w:tc>
        <w:tc>
          <w:tcPr>
            <w:tcW w:w="2309" w:type="dxa"/>
            <w:vAlign w:val="center"/>
          </w:tcPr>
          <w:p w14:paraId="17AABE05">
            <w:pPr>
              <w:spacing w:line="240" w:lineRule="auto"/>
              <w:ind w:firstLine="0" w:firstLineChars="0"/>
              <w:jc w:val="center"/>
            </w:pPr>
            <w:r>
              <w:rPr>
                <w:rFonts w:hint="eastAsia"/>
              </w:rPr>
              <w:t>少量根系</w:t>
            </w:r>
          </w:p>
        </w:tc>
        <w:tc>
          <w:tcPr>
            <w:tcW w:w="2310" w:type="dxa"/>
            <w:vAlign w:val="center"/>
          </w:tcPr>
          <w:p w14:paraId="6C4D59DC">
            <w:pPr>
              <w:spacing w:line="240" w:lineRule="auto"/>
              <w:ind w:firstLine="0" w:firstLineChars="0"/>
              <w:jc w:val="center"/>
            </w:pPr>
            <w:r>
              <w:rPr>
                <w:rFonts w:hint="eastAsia"/>
              </w:rPr>
              <w:t>少量根系</w:t>
            </w:r>
          </w:p>
        </w:tc>
      </w:tr>
      <w:tr w14:paraId="6F3F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7264C536">
            <w:pPr>
              <w:spacing w:line="240" w:lineRule="auto"/>
              <w:ind w:firstLine="0" w:firstLineChars="0"/>
              <w:jc w:val="center"/>
            </w:pPr>
            <w:r>
              <w:rPr>
                <w:rFonts w:hint="eastAsia"/>
              </w:rPr>
              <w:t>pH值</w:t>
            </w:r>
          </w:p>
        </w:tc>
        <w:tc>
          <w:tcPr>
            <w:tcW w:w="2309" w:type="dxa"/>
            <w:vAlign w:val="center"/>
          </w:tcPr>
          <w:p w14:paraId="0FB61028">
            <w:pPr>
              <w:spacing w:line="240" w:lineRule="auto"/>
              <w:ind w:firstLine="0" w:firstLineChars="0"/>
              <w:jc w:val="center"/>
            </w:pPr>
            <w:r>
              <w:rPr>
                <w:rFonts w:hint="eastAsia"/>
              </w:rPr>
              <w:t>8.50</w:t>
            </w:r>
          </w:p>
        </w:tc>
        <w:tc>
          <w:tcPr>
            <w:tcW w:w="2309" w:type="dxa"/>
            <w:vAlign w:val="center"/>
          </w:tcPr>
          <w:p w14:paraId="34FF7090">
            <w:pPr>
              <w:spacing w:line="240" w:lineRule="auto"/>
              <w:ind w:firstLine="0" w:firstLineChars="0"/>
              <w:jc w:val="center"/>
            </w:pPr>
            <w:r>
              <w:rPr>
                <w:rFonts w:hint="eastAsia"/>
              </w:rPr>
              <w:t>8.59</w:t>
            </w:r>
          </w:p>
        </w:tc>
        <w:tc>
          <w:tcPr>
            <w:tcW w:w="2310" w:type="dxa"/>
            <w:vAlign w:val="center"/>
          </w:tcPr>
          <w:p w14:paraId="54C68E73">
            <w:pPr>
              <w:spacing w:line="240" w:lineRule="auto"/>
              <w:ind w:firstLine="0" w:firstLineChars="0"/>
              <w:jc w:val="center"/>
            </w:pPr>
            <w:r>
              <w:rPr>
                <w:rFonts w:hint="eastAsia"/>
              </w:rPr>
              <w:t>8.63</w:t>
            </w:r>
          </w:p>
        </w:tc>
      </w:tr>
      <w:tr w14:paraId="73FC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7C9C3BB3">
            <w:pPr>
              <w:spacing w:line="240" w:lineRule="auto"/>
              <w:ind w:firstLine="0" w:firstLineChars="0"/>
              <w:jc w:val="center"/>
            </w:pPr>
            <w:r>
              <w:rPr>
                <w:rFonts w:hint="eastAsia"/>
              </w:rPr>
              <w:t>阳离子交换量（cmol/kg）</w:t>
            </w:r>
          </w:p>
        </w:tc>
        <w:tc>
          <w:tcPr>
            <w:tcW w:w="2309" w:type="dxa"/>
            <w:vAlign w:val="center"/>
          </w:tcPr>
          <w:p w14:paraId="42407228">
            <w:pPr>
              <w:spacing w:line="240" w:lineRule="auto"/>
              <w:ind w:firstLine="0" w:firstLineChars="0"/>
              <w:jc w:val="center"/>
            </w:pPr>
            <w:r>
              <w:rPr>
                <w:rFonts w:hint="eastAsia"/>
              </w:rPr>
              <w:t>19.2</w:t>
            </w:r>
          </w:p>
        </w:tc>
        <w:tc>
          <w:tcPr>
            <w:tcW w:w="2309" w:type="dxa"/>
            <w:vAlign w:val="center"/>
          </w:tcPr>
          <w:p w14:paraId="0B0E09B9">
            <w:pPr>
              <w:spacing w:line="240" w:lineRule="auto"/>
              <w:ind w:firstLine="0" w:firstLineChars="0"/>
              <w:jc w:val="center"/>
            </w:pPr>
            <w:r>
              <w:rPr>
                <w:rFonts w:hint="eastAsia"/>
              </w:rPr>
              <w:t>18.8</w:t>
            </w:r>
          </w:p>
        </w:tc>
        <w:tc>
          <w:tcPr>
            <w:tcW w:w="2310" w:type="dxa"/>
            <w:vAlign w:val="center"/>
          </w:tcPr>
          <w:p w14:paraId="5B9C41F4">
            <w:pPr>
              <w:spacing w:line="240" w:lineRule="auto"/>
              <w:ind w:firstLine="0" w:firstLineChars="0"/>
              <w:jc w:val="center"/>
            </w:pPr>
            <w:r>
              <w:rPr>
                <w:rFonts w:hint="eastAsia"/>
              </w:rPr>
              <w:t>19.5</w:t>
            </w:r>
          </w:p>
        </w:tc>
      </w:tr>
      <w:tr w14:paraId="0725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30256774">
            <w:pPr>
              <w:spacing w:line="240" w:lineRule="auto"/>
              <w:ind w:firstLine="0" w:firstLineChars="0"/>
              <w:jc w:val="center"/>
            </w:pPr>
            <w:r>
              <w:rPr>
                <w:rFonts w:hint="eastAsia"/>
              </w:rPr>
              <w:t>氧化还原电位（mV）</w:t>
            </w:r>
          </w:p>
        </w:tc>
        <w:tc>
          <w:tcPr>
            <w:tcW w:w="2309" w:type="dxa"/>
            <w:vAlign w:val="center"/>
          </w:tcPr>
          <w:p w14:paraId="48E73D3A">
            <w:pPr>
              <w:spacing w:line="240" w:lineRule="auto"/>
              <w:ind w:firstLine="0" w:firstLineChars="0"/>
              <w:jc w:val="center"/>
            </w:pPr>
            <w:r>
              <w:rPr>
                <w:rFonts w:hint="eastAsia"/>
              </w:rPr>
              <w:t>451</w:t>
            </w:r>
          </w:p>
        </w:tc>
        <w:tc>
          <w:tcPr>
            <w:tcW w:w="2309" w:type="dxa"/>
            <w:vAlign w:val="center"/>
          </w:tcPr>
          <w:p w14:paraId="49404424">
            <w:pPr>
              <w:spacing w:line="240" w:lineRule="auto"/>
              <w:ind w:firstLine="0" w:firstLineChars="0"/>
              <w:jc w:val="center"/>
            </w:pPr>
            <w:r>
              <w:rPr>
                <w:rFonts w:hint="eastAsia"/>
              </w:rPr>
              <w:t>465</w:t>
            </w:r>
          </w:p>
        </w:tc>
        <w:tc>
          <w:tcPr>
            <w:tcW w:w="2310" w:type="dxa"/>
            <w:vAlign w:val="center"/>
          </w:tcPr>
          <w:p w14:paraId="78C4A337">
            <w:pPr>
              <w:spacing w:line="240" w:lineRule="auto"/>
              <w:ind w:firstLine="0" w:firstLineChars="0"/>
              <w:jc w:val="center"/>
            </w:pPr>
            <w:r>
              <w:rPr>
                <w:rFonts w:hint="eastAsia"/>
              </w:rPr>
              <w:t>487</w:t>
            </w:r>
          </w:p>
        </w:tc>
      </w:tr>
      <w:tr w14:paraId="0DBB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5293F0B7">
            <w:pPr>
              <w:spacing w:line="240" w:lineRule="auto"/>
              <w:ind w:firstLine="0" w:firstLineChars="0"/>
              <w:jc w:val="center"/>
            </w:pPr>
            <w:r>
              <w:rPr>
                <w:rFonts w:hint="eastAsia"/>
              </w:rPr>
              <w:t>饱和导水（cm/s）</w:t>
            </w:r>
          </w:p>
        </w:tc>
        <w:tc>
          <w:tcPr>
            <w:tcW w:w="2309" w:type="dxa"/>
            <w:vAlign w:val="center"/>
          </w:tcPr>
          <w:p w14:paraId="653F7574">
            <w:pPr>
              <w:spacing w:line="240" w:lineRule="auto"/>
              <w:ind w:firstLine="0" w:firstLineChars="0"/>
              <w:jc w:val="center"/>
            </w:pPr>
            <w:r>
              <w:rPr>
                <w:rFonts w:hint="eastAsia"/>
              </w:rPr>
              <w:t>0.521</w:t>
            </w:r>
          </w:p>
        </w:tc>
        <w:tc>
          <w:tcPr>
            <w:tcW w:w="2309" w:type="dxa"/>
            <w:vAlign w:val="center"/>
          </w:tcPr>
          <w:p w14:paraId="7F6AE115">
            <w:pPr>
              <w:spacing w:line="240" w:lineRule="auto"/>
              <w:ind w:firstLine="0" w:firstLineChars="0"/>
              <w:jc w:val="center"/>
            </w:pPr>
            <w:r>
              <w:rPr>
                <w:rFonts w:hint="eastAsia"/>
              </w:rPr>
              <w:t>0.543</w:t>
            </w:r>
          </w:p>
        </w:tc>
        <w:tc>
          <w:tcPr>
            <w:tcW w:w="2310" w:type="dxa"/>
            <w:vAlign w:val="center"/>
          </w:tcPr>
          <w:p w14:paraId="243C9E31">
            <w:pPr>
              <w:spacing w:line="240" w:lineRule="auto"/>
              <w:ind w:firstLine="0" w:firstLineChars="0"/>
              <w:jc w:val="center"/>
            </w:pPr>
            <w:r>
              <w:rPr>
                <w:rFonts w:hint="eastAsia"/>
              </w:rPr>
              <w:t>0.515</w:t>
            </w:r>
          </w:p>
        </w:tc>
      </w:tr>
      <w:tr w14:paraId="06EB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23034CA0">
            <w:pPr>
              <w:spacing w:line="240" w:lineRule="auto"/>
              <w:ind w:firstLine="0" w:firstLineChars="0"/>
              <w:jc w:val="center"/>
            </w:pPr>
            <w:r>
              <w:rPr>
                <w:rFonts w:hint="eastAsia"/>
              </w:rPr>
              <w:t>土壤容量（g/cm</w:t>
            </w:r>
            <w:r>
              <w:rPr>
                <w:rFonts w:hint="eastAsia"/>
                <w:vertAlign w:val="superscript"/>
              </w:rPr>
              <w:t>3</w:t>
            </w:r>
            <w:r>
              <w:rPr>
                <w:rFonts w:hint="eastAsia"/>
              </w:rPr>
              <w:t>）</w:t>
            </w:r>
          </w:p>
        </w:tc>
        <w:tc>
          <w:tcPr>
            <w:tcW w:w="2309" w:type="dxa"/>
            <w:vAlign w:val="center"/>
          </w:tcPr>
          <w:p w14:paraId="0D3C58E7">
            <w:pPr>
              <w:spacing w:line="240" w:lineRule="auto"/>
              <w:ind w:firstLine="0" w:firstLineChars="0"/>
              <w:jc w:val="center"/>
            </w:pPr>
            <w:r>
              <w:rPr>
                <w:rFonts w:hint="eastAsia"/>
              </w:rPr>
              <w:t>1.15</w:t>
            </w:r>
          </w:p>
        </w:tc>
        <w:tc>
          <w:tcPr>
            <w:tcW w:w="2309" w:type="dxa"/>
            <w:vAlign w:val="center"/>
          </w:tcPr>
          <w:p w14:paraId="5545967D">
            <w:pPr>
              <w:spacing w:line="240" w:lineRule="auto"/>
              <w:ind w:firstLine="0" w:firstLineChars="0"/>
              <w:jc w:val="center"/>
            </w:pPr>
            <w:r>
              <w:rPr>
                <w:rFonts w:hint="eastAsia"/>
              </w:rPr>
              <w:t>1.23</w:t>
            </w:r>
          </w:p>
        </w:tc>
        <w:tc>
          <w:tcPr>
            <w:tcW w:w="2310" w:type="dxa"/>
            <w:vAlign w:val="center"/>
          </w:tcPr>
          <w:p w14:paraId="3F6407DD">
            <w:pPr>
              <w:spacing w:line="240" w:lineRule="auto"/>
              <w:ind w:firstLine="0" w:firstLineChars="0"/>
              <w:jc w:val="center"/>
            </w:pPr>
            <w:r>
              <w:rPr>
                <w:rFonts w:hint="eastAsia"/>
              </w:rPr>
              <w:t>1.37</w:t>
            </w:r>
          </w:p>
        </w:tc>
      </w:tr>
      <w:tr w14:paraId="30C3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09" w:type="dxa"/>
            <w:vAlign w:val="center"/>
          </w:tcPr>
          <w:p w14:paraId="0056319D">
            <w:pPr>
              <w:spacing w:line="240" w:lineRule="auto"/>
              <w:ind w:firstLine="0" w:firstLineChars="0"/>
              <w:jc w:val="center"/>
            </w:pPr>
            <w:r>
              <w:rPr>
                <w:rFonts w:hint="eastAsia"/>
              </w:rPr>
              <w:t>孔隙度（%）</w:t>
            </w:r>
          </w:p>
        </w:tc>
        <w:tc>
          <w:tcPr>
            <w:tcW w:w="2309" w:type="dxa"/>
            <w:vAlign w:val="center"/>
          </w:tcPr>
          <w:p w14:paraId="70156D9E">
            <w:pPr>
              <w:spacing w:line="240" w:lineRule="auto"/>
              <w:ind w:firstLine="0" w:firstLineChars="0"/>
              <w:jc w:val="center"/>
            </w:pPr>
            <w:r>
              <w:rPr>
                <w:rFonts w:hint="eastAsia"/>
              </w:rPr>
              <w:t>30.1</w:t>
            </w:r>
          </w:p>
        </w:tc>
        <w:tc>
          <w:tcPr>
            <w:tcW w:w="2309" w:type="dxa"/>
            <w:vAlign w:val="center"/>
          </w:tcPr>
          <w:p w14:paraId="4AA46C41">
            <w:pPr>
              <w:spacing w:line="240" w:lineRule="auto"/>
              <w:ind w:firstLine="0" w:firstLineChars="0"/>
              <w:jc w:val="center"/>
            </w:pPr>
            <w:r>
              <w:rPr>
                <w:rFonts w:hint="eastAsia"/>
              </w:rPr>
              <w:t>30.4</w:t>
            </w:r>
          </w:p>
        </w:tc>
        <w:tc>
          <w:tcPr>
            <w:tcW w:w="2310" w:type="dxa"/>
            <w:vAlign w:val="center"/>
          </w:tcPr>
          <w:p w14:paraId="734BA202">
            <w:pPr>
              <w:spacing w:line="240" w:lineRule="auto"/>
              <w:ind w:firstLine="0" w:firstLineChars="0"/>
              <w:jc w:val="center"/>
            </w:pPr>
            <w:r>
              <w:rPr>
                <w:rFonts w:hint="eastAsia"/>
              </w:rPr>
              <w:t>30.2</w:t>
            </w:r>
          </w:p>
        </w:tc>
      </w:tr>
    </w:tbl>
    <w:p w14:paraId="038ECB86">
      <w:pPr>
        <w:pStyle w:val="11"/>
        <w:rPr>
          <w:b w:val="0"/>
          <w:bCs w:val="0"/>
          <w:sz w:val="24"/>
          <w:szCs w:val="18"/>
        </w:rPr>
      </w:pPr>
      <w:bookmarkStart w:id="329" w:name="_Toc166572301"/>
      <w:r>
        <w:t>4.5.2土壤环境质量现状评价</w:t>
      </w:r>
      <w:bookmarkEnd w:id="329"/>
    </w:p>
    <w:p w14:paraId="62E7051D">
      <w:pPr>
        <w:pStyle w:val="104"/>
      </w:pPr>
      <w:r>
        <w:t>（1）评</w:t>
      </w:r>
      <w:r>
        <w:rPr>
          <w:rFonts w:hint="eastAsia"/>
        </w:rPr>
        <w:t>价</w:t>
      </w:r>
      <w:r>
        <w:t>标准</w:t>
      </w:r>
    </w:p>
    <w:p w14:paraId="0C5B3D3D">
      <w:pPr>
        <w:pStyle w:val="104"/>
      </w:pPr>
      <w:r>
        <w:t>本次评估土壤执行《土壤环境质量</w:t>
      </w:r>
      <w:r>
        <w:rPr>
          <w:rFonts w:hint="eastAsia"/>
        </w:rPr>
        <w:t xml:space="preserve"> </w:t>
      </w:r>
      <w:r>
        <w:t>农用地土壤污染风险管控标准（试行）》（GB15618-2018）标准</w:t>
      </w:r>
      <w:r>
        <w:rPr>
          <w:szCs w:val="22"/>
          <w:lang w:bidi="ar"/>
        </w:rPr>
        <w:t>中的“表1农用地土壤污染风险筛选值（基本项目）”中的其他用地类型</w:t>
      </w:r>
      <w:r>
        <w:t>。</w:t>
      </w:r>
    </w:p>
    <w:p w14:paraId="4D25A74A">
      <w:pPr>
        <w:pStyle w:val="104"/>
        <w:rPr>
          <w:kern w:val="20"/>
        </w:rPr>
      </w:pPr>
      <w:r>
        <w:rPr>
          <w:kern w:val="20"/>
        </w:rPr>
        <w:t>（2）评价方法</w:t>
      </w:r>
    </w:p>
    <w:p w14:paraId="49136E79">
      <w:pPr>
        <w:pStyle w:val="104"/>
      </w:pPr>
      <w:bookmarkStart w:id="330" w:name="_Toc436639522"/>
      <w:r>
        <w:rPr>
          <w:kern w:val="16"/>
          <w:lang w:bidi="ar"/>
        </w:rPr>
        <w:t>各监测点位土壤环境质量现状评价方法，采用《环境影响评价技术导则土壤环境（试行）》（HJ964-2018）中标准指数法评价。</w:t>
      </w:r>
    </w:p>
    <w:p w14:paraId="08746819">
      <w:pPr>
        <w:pStyle w:val="104"/>
      </w:pPr>
      <w:r>
        <w:rPr>
          <w:kern w:val="16"/>
          <w:lang w:bidi="ar"/>
        </w:rPr>
        <w:t>对于评价标准为定值的因子，其标准指数计算公式：</w:t>
      </w:r>
    </w:p>
    <w:p w14:paraId="22EEA544">
      <w:pPr>
        <w:pStyle w:val="104"/>
      </w:pPr>
      <w:r>
        <w:rPr>
          <w:kern w:val="16"/>
          <w:lang w:bidi="ar"/>
        </w:rPr>
        <w:object>
          <v:shape id="_x0000_i1028" o:spt="75" type="#_x0000_t75" style="height:32pt;width:40pt;" o:ole="t" filled="f" o:preferrelative="t" stroked="f" coordsize="21600,21600">
            <v:path/>
            <v:fill on="f" focussize="0,0"/>
            <v:stroke on="f" joinstyle="miter"/>
            <v:imagedata r:id="rId53" o:title=""/>
            <o:lock v:ext="edit" aspectratio="t"/>
            <w10:wrap type="none"/>
            <w10:anchorlock/>
          </v:shape>
          <o:OLEObject Type="Embed" ProgID="Equation.DSMT4" ShapeID="_x0000_i1028" DrawAspect="Content" ObjectID="_1468075728" r:id="rId52">
            <o:LockedField>false</o:LockedField>
          </o:OLEObject>
        </w:object>
      </w:r>
    </w:p>
    <w:p w14:paraId="15D0373E">
      <w:pPr>
        <w:pStyle w:val="104"/>
      </w:pPr>
      <w:r>
        <w:rPr>
          <w:szCs w:val="22"/>
          <w:lang w:bidi="ar"/>
        </w:rPr>
        <w:t>式中：</w:t>
      </w:r>
      <w:r>
        <w:rPr>
          <w:i/>
          <w:szCs w:val="22"/>
          <w:lang w:bidi="ar"/>
        </w:rPr>
        <w:t>P</w:t>
      </w:r>
      <w:r>
        <w:rPr>
          <w:i/>
          <w:szCs w:val="22"/>
          <w:vertAlign w:val="subscript"/>
          <w:lang w:bidi="ar"/>
        </w:rPr>
        <w:t>i</w:t>
      </w:r>
      <w:r>
        <w:rPr>
          <w:szCs w:val="22"/>
          <w:lang w:bidi="ar"/>
        </w:rPr>
        <w:t>——第i个因子的标准染指数，无量纲；</w:t>
      </w:r>
    </w:p>
    <w:p w14:paraId="481B5763">
      <w:pPr>
        <w:pStyle w:val="104"/>
      </w:pPr>
      <w:r>
        <w:rPr>
          <w:i/>
          <w:szCs w:val="22"/>
          <w:lang w:bidi="ar"/>
        </w:rPr>
        <w:t>C</w:t>
      </w:r>
      <w:r>
        <w:rPr>
          <w:i/>
          <w:szCs w:val="22"/>
          <w:vertAlign w:val="subscript"/>
          <w:lang w:bidi="ar"/>
        </w:rPr>
        <w:t>i</w:t>
      </w:r>
      <w:r>
        <w:rPr>
          <w:szCs w:val="22"/>
          <w:lang w:bidi="ar"/>
        </w:rPr>
        <w:t>——第i个因子的监测浓度值，mg/kg；</w:t>
      </w:r>
    </w:p>
    <w:p w14:paraId="10DB3241">
      <w:pPr>
        <w:pStyle w:val="104"/>
      </w:pPr>
      <w:r>
        <w:rPr>
          <w:i/>
          <w:szCs w:val="22"/>
          <w:lang w:bidi="ar"/>
        </w:rPr>
        <w:t>C</w:t>
      </w:r>
      <w:r>
        <w:rPr>
          <w:i/>
          <w:szCs w:val="22"/>
          <w:vertAlign w:val="subscript"/>
          <w:lang w:bidi="ar"/>
        </w:rPr>
        <w:t>si</w:t>
      </w:r>
      <w:r>
        <w:rPr>
          <w:szCs w:val="22"/>
          <w:lang w:bidi="ar"/>
        </w:rPr>
        <w:t>——第i个因子的质量标准，mg/kg。</w:t>
      </w:r>
    </w:p>
    <w:p w14:paraId="728DD670">
      <w:pPr>
        <w:pStyle w:val="104"/>
      </w:pPr>
      <w:r>
        <w:rPr>
          <w:kern w:val="20"/>
        </w:rPr>
        <w:t>（3）评价结果</w:t>
      </w:r>
      <w:bookmarkEnd w:id="330"/>
    </w:p>
    <w:p w14:paraId="33949DD3">
      <w:pPr>
        <w:pStyle w:val="104"/>
      </w:pPr>
      <w:r>
        <w:t>土壤环境质量现状评价结果见表4.5-4。</w:t>
      </w:r>
    </w:p>
    <w:p w14:paraId="7D1F4CAE">
      <w:pPr>
        <w:pStyle w:val="756"/>
      </w:pPr>
      <w:r>
        <w:t>表4.5-4  土壤质量现状评价结果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161"/>
        <w:gridCol w:w="1161"/>
        <w:gridCol w:w="1161"/>
        <w:gridCol w:w="1161"/>
        <w:gridCol w:w="1161"/>
        <w:gridCol w:w="1161"/>
        <w:gridCol w:w="1161"/>
      </w:tblGrid>
      <w:tr w14:paraId="2760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Align w:val="center"/>
          </w:tcPr>
          <w:p w14:paraId="15AA7C81">
            <w:pPr>
              <w:spacing w:line="240" w:lineRule="auto"/>
              <w:ind w:firstLine="0" w:firstLineChars="0"/>
              <w:jc w:val="center"/>
              <w:rPr>
                <w:sz w:val="21"/>
                <w:szCs w:val="21"/>
              </w:rPr>
            </w:pPr>
            <w:r>
              <w:rPr>
                <w:rFonts w:hint="eastAsia"/>
                <w:sz w:val="21"/>
                <w:szCs w:val="21"/>
              </w:rPr>
              <w:t>点位名称</w:t>
            </w:r>
          </w:p>
        </w:tc>
        <w:tc>
          <w:tcPr>
            <w:tcW w:w="1161" w:type="dxa"/>
            <w:vAlign w:val="center"/>
          </w:tcPr>
          <w:p w14:paraId="09C7A21A">
            <w:pPr>
              <w:spacing w:line="240" w:lineRule="auto"/>
              <w:ind w:firstLine="0" w:firstLineChars="0"/>
              <w:jc w:val="center"/>
              <w:rPr>
                <w:sz w:val="21"/>
                <w:szCs w:val="21"/>
              </w:rPr>
            </w:pPr>
            <w:r>
              <w:rPr>
                <w:rFonts w:hint="eastAsia"/>
                <w:sz w:val="21"/>
                <w:szCs w:val="21"/>
              </w:rPr>
              <w:t>检测项目</w:t>
            </w:r>
          </w:p>
        </w:tc>
        <w:tc>
          <w:tcPr>
            <w:tcW w:w="1161" w:type="dxa"/>
            <w:vAlign w:val="center"/>
          </w:tcPr>
          <w:p w14:paraId="7E91AD71">
            <w:pPr>
              <w:spacing w:line="240" w:lineRule="auto"/>
              <w:ind w:firstLine="0" w:firstLineChars="0"/>
              <w:jc w:val="center"/>
              <w:rPr>
                <w:sz w:val="21"/>
                <w:szCs w:val="21"/>
              </w:rPr>
            </w:pPr>
            <w:r>
              <w:rPr>
                <w:rFonts w:hint="eastAsia"/>
                <w:sz w:val="21"/>
                <w:szCs w:val="21"/>
              </w:rPr>
              <w:t>监测结果</w:t>
            </w:r>
          </w:p>
        </w:tc>
        <w:tc>
          <w:tcPr>
            <w:tcW w:w="1161" w:type="dxa"/>
            <w:vAlign w:val="center"/>
          </w:tcPr>
          <w:p w14:paraId="12957776">
            <w:pPr>
              <w:spacing w:line="240" w:lineRule="auto"/>
              <w:ind w:firstLine="0" w:firstLineChars="0"/>
              <w:jc w:val="center"/>
              <w:rPr>
                <w:sz w:val="21"/>
                <w:szCs w:val="21"/>
              </w:rPr>
            </w:pPr>
            <w:r>
              <w:rPr>
                <w:rFonts w:hint="eastAsia"/>
                <w:sz w:val="21"/>
                <w:szCs w:val="21"/>
              </w:rPr>
              <w:t>单位</w:t>
            </w:r>
          </w:p>
        </w:tc>
        <w:tc>
          <w:tcPr>
            <w:tcW w:w="1161" w:type="dxa"/>
            <w:vAlign w:val="center"/>
          </w:tcPr>
          <w:p w14:paraId="6BDCCA8E">
            <w:pPr>
              <w:spacing w:line="240" w:lineRule="auto"/>
              <w:ind w:firstLine="0" w:firstLineChars="0"/>
              <w:jc w:val="center"/>
              <w:rPr>
                <w:sz w:val="21"/>
                <w:szCs w:val="21"/>
              </w:rPr>
            </w:pPr>
            <w:r>
              <w:rPr>
                <w:rFonts w:hint="eastAsia"/>
                <w:sz w:val="21"/>
                <w:szCs w:val="21"/>
              </w:rPr>
              <w:t>标准限值</w:t>
            </w:r>
          </w:p>
        </w:tc>
        <w:tc>
          <w:tcPr>
            <w:tcW w:w="1161" w:type="dxa"/>
            <w:vAlign w:val="center"/>
          </w:tcPr>
          <w:p w14:paraId="09A13B5F">
            <w:pPr>
              <w:spacing w:line="240" w:lineRule="auto"/>
              <w:ind w:firstLine="0" w:firstLineChars="0"/>
              <w:jc w:val="center"/>
              <w:rPr>
                <w:sz w:val="21"/>
                <w:szCs w:val="21"/>
              </w:rPr>
            </w:pPr>
            <w:r>
              <w:rPr>
                <w:rFonts w:hint="eastAsia"/>
                <w:sz w:val="21"/>
                <w:szCs w:val="21"/>
              </w:rPr>
              <w:t>标准指数</w:t>
            </w:r>
          </w:p>
        </w:tc>
        <w:tc>
          <w:tcPr>
            <w:tcW w:w="1161" w:type="dxa"/>
            <w:vAlign w:val="center"/>
          </w:tcPr>
          <w:p w14:paraId="53198884">
            <w:pPr>
              <w:spacing w:line="240" w:lineRule="auto"/>
              <w:ind w:firstLine="0" w:firstLineChars="0"/>
              <w:jc w:val="center"/>
              <w:rPr>
                <w:sz w:val="21"/>
                <w:szCs w:val="21"/>
              </w:rPr>
            </w:pPr>
            <w:r>
              <w:rPr>
                <w:rFonts w:hint="eastAsia"/>
                <w:sz w:val="21"/>
                <w:szCs w:val="21"/>
              </w:rPr>
              <w:t>超标倍数</w:t>
            </w:r>
          </w:p>
        </w:tc>
        <w:tc>
          <w:tcPr>
            <w:tcW w:w="1161" w:type="dxa"/>
            <w:vAlign w:val="center"/>
          </w:tcPr>
          <w:p w14:paraId="4490CF46">
            <w:pPr>
              <w:spacing w:line="240" w:lineRule="auto"/>
              <w:ind w:firstLine="0" w:firstLineChars="0"/>
              <w:jc w:val="center"/>
              <w:rPr>
                <w:sz w:val="21"/>
                <w:szCs w:val="21"/>
              </w:rPr>
            </w:pPr>
            <w:r>
              <w:rPr>
                <w:rFonts w:hint="eastAsia"/>
                <w:sz w:val="21"/>
                <w:szCs w:val="21"/>
              </w:rPr>
              <w:t>是否达标</w:t>
            </w:r>
          </w:p>
        </w:tc>
      </w:tr>
      <w:tr w14:paraId="2A77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restart"/>
            <w:vAlign w:val="center"/>
          </w:tcPr>
          <w:p w14:paraId="31A9F7C6">
            <w:pPr>
              <w:pStyle w:val="756"/>
              <w:rPr>
                <w:b w:val="0"/>
                <w:sz w:val="21"/>
                <w:szCs w:val="21"/>
              </w:rPr>
            </w:pPr>
            <w:r>
              <w:rPr>
                <w:rFonts w:hint="eastAsia"/>
                <w:b w:val="0"/>
                <w:sz w:val="21"/>
                <w:szCs w:val="21"/>
              </w:rPr>
              <w:t>厂区内1#</w:t>
            </w:r>
          </w:p>
        </w:tc>
        <w:tc>
          <w:tcPr>
            <w:tcW w:w="1161" w:type="dxa"/>
            <w:vAlign w:val="center"/>
          </w:tcPr>
          <w:p w14:paraId="7F5EDBBF">
            <w:pPr>
              <w:pStyle w:val="751"/>
              <w:rPr>
                <w:color w:val="auto"/>
              </w:rPr>
            </w:pPr>
            <w:r>
              <w:rPr>
                <w:color w:val="auto"/>
                <w:kern w:val="2"/>
              </w:rPr>
              <w:t>pH值</w:t>
            </w:r>
          </w:p>
        </w:tc>
        <w:tc>
          <w:tcPr>
            <w:tcW w:w="1161" w:type="dxa"/>
            <w:vAlign w:val="center"/>
          </w:tcPr>
          <w:p w14:paraId="6579EFFC">
            <w:pPr>
              <w:pStyle w:val="751"/>
              <w:rPr>
                <w:color w:val="auto"/>
              </w:rPr>
            </w:pPr>
            <w:r>
              <w:rPr>
                <w:rFonts w:hint="eastAsia"/>
                <w:color w:val="auto"/>
              </w:rPr>
              <w:t>8.5</w:t>
            </w:r>
          </w:p>
        </w:tc>
        <w:tc>
          <w:tcPr>
            <w:tcW w:w="1161" w:type="dxa"/>
            <w:vAlign w:val="center"/>
          </w:tcPr>
          <w:p w14:paraId="1DABF1C1">
            <w:pPr>
              <w:pStyle w:val="751"/>
              <w:rPr>
                <w:color w:val="auto"/>
              </w:rPr>
            </w:pPr>
            <w:r>
              <w:rPr>
                <w:color w:val="auto"/>
              </w:rPr>
              <w:t>无量纲</w:t>
            </w:r>
          </w:p>
        </w:tc>
        <w:tc>
          <w:tcPr>
            <w:tcW w:w="1161" w:type="dxa"/>
            <w:vAlign w:val="center"/>
          </w:tcPr>
          <w:p w14:paraId="1E891F63">
            <w:pPr>
              <w:pStyle w:val="751"/>
              <w:rPr>
                <w:color w:val="auto"/>
              </w:rPr>
            </w:pPr>
            <w:r>
              <w:rPr>
                <w:rFonts w:hint="eastAsia"/>
                <w:color w:val="auto"/>
              </w:rPr>
              <w:t>/</w:t>
            </w:r>
          </w:p>
        </w:tc>
        <w:tc>
          <w:tcPr>
            <w:tcW w:w="1161" w:type="dxa"/>
            <w:vAlign w:val="center"/>
          </w:tcPr>
          <w:p w14:paraId="272F4661">
            <w:pPr>
              <w:pStyle w:val="756"/>
              <w:rPr>
                <w:b w:val="0"/>
                <w:sz w:val="21"/>
                <w:szCs w:val="21"/>
              </w:rPr>
            </w:pPr>
            <w:r>
              <w:rPr>
                <w:rFonts w:hint="eastAsia"/>
                <w:b w:val="0"/>
                <w:sz w:val="21"/>
                <w:szCs w:val="21"/>
              </w:rPr>
              <w:t>/</w:t>
            </w:r>
          </w:p>
        </w:tc>
        <w:tc>
          <w:tcPr>
            <w:tcW w:w="1161" w:type="dxa"/>
            <w:vAlign w:val="center"/>
          </w:tcPr>
          <w:p w14:paraId="23DB94CF">
            <w:pPr>
              <w:pStyle w:val="756"/>
              <w:rPr>
                <w:b w:val="0"/>
                <w:sz w:val="21"/>
                <w:szCs w:val="21"/>
              </w:rPr>
            </w:pPr>
            <w:r>
              <w:rPr>
                <w:rFonts w:hint="eastAsia"/>
                <w:b w:val="0"/>
                <w:sz w:val="21"/>
                <w:szCs w:val="21"/>
              </w:rPr>
              <w:t>0</w:t>
            </w:r>
          </w:p>
        </w:tc>
        <w:tc>
          <w:tcPr>
            <w:tcW w:w="1161" w:type="dxa"/>
            <w:vAlign w:val="center"/>
          </w:tcPr>
          <w:p w14:paraId="730B6882">
            <w:pPr>
              <w:pStyle w:val="756"/>
              <w:rPr>
                <w:b w:val="0"/>
                <w:sz w:val="21"/>
                <w:szCs w:val="21"/>
              </w:rPr>
            </w:pPr>
            <w:r>
              <w:rPr>
                <w:rFonts w:hint="eastAsia"/>
                <w:b w:val="0"/>
                <w:sz w:val="21"/>
                <w:szCs w:val="21"/>
              </w:rPr>
              <w:t>达标</w:t>
            </w:r>
          </w:p>
        </w:tc>
      </w:tr>
      <w:tr w14:paraId="62C4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47B1D355">
            <w:pPr>
              <w:pStyle w:val="756"/>
              <w:rPr>
                <w:b w:val="0"/>
                <w:sz w:val="21"/>
                <w:szCs w:val="21"/>
              </w:rPr>
            </w:pPr>
          </w:p>
        </w:tc>
        <w:tc>
          <w:tcPr>
            <w:tcW w:w="1161" w:type="dxa"/>
            <w:vAlign w:val="center"/>
          </w:tcPr>
          <w:p w14:paraId="258D4F2F">
            <w:pPr>
              <w:pStyle w:val="751"/>
              <w:rPr>
                <w:color w:val="auto"/>
              </w:rPr>
            </w:pPr>
            <w:r>
              <w:rPr>
                <w:color w:val="auto"/>
              </w:rPr>
              <w:t>镉</w:t>
            </w:r>
          </w:p>
        </w:tc>
        <w:tc>
          <w:tcPr>
            <w:tcW w:w="1161" w:type="dxa"/>
            <w:vAlign w:val="center"/>
          </w:tcPr>
          <w:p w14:paraId="1D9BD47E">
            <w:pPr>
              <w:pStyle w:val="751"/>
              <w:rPr>
                <w:color w:val="auto"/>
              </w:rPr>
            </w:pPr>
            <w:r>
              <w:rPr>
                <w:rFonts w:hint="eastAsia"/>
                <w:color w:val="auto"/>
              </w:rPr>
              <w:t>0.07L</w:t>
            </w:r>
          </w:p>
        </w:tc>
        <w:tc>
          <w:tcPr>
            <w:tcW w:w="1161" w:type="dxa"/>
            <w:vAlign w:val="center"/>
          </w:tcPr>
          <w:p w14:paraId="10EC0B2F">
            <w:pPr>
              <w:pStyle w:val="751"/>
              <w:rPr>
                <w:color w:val="auto"/>
              </w:rPr>
            </w:pPr>
            <w:r>
              <w:rPr>
                <w:color w:val="auto"/>
              </w:rPr>
              <w:t>mg/kg</w:t>
            </w:r>
          </w:p>
        </w:tc>
        <w:tc>
          <w:tcPr>
            <w:tcW w:w="1161" w:type="dxa"/>
            <w:vAlign w:val="center"/>
          </w:tcPr>
          <w:p w14:paraId="21DC0894">
            <w:pPr>
              <w:pStyle w:val="751"/>
              <w:rPr>
                <w:color w:val="auto"/>
              </w:rPr>
            </w:pPr>
            <w:r>
              <w:rPr>
                <w:rFonts w:hint="eastAsia"/>
                <w:color w:val="auto"/>
              </w:rPr>
              <w:t>0.6</w:t>
            </w:r>
          </w:p>
        </w:tc>
        <w:tc>
          <w:tcPr>
            <w:tcW w:w="1161" w:type="dxa"/>
            <w:vAlign w:val="center"/>
          </w:tcPr>
          <w:p w14:paraId="57739716">
            <w:pPr>
              <w:pStyle w:val="756"/>
              <w:rPr>
                <w:b w:val="0"/>
                <w:sz w:val="21"/>
                <w:szCs w:val="21"/>
              </w:rPr>
            </w:pPr>
            <w:r>
              <w:rPr>
                <w:rFonts w:hint="eastAsia"/>
                <w:b w:val="0"/>
                <w:sz w:val="21"/>
                <w:szCs w:val="21"/>
              </w:rPr>
              <w:t>0.058</w:t>
            </w:r>
          </w:p>
        </w:tc>
        <w:tc>
          <w:tcPr>
            <w:tcW w:w="1161" w:type="dxa"/>
            <w:vAlign w:val="center"/>
          </w:tcPr>
          <w:p w14:paraId="3BDD63E5">
            <w:pPr>
              <w:pStyle w:val="756"/>
              <w:rPr>
                <w:b w:val="0"/>
                <w:sz w:val="21"/>
                <w:szCs w:val="21"/>
              </w:rPr>
            </w:pPr>
            <w:r>
              <w:rPr>
                <w:rFonts w:hint="eastAsia"/>
                <w:b w:val="0"/>
                <w:sz w:val="21"/>
                <w:szCs w:val="21"/>
              </w:rPr>
              <w:t>0</w:t>
            </w:r>
          </w:p>
        </w:tc>
        <w:tc>
          <w:tcPr>
            <w:tcW w:w="1161" w:type="dxa"/>
            <w:vAlign w:val="center"/>
          </w:tcPr>
          <w:p w14:paraId="419534C2">
            <w:pPr>
              <w:pStyle w:val="756"/>
              <w:rPr>
                <w:b w:val="0"/>
                <w:sz w:val="21"/>
                <w:szCs w:val="21"/>
              </w:rPr>
            </w:pPr>
            <w:r>
              <w:rPr>
                <w:rFonts w:hint="eastAsia"/>
                <w:b w:val="0"/>
                <w:sz w:val="21"/>
                <w:szCs w:val="21"/>
              </w:rPr>
              <w:t>达标</w:t>
            </w:r>
          </w:p>
        </w:tc>
      </w:tr>
      <w:tr w14:paraId="40A2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6FF00D7A">
            <w:pPr>
              <w:pStyle w:val="756"/>
              <w:rPr>
                <w:b w:val="0"/>
                <w:sz w:val="21"/>
                <w:szCs w:val="21"/>
              </w:rPr>
            </w:pPr>
          </w:p>
        </w:tc>
        <w:tc>
          <w:tcPr>
            <w:tcW w:w="1161" w:type="dxa"/>
            <w:vAlign w:val="center"/>
          </w:tcPr>
          <w:p w14:paraId="0CADB48F">
            <w:pPr>
              <w:pStyle w:val="751"/>
              <w:rPr>
                <w:color w:val="auto"/>
              </w:rPr>
            </w:pPr>
            <w:r>
              <w:rPr>
                <w:color w:val="auto"/>
              </w:rPr>
              <w:t>汞</w:t>
            </w:r>
          </w:p>
        </w:tc>
        <w:tc>
          <w:tcPr>
            <w:tcW w:w="1161" w:type="dxa"/>
            <w:vAlign w:val="center"/>
          </w:tcPr>
          <w:p w14:paraId="2EF02BE3">
            <w:pPr>
              <w:pStyle w:val="751"/>
              <w:rPr>
                <w:color w:val="auto"/>
              </w:rPr>
            </w:pPr>
            <w:r>
              <w:rPr>
                <w:rFonts w:hint="eastAsia"/>
                <w:color w:val="auto"/>
              </w:rPr>
              <w:t>0.070</w:t>
            </w:r>
          </w:p>
        </w:tc>
        <w:tc>
          <w:tcPr>
            <w:tcW w:w="1161" w:type="dxa"/>
            <w:vAlign w:val="center"/>
          </w:tcPr>
          <w:p w14:paraId="656201DA">
            <w:pPr>
              <w:pStyle w:val="751"/>
              <w:rPr>
                <w:color w:val="auto"/>
              </w:rPr>
            </w:pPr>
            <w:r>
              <w:rPr>
                <w:color w:val="auto"/>
              </w:rPr>
              <w:t>mg/kg</w:t>
            </w:r>
          </w:p>
        </w:tc>
        <w:tc>
          <w:tcPr>
            <w:tcW w:w="1161" w:type="dxa"/>
            <w:vAlign w:val="center"/>
          </w:tcPr>
          <w:p w14:paraId="27DF4C80">
            <w:pPr>
              <w:pStyle w:val="751"/>
              <w:rPr>
                <w:color w:val="auto"/>
              </w:rPr>
            </w:pPr>
            <w:r>
              <w:rPr>
                <w:rFonts w:hint="eastAsia"/>
                <w:color w:val="auto"/>
              </w:rPr>
              <w:t>3.4</w:t>
            </w:r>
          </w:p>
        </w:tc>
        <w:tc>
          <w:tcPr>
            <w:tcW w:w="1161" w:type="dxa"/>
            <w:vAlign w:val="center"/>
          </w:tcPr>
          <w:p w14:paraId="3D6A64D6">
            <w:pPr>
              <w:pStyle w:val="756"/>
              <w:rPr>
                <w:b w:val="0"/>
                <w:sz w:val="21"/>
                <w:szCs w:val="21"/>
              </w:rPr>
            </w:pPr>
            <w:r>
              <w:rPr>
                <w:rFonts w:hint="eastAsia"/>
                <w:b w:val="0"/>
                <w:sz w:val="21"/>
                <w:szCs w:val="21"/>
              </w:rPr>
              <w:t>0.021</w:t>
            </w:r>
          </w:p>
        </w:tc>
        <w:tc>
          <w:tcPr>
            <w:tcW w:w="1161" w:type="dxa"/>
            <w:vAlign w:val="center"/>
          </w:tcPr>
          <w:p w14:paraId="5649BEB7">
            <w:pPr>
              <w:pStyle w:val="756"/>
              <w:rPr>
                <w:b w:val="0"/>
                <w:sz w:val="21"/>
                <w:szCs w:val="21"/>
              </w:rPr>
            </w:pPr>
            <w:r>
              <w:rPr>
                <w:rFonts w:hint="eastAsia"/>
                <w:b w:val="0"/>
                <w:sz w:val="21"/>
                <w:szCs w:val="21"/>
              </w:rPr>
              <w:t>0</w:t>
            </w:r>
          </w:p>
        </w:tc>
        <w:tc>
          <w:tcPr>
            <w:tcW w:w="1161" w:type="dxa"/>
            <w:vAlign w:val="center"/>
          </w:tcPr>
          <w:p w14:paraId="2DF90359">
            <w:pPr>
              <w:pStyle w:val="756"/>
              <w:rPr>
                <w:b w:val="0"/>
                <w:sz w:val="21"/>
                <w:szCs w:val="21"/>
              </w:rPr>
            </w:pPr>
            <w:r>
              <w:rPr>
                <w:rFonts w:hint="eastAsia"/>
                <w:b w:val="0"/>
                <w:sz w:val="21"/>
                <w:szCs w:val="21"/>
              </w:rPr>
              <w:t>达标</w:t>
            </w:r>
          </w:p>
        </w:tc>
      </w:tr>
      <w:tr w14:paraId="7948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01D5809D">
            <w:pPr>
              <w:pStyle w:val="756"/>
              <w:rPr>
                <w:b w:val="0"/>
                <w:sz w:val="21"/>
                <w:szCs w:val="21"/>
              </w:rPr>
            </w:pPr>
          </w:p>
        </w:tc>
        <w:tc>
          <w:tcPr>
            <w:tcW w:w="1161" w:type="dxa"/>
            <w:vAlign w:val="center"/>
          </w:tcPr>
          <w:p w14:paraId="61738BF7">
            <w:pPr>
              <w:pStyle w:val="751"/>
              <w:rPr>
                <w:color w:val="auto"/>
              </w:rPr>
            </w:pPr>
            <w:r>
              <w:rPr>
                <w:color w:val="auto"/>
              </w:rPr>
              <w:t>砷</w:t>
            </w:r>
          </w:p>
        </w:tc>
        <w:tc>
          <w:tcPr>
            <w:tcW w:w="1161" w:type="dxa"/>
            <w:vAlign w:val="center"/>
          </w:tcPr>
          <w:p w14:paraId="2F2AC495">
            <w:pPr>
              <w:pStyle w:val="751"/>
              <w:rPr>
                <w:color w:val="auto"/>
              </w:rPr>
            </w:pPr>
            <w:r>
              <w:rPr>
                <w:rFonts w:hint="eastAsia"/>
                <w:color w:val="auto"/>
              </w:rPr>
              <w:t>8.35</w:t>
            </w:r>
          </w:p>
        </w:tc>
        <w:tc>
          <w:tcPr>
            <w:tcW w:w="1161" w:type="dxa"/>
            <w:vAlign w:val="center"/>
          </w:tcPr>
          <w:p w14:paraId="4842F356">
            <w:pPr>
              <w:pStyle w:val="751"/>
              <w:rPr>
                <w:color w:val="auto"/>
              </w:rPr>
            </w:pPr>
            <w:r>
              <w:rPr>
                <w:color w:val="auto"/>
              </w:rPr>
              <w:t>mg/kg</w:t>
            </w:r>
          </w:p>
        </w:tc>
        <w:tc>
          <w:tcPr>
            <w:tcW w:w="1161" w:type="dxa"/>
            <w:vAlign w:val="center"/>
          </w:tcPr>
          <w:p w14:paraId="10BE88D9">
            <w:pPr>
              <w:pStyle w:val="751"/>
              <w:rPr>
                <w:color w:val="auto"/>
              </w:rPr>
            </w:pPr>
            <w:r>
              <w:rPr>
                <w:rFonts w:hint="eastAsia"/>
                <w:color w:val="auto"/>
              </w:rPr>
              <w:t>25</w:t>
            </w:r>
          </w:p>
        </w:tc>
        <w:tc>
          <w:tcPr>
            <w:tcW w:w="1161" w:type="dxa"/>
            <w:vAlign w:val="center"/>
          </w:tcPr>
          <w:p w14:paraId="2F7C1715">
            <w:pPr>
              <w:pStyle w:val="756"/>
              <w:rPr>
                <w:b w:val="0"/>
                <w:sz w:val="21"/>
                <w:szCs w:val="21"/>
              </w:rPr>
            </w:pPr>
            <w:r>
              <w:rPr>
                <w:rFonts w:hint="eastAsia"/>
                <w:b w:val="0"/>
                <w:sz w:val="21"/>
                <w:szCs w:val="21"/>
              </w:rPr>
              <w:t>0.334</w:t>
            </w:r>
          </w:p>
        </w:tc>
        <w:tc>
          <w:tcPr>
            <w:tcW w:w="1161" w:type="dxa"/>
            <w:vAlign w:val="center"/>
          </w:tcPr>
          <w:p w14:paraId="37E39D76">
            <w:pPr>
              <w:pStyle w:val="756"/>
              <w:rPr>
                <w:b w:val="0"/>
                <w:sz w:val="21"/>
                <w:szCs w:val="21"/>
              </w:rPr>
            </w:pPr>
            <w:r>
              <w:rPr>
                <w:rFonts w:hint="eastAsia"/>
                <w:b w:val="0"/>
                <w:sz w:val="21"/>
                <w:szCs w:val="21"/>
              </w:rPr>
              <w:t>0</w:t>
            </w:r>
          </w:p>
        </w:tc>
        <w:tc>
          <w:tcPr>
            <w:tcW w:w="1161" w:type="dxa"/>
            <w:vAlign w:val="center"/>
          </w:tcPr>
          <w:p w14:paraId="5010A1C2">
            <w:pPr>
              <w:pStyle w:val="756"/>
              <w:rPr>
                <w:b w:val="0"/>
                <w:sz w:val="21"/>
                <w:szCs w:val="21"/>
              </w:rPr>
            </w:pPr>
            <w:r>
              <w:rPr>
                <w:rFonts w:hint="eastAsia"/>
                <w:b w:val="0"/>
                <w:sz w:val="21"/>
                <w:szCs w:val="21"/>
              </w:rPr>
              <w:t>达标</w:t>
            </w:r>
          </w:p>
        </w:tc>
      </w:tr>
      <w:tr w14:paraId="30D2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05AB9C74">
            <w:pPr>
              <w:pStyle w:val="756"/>
              <w:rPr>
                <w:b w:val="0"/>
                <w:sz w:val="21"/>
                <w:szCs w:val="21"/>
              </w:rPr>
            </w:pPr>
          </w:p>
        </w:tc>
        <w:tc>
          <w:tcPr>
            <w:tcW w:w="1161" w:type="dxa"/>
            <w:vAlign w:val="center"/>
          </w:tcPr>
          <w:p w14:paraId="47E0AD4B">
            <w:pPr>
              <w:pStyle w:val="751"/>
              <w:rPr>
                <w:color w:val="auto"/>
              </w:rPr>
            </w:pPr>
            <w:r>
              <w:rPr>
                <w:color w:val="auto"/>
              </w:rPr>
              <w:t>铅</w:t>
            </w:r>
          </w:p>
        </w:tc>
        <w:tc>
          <w:tcPr>
            <w:tcW w:w="1161" w:type="dxa"/>
            <w:vAlign w:val="center"/>
          </w:tcPr>
          <w:p w14:paraId="073D41C0">
            <w:pPr>
              <w:pStyle w:val="751"/>
              <w:rPr>
                <w:color w:val="auto"/>
              </w:rPr>
            </w:pPr>
            <w:r>
              <w:rPr>
                <w:rFonts w:hint="eastAsia"/>
                <w:color w:val="auto"/>
              </w:rPr>
              <w:t>17</w:t>
            </w:r>
          </w:p>
        </w:tc>
        <w:tc>
          <w:tcPr>
            <w:tcW w:w="1161" w:type="dxa"/>
            <w:vAlign w:val="center"/>
          </w:tcPr>
          <w:p w14:paraId="770AEBBD">
            <w:pPr>
              <w:pStyle w:val="751"/>
              <w:rPr>
                <w:color w:val="auto"/>
              </w:rPr>
            </w:pPr>
            <w:r>
              <w:rPr>
                <w:color w:val="auto"/>
              </w:rPr>
              <w:t>mg/kg</w:t>
            </w:r>
          </w:p>
        </w:tc>
        <w:tc>
          <w:tcPr>
            <w:tcW w:w="1161" w:type="dxa"/>
            <w:vAlign w:val="center"/>
          </w:tcPr>
          <w:p w14:paraId="5C71E357">
            <w:pPr>
              <w:pStyle w:val="751"/>
              <w:rPr>
                <w:color w:val="auto"/>
              </w:rPr>
            </w:pPr>
            <w:r>
              <w:rPr>
                <w:rFonts w:hint="eastAsia"/>
                <w:color w:val="auto"/>
              </w:rPr>
              <w:t>170</w:t>
            </w:r>
          </w:p>
        </w:tc>
        <w:tc>
          <w:tcPr>
            <w:tcW w:w="1161" w:type="dxa"/>
            <w:vAlign w:val="center"/>
          </w:tcPr>
          <w:p w14:paraId="2323066E">
            <w:pPr>
              <w:pStyle w:val="756"/>
              <w:rPr>
                <w:b w:val="0"/>
                <w:sz w:val="21"/>
                <w:szCs w:val="21"/>
              </w:rPr>
            </w:pPr>
            <w:r>
              <w:rPr>
                <w:rFonts w:hint="eastAsia"/>
                <w:b w:val="0"/>
                <w:sz w:val="21"/>
                <w:szCs w:val="21"/>
              </w:rPr>
              <w:t>0.1</w:t>
            </w:r>
          </w:p>
        </w:tc>
        <w:tc>
          <w:tcPr>
            <w:tcW w:w="1161" w:type="dxa"/>
            <w:vAlign w:val="center"/>
          </w:tcPr>
          <w:p w14:paraId="2F7A72ED">
            <w:pPr>
              <w:pStyle w:val="756"/>
              <w:rPr>
                <w:b w:val="0"/>
                <w:sz w:val="21"/>
                <w:szCs w:val="21"/>
              </w:rPr>
            </w:pPr>
            <w:r>
              <w:rPr>
                <w:rFonts w:hint="eastAsia"/>
                <w:b w:val="0"/>
                <w:sz w:val="21"/>
                <w:szCs w:val="21"/>
              </w:rPr>
              <w:t>0</w:t>
            </w:r>
          </w:p>
        </w:tc>
        <w:tc>
          <w:tcPr>
            <w:tcW w:w="1161" w:type="dxa"/>
            <w:vAlign w:val="center"/>
          </w:tcPr>
          <w:p w14:paraId="6C35CED6">
            <w:pPr>
              <w:pStyle w:val="756"/>
              <w:rPr>
                <w:b w:val="0"/>
                <w:sz w:val="21"/>
                <w:szCs w:val="21"/>
              </w:rPr>
            </w:pPr>
            <w:r>
              <w:rPr>
                <w:rFonts w:hint="eastAsia"/>
                <w:b w:val="0"/>
                <w:sz w:val="21"/>
                <w:szCs w:val="21"/>
              </w:rPr>
              <w:t>达标</w:t>
            </w:r>
          </w:p>
        </w:tc>
      </w:tr>
      <w:tr w14:paraId="782F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1E016338">
            <w:pPr>
              <w:pStyle w:val="756"/>
              <w:rPr>
                <w:b w:val="0"/>
                <w:sz w:val="21"/>
                <w:szCs w:val="21"/>
              </w:rPr>
            </w:pPr>
          </w:p>
        </w:tc>
        <w:tc>
          <w:tcPr>
            <w:tcW w:w="1161" w:type="dxa"/>
            <w:vAlign w:val="center"/>
          </w:tcPr>
          <w:p w14:paraId="1185E6D7">
            <w:pPr>
              <w:pStyle w:val="751"/>
              <w:rPr>
                <w:color w:val="auto"/>
              </w:rPr>
            </w:pPr>
            <w:r>
              <w:rPr>
                <w:color w:val="auto"/>
              </w:rPr>
              <w:t>镍</w:t>
            </w:r>
          </w:p>
        </w:tc>
        <w:tc>
          <w:tcPr>
            <w:tcW w:w="1161" w:type="dxa"/>
            <w:vAlign w:val="center"/>
          </w:tcPr>
          <w:p w14:paraId="62CB1AB6">
            <w:pPr>
              <w:pStyle w:val="751"/>
              <w:rPr>
                <w:color w:val="auto"/>
              </w:rPr>
            </w:pPr>
            <w:r>
              <w:rPr>
                <w:rFonts w:hint="eastAsia"/>
                <w:color w:val="auto"/>
              </w:rPr>
              <w:t>22</w:t>
            </w:r>
          </w:p>
        </w:tc>
        <w:tc>
          <w:tcPr>
            <w:tcW w:w="1161" w:type="dxa"/>
            <w:vAlign w:val="center"/>
          </w:tcPr>
          <w:p w14:paraId="7EA61340">
            <w:pPr>
              <w:pStyle w:val="751"/>
              <w:rPr>
                <w:color w:val="auto"/>
              </w:rPr>
            </w:pPr>
            <w:r>
              <w:rPr>
                <w:color w:val="auto"/>
              </w:rPr>
              <w:t>mg/kg</w:t>
            </w:r>
          </w:p>
        </w:tc>
        <w:tc>
          <w:tcPr>
            <w:tcW w:w="1161" w:type="dxa"/>
            <w:vAlign w:val="center"/>
          </w:tcPr>
          <w:p w14:paraId="33611582">
            <w:pPr>
              <w:pStyle w:val="751"/>
              <w:rPr>
                <w:color w:val="auto"/>
              </w:rPr>
            </w:pPr>
            <w:r>
              <w:rPr>
                <w:rFonts w:hint="eastAsia"/>
                <w:color w:val="auto"/>
              </w:rPr>
              <w:t>190</w:t>
            </w:r>
          </w:p>
        </w:tc>
        <w:tc>
          <w:tcPr>
            <w:tcW w:w="1161" w:type="dxa"/>
            <w:vAlign w:val="center"/>
          </w:tcPr>
          <w:p w14:paraId="72CD91F3">
            <w:pPr>
              <w:pStyle w:val="756"/>
              <w:rPr>
                <w:b w:val="0"/>
                <w:sz w:val="21"/>
                <w:szCs w:val="21"/>
              </w:rPr>
            </w:pPr>
            <w:r>
              <w:rPr>
                <w:rFonts w:hint="eastAsia"/>
                <w:b w:val="0"/>
                <w:sz w:val="21"/>
                <w:szCs w:val="21"/>
              </w:rPr>
              <w:t>0.116</w:t>
            </w:r>
          </w:p>
        </w:tc>
        <w:tc>
          <w:tcPr>
            <w:tcW w:w="1161" w:type="dxa"/>
            <w:vAlign w:val="center"/>
          </w:tcPr>
          <w:p w14:paraId="60E36C22">
            <w:pPr>
              <w:pStyle w:val="756"/>
              <w:rPr>
                <w:b w:val="0"/>
                <w:sz w:val="21"/>
                <w:szCs w:val="21"/>
              </w:rPr>
            </w:pPr>
            <w:r>
              <w:rPr>
                <w:rFonts w:hint="eastAsia"/>
                <w:b w:val="0"/>
                <w:sz w:val="21"/>
                <w:szCs w:val="21"/>
              </w:rPr>
              <w:t>0</w:t>
            </w:r>
          </w:p>
        </w:tc>
        <w:tc>
          <w:tcPr>
            <w:tcW w:w="1161" w:type="dxa"/>
            <w:vAlign w:val="center"/>
          </w:tcPr>
          <w:p w14:paraId="61897803">
            <w:pPr>
              <w:pStyle w:val="756"/>
              <w:rPr>
                <w:b w:val="0"/>
                <w:sz w:val="21"/>
                <w:szCs w:val="21"/>
              </w:rPr>
            </w:pPr>
            <w:r>
              <w:rPr>
                <w:rFonts w:hint="eastAsia"/>
                <w:b w:val="0"/>
                <w:sz w:val="21"/>
                <w:szCs w:val="21"/>
              </w:rPr>
              <w:t>达标</w:t>
            </w:r>
          </w:p>
        </w:tc>
      </w:tr>
      <w:tr w14:paraId="1171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160" w:type="dxa"/>
            <w:vMerge w:val="continue"/>
            <w:vAlign w:val="center"/>
          </w:tcPr>
          <w:p w14:paraId="1C321BCA">
            <w:pPr>
              <w:pStyle w:val="756"/>
              <w:rPr>
                <w:b w:val="0"/>
                <w:sz w:val="21"/>
                <w:szCs w:val="21"/>
              </w:rPr>
            </w:pPr>
          </w:p>
        </w:tc>
        <w:tc>
          <w:tcPr>
            <w:tcW w:w="1161" w:type="dxa"/>
            <w:vAlign w:val="center"/>
          </w:tcPr>
          <w:p w14:paraId="5F2EAF68">
            <w:pPr>
              <w:pStyle w:val="751"/>
              <w:rPr>
                <w:color w:val="auto"/>
              </w:rPr>
            </w:pPr>
            <w:r>
              <w:rPr>
                <w:rFonts w:hint="eastAsia"/>
                <w:color w:val="auto"/>
              </w:rPr>
              <w:t>铜</w:t>
            </w:r>
          </w:p>
        </w:tc>
        <w:tc>
          <w:tcPr>
            <w:tcW w:w="1161" w:type="dxa"/>
            <w:vAlign w:val="center"/>
          </w:tcPr>
          <w:p w14:paraId="1655F3B7">
            <w:pPr>
              <w:pStyle w:val="751"/>
              <w:rPr>
                <w:color w:val="auto"/>
              </w:rPr>
            </w:pPr>
            <w:r>
              <w:rPr>
                <w:rFonts w:hint="eastAsia"/>
                <w:color w:val="auto"/>
              </w:rPr>
              <w:t>13.7</w:t>
            </w:r>
          </w:p>
        </w:tc>
        <w:tc>
          <w:tcPr>
            <w:tcW w:w="1161" w:type="dxa"/>
            <w:vAlign w:val="center"/>
          </w:tcPr>
          <w:p w14:paraId="1E7AEC19">
            <w:pPr>
              <w:pStyle w:val="751"/>
              <w:rPr>
                <w:color w:val="auto"/>
              </w:rPr>
            </w:pPr>
            <w:r>
              <w:rPr>
                <w:color w:val="auto"/>
              </w:rPr>
              <w:t>mg/kg</w:t>
            </w:r>
          </w:p>
        </w:tc>
        <w:tc>
          <w:tcPr>
            <w:tcW w:w="1161" w:type="dxa"/>
            <w:vAlign w:val="center"/>
          </w:tcPr>
          <w:p w14:paraId="5D6864AA">
            <w:pPr>
              <w:pStyle w:val="751"/>
              <w:rPr>
                <w:color w:val="auto"/>
              </w:rPr>
            </w:pPr>
            <w:r>
              <w:rPr>
                <w:rFonts w:hint="eastAsia"/>
                <w:color w:val="auto"/>
              </w:rPr>
              <w:t>100</w:t>
            </w:r>
          </w:p>
        </w:tc>
        <w:tc>
          <w:tcPr>
            <w:tcW w:w="1161" w:type="dxa"/>
            <w:vAlign w:val="center"/>
          </w:tcPr>
          <w:p w14:paraId="61C9943D">
            <w:pPr>
              <w:pStyle w:val="756"/>
              <w:rPr>
                <w:b w:val="0"/>
                <w:sz w:val="21"/>
                <w:szCs w:val="21"/>
              </w:rPr>
            </w:pPr>
            <w:r>
              <w:rPr>
                <w:rFonts w:hint="eastAsia"/>
                <w:b w:val="0"/>
                <w:sz w:val="21"/>
                <w:szCs w:val="21"/>
              </w:rPr>
              <w:t>0.137</w:t>
            </w:r>
          </w:p>
        </w:tc>
        <w:tc>
          <w:tcPr>
            <w:tcW w:w="1161" w:type="dxa"/>
            <w:vAlign w:val="center"/>
          </w:tcPr>
          <w:p w14:paraId="20A50E3A">
            <w:pPr>
              <w:pStyle w:val="756"/>
              <w:rPr>
                <w:b w:val="0"/>
                <w:sz w:val="21"/>
                <w:szCs w:val="21"/>
              </w:rPr>
            </w:pPr>
            <w:r>
              <w:rPr>
                <w:rFonts w:hint="eastAsia"/>
                <w:b w:val="0"/>
                <w:sz w:val="21"/>
                <w:szCs w:val="21"/>
              </w:rPr>
              <w:t>0</w:t>
            </w:r>
          </w:p>
        </w:tc>
        <w:tc>
          <w:tcPr>
            <w:tcW w:w="1161" w:type="dxa"/>
            <w:vAlign w:val="center"/>
          </w:tcPr>
          <w:p w14:paraId="295E8F70">
            <w:pPr>
              <w:pStyle w:val="756"/>
              <w:rPr>
                <w:b w:val="0"/>
                <w:sz w:val="21"/>
                <w:szCs w:val="21"/>
              </w:rPr>
            </w:pPr>
            <w:r>
              <w:rPr>
                <w:rFonts w:hint="eastAsia"/>
                <w:b w:val="0"/>
                <w:sz w:val="21"/>
                <w:szCs w:val="21"/>
              </w:rPr>
              <w:t>达标</w:t>
            </w:r>
          </w:p>
        </w:tc>
      </w:tr>
      <w:tr w14:paraId="60C32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7343D974">
            <w:pPr>
              <w:pStyle w:val="756"/>
              <w:rPr>
                <w:b w:val="0"/>
                <w:sz w:val="21"/>
                <w:szCs w:val="21"/>
              </w:rPr>
            </w:pPr>
          </w:p>
        </w:tc>
        <w:tc>
          <w:tcPr>
            <w:tcW w:w="1161" w:type="dxa"/>
            <w:vAlign w:val="center"/>
          </w:tcPr>
          <w:p w14:paraId="66BDD4FD">
            <w:pPr>
              <w:pStyle w:val="751"/>
              <w:rPr>
                <w:color w:val="auto"/>
              </w:rPr>
            </w:pPr>
            <w:r>
              <w:rPr>
                <w:color w:val="auto"/>
              </w:rPr>
              <w:t>铬</w:t>
            </w:r>
          </w:p>
        </w:tc>
        <w:tc>
          <w:tcPr>
            <w:tcW w:w="1161" w:type="dxa"/>
            <w:vAlign w:val="center"/>
          </w:tcPr>
          <w:p w14:paraId="7B0B2B48">
            <w:pPr>
              <w:pStyle w:val="751"/>
              <w:rPr>
                <w:color w:val="auto"/>
              </w:rPr>
            </w:pPr>
            <w:r>
              <w:rPr>
                <w:rFonts w:hint="eastAsia"/>
                <w:color w:val="auto"/>
              </w:rPr>
              <w:t>72</w:t>
            </w:r>
          </w:p>
        </w:tc>
        <w:tc>
          <w:tcPr>
            <w:tcW w:w="1161" w:type="dxa"/>
            <w:vAlign w:val="center"/>
          </w:tcPr>
          <w:p w14:paraId="004839CF">
            <w:pPr>
              <w:pStyle w:val="751"/>
              <w:rPr>
                <w:color w:val="auto"/>
              </w:rPr>
            </w:pPr>
            <w:r>
              <w:rPr>
                <w:color w:val="auto"/>
              </w:rPr>
              <w:t>mg/kg</w:t>
            </w:r>
          </w:p>
        </w:tc>
        <w:tc>
          <w:tcPr>
            <w:tcW w:w="1161" w:type="dxa"/>
            <w:vAlign w:val="center"/>
          </w:tcPr>
          <w:p w14:paraId="350DB500">
            <w:pPr>
              <w:pStyle w:val="751"/>
              <w:rPr>
                <w:color w:val="auto"/>
              </w:rPr>
            </w:pPr>
            <w:r>
              <w:rPr>
                <w:rFonts w:hint="eastAsia"/>
                <w:color w:val="auto"/>
              </w:rPr>
              <w:t>250</w:t>
            </w:r>
          </w:p>
        </w:tc>
        <w:tc>
          <w:tcPr>
            <w:tcW w:w="1161" w:type="dxa"/>
            <w:vAlign w:val="center"/>
          </w:tcPr>
          <w:p w14:paraId="7B1D4D74">
            <w:pPr>
              <w:pStyle w:val="756"/>
              <w:rPr>
                <w:b w:val="0"/>
                <w:sz w:val="21"/>
                <w:szCs w:val="21"/>
              </w:rPr>
            </w:pPr>
            <w:r>
              <w:rPr>
                <w:rFonts w:hint="eastAsia"/>
                <w:b w:val="0"/>
                <w:sz w:val="21"/>
                <w:szCs w:val="21"/>
              </w:rPr>
              <w:t>0.288</w:t>
            </w:r>
          </w:p>
        </w:tc>
        <w:tc>
          <w:tcPr>
            <w:tcW w:w="1161" w:type="dxa"/>
            <w:vAlign w:val="center"/>
          </w:tcPr>
          <w:p w14:paraId="2E058B96">
            <w:pPr>
              <w:pStyle w:val="756"/>
              <w:rPr>
                <w:b w:val="0"/>
                <w:sz w:val="21"/>
                <w:szCs w:val="21"/>
              </w:rPr>
            </w:pPr>
            <w:r>
              <w:rPr>
                <w:rFonts w:hint="eastAsia"/>
                <w:b w:val="0"/>
                <w:sz w:val="21"/>
                <w:szCs w:val="21"/>
              </w:rPr>
              <w:t>0</w:t>
            </w:r>
          </w:p>
        </w:tc>
        <w:tc>
          <w:tcPr>
            <w:tcW w:w="1161" w:type="dxa"/>
            <w:vAlign w:val="center"/>
          </w:tcPr>
          <w:p w14:paraId="1A10A228">
            <w:pPr>
              <w:pStyle w:val="756"/>
              <w:rPr>
                <w:b w:val="0"/>
                <w:sz w:val="21"/>
                <w:szCs w:val="21"/>
              </w:rPr>
            </w:pPr>
            <w:r>
              <w:rPr>
                <w:rFonts w:hint="eastAsia"/>
                <w:b w:val="0"/>
                <w:sz w:val="21"/>
                <w:szCs w:val="21"/>
              </w:rPr>
              <w:t>达标</w:t>
            </w:r>
          </w:p>
        </w:tc>
      </w:tr>
      <w:tr w14:paraId="20FA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4B41C33A">
            <w:pPr>
              <w:pStyle w:val="756"/>
              <w:rPr>
                <w:b w:val="0"/>
                <w:sz w:val="21"/>
                <w:szCs w:val="21"/>
              </w:rPr>
            </w:pPr>
          </w:p>
        </w:tc>
        <w:tc>
          <w:tcPr>
            <w:tcW w:w="1161" w:type="dxa"/>
            <w:vAlign w:val="center"/>
          </w:tcPr>
          <w:p w14:paraId="40064609">
            <w:pPr>
              <w:pStyle w:val="751"/>
              <w:rPr>
                <w:color w:val="auto"/>
              </w:rPr>
            </w:pPr>
            <w:r>
              <w:rPr>
                <w:color w:val="auto"/>
              </w:rPr>
              <w:t>锌</w:t>
            </w:r>
          </w:p>
        </w:tc>
        <w:tc>
          <w:tcPr>
            <w:tcW w:w="1161" w:type="dxa"/>
            <w:vAlign w:val="center"/>
          </w:tcPr>
          <w:p w14:paraId="25703E54">
            <w:pPr>
              <w:pStyle w:val="751"/>
              <w:rPr>
                <w:color w:val="auto"/>
              </w:rPr>
            </w:pPr>
            <w:r>
              <w:rPr>
                <w:rFonts w:hint="eastAsia"/>
                <w:color w:val="auto"/>
              </w:rPr>
              <w:t>63</w:t>
            </w:r>
          </w:p>
        </w:tc>
        <w:tc>
          <w:tcPr>
            <w:tcW w:w="1161" w:type="dxa"/>
            <w:vAlign w:val="center"/>
          </w:tcPr>
          <w:p w14:paraId="454B5BB4">
            <w:pPr>
              <w:pStyle w:val="751"/>
              <w:rPr>
                <w:color w:val="auto"/>
              </w:rPr>
            </w:pPr>
            <w:r>
              <w:rPr>
                <w:color w:val="auto"/>
              </w:rPr>
              <w:t>mg/kg</w:t>
            </w:r>
          </w:p>
        </w:tc>
        <w:tc>
          <w:tcPr>
            <w:tcW w:w="1161" w:type="dxa"/>
            <w:vAlign w:val="center"/>
          </w:tcPr>
          <w:p w14:paraId="34D00BAD">
            <w:pPr>
              <w:pStyle w:val="751"/>
              <w:rPr>
                <w:color w:val="auto"/>
              </w:rPr>
            </w:pPr>
            <w:r>
              <w:rPr>
                <w:rFonts w:hint="eastAsia"/>
                <w:color w:val="auto"/>
              </w:rPr>
              <w:t>300</w:t>
            </w:r>
          </w:p>
        </w:tc>
        <w:tc>
          <w:tcPr>
            <w:tcW w:w="1161" w:type="dxa"/>
            <w:vAlign w:val="center"/>
          </w:tcPr>
          <w:p w14:paraId="507744E0">
            <w:pPr>
              <w:pStyle w:val="756"/>
              <w:rPr>
                <w:b w:val="0"/>
                <w:sz w:val="21"/>
                <w:szCs w:val="21"/>
              </w:rPr>
            </w:pPr>
            <w:r>
              <w:rPr>
                <w:rFonts w:hint="eastAsia"/>
                <w:b w:val="0"/>
                <w:sz w:val="21"/>
                <w:szCs w:val="21"/>
              </w:rPr>
              <w:t>0.21</w:t>
            </w:r>
          </w:p>
        </w:tc>
        <w:tc>
          <w:tcPr>
            <w:tcW w:w="1161" w:type="dxa"/>
            <w:vAlign w:val="center"/>
          </w:tcPr>
          <w:p w14:paraId="70332167">
            <w:pPr>
              <w:pStyle w:val="756"/>
              <w:rPr>
                <w:b w:val="0"/>
                <w:sz w:val="21"/>
                <w:szCs w:val="21"/>
              </w:rPr>
            </w:pPr>
            <w:r>
              <w:rPr>
                <w:rFonts w:hint="eastAsia"/>
                <w:b w:val="0"/>
                <w:sz w:val="21"/>
                <w:szCs w:val="21"/>
              </w:rPr>
              <w:t>0</w:t>
            </w:r>
          </w:p>
        </w:tc>
        <w:tc>
          <w:tcPr>
            <w:tcW w:w="1161" w:type="dxa"/>
            <w:vAlign w:val="center"/>
          </w:tcPr>
          <w:p w14:paraId="09ADD208">
            <w:pPr>
              <w:pStyle w:val="756"/>
              <w:rPr>
                <w:b w:val="0"/>
                <w:sz w:val="21"/>
                <w:szCs w:val="21"/>
              </w:rPr>
            </w:pPr>
            <w:r>
              <w:rPr>
                <w:rFonts w:hint="eastAsia"/>
                <w:b w:val="0"/>
                <w:sz w:val="21"/>
                <w:szCs w:val="21"/>
              </w:rPr>
              <w:t>达标</w:t>
            </w:r>
          </w:p>
        </w:tc>
      </w:tr>
      <w:tr w14:paraId="70CC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restart"/>
            <w:vAlign w:val="center"/>
          </w:tcPr>
          <w:p w14:paraId="5E692B6B">
            <w:pPr>
              <w:pStyle w:val="756"/>
              <w:rPr>
                <w:b w:val="0"/>
                <w:sz w:val="21"/>
                <w:szCs w:val="21"/>
              </w:rPr>
            </w:pPr>
            <w:r>
              <w:rPr>
                <w:rFonts w:hint="eastAsia"/>
                <w:b w:val="0"/>
                <w:sz w:val="21"/>
                <w:szCs w:val="21"/>
              </w:rPr>
              <w:t>厂区内1#</w:t>
            </w:r>
          </w:p>
        </w:tc>
        <w:tc>
          <w:tcPr>
            <w:tcW w:w="1161" w:type="dxa"/>
            <w:vAlign w:val="center"/>
          </w:tcPr>
          <w:p w14:paraId="29CC3C00">
            <w:pPr>
              <w:pStyle w:val="751"/>
              <w:rPr>
                <w:color w:val="auto"/>
              </w:rPr>
            </w:pPr>
            <w:r>
              <w:rPr>
                <w:color w:val="auto"/>
                <w:kern w:val="2"/>
              </w:rPr>
              <w:t>pH值</w:t>
            </w:r>
          </w:p>
        </w:tc>
        <w:tc>
          <w:tcPr>
            <w:tcW w:w="1161" w:type="dxa"/>
            <w:vAlign w:val="center"/>
          </w:tcPr>
          <w:p w14:paraId="4ABD58AD">
            <w:pPr>
              <w:pStyle w:val="751"/>
              <w:rPr>
                <w:color w:val="auto"/>
              </w:rPr>
            </w:pPr>
            <w:r>
              <w:rPr>
                <w:rFonts w:hint="eastAsia"/>
                <w:color w:val="auto"/>
              </w:rPr>
              <w:t>8.59</w:t>
            </w:r>
          </w:p>
        </w:tc>
        <w:tc>
          <w:tcPr>
            <w:tcW w:w="1161" w:type="dxa"/>
            <w:vAlign w:val="center"/>
          </w:tcPr>
          <w:p w14:paraId="09C21284">
            <w:pPr>
              <w:pStyle w:val="751"/>
              <w:rPr>
                <w:color w:val="auto"/>
              </w:rPr>
            </w:pPr>
            <w:r>
              <w:rPr>
                <w:color w:val="auto"/>
              </w:rPr>
              <w:t>无量纲</w:t>
            </w:r>
          </w:p>
        </w:tc>
        <w:tc>
          <w:tcPr>
            <w:tcW w:w="1161" w:type="dxa"/>
            <w:vAlign w:val="center"/>
          </w:tcPr>
          <w:p w14:paraId="51AC26C2">
            <w:pPr>
              <w:pStyle w:val="751"/>
              <w:rPr>
                <w:color w:val="auto"/>
              </w:rPr>
            </w:pPr>
            <w:r>
              <w:rPr>
                <w:rFonts w:hint="eastAsia"/>
                <w:color w:val="auto"/>
              </w:rPr>
              <w:t>/</w:t>
            </w:r>
          </w:p>
        </w:tc>
        <w:tc>
          <w:tcPr>
            <w:tcW w:w="1161" w:type="dxa"/>
            <w:vAlign w:val="center"/>
          </w:tcPr>
          <w:p w14:paraId="3DE80F8D">
            <w:pPr>
              <w:pStyle w:val="756"/>
              <w:rPr>
                <w:b w:val="0"/>
                <w:sz w:val="21"/>
                <w:szCs w:val="21"/>
              </w:rPr>
            </w:pPr>
            <w:r>
              <w:rPr>
                <w:rFonts w:hint="eastAsia"/>
                <w:b w:val="0"/>
                <w:sz w:val="21"/>
                <w:szCs w:val="21"/>
              </w:rPr>
              <w:t>/</w:t>
            </w:r>
          </w:p>
        </w:tc>
        <w:tc>
          <w:tcPr>
            <w:tcW w:w="1161" w:type="dxa"/>
            <w:vAlign w:val="center"/>
          </w:tcPr>
          <w:p w14:paraId="5392018A">
            <w:pPr>
              <w:pStyle w:val="756"/>
              <w:rPr>
                <w:b w:val="0"/>
                <w:sz w:val="21"/>
                <w:szCs w:val="21"/>
              </w:rPr>
            </w:pPr>
            <w:r>
              <w:rPr>
                <w:rFonts w:hint="eastAsia"/>
                <w:b w:val="0"/>
                <w:sz w:val="21"/>
                <w:szCs w:val="21"/>
              </w:rPr>
              <w:t>0</w:t>
            </w:r>
          </w:p>
        </w:tc>
        <w:tc>
          <w:tcPr>
            <w:tcW w:w="1161" w:type="dxa"/>
            <w:vAlign w:val="center"/>
          </w:tcPr>
          <w:p w14:paraId="1F5499AB">
            <w:pPr>
              <w:pStyle w:val="756"/>
              <w:rPr>
                <w:b w:val="0"/>
                <w:sz w:val="21"/>
                <w:szCs w:val="21"/>
              </w:rPr>
            </w:pPr>
            <w:r>
              <w:rPr>
                <w:rFonts w:hint="eastAsia"/>
                <w:b w:val="0"/>
                <w:sz w:val="21"/>
                <w:szCs w:val="21"/>
              </w:rPr>
              <w:t>达标</w:t>
            </w:r>
          </w:p>
        </w:tc>
      </w:tr>
      <w:tr w14:paraId="30B0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1F13B954">
            <w:pPr>
              <w:pStyle w:val="756"/>
              <w:rPr>
                <w:b w:val="0"/>
                <w:sz w:val="21"/>
                <w:szCs w:val="21"/>
              </w:rPr>
            </w:pPr>
          </w:p>
        </w:tc>
        <w:tc>
          <w:tcPr>
            <w:tcW w:w="1161" w:type="dxa"/>
            <w:vAlign w:val="center"/>
          </w:tcPr>
          <w:p w14:paraId="451AAFBD">
            <w:pPr>
              <w:pStyle w:val="751"/>
              <w:rPr>
                <w:color w:val="auto"/>
              </w:rPr>
            </w:pPr>
            <w:r>
              <w:rPr>
                <w:color w:val="auto"/>
              </w:rPr>
              <w:t>镉</w:t>
            </w:r>
          </w:p>
        </w:tc>
        <w:tc>
          <w:tcPr>
            <w:tcW w:w="1161" w:type="dxa"/>
            <w:vAlign w:val="center"/>
          </w:tcPr>
          <w:p w14:paraId="30605978">
            <w:pPr>
              <w:pStyle w:val="751"/>
              <w:rPr>
                <w:color w:val="auto"/>
              </w:rPr>
            </w:pPr>
            <w:r>
              <w:rPr>
                <w:rFonts w:hint="eastAsia"/>
                <w:color w:val="auto"/>
              </w:rPr>
              <w:t>0.07L</w:t>
            </w:r>
          </w:p>
        </w:tc>
        <w:tc>
          <w:tcPr>
            <w:tcW w:w="1161" w:type="dxa"/>
            <w:vAlign w:val="center"/>
          </w:tcPr>
          <w:p w14:paraId="3300D265">
            <w:pPr>
              <w:pStyle w:val="751"/>
              <w:rPr>
                <w:color w:val="auto"/>
              </w:rPr>
            </w:pPr>
            <w:r>
              <w:rPr>
                <w:color w:val="auto"/>
              </w:rPr>
              <w:t>mg/kg</w:t>
            </w:r>
          </w:p>
        </w:tc>
        <w:tc>
          <w:tcPr>
            <w:tcW w:w="1161" w:type="dxa"/>
            <w:vAlign w:val="center"/>
          </w:tcPr>
          <w:p w14:paraId="7C4F55ED">
            <w:pPr>
              <w:pStyle w:val="751"/>
              <w:rPr>
                <w:color w:val="auto"/>
              </w:rPr>
            </w:pPr>
            <w:r>
              <w:rPr>
                <w:rFonts w:hint="eastAsia"/>
                <w:color w:val="auto"/>
              </w:rPr>
              <w:t>0.6</w:t>
            </w:r>
          </w:p>
        </w:tc>
        <w:tc>
          <w:tcPr>
            <w:tcW w:w="1161" w:type="dxa"/>
            <w:vAlign w:val="center"/>
          </w:tcPr>
          <w:p w14:paraId="492F6B7A">
            <w:pPr>
              <w:pStyle w:val="756"/>
              <w:rPr>
                <w:b w:val="0"/>
                <w:sz w:val="21"/>
                <w:szCs w:val="21"/>
              </w:rPr>
            </w:pPr>
            <w:r>
              <w:rPr>
                <w:rFonts w:hint="eastAsia"/>
                <w:b w:val="0"/>
                <w:sz w:val="21"/>
                <w:szCs w:val="21"/>
              </w:rPr>
              <w:t>0.058</w:t>
            </w:r>
          </w:p>
        </w:tc>
        <w:tc>
          <w:tcPr>
            <w:tcW w:w="1161" w:type="dxa"/>
            <w:vAlign w:val="center"/>
          </w:tcPr>
          <w:p w14:paraId="0B5924DD">
            <w:pPr>
              <w:pStyle w:val="756"/>
              <w:rPr>
                <w:b w:val="0"/>
                <w:sz w:val="21"/>
                <w:szCs w:val="21"/>
              </w:rPr>
            </w:pPr>
            <w:r>
              <w:rPr>
                <w:rFonts w:hint="eastAsia"/>
                <w:b w:val="0"/>
                <w:sz w:val="21"/>
                <w:szCs w:val="21"/>
              </w:rPr>
              <w:t>0</w:t>
            </w:r>
          </w:p>
        </w:tc>
        <w:tc>
          <w:tcPr>
            <w:tcW w:w="1161" w:type="dxa"/>
            <w:vAlign w:val="center"/>
          </w:tcPr>
          <w:p w14:paraId="1CA93BD8">
            <w:pPr>
              <w:pStyle w:val="756"/>
              <w:rPr>
                <w:b w:val="0"/>
                <w:sz w:val="21"/>
                <w:szCs w:val="21"/>
              </w:rPr>
            </w:pPr>
            <w:r>
              <w:rPr>
                <w:rFonts w:hint="eastAsia"/>
                <w:b w:val="0"/>
                <w:sz w:val="21"/>
                <w:szCs w:val="21"/>
              </w:rPr>
              <w:t>达标</w:t>
            </w:r>
          </w:p>
        </w:tc>
      </w:tr>
      <w:tr w14:paraId="0390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16B6EDDC">
            <w:pPr>
              <w:pStyle w:val="756"/>
              <w:rPr>
                <w:b w:val="0"/>
                <w:sz w:val="21"/>
                <w:szCs w:val="21"/>
              </w:rPr>
            </w:pPr>
          </w:p>
        </w:tc>
        <w:tc>
          <w:tcPr>
            <w:tcW w:w="1161" w:type="dxa"/>
            <w:vAlign w:val="center"/>
          </w:tcPr>
          <w:p w14:paraId="6992EC90">
            <w:pPr>
              <w:pStyle w:val="751"/>
              <w:rPr>
                <w:color w:val="auto"/>
              </w:rPr>
            </w:pPr>
            <w:r>
              <w:rPr>
                <w:color w:val="auto"/>
              </w:rPr>
              <w:t>汞</w:t>
            </w:r>
          </w:p>
        </w:tc>
        <w:tc>
          <w:tcPr>
            <w:tcW w:w="1161" w:type="dxa"/>
            <w:vAlign w:val="center"/>
          </w:tcPr>
          <w:p w14:paraId="067B987C">
            <w:pPr>
              <w:pStyle w:val="751"/>
              <w:rPr>
                <w:color w:val="auto"/>
              </w:rPr>
            </w:pPr>
            <w:r>
              <w:rPr>
                <w:rFonts w:hint="eastAsia"/>
                <w:color w:val="auto"/>
              </w:rPr>
              <w:t>0.100</w:t>
            </w:r>
          </w:p>
        </w:tc>
        <w:tc>
          <w:tcPr>
            <w:tcW w:w="1161" w:type="dxa"/>
            <w:vAlign w:val="center"/>
          </w:tcPr>
          <w:p w14:paraId="0A19EB9A">
            <w:pPr>
              <w:pStyle w:val="751"/>
              <w:rPr>
                <w:color w:val="auto"/>
              </w:rPr>
            </w:pPr>
            <w:r>
              <w:rPr>
                <w:color w:val="auto"/>
              </w:rPr>
              <w:t>mg/kg</w:t>
            </w:r>
          </w:p>
        </w:tc>
        <w:tc>
          <w:tcPr>
            <w:tcW w:w="1161" w:type="dxa"/>
            <w:vAlign w:val="center"/>
          </w:tcPr>
          <w:p w14:paraId="75CAD5DA">
            <w:pPr>
              <w:pStyle w:val="751"/>
              <w:rPr>
                <w:color w:val="auto"/>
              </w:rPr>
            </w:pPr>
            <w:r>
              <w:rPr>
                <w:rFonts w:hint="eastAsia"/>
                <w:color w:val="auto"/>
              </w:rPr>
              <w:t>3.4</w:t>
            </w:r>
          </w:p>
        </w:tc>
        <w:tc>
          <w:tcPr>
            <w:tcW w:w="1161" w:type="dxa"/>
            <w:vAlign w:val="center"/>
          </w:tcPr>
          <w:p w14:paraId="24B1B0E2">
            <w:pPr>
              <w:pStyle w:val="756"/>
              <w:rPr>
                <w:b w:val="0"/>
                <w:sz w:val="21"/>
                <w:szCs w:val="21"/>
              </w:rPr>
            </w:pPr>
            <w:r>
              <w:rPr>
                <w:rFonts w:hint="eastAsia"/>
                <w:b w:val="0"/>
                <w:sz w:val="21"/>
                <w:szCs w:val="21"/>
              </w:rPr>
              <w:t>0.029</w:t>
            </w:r>
          </w:p>
        </w:tc>
        <w:tc>
          <w:tcPr>
            <w:tcW w:w="1161" w:type="dxa"/>
            <w:vAlign w:val="center"/>
          </w:tcPr>
          <w:p w14:paraId="77F45806">
            <w:pPr>
              <w:pStyle w:val="756"/>
              <w:rPr>
                <w:b w:val="0"/>
                <w:sz w:val="21"/>
                <w:szCs w:val="21"/>
              </w:rPr>
            </w:pPr>
            <w:r>
              <w:rPr>
                <w:rFonts w:hint="eastAsia"/>
                <w:b w:val="0"/>
                <w:sz w:val="21"/>
                <w:szCs w:val="21"/>
              </w:rPr>
              <w:t>0</w:t>
            </w:r>
          </w:p>
        </w:tc>
        <w:tc>
          <w:tcPr>
            <w:tcW w:w="1161" w:type="dxa"/>
            <w:vAlign w:val="center"/>
          </w:tcPr>
          <w:p w14:paraId="3BEE0943">
            <w:pPr>
              <w:pStyle w:val="756"/>
              <w:rPr>
                <w:b w:val="0"/>
                <w:sz w:val="21"/>
                <w:szCs w:val="21"/>
              </w:rPr>
            </w:pPr>
            <w:r>
              <w:rPr>
                <w:rFonts w:hint="eastAsia"/>
                <w:b w:val="0"/>
                <w:sz w:val="21"/>
                <w:szCs w:val="21"/>
              </w:rPr>
              <w:t>达标</w:t>
            </w:r>
          </w:p>
        </w:tc>
      </w:tr>
      <w:tr w14:paraId="0420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5898DBB6">
            <w:pPr>
              <w:pStyle w:val="756"/>
              <w:rPr>
                <w:b w:val="0"/>
                <w:sz w:val="21"/>
                <w:szCs w:val="21"/>
              </w:rPr>
            </w:pPr>
          </w:p>
        </w:tc>
        <w:tc>
          <w:tcPr>
            <w:tcW w:w="1161" w:type="dxa"/>
            <w:vAlign w:val="center"/>
          </w:tcPr>
          <w:p w14:paraId="4666F1D8">
            <w:pPr>
              <w:pStyle w:val="751"/>
              <w:rPr>
                <w:color w:val="auto"/>
              </w:rPr>
            </w:pPr>
            <w:r>
              <w:rPr>
                <w:color w:val="auto"/>
              </w:rPr>
              <w:t>砷</w:t>
            </w:r>
          </w:p>
        </w:tc>
        <w:tc>
          <w:tcPr>
            <w:tcW w:w="1161" w:type="dxa"/>
            <w:vAlign w:val="center"/>
          </w:tcPr>
          <w:p w14:paraId="237EBBAD">
            <w:pPr>
              <w:pStyle w:val="751"/>
              <w:rPr>
                <w:color w:val="auto"/>
              </w:rPr>
            </w:pPr>
            <w:r>
              <w:rPr>
                <w:rFonts w:hint="eastAsia"/>
                <w:color w:val="auto"/>
              </w:rPr>
              <w:t>9.79</w:t>
            </w:r>
          </w:p>
        </w:tc>
        <w:tc>
          <w:tcPr>
            <w:tcW w:w="1161" w:type="dxa"/>
            <w:vAlign w:val="center"/>
          </w:tcPr>
          <w:p w14:paraId="18F3CC14">
            <w:pPr>
              <w:pStyle w:val="751"/>
              <w:rPr>
                <w:color w:val="auto"/>
              </w:rPr>
            </w:pPr>
            <w:r>
              <w:rPr>
                <w:color w:val="auto"/>
              </w:rPr>
              <w:t>mg/kg</w:t>
            </w:r>
          </w:p>
        </w:tc>
        <w:tc>
          <w:tcPr>
            <w:tcW w:w="1161" w:type="dxa"/>
            <w:vAlign w:val="center"/>
          </w:tcPr>
          <w:p w14:paraId="3A30838D">
            <w:pPr>
              <w:pStyle w:val="751"/>
              <w:rPr>
                <w:color w:val="auto"/>
              </w:rPr>
            </w:pPr>
            <w:r>
              <w:rPr>
                <w:rFonts w:hint="eastAsia"/>
                <w:color w:val="auto"/>
              </w:rPr>
              <w:t>25</w:t>
            </w:r>
          </w:p>
        </w:tc>
        <w:tc>
          <w:tcPr>
            <w:tcW w:w="1161" w:type="dxa"/>
            <w:vAlign w:val="center"/>
          </w:tcPr>
          <w:p w14:paraId="323F7649">
            <w:pPr>
              <w:pStyle w:val="756"/>
              <w:rPr>
                <w:b w:val="0"/>
                <w:sz w:val="21"/>
                <w:szCs w:val="21"/>
              </w:rPr>
            </w:pPr>
            <w:r>
              <w:rPr>
                <w:rFonts w:hint="eastAsia"/>
                <w:b w:val="0"/>
                <w:sz w:val="21"/>
                <w:szCs w:val="21"/>
              </w:rPr>
              <w:t>0.392</w:t>
            </w:r>
          </w:p>
        </w:tc>
        <w:tc>
          <w:tcPr>
            <w:tcW w:w="1161" w:type="dxa"/>
            <w:vAlign w:val="center"/>
          </w:tcPr>
          <w:p w14:paraId="27AD536C">
            <w:pPr>
              <w:pStyle w:val="756"/>
              <w:rPr>
                <w:b w:val="0"/>
                <w:sz w:val="21"/>
                <w:szCs w:val="21"/>
              </w:rPr>
            </w:pPr>
            <w:r>
              <w:rPr>
                <w:rFonts w:hint="eastAsia"/>
                <w:b w:val="0"/>
                <w:sz w:val="21"/>
                <w:szCs w:val="21"/>
              </w:rPr>
              <w:t>0</w:t>
            </w:r>
          </w:p>
        </w:tc>
        <w:tc>
          <w:tcPr>
            <w:tcW w:w="1161" w:type="dxa"/>
            <w:vAlign w:val="center"/>
          </w:tcPr>
          <w:p w14:paraId="2A1F74A2">
            <w:pPr>
              <w:pStyle w:val="756"/>
              <w:rPr>
                <w:b w:val="0"/>
                <w:sz w:val="21"/>
                <w:szCs w:val="21"/>
              </w:rPr>
            </w:pPr>
            <w:r>
              <w:rPr>
                <w:rFonts w:hint="eastAsia"/>
                <w:b w:val="0"/>
                <w:sz w:val="21"/>
                <w:szCs w:val="21"/>
              </w:rPr>
              <w:t>达标</w:t>
            </w:r>
          </w:p>
        </w:tc>
      </w:tr>
      <w:tr w14:paraId="1EF6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5F0DAA59">
            <w:pPr>
              <w:pStyle w:val="756"/>
              <w:rPr>
                <w:b w:val="0"/>
                <w:sz w:val="21"/>
                <w:szCs w:val="21"/>
              </w:rPr>
            </w:pPr>
          </w:p>
        </w:tc>
        <w:tc>
          <w:tcPr>
            <w:tcW w:w="1161" w:type="dxa"/>
            <w:vAlign w:val="center"/>
          </w:tcPr>
          <w:p w14:paraId="1F6F72DA">
            <w:pPr>
              <w:pStyle w:val="751"/>
              <w:rPr>
                <w:color w:val="auto"/>
              </w:rPr>
            </w:pPr>
            <w:r>
              <w:rPr>
                <w:color w:val="auto"/>
              </w:rPr>
              <w:t>铅</w:t>
            </w:r>
          </w:p>
        </w:tc>
        <w:tc>
          <w:tcPr>
            <w:tcW w:w="1161" w:type="dxa"/>
            <w:vAlign w:val="center"/>
          </w:tcPr>
          <w:p w14:paraId="49F7D175">
            <w:pPr>
              <w:pStyle w:val="751"/>
              <w:rPr>
                <w:color w:val="auto"/>
              </w:rPr>
            </w:pPr>
            <w:r>
              <w:rPr>
                <w:rFonts w:hint="eastAsia"/>
                <w:color w:val="auto"/>
              </w:rPr>
              <w:t>12</w:t>
            </w:r>
          </w:p>
        </w:tc>
        <w:tc>
          <w:tcPr>
            <w:tcW w:w="1161" w:type="dxa"/>
            <w:vAlign w:val="center"/>
          </w:tcPr>
          <w:p w14:paraId="2ADA24A2">
            <w:pPr>
              <w:pStyle w:val="751"/>
              <w:rPr>
                <w:color w:val="auto"/>
              </w:rPr>
            </w:pPr>
            <w:r>
              <w:rPr>
                <w:color w:val="auto"/>
              </w:rPr>
              <w:t>mg/kg</w:t>
            </w:r>
          </w:p>
        </w:tc>
        <w:tc>
          <w:tcPr>
            <w:tcW w:w="1161" w:type="dxa"/>
            <w:vAlign w:val="center"/>
          </w:tcPr>
          <w:p w14:paraId="19BED1D1">
            <w:pPr>
              <w:pStyle w:val="751"/>
              <w:rPr>
                <w:color w:val="auto"/>
              </w:rPr>
            </w:pPr>
            <w:r>
              <w:rPr>
                <w:rFonts w:hint="eastAsia"/>
                <w:color w:val="auto"/>
              </w:rPr>
              <w:t>170</w:t>
            </w:r>
          </w:p>
        </w:tc>
        <w:tc>
          <w:tcPr>
            <w:tcW w:w="1161" w:type="dxa"/>
            <w:vAlign w:val="center"/>
          </w:tcPr>
          <w:p w14:paraId="7A0B153D">
            <w:pPr>
              <w:pStyle w:val="756"/>
              <w:rPr>
                <w:b w:val="0"/>
                <w:sz w:val="21"/>
                <w:szCs w:val="21"/>
              </w:rPr>
            </w:pPr>
            <w:r>
              <w:rPr>
                <w:rFonts w:hint="eastAsia"/>
                <w:b w:val="0"/>
                <w:sz w:val="21"/>
                <w:szCs w:val="21"/>
              </w:rPr>
              <w:t>0.071</w:t>
            </w:r>
          </w:p>
        </w:tc>
        <w:tc>
          <w:tcPr>
            <w:tcW w:w="1161" w:type="dxa"/>
            <w:vAlign w:val="center"/>
          </w:tcPr>
          <w:p w14:paraId="514A9C5D">
            <w:pPr>
              <w:pStyle w:val="756"/>
              <w:rPr>
                <w:b w:val="0"/>
                <w:sz w:val="21"/>
                <w:szCs w:val="21"/>
              </w:rPr>
            </w:pPr>
            <w:r>
              <w:rPr>
                <w:rFonts w:hint="eastAsia"/>
                <w:b w:val="0"/>
                <w:sz w:val="21"/>
                <w:szCs w:val="21"/>
              </w:rPr>
              <w:t>0</w:t>
            </w:r>
          </w:p>
        </w:tc>
        <w:tc>
          <w:tcPr>
            <w:tcW w:w="1161" w:type="dxa"/>
            <w:vAlign w:val="center"/>
          </w:tcPr>
          <w:p w14:paraId="1DE06B5F">
            <w:pPr>
              <w:pStyle w:val="756"/>
              <w:rPr>
                <w:b w:val="0"/>
                <w:sz w:val="21"/>
                <w:szCs w:val="21"/>
              </w:rPr>
            </w:pPr>
            <w:r>
              <w:rPr>
                <w:rFonts w:hint="eastAsia"/>
                <w:b w:val="0"/>
                <w:sz w:val="21"/>
                <w:szCs w:val="21"/>
              </w:rPr>
              <w:t>达标</w:t>
            </w:r>
          </w:p>
        </w:tc>
      </w:tr>
      <w:tr w14:paraId="0C6F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219BC0EC">
            <w:pPr>
              <w:pStyle w:val="756"/>
              <w:rPr>
                <w:b w:val="0"/>
                <w:sz w:val="21"/>
                <w:szCs w:val="21"/>
              </w:rPr>
            </w:pPr>
          </w:p>
        </w:tc>
        <w:tc>
          <w:tcPr>
            <w:tcW w:w="1161" w:type="dxa"/>
            <w:vAlign w:val="center"/>
          </w:tcPr>
          <w:p w14:paraId="5E294B94">
            <w:pPr>
              <w:pStyle w:val="751"/>
              <w:rPr>
                <w:color w:val="auto"/>
              </w:rPr>
            </w:pPr>
            <w:r>
              <w:rPr>
                <w:color w:val="auto"/>
              </w:rPr>
              <w:t>镍</w:t>
            </w:r>
          </w:p>
        </w:tc>
        <w:tc>
          <w:tcPr>
            <w:tcW w:w="1161" w:type="dxa"/>
            <w:vAlign w:val="center"/>
          </w:tcPr>
          <w:p w14:paraId="451CCEB0">
            <w:pPr>
              <w:pStyle w:val="751"/>
              <w:rPr>
                <w:color w:val="auto"/>
              </w:rPr>
            </w:pPr>
            <w:r>
              <w:rPr>
                <w:rFonts w:hint="eastAsia"/>
                <w:color w:val="auto"/>
              </w:rPr>
              <w:t>22</w:t>
            </w:r>
          </w:p>
        </w:tc>
        <w:tc>
          <w:tcPr>
            <w:tcW w:w="1161" w:type="dxa"/>
            <w:vAlign w:val="center"/>
          </w:tcPr>
          <w:p w14:paraId="6643755F">
            <w:pPr>
              <w:pStyle w:val="751"/>
              <w:rPr>
                <w:color w:val="auto"/>
              </w:rPr>
            </w:pPr>
            <w:r>
              <w:rPr>
                <w:color w:val="auto"/>
              </w:rPr>
              <w:t>mg/kg</w:t>
            </w:r>
          </w:p>
        </w:tc>
        <w:tc>
          <w:tcPr>
            <w:tcW w:w="1161" w:type="dxa"/>
            <w:vAlign w:val="center"/>
          </w:tcPr>
          <w:p w14:paraId="273A1853">
            <w:pPr>
              <w:pStyle w:val="751"/>
              <w:rPr>
                <w:color w:val="auto"/>
              </w:rPr>
            </w:pPr>
            <w:r>
              <w:rPr>
                <w:rFonts w:hint="eastAsia"/>
                <w:color w:val="auto"/>
              </w:rPr>
              <w:t>190</w:t>
            </w:r>
          </w:p>
        </w:tc>
        <w:tc>
          <w:tcPr>
            <w:tcW w:w="1161" w:type="dxa"/>
            <w:vAlign w:val="center"/>
          </w:tcPr>
          <w:p w14:paraId="6C69C8B1">
            <w:pPr>
              <w:pStyle w:val="756"/>
              <w:rPr>
                <w:b w:val="0"/>
                <w:sz w:val="21"/>
                <w:szCs w:val="21"/>
              </w:rPr>
            </w:pPr>
            <w:r>
              <w:rPr>
                <w:rFonts w:hint="eastAsia"/>
                <w:b w:val="0"/>
                <w:sz w:val="21"/>
                <w:szCs w:val="21"/>
              </w:rPr>
              <w:t>0.116</w:t>
            </w:r>
          </w:p>
        </w:tc>
        <w:tc>
          <w:tcPr>
            <w:tcW w:w="1161" w:type="dxa"/>
            <w:vAlign w:val="center"/>
          </w:tcPr>
          <w:p w14:paraId="03FFDB63">
            <w:pPr>
              <w:pStyle w:val="756"/>
              <w:rPr>
                <w:b w:val="0"/>
                <w:sz w:val="21"/>
                <w:szCs w:val="21"/>
              </w:rPr>
            </w:pPr>
            <w:r>
              <w:rPr>
                <w:rFonts w:hint="eastAsia"/>
                <w:b w:val="0"/>
                <w:sz w:val="21"/>
                <w:szCs w:val="21"/>
              </w:rPr>
              <w:t>0</w:t>
            </w:r>
          </w:p>
        </w:tc>
        <w:tc>
          <w:tcPr>
            <w:tcW w:w="1161" w:type="dxa"/>
            <w:vAlign w:val="center"/>
          </w:tcPr>
          <w:p w14:paraId="2733A9B8">
            <w:pPr>
              <w:pStyle w:val="756"/>
              <w:rPr>
                <w:b w:val="0"/>
                <w:sz w:val="21"/>
                <w:szCs w:val="21"/>
              </w:rPr>
            </w:pPr>
            <w:r>
              <w:rPr>
                <w:rFonts w:hint="eastAsia"/>
                <w:b w:val="0"/>
                <w:sz w:val="21"/>
                <w:szCs w:val="21"/>
              </w:rPr>
              <w:t>达标</w:t>
            </w:r>
          </w:p>
        </w:tc>
      </w:tr>
      <w:tr w14:paraId="559F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30A3691F">
            <w:pPr>
              <w:pStyle w:val="756"/>
              <w:rPr>
                <w:b w:val="0"/>
                <w:sz w:val="21"/>
                <w:szCs w:val="21"/>
              </w:rPr>
            </w:pPr>
          </w:p>
        </w:tc>
        <w:tc>
          <w:tcPr>
            <w:tcW w:w="1161" w:type="dxa"/>
            <w:vAlign w:val="center"/>
          </w:tcPr>
          <w:p w14:paraId="114AF494">
            <w:pPr>
              <w:pStyle w:val="751"/>
              <w:rPr>
                <w:color w:val="auto"/>
              </w:rPr>
            </w:pPr>
            <w:r>
              <w:rPr>
                <w:rFonts w:hint="eastAsia"/>
                <w:color w:val="auto"/>
              </w:rPr>
              <w:t>铜</w:t>
            </w:r>
          </w:p>
        </w:tc>
        <w:tc>
          <w:tcPr>
            <w:tcW w:w="1161" w:type="dxa"/>
            <w:vAlign w:val="center"/>
          </w:tcPr>
          <w:p w14:paraId="17F6C3C4">
            <w:pPr>
              <w:pStyle w:val="751"/>
              <w:rPr>
                <w:color w:val="auto"/>
              </w:rPr>
            </w:pPr>
            <w:r>
              <w:rPr>
                <w:rFonts w:hint="eastAsia"/>
                <w:color w:val="auto"/>
              </w:rPr>
              <w:t>18.3</w:t>
            </w:r>
          </w:p>
        </w:tc>
        <w:tc>
          <w:tcPr>
            <w:tcW w:w="1161" w:type="dxa"/>
            <w:vAlign w:val="center"/>
          </w:tcPr>
          <w:p w14:paraId="566D8EDF">
            <w:pPr>
              <w:pStyle w:val="751"/>
              <w:rPr>
                <w:color w:val="auto"/>
              </w:rPr>
            </w:pPr>
            <w:r>
              <w:rPr>
                <w:color w:val="auto"/>
              </w:rPr>
              <w:t>mg/kg</w:t>
            </w:r>
          </w:p>
        </w:tc>
        <w:tc>
          <w:tcPr>
            <w:tcW w:w="1161" w:type="dxa"/>
            <w:vAlign w:val="center"/>
          </w:tcPr>
          <w:p w14:paraId="66513A97">
            <w:pPr>
              <w:pStyle w:val="751"/>
              <w:rPr>
                <w:color w:val="auto"/>
              </w:rPr>
            </w:pPr>
            <w:r>
              <w:rPr>
                <w:rFonts w:hint="eastAsia"/>
                <w:color w:val="auto"/>
              </w:rPr>
              <w:t>100</w:t>
            </w:r>
          </w:p>
        </w:tc>
        <w:tc>
          <w:tcPr>
            <w:tcW w:w="1161" w:type="dxa"/>
            <w:vAlign w:val="center"/>
          </w:tcPr>
          <w:p w14:paraId="5C3D679E">
            <w:pPr>
              <w:pStyle w:val="756"/>
              <w:rPr>
                <w:b w:val="0"/>
                <w:sz w:val="21"/>
                <w:szCs w:val="21"/>
              </w:rPr>
            </w:pPr>
            <w:r>
              <w:rPr>
                <w:rFonts w:hint="eastAsia"/>
                <w:b w:val="0"/>
                <w:sz w:val="21"/>
                <w:szCs w:val="21"/>
              </w:rPr>
              <w:t>0.183</w:t>
            </w:r>
          </w:p>
        </w:tc>
        <w:tc>
          <w:tcPr>
            <w:tcW w:w="1161" w:type="dxa"/>
            <w:vAlign w:val="center"/>
          </w:tcPr>
          <w:p w14:paraId="6DC2D2A8">
            <w:pPr>
              <w:pStyle w:val="756"/>
              <w:rPr>
                <w:b w:val="0"/>
                <w:sz w:val="21"/>
                <w:szCs w:val="21"/>
              </w:rPr>
            </w:pPr>
            <w:r>
              <w:rPr>
                <w:rFonts w:hint="eastAsia"/>
                <w:b w:val="0"/>
                <w:sz w:val="21"/>
                <w:szCs w:val="21"/>
              </w:rPr>
              <w:t>0</w:t>
            </w:r>
          </w:p>
        </w:tc>
        <w:tc>
          <w:tcPr>
            <w:tcW w:w="1161" w:type="dxa"/>
            <w:vAlign w:val="center"/>
          </w:tcPr>
          <w:p w14:paraId="29288530">
            <w:pPr>
              <w:pStyle w:val="756"/>
              <w:rPr>
                <w:b w:val="0"/>
                <w:sz w:val="21"/>
                <w:szCs w:val="21"/>
              </w:rPr>
            </w:pPr>
            <w:r>
              <w:rPr>
                <w:rFonts w:hint="eastAsia"/>
                <w:b w:val="0"/>
                <w:sz w:val="21"/>
                <w:szCs w:val="21"/>
              </w:rPr>
              <w:t>达标</w:t>
            </w:r>
          </w:p>
        </w:tc>
      </w:tr>
      <w:tr w14:paraId="3FDD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2E725F22">
            <w:pPr>
              <w:pStyle w:val="756"/>
              <w:rPr>
                <w:b w:val="0"/>
                <w:sz w:val="21"/>
                <w:szCs w:val="21"/>
              </w:rPr>
            </w:pPr>
          </w:p>
        </w:tc>
        <w:tc>
          <w:tcPr>
            <w:tcW w:w="1161" w:type="dxa"/>
            <w:vAlign w:val="center"/>
          </w:tcPr>
          <w:p w14:paraId="56515DDF">
            <w:pPr>
              <w:pStyle w:val="751"/>
              <w:rPr>
                <w:color w:val="auto"/>
              </w:rPr>
            </w:pPr>
            <w:r>
              <w:rPr>
                <w:color w:val="auto"/>
              </w:rPr>
              <w:t>铬</w:t>
            </w:r>
          </w:p>
        </w:tc>
        <w:tc>
          <w:tcPr>
            <w:tcW w:w="1161" w:type="dxa"/>
            <w:vAlign w:val="center"/>
          </w:tcPr>
          <w:p w14:paraId="2646F876">
            <w:pPr>
              <w:pStyle w:val="751"/>
              <w:rPr>
                <w:color w:val="auto"/>
              </w:rPr>
            </w:pPr>
            <w:r>
              <w:rPr>
                <w:rFonts w:hint="eastAsia"/>
                <w:color w:val="auto"/>
              </w:rPr>
              <w:t>62</w:t>
            </w:r>
          </w:p>
        </w:tc>
        <w:tc>
          <w:tcPr>
            <w:tcW w:w="1161" w:type="dxa"/>
            <w:vAlign w:val="center"/>
          </w:tcPr>
          <w:p w14:paraId="7040EFFA">
            <w:pPr>
              <w:pStyle w:val="751"/>
              <w:rPr>
                <w:color w:val="auto"/>
              </w:rPr>
            </w:pPr>
            <w:r>
              <w:rPr>
                <w:color w:val="auto"/>
              </w:rPr>
              <w:t>mg/kg</w:t>
            </w:r>
          </w:p>
        </w:tc>
        <w:tc>
          <w:tcPr>
            <w:tcW w:w="1161" w:type="dxa"/>
            <w:vAlign w:val="center"/>
          </w:tcPr>
          <w:p w14:paraId="0C732118">
            <w:pPr>
              <w:pStyle w:val="751"/>
              <w:rPr>
                <w:color w:val="auto"/>
              </w:rPr>
            </w:pPr>
            <w:r>
              <w:rPr>
                <w:rFonts w:hint="eastAsia"/>
                <w:color w:val="auto"/>
              </w:rPr>
              <w:t>250</w:t>
            </w:r>
          </w:p>
        </w:tc>
        <w:tc>
          <w:tcPr>
            <w:tcW w:w="1161" w:type="dxa"/>
            <w:vAlign w:val="center"/>
          </w:tcPr>
          <w:p w14:paraId="5EDF24C3">
            <w:pPr>
              <w:pStyle w:val="756"/>
              <w:rPr>
                <w:b w:val="0"/>
                <w:sz w:val="21"/>
                <w:szCs w:val="21"/>
              </w:rPr>
            </w:pPr>
            <w:r>
              <w:rPr>
                <w:rFonts w:hint="eastAsia"/>
                <w:b w:val="0"/>
                <w:sz w:val="21"/>
                <w:szCs w:val="21"/>
              </w:rPr>
              <w:t>0.248</w:t>
            </w:r>
          </w:p>
        </w:tc>
        <w:tc>
          <w:tcPr>
            <w:tcW w:w="1161" w:type="dxa"/>
            <w:vAlign w:val="center"/>
          </w:tcPr>
          <w:p w14:paraId="777D2E65">
            <w:pPr>
              <w:pStyle w:val="756"/>
              <w:rPr>
                <w:b w:val="0"/>
                <w:sz w:val="21"/>
                <w:szCs w:val="21"/>
              </w:rPr>
            </w:pPr>
            <w:r>
              <w:rPr>
                <w:rFonts w:hint="eastAsia"/>
                <w:b w:val="0"/>
                <w:sz w:val="21"/>
                <w:szCs w:val="21"/>
              </w:rPr>
              <w:t>0</w:t>
            </w:r>
          </w:p>
        </w:tc>
        <w:tc>
          <w:tcPr>
            <w:tcW w:w="1161" w:type="dxa"/>
            <w:vAlign w:val="center"/>
          </w:tcPr>
          <w:p w14:paraId="6C366322">
            <w:pPr>
              <w:pStyle w:val="756"/>
              <w:rPr>
                <w:b w:val="0"/>
                <w:sz w:val="21"/>
                <w:szCs w:val="21"/>
              </w:rPr>
            </w:pPr>
            <w:r>
              <w:rPr>
                <w:rFonts w:hint="eastAsia"/>
                <w:b w:val="0"/>
                <w:sz w:val="21"/>
                <w:szCs w:val="21"/>
              </w:rPr>
              <w:t>达标</w:t>
            </w:r>
          </w:p>
        </w:tc>
      </w:tr>
      <w:tr w14:paraId="7C3D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0B841482">
            <w:pPr>
              <w:pStyle w:val="756"/>
              <w:rPr>
                <w:b w:val="0"/>
                <w:sz w:val="21"/>
                <w:szCs w:val="21"/>
              </w:rPr>
            </w:pPr>
          </w:p>
        </w:tc>
        <w:tc>
          <w:tcPr>
            <w:tcW w:w="1161" w:type="dxa"/>
            <w:vAlign w:val="center"/>
          </w:tcPr>
          <w:p w14:paraId="2EFD51FB">
            <w:pPr>
              <w:pStyle w:val="751"/>
              <w:rPr>
                <w:color w:val="auto"/>
              </w:rPr>
            </w:pPr>
            <w:r>
              <w:rPr>
                <w:color w:val="auto"/>
              </w:rPr>
              <w:t>锌</w:t>
            </w:r>
          </w:p>
        </w:tc>
        <w:tc>
          <w:tcPr>
            <w:tcW w:w="1161" w:type="dxa"/>
            <w:vAlign w:val="center"/>
          </w:tcPr>
          <w:p w14:paraId="29BB9A13">
            <w:pPr>
              <w:pStyle w:val="751"/>
              <w:rPr>
                <w:color w:val="auto"/>
              </w:rPr>
            </w:pPr>
            <w:r>
              <w:rPr>
                <w:rFonts w:hint="eastAsia"/>
                <w:color w:val="auto"/>
              </w:rPr>
              <w:t>61</w:t>
            </w:r>
          </w:p>
        </w:tc>
        <w:tc>
          <w:tcPr>
            <w:tcW w:w="1161" w:type="dxa"/>
            <w:vAlign w:val="center"/>
          </w:tcPr>
          <w:p w14:paraId="16B63462">
            <w:pPr>
              <w:pStyle w:val="751"/>
              <w:rPr>
                <w:color w:val="auto"/>
              </w:rPr>
            </w:pPr>
            <w:r>
              <w:rPr>
                <w:color w:val="auto"/>
              </w:rPr>
              <w:t>mg/kg</w:t>
            </w:r>
          </w:p>
        </w:tc>
        <w:tc>
          <w:tcPr>
            <w:tcW w:w="1161" w:type="dxa"/>
            <w:vAlign w:val="center"/>
          </w:tcPr>
          <w:p w14:paraId="5B9C2F6B">
            <w:pPr>
              <w:pStyle w:val="751"/>
              <w:rPr>
                <w:color w:val="auto"/>
              </w:rPr>
            </w:pPr>
            <w:r>
              <w:rPr>
                <w:rFonts w:hint="eastAsia"/>
                <w:color w:val="auto"/>
              </w:rPr>
              <w:t>300</w:t>
            </w:r>
          </w:p>
        </w:tc>
        <w:tc>
          <w:tcPr>
            <w:tcW w:w="1161" w:type="dxa"/>
            <w:vAlign w:val="center"/>
          </w:tcPr>
          <w:p w14:paraId="7A68FC6B">
            <w:pPr>
              <w:pStyle w:val="756"/>
              <w:rPr>
                <w:b w:val="0"/>
                <w:sz w:val="21"/>
                <w:szCs w:val="21"/>
              </w:rPr>
            </w:pPr>
            <w:r>
              <w:rPr>
                <w:rFonts w:hint="eastAsia"/>
                <w:b w:val="0"/>
                <w:sz w:val="21"/>
                <w:szCs w:val="21"/>
              </w:rPr>
              <w:t>0.203</w:t>
            </w:r>
          </w:p>
        </w:tc>
        <w:tc>
          <w:tcPr>
            <w:tcW w:w="1161" w:type="dxa"/>
            <w:vAlign w:val="center"/>
          </w:tcPr>
          <w:p w14:paraId="1E9E1CB7">
            <w:pPr>
              <w:pStyle w:val="756"/>
              <w:rPr>
                <w:b w:val="0"/>
                <w:sz w:val="21"/>
                <w:szCs w:val="21"/>
              </w:rPr>
            </w:pPr>
            <w:r>
              <w:rPr>
                <w:rFonts w:hint="eastAsia"/>
                <w:b w:val="0"/>
                <w:sz w:val="21"/>
                <w:szCs w:val="21"/>
              </w:rPr>
              <w:t>0</w:t>
            </w:r>
          </w:p>
        </w:tc>
        <w:tc>
          <w:tcPr>
            <w:tcW w:w="1161" w:type="dxa"/>
            <w:vAlign w:val="center"/>
          </w:tcPr>
          <w:p w14:paraId="47D3B34E">
            <w:pPr>
              <w:pStyle w:val="756"/>
              <w:rPr>
                <w:b w:val="0"/>
                <w:sz w:val="21"/>
                <w:szCs w:val="21"/>
              </w:rPr>
            </w:pPr>
            <w:r>
              <w:rPr>
                <w:rFonts w:hint="eastAsia"/>
                <w:b w:val="0"/>
                <w:sz w:val="21"/>
                <w:szCs w:val="21"/>
              </w:rPr>
              <w:t>达标</w:t>
            </w:r>
          </w:p>
        </w:tc>
      </w:tr>
      <w:tr w14:paraId="328F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restart"/>
            <w:vAlign w:val="center"/>
          </w:tcPr>
          <w:p w14:paraId="310C9D7F">
            <w:pPr>
              <w:pStyle w:val="756"/>
              <w:rPr>
                <w:b w:val="0"/>
                <w:sz w:val="21"/>
                <w:szCs w:val="21"/>
              </w:rPr>
            </w:pPr>
            <w:r>
              <w:rPr>
                <w:rFonts w:hint="eastAsia"/>
                <w:b w:val="0"/>
                <w:sz w:val="21"/>
                <w:szCs w:val="21"/>
              </w:rPr>
              <w:t>厂区内1#</w:t>
            </w:r>
          </w:p>
        </w:tc>
        <w:tc>
          <w:tcPr>
            <w:tcW w:w="1161" w:type="dxa"/>
            <w:vAlign w:val="center"/>
          </w:tcPr>
          <w:p w14:paraId="00A292EC">
            <w:pPr>
              <w:pStyle w:val="751"/>
              <w:rPr>
                <w:color w:val="auto"/>
              </w:rPr>
            </w:pPr>
            <w:r>
              <w:rPr>
                <w:color w:val="auto"/>
                <w:kern w:val="2"/>
              </w:rPr>
              <w:t>pH值</w:t>
            </w:r>
          </w:p>
        </w:tc>
        <w:tc>
          <w:tcPr>
            <w:tcW w:w="1161" w:type="dxa"/>
            <w:vAlign w:val="center"/>
          </w:tcPr>
          <w:p w14:paraId="4690D8F3">
            <w:pPr>
              <w:pStyle w:val="751"/>
              <w:rPr>
                <w:color w:val="auto"/>
              </w:rPr>
            </w:pPr>
            <w:r>
              <w:rPr>
                <w:rFonts w:hint="eastAsia"/>
                <w:color w:val="auto"/>
              </w:rPr>
              <w:t>8.63</w:t>
            </w:r>
          </w:p>
        </w:tc>
        <w:tc>
          <w:tcPr>
            <w:tcW w:w="1161" w:type="dxa"/>
            <w:vAlign w:val="center"/>
          </w:tcPr>
          <w:p w14:paraId="0E00B328">
            <w:pPr>
              <w:pStyle w:val="751"/>
              <w:rPr>
                <w:color w:val="auto"/>
              </w:rPr>
            </w:pPr>
            <w:r>
              <w:rPr>
                <w:color w:val="auto"/>
              </w:rPr>
              <w:t>无量纲</w:t>
            </w:r>
          </w:p>
        </w:tc>
        <w:tc>
          <w:tcPr>
            <w:tcW w:w="1161" w:type="dxa"/>
            <w:vAlign w:val="center"/>
          </w:tcPr>
          <w:p w14:paraId="47488372">
            <w:pPr>
              <w:pStyle w:val="751"/>
              <w:rPr>
                <w:color w:val="auto"/>
              </w:rPr>
            </w:pPr>
            <w:r>
              <w:rPr>
                <w:rFonts w:hint="eastAsia"/>
                <w:color w:val="auto"/>
              </w:rPr>
              <w:t>/</w:t>
            </w:r>
          </w:p>
        </w:tc>
        <w:tc>
          <w:tcPr>
            <w:tcW w:w="1161" w:type="dxa"/>
            <w:vAlign w:val="center"/>
          </w:tcPr>
          <w:p w14:paraId="48A8AA30">
            <w:pPr>
              <w:pStyle w:val="756"/>
              <w:rPr>
                <w:b w:val="0"/>
                <w:sz w:val="21"/>
                <w:szCs w:val="21"/>
              </w:rPr>
            </w:pPr>
            <w:r>
              <w:rPr>
                <w:rFonts w:hint="eastAsia"/>
                <w:b w:val="0"/>
                <w:sz w:val="21"/>
                <w:szCs w:val="21"/>
              </w:rPr>
              <w:t>/</w:t>
            </w:r>
          </w:p>
        </w:tc>
        <w:tc>
          <w:tcPr>
            <w:tcW w:w="1161" w:type="dxa"/>
            <w:vAlign w:val="center"/>
          </w:tcPr>
          <w:p w14:paraId="6F79017E">
            <w:pPr>
              <w:pStyle w:val="756"/>
              <w:rPr>
                <w:b w:val="0"/>
                <w:sz w:val="21"/>
                <w:szCs w:val="21"/>
              </w:rPr>
            </w:pPr>
            <w:r>
              <w:rPr>
                <w:rFonts w:hint="eastAsia"/>
                <w:b w:val="0"/>
                <w:sz w:val="21"/>
                <w:szCs w:val="21"/>
              </w:rPr>
              <w:t>0</w:t>
            </w:r>
          </w:p>
        </w:tc>
        <w:tc>
          <w:tcPr>
            <w:tcW w:w="1161" w:type="dxa"/>
            <w:vAlign w:val="center"/>
          </w:tcPr>
          <w:p w14:paraId="0DE878F2">
            <w:pPr>
              <w:pStyle w:val="756"/>
              <w:rPr>
                <w:b w:val="0"/>
                <w:sz w:val="21"/>
                <w:szCs w:val="21"/>
              </w:rPr>
            </w:pPr>
            <w:r>
              <w:rPr>
                <w:rFonts w:hint="eastAsia"/>
                <w:b w:val="0"/>
                <w:sz w:val="21"/>
                <w:szCs w:val="21"/>
              </w:rPr>
              <w:t>达标</w:t>
            </w:r>
          </w:p>
        </w:tc>
      </w:tr>
      <w:tr w14:paraId="70F6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3BF9FA83">
            <w:pPr>
              <w:pStyle w:val="756"/>
              <w:rPr>
                <w:b w:val="0"/>
                <w:sz w:val="21"/>
                <w:szCs w:val="21"/>
              </w:rPr>
            </w:pPr>
          </w:p>
        </w:tc>
        <w:tc>
          <w:tcPr>
            <w:tcW w:w="1161" w:type="dxa"/>
            <w:vAlign w:val="center"/>
          </w:tcPr>
          <w:p w14:paraId="37F4EAAE">
            <w:pPr>
              <w:pStyle w:val="751"/>
              <w:rPr>
                <w:color w:val="auto"/>
              </w:rPr>
            </w:pPr>
            <w:r>
              <w:rPr>
                <w:color w:val="auto"/>
              </w:rPr>
              <w:t>镉</w:t>
            </w:r>
          </w:p>
        </w:tc>
        <w:tc>
          <w:tcPr>
            <w:tcW w:w="1161" w:type="dxa"/>
            <w:vAlign w:val="center"/>
          </w:tcPr>
          <w:p w14:paraId="6EB96052">
            <w:pPr>
              <w:pStyle w:val="751"/>
              <w:rPr>
                <w:color w:val="auto"/>
              </w:rPr>
            </w:pPr>
            <w:r>
              <w:rPr>
                <w:rFonts w:hint="eastAsia"/>
                <w:color w:val="auto"/>
              </w:rPr>
              <w:t>0.07L</w:t>
            </w:r>
          </w:p>
        </w:tc>
        <w:tc>
          <w:tcPr>
            <w:tcW w:w="1161" w:type="dxa"/>
            <w:vAlign w:val="center"/>
          </w:tcPr>
          <w:p w14:paraId="6BBC2572">
            <w:pPr>
              <w:pStyle w:val="751"/>
              <w:rPr>
                <w:color w:val="auto"/>
              </w:rPr>
            </w:pPr>
            <w:r>
              <w:rPr>
                <w:color w:val="auto"/>
              </w:rPr>
              <w:t>mg/kg</w:t>
            </w:r>
          </w:p>
        </w:tc>
        <w:tc>
          <w:tcPr>
            <w:tcW w:w="1161" w:type="dxa"/>
            <w:vAlign w:val="center"/>
          </w:tcPr>
          <w:p w14:paraId="0A8BB163">
            <w:pPr>
              <w:pStyle w:val="751"/>
              <w:rPr>
                <w:color w:val="auto"/>
              </w:rPr>
            </w:pPr>
            <w:r>
              <w:rPr>
                <w:rFonts w:hint="eastAsia"/>
                <w:color w:val="auto"/>
              </w:rPr>
              <w:t>0.6</w:t>
            </w:r>
          </w:p>
        </w:tc>
        <w:tc>
          <w:tcPr>
            <w:tcW w:w="1161" w:type="dxa"/>
            <w:vAlign w:val="center"/>
          </w:tcPr>
          <w:p w14:paraId="66023D0F">
            <w:pPr>
              <w:pStyle w:val="756"/>
              <w:rPr>
                <w:b w:val="0"/>
                <w:sz w:val="21"/>
                <w:szCs w:val="21"/>
              </w:rPr>
            </w:pPr>
            <w:r>
              <w:rPr>
                <w:rFonts w:hint="eastAsia"/>
                <w:b w:val="0"/>
                <w:sz w:val="21"/>
                <w:szCs w:val="21"/>
              </w:rPr>
              <w:t>0.058</w:t>
            </w:r>
          </w:p>
        </w:tc>
        <w:tc>
          <w:tcPr>
            <w:tcW w:w="1161" w:type="dxa"/>
            <w:vAlign w:val="center"/>
          </w:tcPr>
          <w:p w14:paraId="2086E121">
            <w:pPr>
              <w:pStyle w:val="756"/>
              <w:rPr>
                <w:b w:val="0"/>
                <w:sz w:val="21"/>
                <w:szCs w:val="21"/>
              </w:rPr>
            </w:pPr>
            <w:r>
              <w:rPr>
                <w:rFonts w:hint="eastAsia"/>
                <w:b w:val="0"/>
                <w:sz w:val="21"/>
                <w:szCs w:val="21"/>
              </w:rPr>
              <w:t>0</w:t>
            </w:r>
          </w:p>
        </w:tc>
        <w:tc>
          <w:tcPr>
            <w:tcW w:w="1161" w:type="dxa"/>
            <w:vAlign w:val="center"/>
          </w:tcPr>
          <w:p w14:paraId="4237B50C">
            <w:pPr>
              <w:pStyle w:val="756"/>
              <w:rPr>
                <w:b w:val="0"/>
                <w:sz w:val="21"/>
                <w:szCs w:val="21"/>
              </w:rPr>
            </w:pPr>
            <w:r>
              <w:rPr>
                <w:rFonts w:hint="eastAsia"/>
                <w:b w:val="0"/>
                <w:sz w:val="21"/>
                <w:szCs w:val="21"/>
              </w:rPr>
              <w:t>达标</w:t>
            </w:r>
          </w:p>
        </w:tc>
      </w:tr>
      <w:tr w14:paraId="4600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4943E1E3">
            <w:pPr>
              <w:pStyle w:val="756"/>
              <w:rPr>
                <w:b w:val="0"/>
                <w:sz w:val="21"/>
                <w:szCs w:val="21"/>
              </w:rPr>
            </w:pPr>
          </w:p>
        </w:tc>
        <w:tc>
          <w:tcPr>
            <w:tcW w:w="1161" w:type="dxa"/>
            <w:vAlign w:val="center"/>
          </w:tcPr>
          <w:p w14:paraId="5FF222CD">
            <w:pPr>
              <w:pStyle w:val="751"/>
              <w:rPr>
                <w:color w:val="auto"/>
              </w:rPr>
            </w:pPr>
            <w:r>
              <w:rPr>
                <w:color w:val="auto"/>
              </w:rPr>
              <w:t>汞</w:t>
            </w:r>
          </w:p>
        </w:tc>
        <w:tc>
          <w:tcPr>
            <w:tcW w:w="1161" w:type="dxa"/>
            <w:vAlign w:val="center"/>
          </w:tcPr>
          <w:p w14:paraId="0439417A">
            <w:pPr>
              <w:pStyle w:val="751"/>
              <w:rPr>
                <w:color w:val="auto"/>
              </w:rPr>
            </w:pPr>
            <w:r>
              <w:rPr>
                <w:rFonts w:hint="eastAsia"/>
                <w:color w:val="auto"/>
              </w:rPr>
              <w:t>0.014</w:t>
            </w:r>
          </w:p>
        </w:tc>
        <w:tc>
          <w:tcPr>
            <w:tcW w:w="1161" w:type="dxa"/>
            <w:vAlign w:val="center"/>
          </w:tcPr>
          <w:p w14:paraId="3F8C46F3">
            <w:pPr>
              <w:pStyle w:val="751"/>
              <w:rPr>
                <w:color w:val="auto"/>
              </w:rPr>
            </w:pPr>
            <w:r>
              <w:rPr>
                <w:color w:val="auto"/>
              </w:rPr>
              <w:t>mg/kg</w:t>
            </w:r>
          </w:p>
        </w:tc>
        <w:tc>
          <w:tcPr>
            <w:tcW w:w="1161" w:type="dxa"/>
            <w:vAlign w:val="center"/>
          </w:tcPr>
          <w:p w14:paraId="6DAC2B7F">
            <w:pPr>
              <w:pStyle w:val="751"/>
              <w:rPr>
                <w:color w:val="auto"/>
              </w:rPr>
            </w:pPr>
            <w:r>
              <w:rPr>
                <w:rFonts w:hint="eastAsia"/>
                <w:color w:val="auto"/>
              </w:rPr>
              <w:t>3.4</w:t>
            </w:r>
          </w:p>
        </w:tc>
        <w:tc>
          <w:tcPr>
            <w:tcW w:w="1161" w:type="dxa"/>
            <w:vAlign w:val="center"/>
          </w:tcPr>
          <w:p w14:paraId="5C5EC412">
            <w:pPr>
              <w:pStyle w:val="756"/>
              <w:rPr>
                <w:b w:val="0"/>
                <w:sz w:val="21"/>
                <w:szCs w:val="21"/>
              </w:rPr>
            </w:pPr>
            <w:r>
              <w:rPr>
                <w:rFonts w:hint="eastAsia"/>
                <w:b w:val="0"/>
                <w:sz w:val="21"/>
                <w:szCs w:val="21"/>
              </w:rPr>
              <w:t>0.004</w:t>
            </w:r>
          </w:p>
        </w:tc>
        <w:tc>
          <w:tcPr>
            <w:tcW w:w="1161" w:type="dxa"/>
            <w:vAlign w:val="center"/>
          </w:tcPr>
          <w:p w14:paraId="2CD21521">
            <w:pPr>
              <w:pStyle w:val="756"/>
              <w:rPr>
                <w:b w:val="0"/>
                <w:sz w:val="21"/>
                <w:szCs w:val="21"/>
              </w:rPr>
            </w:pPr>
            <w:r>
              <w:rPr>
                <w:rFonts w:hint="eastAsia"/>
                <w:b w:val="0"/>
                <w:sz w:val="21"/>
                <w:szCs w:val="21"/>
              </w:rPr>
              <w:t>0</w:t>
            </w:r>
          </w:p>
        </w:tc>
        <w:tc>
          <w:tcPr>
            <w:tcW w:w="1161" w:type="dxa"/>
            <w:vAlign w:val="center"/>
          </w:tcPr>
          <w:p w14:paraId="475A9B8B">
            <w:pPr>
              <w:pStyle w:val="756"/>
              <w:rPr>
                <w:b w:val="0"/>
                <w:sz w:val="21"/>
                <w:szCs w:val="21"/>
              </w:rPr>
            </w:pPr>
            <w:r>
              <w:rPr>
                <w:rFonts w:hint="eastAsia"/>
                <w:b w:val="0"/>
                <w:sz w:val="21"/>
                <w:szCs w:val="21"/>
              </w:rPr>
              <w:t>达标</w:t>
            </w:r>
          </w:p>
        </w:tc>
      </w:tr>
      <w:tr w14:paraId="210E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1F5FA8A7">
            <w:pPr>
              <w:pStyle w:val="756"/>
              <w:rPr>
                <w:b w:val="0"/>
                <w:sz w:val="21"/>
                <w:szCs w:val="21"/>
              </w:rPr>
            </w:pPr>
          </w:p>
        </w:tc>
        <w:tc>
          <w:tcPr>
            <w:tcW w:w="1161" w:type="dxa"/>
            <w:vAlign w:val="center"/>
          </w:tcPr>
          <w:p w14:paraId="0611DCF6">
            <w:pPr>
              <w:pStyle w:val="751"/>
              <w:rPr>
                <w:color w:val="auto"/>
              </w:rPr>
            </w:pPr>
            <w:r>
              <w:rPr>
                <w:color w:val="auto"/>
              </w:rPr>
              <w:t>砷</w:t>
            </w:r>
          </w:p>
        </w:tc>
        <w:tc>
          <w:tcPr>
            <w:tcW w:w="1161" w:type="dxa"/>
            <w:vAlign w:val="center"/>
          </w:tcPr>
          <w:p w14:paraId="56431F37">
            <w:pPr>
              <w:pStyle w:val="751"/>
              <w:rPr>
                <w:color w:val="auto"/>
              </w:rPr>
            </w:pPr>
            <w:r>
              <w:rPr>
                <w:rFonts w:hint="eastAsia"/>
                <w:color w:val="auto"/>
              </w:rPr>
              <w:t>4.55</w:t>
            </w:r>
          </w:p>
        </w:tc>
        <w:tc>
          <w:tcPr>
            <w:tcW w:w="1161" w:type="dxa"/>
            <w:vAlign w:val="center"/>
          </w:tcPr>
          <w:p w14:paraId="63EEF47A">
            <w:pPr>
              <w:pStyle w:val="751"/>
              <w:rPr>
                <w:color w:val="auto"/>
              </w:rPr>
            </w:pPr>
            <w:r>
              <w:rPr>
                <w:color w:val="auto"/>
              </w:rPr>
              <w:t>mg/kg</w:t>
            </w:r>
          </w:p>
        </w:tc>
        <w:tc>
          <w:tcPr>
            <w:tcW w:w="1161" w:type="dxa"/>
            <w:vAlign w:val="center"/>
          </w:tcPr>
          <w:p w14:paraId="7C5A9825">
            <w:pPr>
              <w:pStyle w:val="751"/>
              <w:rPr>
                <w:color w:val="auto"/>
              </w:rPr>
            </w:pPr>
            <w:r>
              <w:rPr>
                <w:rFonts w:hint="eastAsia"/>
                <w:color w:val="auto"/>
              </w:rPr>
              <w:t>25</w:t>
            </w:r>
          </w:p>
        </w:tc>
        <w:tc>
          <w:tcPr>
            <w:tcW w:w="1161" w:type="dxa"/>
            <w:vAlign w:val="center"/>
          </w:tcPr>
          <w:p w14:paraId="411BB470">
            <w:pPr>
              <w:pStyle w:val="756"/>
              <w:rPr>
                <w:b w:val="0"/>
                <w:sz w:val="21"/>
                <w:szCs w:val="21"/>
              </w:rPr>
            </w:pPr>
            <w:r>
              <w:rPr>
                <w:rFonts w:hint="eastAsia"/>
                <w:b w:val="0"/>
                <w:sz w:val="21"/>
                <w:szCs w:val="21"/>
              </w:rPr>
              <w:t>0182</w:t>
            </w:r>
          </w:p>
        </w:tc>
        <w:tc>
          <w:tcPr>
            <w:tcW w:w="1161" w:type="dxa"/>
            <w:vAlign w:val="center"/>
          </w:tcPr>
          <w:p w14:paraId="5517EC30">
            <w:pPr>
              <w:pStyle w:val="756"/>
              <w:rPr>
                <w:b w:val="0"/>
                <w:sz w:val="21"/>
                <w:szCs w:val="21"/>
              </w:rPr>
            </w:pPr>
            <w:r>
              <w:rPr>
                <w:rFonts w:hint="eastAsia"/>
                <w:b w:val="0"/>
                <w:sz w:val="21"/>
                <w:szCs w:val="21"/>
              </w:rPr>
              <w:t>0</w:t>
            </w:r>
          </w:p>
        </w:tc>
        <w:tc>
          <w:tcPr>
            <w:tcW w:w="1161" w:type="dxa"/>
            <w:vAlign w:val="center"/>
          </w:tcPr>
          <w:p w14:paraId="17EBB304">
            <w:pPr>
              <w:pStyle w:val="756"/>
              <w:rPr>
                <w:b w:val="0"/>
                <w:sz w:val="21"/>
                <w:szCs w:val="21"/>
              </w:rPr>
            </w:pPr>
            <w:r>
              <w:rPr>
                <w:rFonts w:hint="eastAsia"/>
                <w:b w:val="0"/>
                <w:sz w:val="21"/>
                <w:szCs w:val="21"/>
              </w:rPr>
              <w:t>达标</w:t>
            </w:r>
          </w:p>
        </w:tc>
      </w:tr>
      <w:tr w14:paraId="6D24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3914E724">
            <w:pPr>
              <w:pStyle w:val="756"/>
              <w:rPr>
                <w:b w:val="0"/>
                <w:sz w:val="21"/>
                <w:szCs w:val="21"/>
              </w:rPr>
            </w:pPr>
          </w:p>
        </w:tc>
        <w:tc>
          <w:tcPr>
            <w:tcW w:w="1161" w:type="dxa"/>
            <w:vAlign w:val="center"/>
          </w:tcPr>
          <w:p w14:paraId="68922A59">
            <w:pPr>
              <w:pStyle w:val="751"/>
              <w:rPr>
                <w:color w:val="auto"/>
              </w:rPr>
            </w:pPr>
            <w:r>
              <w:rPr>
                <w:color w:val="auto"/>
              </w:rPr>
              <w:t>铅</w:t>
            </w:r>
          </w:p>
        </w:tc>
        <w:tc>
          <w:tcPr>
            <w:tcW w:w="1161" w:type="dxa"/>
            <w:vAlign w:val="center"/>
          </w:tcPr>
          <w:p w14:paraId="1A9C75F0">
            <w:pPr>
              <w:pStyle w:val="751"/>
              <w:rPr>
                <w:color w:val="auto"/>
              </w:rPr>
            </w:pPr>
            <w:r>
              <w:rPr>
                <w:rFonts w:hint="eastAsia"/>
                <w:color w:val="auto"/>
              </w:rPr>
              <w:t>14</w:t>
            </w:r>
          </w:p>
        </w:tc>
        <w:tc>
          <w:tcPr>
            <w:tcW w:w="1161" w:type="dxa"/>
            <w:vAlign w:val="center"/>
          </w:tcPr>
          <w:p w14:paraId="48FDAFF2">
            <w:pPr>
              <w:pStyle w:val="751"/>
              <w:rPr>
                <w:color w:val="auto"/>
              </w:rPr>
            </w:pPr>
            <w:r>
              <w:rPr>
                <w:color w:val="auto"/>
              </w:rPr>
              <w:t>mg/kg</w:t>
            </w:r>
          </w:p>
        </w:tc>
        <w:tc>
          <w:tcPr>
            <w:tcW w:w="1161" w:type="dxa"/>
            <w:vAlign w:val="center"/>
          </w:tcPr>
          <w:p w14:paraId="43DE67D8">
            <w:pPr>
              <w:pStyle w:val="751"/>
              <w:rPr>
                <w:color w:val="auto"/>
              </w:rPr>
            </w:pPr>
            <w:r>
              <w:rPr>
                <w:rFonts w:hint="eastAsia"/>
                <w:color w:val="auto"/>
              </w:rPr>
              <w:t>170</w:t>
            </w:r>
          </w:p>
        </w:tc>
        <w:tc>
          <w:tcPr>
            <w:tcW w:w="1161" w:type="dxa"/>
            <w:vAlign w:val="center"/>
          </w:tcPr>
          <w:p w14:paraId="2F993BC6">
            <w:pPr>
              <w:pStyle w:val="756"/>
              <w:rPr>
                <w:b w:val="0"/>
                <w:sz w:val="21"/>
                <w:szCs w:val="21"/>
              </w:rPr>
            </w:pPr>
            <w:r>
              <w:rPr>
                <w:rFonts w:hint="eastAsia"/>
                <w:b w:val="0"/>
                <w:sz w:val="21"/>
                <w:szCs w:val="21"/>
              </w:rPr>
              <w:t>0.082</w:t>
            </w:r>
          </w:p>
        </w:tc>
        <w:tc>
          <w:tcPr>
            <w:tcW w:w="1161" w:type="dxa"/>
            <w:vAlign w:val="center"/>
          </w:tcPr>
          <w:p w14:paraId="0D73E09C">
            <w:pPr>
              <w:pStyle w:val="756"/>
              <w:rPr>
                <w:b w:val="0"/>
                <w:sz w:val="21"/>
                <w:szCs w:val="21"/>
              </w:rPr>
            </w:pPr>
            <w:r>
              <w:rPr>
                <w:rFonts w:hint="eastAsia"/>
                <w:b w:val="0"/>
                <w:sz w:val="21"/>
                <w:szCs w:val="21"/>
              </w:rPr>
              <w:t>0</w:t>
            </w:r>
          </w:p>
        </w:tc>
        <w:tc>
          <w:tcPr>
            <w:tcW w:w="1161" w:type="dxa"/>
            <w:vAlign w:val="center"/>
          </w:tcPr>
          <w:p w14:paraId="20FE9604">
            <w:pPr>
              <w:pStyle w:val="756"/>
              <w:rPr>
                <w:b w:val="0"/>
                <w:sz w:val="21"/>
                <w:szCs w:val="21"/>
              </w:rPr>
            </w:pPr>
            <w:r>
              <w:rPr>
                <w:rFonts w:hint="eastAsia"/>
                <w:b w:val="0"/>
                <w:sz w:val="21"/>
                <w:szCs w:val="21"/>
              </w:rPr>
              <w:t>达标</w:t>
            </w:r>
          </w:p>
        </w:tc>
      </w:tr>
      <w:tr w14:paraId="411C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3B93D2C2">
            <w:pPr>
              <w:pStyle w:val="756"/>
              <w:rPr>
                <w:b w:val="0"/>
                <w:sz w:val="21"/>
                <w:szCs w:val="21"/>
              </w:rPr>
            </w:pPr>
          </w:p>
        </w:tc>
        <w:tc>
          <w:tcPr>
            <w:tcW w:w="1161" w:type="dxa"/>
            <w:vAlign w:val="center"/>
          </w:tcPr>
          <w:p w14:paraId="7D5AD813">
            <w:pPr>
              <w:pStyle w:val="751"/>
              <w:rPr>
                <w:color w:val="auto"/>
              </w:rPr>
            </w:pPr>
            <w:r>
              <w:rPr>
                <w:color w:val="auto"/>
              </w:rPr>
              <w:t>镍</w:t>
            </w:r>
          </w:p>
        </w:tc>
        <w:tc>
          <w:tcPr>
            <w:tcW w:w="1161" w:type="dxa"/>
            <w:vAlign w:val="center"/>
          </w:tcPr>
          <w:p w14:paraId="048372E9">
            <w:pPr>
              <w:pStyle w:val="751"/>
              <w:rPr>
                <w:color w:val="auto"/>
              </w:rPr>
            </w:pPr>
            <w:r>
              <w:rPr>
                <w:rFonts w:hint="eastAsia"/>
                <w:color w:val="auto"/>
              </w:rPr>
              <w:t>19</w:t>
            </w:r>
          </w:p>
        </w:tc>
        <w:tc>
          <w:tcPr>
            <w:tcW w:w="1161" w:type="dxa"/>
            <w:vAlign w:val="center"/>
          </w:tcPr>
          <w:p w14:paraId="6361ACF4">
            <w:pPr>
              <w:pStyle w:val="751"/>
              <w:rPr>
                <w:color w:val="auto"/>
              </w:rPr>
            </w:pPr>
            <w:r>
              <w:rPr>
                <w:color w:val="auto"/>
              </w:rPr>
              <w:t>mg/kg</w:t>
            </w:r>
          </w:p>
        </w:tc>
        <w:tc>
          <w:tcPr>
            <w:tcW w:w="1161" w:type="dxa"/>
            <w:vAlign w:val="center"/>
          </w:tcPr>
          <w:p w14:paraId="7FD8FE38">
            <w:pPr>
              <w:pStyle w:val="751"/>
              <w:rPr>
                <w:color w:val="auto"/>
              </w:rPr>
            </w:pPr>
            <w:r>
              <w:rPr>
                <w:rFonts w:hint="eastAsia"/>
                <w:color w:val="auto"/>
              </w:rPr>
              <w:t>190</w:t>
            </w:r>
          </w:p>
        </w:tc>
        <w:tc>
          <w:tcPr>
            <w:tcW w:w="1161" w:type="dxa"/>
            <w:vAlign w:val="center"/>
          </w:tcPr>
          <w:p w14:paraId="0F32F4E3">
            <w:pPr>
              <w:pStyle w:val="756"/>
              <w:rPr>
                <w:b w:val="0"/>
                <w:sz w:val="21"/>
                <w:szCs w:val="21"/>
              </w:rPr>
            </w:pPr>
            <w:r>
              <w:rPr>
                <w:rFonts w:hint="eastAsia"/>
                <w:b w:val="0"/>
                <w:sz w:val="21"/>
                <w:szCs w:val="21"/>
              </w:rPr>
              <w:t>0.1</w:t>
            </w:r>
          </w:p>
        </w:tc>
        <w:tc>
          <w:tcPr>
            <w:tcW w:w="1161" w:type="dxa"/>
            <w:vAlign w:val="center"/>
          </w:tcPr>
          <w:p w14:paraId="72484D02">
            <w:pPr>
              <w:pStyle w:val="756"/>
              <w:rPr>
                <w:b w:val="0"/>
                <w:sz w:val="21"/>
                <w:szCs w:val="21"/>
              </w:rPr>
            </w:pPr>
            <w:r>
              <w:rPr>
                <w:rFonts w:hint="eastAsia"/>
                <w:b w:val="0"/>
                <w:sz w:val="21"/>
                <w:szCs w:val="21"/>
              </w:rPr>
              <w:t>0</w:t>
            </w:r>
          </w:p>
        </w:tc>
        <w:tc>
          <w:tcPr>
            <w:tcW w:w="1161" w:type="dxa"/>
            <w:vAlign w:val="center"/>
          </w:tcPr>
          <w:p w14:paraId="0747FDF9">
            <w:pPr>
              <w:pStyle w:val="756"/>
              <w:rPr>
                <w:b w:val="0"/>
                <w:sz w:val="21"/>
                <w:szCs w:val="21"/>
              </w:rPr>
            </w:pPr>
            <w:r>
              <w:rPr>
                <w:rFonts w:hint="eastAsia"/>
                <w:b w:val="0"/>
                <w:sz w:val="21"/>
                <w:szCs w:val="21"/>
              </w:rPr>
              <w:t>达标</w:t>
            </w:r>
          </w:p>
        </w:tc>
      </w:tr>
      <w:tr w14:paraId="554E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69D9ED0A">
            <w:pPr>
              <w:pStyle w:val="756"/>
              <w:rPr>
                <w:b w:val="0"/>
                <w:sz w:val="21"/>
                <w:szCs w:val="21"/>
              </w:rPr>
            </w:pPr>
          </w:p>
        </w:tc>
        <w:tc>
          <w:tcPr>
            <w:tcW w:w="1161" w:type="dxa"/>
            <w:vAlign w:val="center"/>
          </w:tcPr>
          <w:p w14:paraId="3A3644D7">
            <w:pPr>
              <w:pStyle w:val="751"/>
              <w:rPr>
                <w:color w:val="auto"/>
              </w:rPr>
            </w:pPr>
            <w:r>
              <w:rPr>
                <w:rFonts w:hint="eastAsia"/>
                <w:color w:val="auto"/>
              </w:rPr>
              <w:t>铜</w:t>
            </w:r>
          </w:p>
        </w:tc>
        <w:tc>
          <w:tcPr>
            <w:tcW w:w="1161" w:type="dxa"/>
            <w:vAlign w:val="center"/>
          </w:tcPr>
          <w:p w14:paraId="00F9B91F">
            <w:pPr>
              <w:pStyle w:val="751"/>
              <w:rPr>
                <w:color w:val="auto"/>
              </w:rPr>
            </w:pPr>
            <w:r>
              <w:rPr>
                <w:rFonts w:hint="eastAsia"/>
                <w:color w:val="auto"/>
              </w:rPr>
              <w:t>16.3</w:t>
            </w:r>
          </w:p>
        </w:tc>
        <w:tc>
          <w:tcPr>
            <w:tcW w:w="1161" w:type="dxa"/>
            <w:vAlign w:val="center"/>
          </w:tcPr>
          <w:p w14:paraId="3ADC1835">
            <w:pPr>
              <w:pStyle w:val="751"/>
              <w:rPr>
                <w:color w:val="auto"/>
              </w:rPr>
            </w:pPr>
            <w:r>
              <w:rPr>
                <w:color w:val="auto"/>
              </w:rPr>
              <w:t>mg/kg</w:t>
            </w:r>
          </w:p>
        </w:tc>
        <w:tc>
          <w:tcPr>
            <w:tcW w:w="1161" w:type="dxa"/>
            <w:vAlign w:val="center"/>
          </w:tcPr>
          <w:p w14:paraId="763B78EF">
            <w:pPr>
              <w:pStyle w:val="751"/>
              <w:rPr>
                <w:color w:val="auto"/>
              </w:rPr>
            </w:pPr>
            <w:r>
              <w:rPr>
                <w:rFonts w:hint="eastAsia"/>
                <w:color w:val="auto"/>
              </w:rPr>
              <w:t>100</w:t>
            </w:r>
          </w:p>
        </w:tc>
        <w:tc>
          <w:tcPr>
            <w:tcW w:w="1161" w:type="dxa"/>
            <w:vAlign w:val="center"/>
          </w:tcPr>
          <w:p w14:paraId="3CE0452B">
            <w:pPr>
              <w:pStyle w:val="756"/>
              <w:rPr>
                <w:b w:val="0"/>
                <w:sz w:val="21"/>
                <w:szCs w:val="21"/>
              </w:rPr>
            </w:pPr>
            <w:r>
              <w:rPr>
                <w:rFonts w:hint="eastAsia"/>
                <w:b w:val="0"/>
                <w:sz w:val="21"/>
                <w:szCs w:val="21"/>
              </w:rPr>
              <w:t>0.163</w:t>
            </w:r>
          </w:p>
        </w:tc>
        <w:tc>
          <w:tcPr>
            <w:tcW w:w="1161" w:type="dxa"/>
            <w:vAlign w:val="center"/>
          </w:tcPr>
          <w:p w14:paraId="69480D1B">
            <w:pPr>
              <w:pStyle w:val="756"/>
              <w:rPr>
                <w:b w:val="0"/>
                <w:sz w:val="21"/>
                <w:szCs w:val="21"/>
              </w:rPr>
            </w:pPr>
            <w:r>
              <w:rPr>
                <w:rFonts w:hint="eastAsia"/>
                <w:b w:val="0"/>
                <w:sz w:val="21"/>
                <w:szCs w:val="21"/>
              </w:rPr>
              <w:t>0</w:t>
            </w:r>
          </w:p>
        </w:tc>
        <w:tc>
          <w:tcPr>
            <w:tcW w:w="1161" w:type="dxa"/>
            <w:vAlign w:val="center"/>
          </w:tcPr>
          <w:p w14:paraId="50C50B44">
            <w:pPr>
              <w:pStyle w:val="756"/>
              <w:rPr>
                <w:b w:val="0"/>
                <w:sz w:val="21"/>
                <w:szCs w:val="21"/>
              </w:rPr>
            </w:pPr>
            <w:r>
              <w:rPr>
                <w:rFonts w:hint="eastAsia"/>
                <w:b w:val="0"/>
                <w:sz w:val="21"/>
                <w:szCs w:val="21"/>
              </w:rPr>
              <w:t>达标</w:t>
            </w:r>
          </w:p>
        </w:tc>
      </w:tr>
      <w:tr w14:paraId="0AD2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5A9A1FC0">
            <w:pPr>
              <w:pStyle w:val="756"/>
              <w:rPr>
                <w:b w:val="0"/>
                <w:sz w:val="21"/>
                <w:szCs w:val="21"/>
              </w:rPr>
            </w:pPr>
          </w:p>
        </w:tc>
        <w:tc>
          <w:tcPr>
            <w:tcW w:w="1161" w:type="dxa"/>
            <w:vAlign w:val="center"/>
          </w:tcPr>
          <w:p w14:paraId="3908985A">
            <w:pPr>
              <w:pStyle w:val="751"/>
              <w:rPr>
                <w:color w:val="auto"/>
              </w:rPr>
            </w:pPr>
            <w:r>
              <w:rPr>
                <w:color w:val="auto"/>
              </w:rPr>
              <w:t>铬</w:t>
            </w:r>
          </w:p>
        </w:tc>
        <w:tc>
          <w:tcPr>
            <w:tcW w:w="1161" w:type="dxa"/>
            <w:vAlign w:val="center"/>
          </w:tcPr>
          <w:p w14:paraId="440C8C93">
            <w:pPr>
              <w:pStyle w:val="751"/>
              <w:rPr>
                <w:color w:val="auto"/>
              </w:rPr>
            </w:pPr>
            <w:r>
              <w:rPr>
                <w:rFonts w:hint="eastAsia"/>
                <w:color w:val="auto"/>
              </w:rPr>
              <w:t>72</w:t>
            </w:r>
          </w:p>
        </w:tc>
        <w:tc>
          <w:tcPr>
            <w:tcW w:w="1161" w:type="dxa"/>
            <w:vAlign w:val="center"/>
          </w:tcPr>
          <w:p w14:paraId="3A263D40">
            <w:pPr>
              <w:pStyle w:val="751"/>
              <w:rPr>
                <w:color w:val="auto"/>
              </w:rPr>
            </w:pPr>
            <w:r>
              <w:rPr>
                <w:color w:val="auto"/>
              </w:rPr>
              <w:t>mg/kg</w:t>
            </w:r>
          </w:p>
        </w:tc>
        <w:tc>
          <w:tcPr>
            <w:tcW w:w="1161" w:type="dxa"/>
            <w:vAlign w:val="center"/>
          </w:tcPr>
          <w:p w14:paraId="5E2A3404">
            <w:pPr>
              <w:pStyle w:val="751"/>
              <w:rPr>
                <w:color w:val="auto"/>
              </w:rPr>
            </w:pPr>
            <w:r>
              <w:rPr>
                <w:rFonts w:hint="eastAsia"/>
                <w:color w:val="auto"/>
              </w:rPr>
              <w:t>250</w:t>
            </w:r>
          </w:p>
        </w:tc>
        <w:tc>
          <w:tcPr>
            <w:tcW w:w="1161" w:type="dxa"/>
            <w:vAlign w:val="center"/>
          </w:tcPr>
          <w:p w14:paraId="526B626C">
            <w:pPr>
              <w:pStyle w:val="756"/>
              <w:rPr>
                <w:b w:val="0"/>
                <w:sz w:val="21"/>
                <w:szCs w:val="21"/>
              </w:rPr>
            </w:pPr>
            <w:r>
              <w:rPr>
                <w:rFonts w:hint="eastAsia"/>
                <w:b w:val="0"/>
                <w:sz w:val="21"/>
                <w:szCs w:val="21"/>
              </w:rPr>
              <w:t>0.288</w:t>
            </w:r>
          </w:p>
        </w:tc>
        <w:tc>
          <w:tcPr>
            <w:tcW w:w="1161" w:type="dxa"/>
            <w:vAlign w:val="center"/>
          </w:tcPr>
          <w:p w14:paraId="12B12327">
            <w:pPr>
              <w:pStyle w:val="756"/>
              <w:rPr>
                <w:b w:val="0"/>
                <w:sz w:val="21"/>
                <w:szCs w:val="21"/>
              </w:rPr>
            </w:pPr>
            <w:r>
              <w:rPr>
                <w:rFonts w:hint="eastAsia"/>
                <w:b w:val="0"/>
                <w:sz w:val="21"/>
                <w:szCs w:val="21"/>
              </w:rPr>
              <w:t>0</w:t>
            </w:r>
          </w:p>
        </w:tc>
        <w:tc>
          <w:tcPr>
            <w:tcW w:w="1161" w:type="dxa"/>
            <w:vAlign w:val="center"/>
          </w:tcPr>
          <w:p w14:paraId="4E07AB0B">
            <w:pPr>
              <w:pStyle w:val="756"/>
              <w:rPr>
                <w:b w:val="0"/>
                <w:sz w:val="21"/>
                <w:szCs w:val="21"/>
              </w:rPr>
            </w:pPr>
            <w:r>
              <w:rPr>
                <w:rFonts w:hint="eastAsia"/>
                <w:b w:val="0"/>
                <w:sz w:val="21"/>
                <w:szCs w:val="21"/>
              </w:rPr>
              <w:t>达标</w:t>
            </w:r>
          </w:p>
        </w:tc>
      </w:tr>
      <w:tr w14:paraId="3542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vAlign w:val="center"/>
          </w:tcPr>
          <w:p w14:paraId="782565E7">
            <w:pPr>
              <w:pStyle w:val="756"/>
              <w:rPr>
                <w:b w:val="0"/>
                <w:sz w:val="21"/>
                <w:szCs w:val="21"/>
              </w:rPr>
            </w:pPr>
          </w:p>
        </w:tc>
        <w:tc>
          <w:tcPr>
            <w:tcW w:w="1161" w:type="dxa"/>
            <w:vAlign w:val="center"/>
          </w:tcPr>
          <w:p w14:paraId="17044D9E">
            <w:pPr>
              <w:pStyle w:val="751"/>
              <w:rPr>
                <w:color w:val="auto"/>
              </w:rPr>
            </w:pPr>
            <w:r>
              <w:rPr>
                <w:color w:val="auto"/>
              </w:rPr>
              <w:t>锌</w:t>
            </w:r>
          </w:p>
        </w:tc>
        <w:tc>
          <w:tcPr>
            <w:tcW w:w="1161" w:type="dxa"/>
            <w:vAlign w:val="center"/>
          </w:tcPr>
          <w:p w14:paraId="10C18316">
            <w:pPr>
              <w:pStyle w:val="751"/>
              <w:rPr>
                <w:color w:val="auto"/>
              </w:rPr>
            </w:pPr>
            <w:r>
              <w:rPr>
                <w:rFonts w:hint="eastAsia"/>
                <w:color w:val="auto"/>
              </w:rPr>
              <w:t>57</w:t>
            </w:r>
          </w:p>
        </w:tc>
        <w:tc>
          <w:tcPr>
            <w:tcW w:w="1161" w:type="dxa"/>
            <w:vAlign w:val="center"/>
          </w:tcPr>
          <w:p w14:paraId="220FC678">
            <w:pPr>
              <w:pStyle w:val="751"/>
              <w:rPr>
                <w:color w:val="auto"/>
              </w:rPr>
            </w:pPr>
            <w:r>
              <w:rPr>
                <w:color w:val="auto"/>
              </w:rPr>
              <w:t>mg/kg</w:t>
            </w:r>
          </w:p>
        </w:tc>
        <w:tc>
          <w:tcPr>
            <w:tcW w:w="1161" w:type="dxa"/>
            <w:vAlign w:val="center"/>
          </w:tcPr>
          <w:p w14:paraId="4D371089">
            <w:pPr>
              <w:pStyle w:val="751"/>
              <w:rPr>
                <w:color w:val="auto"/>
              </w:rPr>
            </w:pPr>
            <w:r>
              <w:rPr>
                <w:rFonts w:hint="eastAsia"/>
                <w:color w:val="auto"/>
              </w:rPr>
              <w:t>300</w:t>
            </w:r>
          </w:p>
        </w:tc>
        <w:tc>
          <w:tcPr>
            <w:tcW w:w="1161" w:type="dxa"/>
            <w:vAlign w:val="center"/>
          </w:tcPr>
          <w:p w14:paraId="63D4DD3C">
            <w:pPr>
              <w:pStyle w:val="756"/>
              <w:rPr>
                <w:b w:val="0"/>
                <w:sz w:val="21"/>
                <w:szCs w:val="21"/>
              </w:rPr>
            </w:pPr>
            <w:r>
              <w:rPr>
                <w:rFonts w:hint="eastAsia"/>
                <w:b w:val="0"/>
                <w:sz w:val="21"/>
                <w:szCs w:val="21"/>
              </w:rPr>
              <w:t>0.19</w:t>
            </w:r>
          </w:p>
        </w:tc>
        <w:tc>
          <w:tcPr>
            <w:tcW w:w="1161" w:type="dxa"/>
            <w:vAlign w:val="center"/>
          </w:tcPr>
          <w:p w14:paraId="3D2D2D26">
            <w:pPr>
              <w:pStyle w:val="756"/>
              <w:rPr>
                <w:b w:val="0"/>
                <w:sz w:val="21"/>
                <w:szCs w:val="21"/>
              </w:rPr>
            </w:pPr>
            <w:r>
              <w:rPr>
                <w:rFonts w:hint="eastAsia"/>
                <w:b w:val="0"/>
                <w:sz w:val="21"/>
                <w:szCs w:val="21"/>
              </w:rPr>
              <w:t>0</w:t>
            </w:r>
          </w:p>
        </w:tc>
        <w:tc>
          <w:tcPr>
            <w:tcW w:w="1161" w:type="dxa"/>
            <w:vAlign w:val="center"/>
          </w:tcPr>
          <w:p w14:paraId="4D5B9607">
            <w:pPr>
              <w:pStyle w:val="756"/>
              <w:rPr>
                <w:b w:val="0"/>
                <w:sz w:val="21"/>
                <w:szCs w:val="21"/>
              </w:rPr>
            </w:pPr>
            <w:r>
              <w:rPr>
                <w:rFonts w:hint="eastAsia"/>
                <w:b w:val="0"/>
                <w:sz w:val="21"/>
                <w:szCs w:val="21"/>
              </w:rPr>
              <w:t>达标</w:t>
            </w:r>
          </w:p>
        </w:tc>
      </w:tr>
    </w:tbl>
    <w:p w14:paraId="4C8E1AA2">
      <w:pPr>
        <w:pStyle w:val="104"/>
      </w:pPr>
      <w:r>
        <w:t>由表4.5-4，各监测点</w:t>
      </w:r>
      <w:r>
        <w:rPr>
          <w:rFonts w:hint="eastAsia"/>
        </w:rPr>
        <w:t>所有因子</w:t>
      </w:r>
      <w:r>
        <w:t>均满足《土壤环境质量</w:t>
      </w:r>
      <w:r>
        <w:rPr>
          <w:rFonts w:hint="eastAsia"/>
        </w:rPr>
        <w:t xml:space="preserve"> </w:t>
      </w:r>
      <w:r>
        <w:t>农用地土壤污染风险管控标准（试行）》（GB15618-2018）标准</w:t>
      </w:r>
      <w:r>
        <w:rPr>
          <w:lang w:bidi="ar"/>
        </w:rPr>
        <w:t>中的“表1农用地土壤污染风险筛选值（基本项目）”中的其他用地类型</w:t>
      </w:r>
      <w:r>
        <w:rPr>
          <w:rFonts w:hint="eastAsia"/>
          <w:lang w:bidi="ar"/>
        </w:rPr>
        <w:t>限值要求，项目区土壤环境质量良好</w:t>
      </w:r>
      <w:r>
        <w:t>。</w:t>
      </w:r>
    </w:p>
    <w:p w14:paraId="5EEE6F81">
      <w:pPr>
        <w:pStyle w:val="10"/>
      </w:pPr>
      <w:bookmarkStart w:id="331" w:name="_Toc166572302"/>
      <w:r>
        <w:t>4.6生态环境现状调查与评价</w:t>
      </w:r>
      <w:bookmarkEnd w:id="331"/>
    </w:p>
    <w:p w14:paraId="002E4E6A">
      <w:pPr>
        <w:pStyle w:val="11"/>
      </w:pPr>
      <w:bookmarkStart w:id="332" w:name="_Toc166572303"/>
      <w:bookmarkStart w:id="333" w:name="_Toc67403525"/>
      <w:r>
        <w:t>4.6.1生态系统功能区划</w:t>
      </w:r>
      <w:bookmarkEnd w:id="332"/>
      <w:bookmarkEnd w:id="333"/>
    </w:p>
    <w:p w14:paraId="5EE16B27">
      <w:pPr>
        <w:ind w:firstLine="480"/>
      </w:pPr>
      <w:r>
        <w:rPr>
          <w:rFonts w:hint="eastAsia"/>
        </w:rPr>
        <w:t>1、全国生态功能区划</w:t>
      </w:r>
    </w:p>
    <w:p w14:paraId="5AD43CD2">
      <w:pPr>
        <w:ind w:firstLine="480"/>
      </w:pPr>
      <w:r>
        <w:rPr>
          <w:rFonts w:hint="eastAsia"/>
        </w:rPr>
        <w:t>本项目地处内蒙古自治区</w:t>
      </w:r>
      <w:r>
        <w:rPr>
          <w:szCs w:val="22"/>
        </w:rPr>
        <w:t>鄂尔多斯市鄂托克旗</w:t>
      </w:r>
      <w:r>
        <w:rPr>
          <w:rFonts w:hint="eastAsia"/>
        </w:rPr>
        <w:t>境内。</w:t>
      </w:r>
    </w:p>
    <w:p w14:paraId="1D2DA2BF">
      <w:pPr>
        <w:ind w:firstLine="480"/>
      </w:pPr>
      <w:r>
        <w:rPr>
          <w:rFonts w:hint="eastAsia"/>
        </w:rPr>
        <w:t>根据《全国生态功能区划》，本项目所在区域属于</w:t>
      </w:r>
      <w:r>
        <w:rPr>
          <w:rFonts w:ascii="宋体" w:hAnsi="宋体" w:cs="宋体"/>
          <w:szCs w:val="24"/>
        </w:rPr>
        <w:t>西鄂尔多斯—贺兰山—阴山生物多样性保护与防风固沙重要区</w:t>
      </w:r>
      <w:r>
        <w:rPr>
          <w:rFonts w:hint="eastAsia"/>
        </w:rPr>
        <w:t>域，</w:t>
      </w:r>
      <w:r>
        <w:t>地处中温带温暖型干旱、半干旱大陆性气候区</w:t>
      </w:r>
      <w:r>
        <w:rPr>
          <w:rFonts w:hint="eastAsia"/>
        </w:rPr>
        <w:t>。</w:t>
      </w:r>
    </w:p>
    <w:p w14:paraId="344BF2FB">
      <w:pPr>
        <w:ind w:firstLine="480"/>
      </w:pPr>
      <w:r>
        <w:rPr>
          <w:szCs w:val="24"/>
        </w:rPr>
        <w:t>本项目位于</w:t>
      </w:r>
      <w:r>
        <w:t>“Ⅰ 生态调节功能区生态功能区”中的“</w:t>
      </w:r>
      <w:r>
        <w:rPr>
          <w:szCs w:val="24"/>
        </w:rPr>
        <w:t>I-02-41西鄂尔多斯—贺兰山—阴山生物多样性保护与防风固沙重要区</w:t>
      </w:r>
      <w:r>
        <w:rPr>
          <w:rFonts w:hint="eastAsia"/>
        </w:rPr>
        <w:t>”；该区建有内蒙古贺兰山、宁夏贺兰山、西鄂尔多斯、哈腾套海等多个国家级自然保护区，对保护沙冬青、四合木、半日花、绵刺等古老残遗濒危植物，以及山地森林和荒漠生态系统等具有极为重要的作用。此外，该区位于我国中温带干旱－半干旱地区，区内植被在涵养水源和防风固沙方面也发挥着重要作用。主要生态问题：该区以山地森林和荒漠植被为主，生态环境非常脆弱，一旦遭到人为破坏就很难恢复。区域内放牧、樵采等导致植被遭到严重破坏，绵刺、沙冬青、四合木等古老残遗植物受到严重威胁。</w:t>
      </w:r>
    </w:p>
    <w:p w14:paraId="62BCB131">
      <w:pPr>
        <w:ind w:firstLine="480"/>
      </w:pPr>
      <w:r>
        <w:rPr>
          <w:rFonts w:hint="eastAsia"/>
        </w:rPr>
        <w:t>生态保护主要措施：加大自然保护区建设与管理的力度；生态极脆弱区实施生态移民工程；草地退化严重区域退牧还草，划定轮牧区和禁牧区；加大矿产资源开发的生态保护与监管力度。</w:t>
      </w:r>
    </w:p>
    <w:p w14:paraId="763751E3">
      <w:pPr>
        <w:ind w:firstLine="480"/>
      </w:pPr>
      <w:r>
        <w:rPr>
          <w:rFonts w:hint="eastAsia"/>
        </w:rPr>
        <w:t>2、内蒙古自治区生态功能区划</w:t>
      </w:r>
    </w:p>
    <w:p w14:paraId="6F7EA023">
      <w:pPr>
        <w:ind w:firstLine="480"/>
      </w:pPr>
      <w:r>
        <w:rPr>
          <w:rFonts w:hint="eastAsia"/>
        </w:rPr>
        <w:t>根据《内蒙古自治区生态功能区划》，本项目所在区域属于西鄂尔多斯四合木、半日花生物多样性生态功能区（Ⅳ-3-3），详见图4.6-1内蒙古生态功能区划图。</w:t>
      </w:r>
    </w:p>
    <w:p w14:paraId="0638089B">
      <w:pPr>
        <w:ind w:firstLine="480"/>
      </w:pPr>
      <w:r>
        <w:rPr>
          <w:rFonts w:hint="eastAsia"/>
        </w:rPr>
        <w:t>3、鄂尔多斯市生态功能区划</w:t>
      </w:r>
    </w:p>
    <w:p w14:paraId="13F0F26D">
      <w:pPr>
        <w:widowControl w:val="0"/>
        <w:ind w:firstLine="480"/>
        <w:sectPr>
          <w:pgSz w:w="11907" w:h="16840"/>
          <w:pgMar w:top="1418" w:right="1418" w:bottom="1418" w:left="1418" w:header="964" w:footer="964" w:gutter="0"/>
          <w:cols w:space="720" w:num="1"/>
          <w:docGrid w:linePitch="312" w:charSpace="0"/>
        </w:sectPr>
      </w:pPr>
      <w:r>
        <w:rPr>
          <w:szCs w:val="32"/>
        </w:rPr>
        <w:t>根据《鄂尔多斯市生态功能区划》，</w:t>
      </w:r>
      <w:r>
        <w:rPr>
          <w:rFonts w:hint="eastAsia"/>
          <w:szCs w:val="32"/>
        </w:rPr>
        <w:t>本项目</w:t>
      </w:r>
      <w:r>
        <w:rPr>
          <w:rFonts w:hint="eastAsia"/>
        </w:rPr>
        <w:t>所在区域</w:t>
      </w:r>
      <w:r>
        <w:rPr>
          <w:rFonts w:hint="eastAsia"/>
          <w:szCs w:val="32"/>
        </w:rPr>
        <w:t>属于</w:t>
      </w:r>
      <w:r>
        <w:rPr>
          <w:rFonts w:hint="eastAsia"/>
        </w:rPr>
        <w:t>西鄂尔多斯四合木、半日花生物多样性生态功能区，详见图4.6-2鄂尔多斯生态功能区划图。</w:t>
      </w:r>
    </w:p>
    <w:p w14:paraId="6E3B1F0C">
      <w:pPr>
        <w:pStyle w:val="789"/>
        <w:rPr>
          <w:rFonts w:cs="Times New Roman"/>
        </w:rPr>
      </w:pPr>
      <w:r>
        <w:rPr>
          <w:rFonts w:hint="eastAsia" w:cs="Times New Roman"/>
        </w:rPr>
        <w:drawing>
          <wp:inline distT="0" distB="0" distL="114300" distR="114300">
            <wp:extent cx="6583680" cy="5259705"/>
            <wp:effectExtent l="0" t="0" r="7620" b="17145"/>
            <wp:docPr id="42" name="图片 42" descr="C:/Users/Lenovo/Desktop/复核/图/生态功能区划图.png生态功能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Lenovo/Desktop/复核/图/生态功能区划图.png生态功能区划图"/>
                    <pic:cNvPicPr>
                      <a:picLocks noChangeAspect="1"/>
                    </pic:cNvPicPr>
                  </pic:nvPicPr>
                  <pic:blipFill>
                    <a:blip r:embed="rId54"/>
                    <a:srcRect t="-185" b="51"/>
                    <a:stretch>
                      <a:fillRect/>
                    </a:stretch>
                  </pic:blipFill>
                  <pic:spPr>
                    <a:xfrm>
                      <a:off x="0" y="0"/>
                      <a:ext cx="6583680" cy="5259705"/>
                    </a:xfrm>
                    <a:prstGeom prst="rect">
                      <a:avLst/>
                    </a:prstGeom>
                  </pic:spPr>
                </pic:pic>
              </a:graphicData>
            </a:graphic>
          </wp:inline>
        </w:drawing>
      </w:r>
    </w:p>
    <w:p w14:paraId="114E89E1">
      <w:pPr>
        <w:pStyle w:val="789"/>
        <w:rPr>
          <w:rFonts w:cs="Times New Roman"/>
        </w:rPr>
      </w:pPr>
      <w:r>
        <w:rPr>
          <w:rFonts w:hint="eastAsia" w:cs="Times New Roman"/>
        </w:rPr>
        <w:t>图4.6-1 内蒙古自治区生态功能区划图</w:t>
      </w:r>
    </w:p>
    <w:p w14:paraId="47733C66">
      <w:pPr>
        <w:pStyle w:val="789"/>
        <w:rPr>
          <w:rFonts w:cs="Times New Roman"/>
        </w:rPr>
      </w:pPr>
      <w:r>
        <w:rPr>
          <w:rFonts w:hint="eastAsia" w:cs="Times New Roman"/>
        </w:rPr>
        <w:drawing>
          <wp:inline distT="0" distB="0" distL="114300" distR="114300">
            <wp:extent cx="8115300" cy="5486400"/>
            <wp:effectExtent l="0" t="0" r="0" b="0"/>
            <wp:docPr id="43" name="图片 43" descr="C:/Users/Lenovo/Desktop/复核/图/生态功能区鄂尔多斯.png生态功能区鄂尔多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Users/Lenovo/Desktop/复核/图/生态功能区鄂尔多斯.png生态功能区鄂尔多斯"/>
                    <pic:cNvPicPr>
                      <a:picLocks noChangeAspect="1"/>
                    </pic:cNvPicPr>
                  </pic:nvPicPr>
                  <pic:blipFill>
                    <a:blip r:embed="rId55"/>
                    <a:srcRect l="6" r="6"/>
                    <a:stretch>
                      <a:fillRect/>
                    </a:stretch>
                  </pic:blipFill>
                  <pic:spPr>
                    <a:xfrm>
                      <a:off x="0" y="0"/>
                      <a:ext cx="8115300" cy="5486400"/>
                    </a:xfrm>
                    <a:prstGeom prst="rect">
                      <a:avLst/>
                    </a:prstGeom>
                  </pic:spPr>
                </pic:pic>
              </a:graphicData>
            </a:graphic>
          </wp:inline>
        </w:drawing>
      </w:r>
    </w:p>
    <w:p w14:paraId="7672CAB7">
      <w:pPr>
        <w:ind w:firstLine="0" w:firstLineChars="0"/>
        <w:jc w:val="center"/>
        <w:rPr>
          <w:b/>
          <w:bCs/>
        </w:rPr>
        <w:sectPr>
          <w:pgSz w:w="16840" w:h="11907" w:orient="landscape"/>
          <w:pgMar w:top="1418" w:right="1418" w:bottom="1418" w:left="1418" w:header="964" w:footer="964" w:gutter="0"/>
          <w:cols w:space="720" w:num="1"/>
          <w:docGrid w:linePitch="312" w:charSpace="0"/>
        </w:sectPr>
      </w:pPr>
      <w:r>
        <w:rPr>
          <w:b/>
          <w:bCs/>
        </w:rPr>
        <w:t>图4.6-</w:t>
      </w:r>
      <w:r>
        <w:rPr>
          <w:rFonts w:hint="eastAsia"/>
          <w:b/>
          <w:bCs/>
        </w:rPr>
        <w:t>2</w:t>
      </w:r>
      <w:r>
        <w:rPr>
          <w:b/>
          <w:bCs/>
        </w:rPr>
        <w:t>鄂尔多斯市生态功能区划</w:t>
      </w:r>
    </w:p>
    <w:p w14:paraId="1920D98A">
      <w:pPr>
        <w:pStyle w:val="11"/>
      </w:pPr>
      <w:bookmarkStart w:id="334" w:name="_Toc166572304"/>
      <w:bookmarkStart w:id="335" w:name="_Toc67403526"/>
      <w:bookmarkStart w:id="336" w:name="_Toc67403527"/>
      <w:r>
        <w:rPr>
          <w:rFonts w:hint="eastAsia"/>
        </w:rPr>
        <w:t>4.6.2与保护区位置关系</w:t>
      </w:r>
      <w:bookmarkEnd w:id="334"/>
    </w:p>
    <w:p w14:paraId="65218A99">
      <w:pPr>
        <w:ind w:firstLine="480"/>
      </w:pPr>
      <w:r>
        <w:t>（1）基本概况、主要保护对象及保护区类型</w:t>
      </w:r>
    </w:p>
    <w:p w14:paraId="5276F7DB">
      <w:pPr>
        <w:ind w:firstLine="480"/>
      </w:pPr>
      <w:r>
        <w:t>①地理位置</w:t>
      </w:r>
    </w:p>
    <w:p w14:paraId="3A59EF2D">
      <w:pPr>
        <w:ind w:firstLine="480"/>
      </w:pPr>
      <w:r>
        <w:t>“西鄂尔多斯国家级自然保护区”位于鄂尔多斯市鄂托克旗西部和乌海市境内，1995年经内蒙古自治区人民政府批准建立，1997年晋升为国家级自然保护区，是一个以保护古老残遗濒危植物及草原向荒漠过渡的植被带和多样性生态系统为主要对象的综合性自然保护区。</w:t>
      </w:r>
    </w:p>
    <w:p w14:paraId="2414C2F9">
      <w:pPr>
        <w:ind w:firstLine="480"/>
      </w:pPr>
      <w:r>
        <w:t>调整后内蒙古西鄂尔多斯国家级自然保护区总面积436116.40 hm</w:t>
      </w:r>
      <w:r>
        <w:rPr>
          <w:vertAlign w:val="superscript"/>
        </w:rPr>
        <w:t>2</w:t>
      </w:r>
      <w:r>
        <w:t>，其中核心区面积137128.94 hm</w:t>
      </w:r>
      <w:r>
        <w:rPr>
          <w:vertAlign w:val="superscript"/>
        </w:rPr>
        <w:t>2</w:t>
      </w:r>
      <w:r>
        <w:t>，缓冲区面积53784.17hm</w:t>
      </w:r>
      <w:r>
        <w:rPr>
          <w:vertAlign w:val="superscript"/>
        </w:rPr>
        <w:t>2</w:t>
      </w:r>
      <w:r>
        <w:t>，实验区面积245203.29 hm</w:t>
      </w:r>
      <w:r>
        <w:rPr>
          <w:vertAlign w:val="superscript"/>
        </w:rPr>
        <w:t>2</w:t>
      </w:r>
      <w:r>
        <w:t>。保护区位于内蒙古自治区鄂尔多斯鄂托克旗和乌海海南区、海勃湾区境内，核准后，保护区范围在东经106°44′32.59″-107°44′26.30″，北纬39°15′2.98″-40°09′14.82″之间。保护区由3个独立片区组成，分别为鄂尔多斯片区、乌海片区和胡杨岛片区。</w:t>
      </w:r>
    </w:p>
    <w:p w14:paraId="4BD49738">
      <w:pPr>
        <w:ind w:firstLine="480"/>
      </w:pPr>
      <w:r>
        <w:t>②主要保护对象</w:t>
      </w:r>
    </w:p>
    <w:p w14:paraId="6B6A2F60">
      <w:pPr>
        <w:ind w:firstLine="480"/>
      </w:pPr>
      <w:r>
        <w:rPr>
          <w:rFonts w:hint="eastAsia"/>
        </w:rPr>
        <w:t>“</w:t>
      </w:r>
      <w:r>
        <w:t>西鄂尔多斯国家级自然保护区</w:t>
      </w:r>
      <w:r>
        <w:rPr>
          <w:rFonts w:hint="eastAsia"/>
        </w:rPr>
        <w:t>”</w:t>
      </w:r>
      <w:r>
        <w:t>的主要保护对象为四合木（</w:t>
      </w:r>
      <w:r>
        <w:rPr>
          <w:i/>
          <w:iCs/>
        </w:rPr>
        <w:t>Tetraena mongolica Maxim.</w:t>
      </w:r>
      <w:r>
        <w:t>）、半日花（</w:t>
      </w:r>
      <w:r>
        <w:rPr>
          <w:i/>
          <w:iCs/>
        </w:rPr>
        <w:t>Helianthemum soongoricum Schrenk</w:t>
      </w:r>
      <w:r>
        <w:t>）等古老残遗濒危植物和荒漠生态系统。</w:t>
      </w:r>
    </w:p>
    <w:p w14:paraId="10D05848">
      <w:pPr>
        <w:ind w:firstLine="480"/>
      </w:pPr>
      <w:r>
        <w:t>③保护区类型</w:t>
      </w:r>
    </w:p>
    <w:p w14:paraId="3644DE7E">
      <w:pPr>
        <w:ind w:firstLine="480"/>
      </w:pPr>
      <w:r>
        <w:rPr>
          <w:rFonts w:hint="eastAsia"/>
        </w:rPr>
        <w:t>“</w:t>
      </w:r>
      <w:r>
        <w:t>西鄂尔多斯国家级自然保护区</w:t>
      </w:r>
      <w:r>
        <w:rPr>
          <w:rFonts w:hint="eastAsia"/>
        </w:rPr>
        <w:t>”</w:t>
      </w:r>
      <w:r>
        <w:t>是一个以保护古老残遗濒危植物及草原向荒漠过度的植被带和多样的生态系统为主要对象的综合性自然保护区。在《中国生物多样性保护行动计划》中，把西鄂尔多斯地区列为我国草原荒漠生态系统中最具有国际意义的第一类保护地区，并将四合木列入《中国生物多样性保护行动计划》植物种优先保护名录中。</w:t>
      </w:r>
    </w:p>
    <w:p w14:paraId="2E906FBF">
      <w:pPr>
        <w:ind w:firstLine="480"/>
      </w:pPr>
      <w:r>
        <w:t>（2）本项目与保护区位置关系</w:t>
      </w:r>
    </w:p>
    <w:p w14:paraId="6A27AF28">
      <w:pPr>
        <w:pStyle w:val="105"/>
        <w:ind w:firstLine="480"/>
        <w:sectPr>
          <w:pgSz w:w="11907" w:h="16840"/>
          <w:pgMar w:top="1418" w:right="1418" w:bottom="1418" w:left="1418" w:header="964" w:footer="964" w:gutter="0"/>
          <w:cols w:space="720" w:num="1"/>
          <w:docGrid w:linePitch="312" w:charSpace="0"/>
        </w:sectPr>
      </w:pPr>
      <w:r>
        <w:rPr>
          <w:rFonts w:hint="eastAsia"/>
        </w:rPr>
        <w:t>本项目</w:t>
      </w:r>
      <w:r>
        <w:t>位于西鄂尔多斯国家级自然保护区实验区外西部，</w:t>
      </w:r>
      <w:r>
        <w:rPr>
          <w:kern w:val="0"/>
        </w:rPr>
        <w:t>根据鄂尔多斯市西鄂尔多斯国家级自然保护区管理局《关于</w:t>
      </w:r>
      <w:r>
        <w:t>内蒙古华翔农林牧科技发展有限公司现代蛋鸡产业项目</w:t>
      </w:r>
      <w:r>
        <w:rPr>
          <w:kern w:val="0"/>
        </w:rPr>
        <w:t>与西鄂尔多斯国家级自然保护区位置关系的函》</w:t>
      </w:r>
      <w:r>
        <w:rPr>
          <w:rFonts w:hint="eastAsia"/>
          <w:kern w:val="0"/>
        </w:rPr>
        <w:t>（西资函〔202</w:t>
      </w:r>
      <w:r>
        <w:rPr>
          <w:kern w:val="0"/>
        </w:rPr>
        <w:t>3</w:t>
      </w:r>
      <w:r>
        <w:rPr>
          <w:rFonts w:hint="eastAsia"/>
          <w:kern w:val="0"/>
        </w:rPr>
        <w:t>〕</w:t>
      </w:r>
      <w:r>
        <w:rPr>
          <w:kern w:val="0"/>
        </w:rPr>
        <w:t>92</w:t>
      </w:r>
      <w:r>
        <w:rPr>
          <w:rFonts w:hint="eastAsia"/>
          <w:kern w:val="0"/>
        </w:rPr>
        <w:t>号）</w:t>
      </w:r>
      <w:r>
        <w:rPr>
          <w:kern w:val="0"/>
        </w:rPr>
        <w:t>，</w:t>
      </w:r>
      <w:r>
        <w:t>该项目不在西鄂尔多斯国家级自然保护区内，距保护区实验区边界距离约</w:t>
      </w:r>
      <w:r>
        <w:rPr>
          <w:rFonts w:hint="eastAsia"/>
        </w:rPr>
        <w:t>0.</w:t>
      </w:r>
      <w:r>
        <w:t>57</w:t>
      </w:r>
      <w:r>
        <w:rPr>
          <w:rFonts w:hint="eastAsia"/>
        </w:rPr>
        <w:t>k</w:t>
      </w:r>
      <w:r>
        <w:t>m，</w:t>
      </w:r>
      <w:r>
        <w:rPr>
          <w:rFonts w:hint="eastAsia"/>
        </w:rPr>
        <w:t>距离缓冲区最近距离为1.</w:t>
      </w:r>
      <w:r>
        <w:t xml:space="preserve">39 </w:t>
      </w:r>
      <w:r>
        <w:rPr>
          <w:rFonts w:hint="eastAsia"/>
        </w:rPr>
        <w:t>km，距离核心区最近距离为</w:t>
      </w:r>
      <w:r>
        <w:t xml:space="preserve">2.39 </w:t>
      </w:r>
      <w:r>
        <w:rPr>
          <w:rFonts w:hint="eastAsia"/>
        </w:rPr>
        <w:t>km</w:t>
      </w:r>
      <w:r>
        <w:t>。</w:t>
      </w:r>
    </w:p>
    <w:p w14:paraId="4A912CEF">
      <w:pPr>
        <w:pStyle w:val="105"/>
        <w:ind w:firstLine="0" w:firstLineChars="0"/>
        <w:jc w:val="center"/>
      </w:pPr>
      <w:r>
        <w:rPr>
          <w:rFonts w:hint="eastAsia"/>
        </w:rPr>
        <w:drawing>
          <wp:inline distT="0" distB="0" distL="0" distR="0">
            <wp:extent cx="7121525" cy="5039995"/>
            <wp:effectExtent l="0" t="0" r="3175" b="8255"/>
            <wp:docPr id="2114477428" name="图片 1" descr="C:/Users/Lenovo/Desktop/复核/图/自然保护区.png自然保护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77428" name="图片 1" descr="C:/Users/Lenovo/Desktop/复核/图/自然保护区.png自然保护区"/>
                    <pic:cNvPicPr>
                      <a:picLocks noChangeAspect="1"/>
                    </pic:cNvPicPr>
                  </pic:nvPicPr>
                  <pic:blipFill>
                    <a:blip r:embed="rId25"/>
                    <a:srcRect t="9" b="9"/>
                    <a:stretch>
                      <a:fillRect/>
                    </a:stretch>
                  </pic:blipFill>
                  <pic:spPr>
                    <a:xfrm>
                      <a:off x="0" y="0"/>
                      <a:ext cx="7121525" cy="5040000"/>
                    </a:xfrm>
                    <a:prstGeom prst="rect">
                      <a:avLst/>
                    </a:prstGeom>
                  </pic:spPr>
                </pic:pic>
              </a:graphicData>
            </a:graphic>
          </wp:inline>
        </w:drawing>
      </w:r>
    </w:p>
    <w:p w14:paraId="2B525983">
      <w:pPr>
        <w:pStyle w:val="105"/>
        <w:ind w:firstLine="0" w:firstLineChars="0"/>
        <w:jc w:val="center"/>
        <w:rPr>
          <w:b/>
          <w:bCs/>
        </w:rPr>
      </w:pPr>
      <w:r>
        <w:rPr>
          <w:rFonts w:hint="eastAsia"/>
          <w:b/>
          <w:bCs/>
        </w:rPr>
        <w:t>图4</w:t>
      </w:r>
      <w:r>
        <w:rPr>
          <w:b/>
          <w:bCs/>
        </w:rPr>
        <w:t xml:space="preserve">.6-3  </w:t>
      </w:r>
      <w:r>
        <w:rPr>
          <w:rFonts w:hint="eastAsia"/>
          <w:b/>
          <w:bCs/>
        </w:rPr>
        <w:t>本项目与西鄂尔多斯国家级自然保护区位置关系图</w:t>
      </w:r>
    </w:p>
    <w:p w14:paraId="4CFB747D">
      <w:pPr>
        <w:ind w:firstLine="480"/>
      </w:pPr>
    </w:p>
    <w:p w14:paraId="0C242D4C">
      <w:pPr>
        <w:pStyle w:val="11"/>
        <w:sectPr>
          <w:pgSz w:w="16840" w:h="11907" w:orient="landscape"/>
          <w:pgMar w:top="1418" w:right="1418" w:bottom="1418" w:left="1418" w:header="964" w:footer="964" w:gutter="0"/>
          <w:cols w:space="720" w:num="1"/>
          <w:docGrid w:linePitch="326" w:charSpace="0"/>
        </w:sectPr>
      </w:pPr>
    </w:p>
    <w:p w14:paraId="5829758A">
      <w:pPr>
        <w:ind w:firstLine="0" w:firstLineChars="0"/>
      </w:pPr>
      <w:r>
        <w:rPr>
          <w:rFonts w:hint="eastAsia"/>
        </w:rPr>
        <w:drawing>
          <wp:inline distT="0" distB="0" distL="114300" distR="114300">
            <wp:extent cx="5607050" cy="7823200"/>
            <wp:effectExtent l="0" t="0" r="6350" b="0"/>
            <wp:docPr id="45" name="图片 45" descr="C:/Users/lianglong/Desktop/西鄂尔多斯国家级自然保护区分区图.png西鄂尔多斯国家级自然保护区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Users/lianglong/Desktop/西鄂尔多斯国家级自然保护区分区图.png西鄂尔多斯国家级自然保护区分区图"/>
                    <pic:cNvPicPr>
                      <a:picLocks noChangeAspect="1"/>
                    </pic:cNvPicPr>
                  </pic:nvPicPr>
                  <pic:blipFill>
                    <a:blip r:embed="rId42"/>
                    <a:srcRect/>
                    <a:stretch>
                      <a:fillRect/>
                    </a:stretch>
                  </pic:blipFill>
                  <pic:spPr>
                    <a:xfrm>
                      <a:off x="0" y="0"/>
                      <a:ext cx="5607050" cy="7823200"/>
                    </a:xfrm>
                    <a:prstGeom prst="rect">
                      <a:avLst/>
                    </a:prstGeom>
                  </pic:spPr>
                </pic:pic>
              </a:graphicData>
            </a:graphic>
          </wp:inline>
        </w:drawing>
      </w:r>
    </w:p>
    <w:p w14:paraId="41EFCA21">
      <w:pPr>
        <w:ind w:firstLine="0" w:firstLineChars="0"/>
        <w:jc w:val="center"/>
        <w:rPr>
          <w:b/>
          <w:bCs/>
        </w:rPr>
      </w:pPr>
      <w:r>
        <w:rPr>
          <w:rFonts w:hint="eastAsia"/>
          <w:b/>
          <w:bCs/>
        </w:rPr>
        <w:t>图4.6-4 西鄂尔多斯国家级自然保护区功能区划图</w:t>
      </w:r>
    </w:p>
    <w:p w14:paraId="77F985F4">
      <w:pPr>
        <w:pStyle w:val="11"/>
      </w:pPr>
      <w:bookmarkStart w:id="337" w:name="_Toc166572305"/>
      <w:r>
        <w:rPr>
          <w:rFonts w:hint="eastAsia"/>
        </w:rPr>
        <w:t>4.6.3生态环境现状调查方法</w:t>
      </w:r>
      <w:bookmarkEnd w:id="337"/>
    </w:p>
    <w:p w14:paraId="3E1CAD34">
      <w:pPr>
        <w:ind w:firstLine="480"/>
      </w:pPr>
      <w:r>
        <w:rPr>
          <w:rFonts w:hint="eastAsia"/>
        </w:rPr>
        <w:t>（1）基础资料收集</w:t>
      </w:r>
    </w:p>
    <w:p w14:paraId="626F0C3E">
      <w:pPr>
        <w:ind w:firstLine="480"/>
        <w:rPr>
          <w:szCs w:val="24"/>
        </w:rPr>
      </w:pPr>
      <w:r>
        <w:rPr>
          <w:szCs w:val="24"/>
        </w:rPr>
        <w:t>收集整理项目涉及区域现有生物多样性资料，包括鄂托克旗统计年鉴以及林业、环保、水利农业、国土资源等部门提供材料的相关资料，并且参考《中国植被》、《中国植物志》、《内蒙古植物志》、《中国鸟类图鉴》等专著。</w:t>
      </w:r>
    </w:p>
    <w:p w14:paraId="3A2CD7CD">
      <w:pPr>
        <w:ind w:firstLine="480"/>
      </w:pPr>
      <w:r>
        <w:rPr>
          <w:rFonts w:hint="eastAsia"/>
        </w:rPr>
        <w:t>（2）野外实地考察</w:t>
      </w:r>
    </w:p>
    <w:p w14:paraId="7D4CABF8">
      <w:pPr>
        <w:ind w:firstLine="480"/>
      </w:pPr>
      <w:r>
        <w:rPr>
          <w:rFonts w:hint="eastAsia"/>
        </w:rPr>
        <w:t>在对拟建项目进行现场踏勘时，选取区域典型植被类型进行采样，作为卫星遥感影像判读植被类型和土地利用类型的基础，根据室内判读的植被与土地利用类型初图，现场核实判读的正误率。在实地踏查的基础上，确定典型的群落地段，采用样方法进行群落调查。实地调查采取线路调查与重点调查相结合的方法，对于植被覆盖度较低的区域采取线路调查，在重点施工区域以及植被覆盖状况良好的区域进行重点调查。</w:t>
      </w:r>
    </w:p>
    <w:p w14:paraId="73F3F41D">
      <w:pPr>
        <w:ind w:firstLine="480"/>
      </w:pPr>
      <w:r>
        <w:rPr>
          <w:rFonts w:hint="eastAsia"/>
        </w:rPr>
        <w:t>①线路调查</w:t>
      </w:r>
    </w:p>
    <w:p w14:paraId="07E5BC6C">
      <w:pPr>
        <w:ind w:firstLine="480"/>
      </w:pPr>
      <w:r>
        <w:rPr>
          <w:rFonts w:hint="eastAsia"/>
        </w:rPr>
        <w:t>线路调查时，记录拟建项目及周边环境特征、植被类型以及植物种类，重点对国家级内蒙古野生保护植物、古树名木进行调查；并在地形图上现场勾绘评价范围内植被类型，拍照记录。</w:t>
      </w:r>
    </w:p>
    <w:p w14:paraId="6AE9AF71">
      <w:pPr>
        <w:ind w:firstLine="480"/>
      </w:pPr>
      <w:r>
        <w:rPr>
          <w:rFonts w:hint="eastAsia"/>
        </w:rPr>
        <w:t>②植被样方调查</w:t>
      </w:r>
    </w:p>
    <w:p w14:paraId="01CBF984">
      <w:pPr>
        <w:ind w:firstLine="480"/>
      </w:pPr>
      <w:r>
        <w:rPr>
          <w:rFonts w:hint="eastAsia"/>
        </w:rPr>
        <w:t>a. 样地选择依据及具体分布</w:t>
      </w:r>
    </w:p>
    <w:p w14:paraId="088F9DAD">
      <w:pPr>
        <w:ind w:firstLine="480"/>
      </w:pPr>
      <w:r>
        <w:rPr>
          <w:rFonts w:hint="eastAsia"/>
        </w:rPr>
        <w:t>植被调查是获取生态系统特征的重要手段。结合卫星影像确定评价区考察对象及考察路线，根据当地优势种确定群落性质，选择典型样地取样，并使用 GPS确定调查点的地理位置。</w:t>
      </w:r>
    </w:p>
    <w:p w14:paraId="4CC9EEB9">
      <w:pPr>
        <w:ind w:firstLine="480"/>
      </w:pPr>
      <w:r>
        <w:rPr>
          <w:rFonts w:hint="eastAsia"/>
        </w:rPr>
        <w:t>b. 样地背景和</w:t>
      </w:r>
      <w:r>
        <w:rPr>
          <w:rFonts w:hint="eastAsia"/>
          <w:lang w:val="en-US" w:eastAsia="zh-CN"/>
        </w:rPr>
        <w:t>环境</w:t>
      </w:r>
      <w:r>
        <w:rPr>
          <w:rFonts w:hint="eastAsia"/>
        </w:rPr>
        <w:t>描述</w:t>
      </w:r>
    </w:p>
    <w:p w14:paraId="2A2EFCCA">
      <w:pPr>
        <w:ind w:firstLine="480"/>
      </w:pPr>
      <w:r>
        <w:rPr>
          <w:rFonts w:hint="eastAsia"/>
        </w:rPr>
        <w:t>在植物群落学研究中，样地</w:t>
      </w:r>
      <w:r>
        <w:rPr>
          <w:rFonts w:hint="eastAsia"/>
          <w:lang w:val="en-US" w:eastAsia="zh-CN"/>
        </w:rPr>
        <w:t>环境</w:t>
      </w:r>
      <w:r>
        <w:rPr>
          <w:rFonts w:hint="eastAsia"/>
        </w:rPr>
        <w:t>描述是必不可少的，是植物群落研究，特别是野外调查不可缺少的基础资料。野外调查记录应当既简要又规范，首先对选定样地做一个总的描述，描述内容主要包括植被类型、主要群落名称、郁闭度、群落高度、地形地貌、水分状况、人类活动、动物活动、演替特征、土壤剖面特征等。</w:t>
      </w:r>
    </w:p>
    <w:p w14:paraId="56C0A23D">
      <w:pPr>
        <w:ind w:firstLine="480"/>
      </w:pPr>
      <w:r>
        <w:rPr>
          <w:rFonts w:hint="eastAsia"/>
        </w:rPr>
        <w:t>c. 样方设计</w:t>
      </w:r>
    </w:p>
    <w:bookmarkEnd w:id="335"/>
    <w:p w14:paraId="154DD3EC">
      <w:pPr>
        <w:ind w:firstLine="480"/>
        <w:rPr>
          <w:color w:val="0000CC"/>
        </w:rPr>
      </w:pPr>
      <w:r>
        <w:rPr>
          <w:rFonts w:hint="eastAsia"/>
        </w:rPr>
        <w:t>本项目评价范围内主要以低矮灌丛为主，故取样面积设为取10</w:t>
      </w:r>
      <w:r>
        <w:t>m</w:t>
      </w:r>
      <w:r>
        <w:rPr>
          <w:rFonts w:hint="eastAsia"/>
        </w:rPr>
        <w:t>×10m的样方。本次样方调查过程采用人为拉设10</w:t>
      </w:r>
      <w:r>
        <w:t>m</w:t>
      </w:r>
      <w:r>
        <w:rPr>
          <w:rFonts w:hint="eastAsia"/>
        </w:rPr>
        <w:t>×10m的样方边界，通过无人机拍摄、人工现场调查的方法进行样方调查。</w:t>
      </w:r>
    </w:p>
    <w:p w14:paraId="00E76E52">
      <w:pPr>
        <w:ind w:firstLine="480"/>
      </w:pPr>
      <w:r>
        <w:rPr>
          <w:rFonts w:hint="eastAsia"/>
        </w:rPr>
        <w:t>为了能准确了解评价区内植被分布情况，在评价区共设1</w:t>
      </w:r>
      <w:r>
        <w:t>5</w:t>
      </w:r>
      <w:r>
        <w:rPr>
          <w:rFonts w:hint="eastAsia"/>
        </w:rPr>
        <w:t>处样方，均为灌木样方，通过样方调查了解评价区内植被组成。在每个样方中分别调查种类、数量、冠幅、高度、盖度、株数等。本次样方植被盖度测量方法使用地表实地法中目视估测法进行测定。</w:t>
      </w:r>
    </w:p>
    <w:p w14:paraId="67125611">
      <w:pPr>
        <w:ind w:firstLine="480"/>
      </w:pPr>
      <w:r>
        <w:rPr>
          <w:rFonts w:hint="eastAsia"/>
        </w:rPr>
        <w:t>野外调查样地信息统计见表4.6-1、样方点位布置图见图4.6-5。</w:t>
      </w:r>
    </w:p>
    <w:p w14:paraId="076724EA">
      <w:pPr>
        <w:snapToGrid w:val="0"/>
        <w:spacing w:line="240" w:lineRule="auto"/>
        <w:ind w:firstLine="0" w:firstLineChars="0"/>
        <w:jc w:val="center"/>
        <w:rPr>
          <w:b/>
          <w:bCs/>
        </w:rPr>
      </w:pPr>
      <w:r>
        <w:rPr>
          <w:b/>
          <w:bCs/>
        </w:rPr>
        <w:t>表</w:t>
      </w:r>
      <w:r>
        <w:rPr>
          <w:rFonts w:hint="eastAsia"/>
          <w:b/>
          <w:bCs/>
        </w:rPr>
        <w:t xml:space="preserve">4.6-1  </w:t>
      </w:r>
      <w:r>
        <w:rPr>
          <w:b/>
          <w:bCs/>
        </w:rPr>
        <w:t>野外调查样地信息统计</w:t>
      </w:r>
    </w:p>
    <w:tbl>
      <w:tblPr>
        <w:tblStyle w:val="82"/>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384"/>
        <w:gridCol w:w="2292"/>
        <w:gridCol w:w="2155"/>
        <w:gridCol w:w="1250"/>
        <w:gridCol w:w="1378"/>
      </w:tblGrid>
      <w:tr w14:paraId="456ABC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442" w:type="pct"/>
            <w:vAlign w:val="center"/>
          </w:tcPr>
          <w:p w14:paraId="5BBA22B7">
            <w:pPr>
              <w:spacing w:line="240" w:lineRule="auto"/>
              <w:ind w:firstLine="0" w:firstLineChars="0"/>
              <w:jc w:val="center"/>
              <w:rPr>
                <w:b/>
                <w:bCs/>
                <w:sz w:val="21"/>
                <w:szCs w:val="21"/>
              </w:rPr>
            </w:pPr>
            <w:r>
              <w:rPr>
                <w:b/>
                <w:bCs/>
                <w:sz w:val="21"/>
                <w:szCs w:val="21"/>
              </w:rPr>
              <w:t>序号</w:t>
            </w:r>
          </w:p>
        </w:tc>
        <w:tc>
          <w:tcPr>
            <w:tcW w:w="745" w:type="pct"/>
            <w:vAlign w:val="center"/>
          </w:tcPr>
          <w:p w14:paraId="5B431C2B">
            <w:pPr>
              <w:spacing w:line="240" w:lineRule="auto"/>
              <w:ind w:firstLine="0" w:firstLineChars="0"/>
              <w:jc w:val="center"/>
              <w:rPr>
                <w:b/>
                <w:bCs/>
                <w:sz w:val="21"/>
                <w:szCs w:val="21"/>
              </w:rPr>
            </w:pPr>
            <w:r>
              <w:rPr>
                <w:b/>
                <w:bCs/>
                <w:sz w:val="21"/>
                <w:szCs w:val="21"/>
              </w:rPr>
              <w:t>样地名称</w:t>
            </w:r>
          </w:p>
        </w:tc>
        <w:tc>
          <w:tcPr>
            <w:tcW w:w="1234" w:type="pct"/>
            <w:vAlign w:val="center"/>
          </w:tcPr>
          <w:p w14:paraId="1B0B3A47">
            <w:pPr>
              <w:spacing w:line="240" w:lineRule="auto"/>
              <w:ind w:firstLine="0" w:firstLineChars="0"/>
              <w:jc w:val="center"/>
              <w:rPr>
                <w:b/>
                <w:bCs/>
                <w:sz w:val="21"/>
                <w:szCs w:val="21"/>
              </w:rPr>
            </w:pPr>
            <w:r>
              <w:rPr>
                <w:b/>
                <w:bCs/>
                <w:sz w:val="21"/>
                <w:szCs w:val="21"/>
              </w:rPr>
              <w:t>经度</w:t>
            </w:r>
          </w:p>
        </w:tc>
        <w:tc>
          <w:tcPr>
            <w:tcW w:w="1160" w:type="pct"/>
            <w:vAlign w:val="center"/>
          </w:tcPr>
          <w:p w14:paraId="10B851F4">
            <w:pPr>
              <w:spacing w:line="240" w:lineRule="auto"/>
              <w:ind w:firstLine="0" w:firstLineChars="0"/>
              <w:jc w:val="center"/>
              <w:rPr>
                <w:b/>
                <w:bCs/>
                <w:sz w:val="21"/>
                <w:szCs w:val="21"/>
              </w:rPr>
            </w:pPr>
            <w:r>
              <w:rPr>
                <w:b/>
                <w:bCs/>
                <w:sz w:val="21"/>
                <w:szCs w:val="21"/>
              </w:rPr>
              <w:t>纬度</w:t>
            </w:r>
          </w:p>
        </w:tc>
        <w:tc>
          <w:tcPr>
            <w:tcW w:w="673" w:type="pct"/>
            <w:vAlign w:val="center"/>
          </w:tcPr>
          <w:p w14:paraId="1A9EBE34">
            <w:pPr>
              <w:spacing w:line="240" w:lineRule="auto"/>
              <w:ind w:firstLine="0" w:firstLineChars="0"/>
              <w:jc w:val="center"/>
              <w:rPr>
                <w:b/>
                <w:bCs/>
                <w:sz w:val="21"/>
                <w:szCs w:val="21"/>
              </w:rPr>
            </w:pPr>
            <w:r>
              <w:rPr>
                <w:b/>
                <w:bCs/>
                <w:sz w:val="21"/>
                <w:szCs w:val="21"/>
              </w:rPr>
              <w:t>海拔</w:t>
            </w:r>
          </w:p>
        </w:tc>
        <w:tc>
          <w:tcPr>
            <w:tcW w:w="742" w:type="pct"/>
            <w:vAlign w:val="center"/>
          </w:tcPr>
          <w:p w14:paraId="7401A4ED">
            <w:pPr>
              <w:spacing w:line="240" w:lineRule="auto"/>
              <w:ind w:firstLine="0" w:firstLineChars="0"/>
              <w:jc w:val="center"/>
              <w:rPr>
                <w:b/>
                <w:bCs/>
                <w:sz w:val="21"/>
                <w:szCs w:val="21"/>
              </w:rPr>
            </w:pPr>
            <w:r>
              <w:rPr>
                <w:b/>
                <w:bCs/>
                <w:sz w:val="21"/>
                <w:szCs w:val="21"/>
              </w:rPr>
              <w:t>样方性质</w:t>
            </w:r>
          </w:p>
        </w:tc>
      </w:tr>
      <w:tr w14:paraId="7C0F0D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442" w:type="pct"/>
            <w:vAlign w:val="center"/>
          </w:tcPr>
          <w:p w14:paraId="07BA9225">
            <w:pPr>
              <w:spacing w:line="240" w:lineRule="auto"/>
              <w:ind w:firstLine="0" w:firstLineChars="0"/>
              <w:jc w:val="center"/>
              <w:rPr>
                <w:sz w:val="21"/>
                <w:szCs w:val="21"/>
              </w:rPr>
            </w:pPr>
            <w:r>
              <w:rPr>
                <w:sz w:val="21"/>
                <w:szCs w:val="21"/>
              </w:rPr>
              <w:t>1</w:t>
            </w:r>
          </w:p>
        </w:tc>
        <w:tc>
          <w:tcPr>
            <w:tcW w:w="745" w:type="pct"/>
            <w:vAlign w:val="center"/>
          </w:tcPr>
          <w:p w14:paraId="51E59F25">
            <w:pPr>
              <w:spacing w:line="240" w:lineRule="auto"/>
              <w:ind w:firstLine="0" w:firstLineChars="0"/>
              <w:jc w:val="center"/>
              <w:rPr>
                <w:sz w:val="21"/>
                <w:szCs w:val="21"/>
              </w:rPr>
            </w:pPr>
            <w:r>
              <w:rPr>
                <w:sz w:val="21"/>
                <w:szCs w:val="21"/>
              </w:rPr>
              <w:t>1#样方</w:t>
            </w:r>
          </w:p>
        </w:tc>
        <w:tc>
          <w:tcPr>
            <w:tcW w:w="1234" w:type="pct"/>
            <w:vAlign w:val="center"/>
          </w:tcPr>
          <w:p w14:paraId="43DC7F6F">
            <w:pPr>
              <w:spacing w:line="240" w:lineRule="auto"/>
              <w:ind w:firstLine="0" w:firstLineChars="0"/>
              <w:jc w:val="center"/>
              <w:textAlignment w:val="center"/>
              <w:rPr>
                <w:sz w:val="21"/>
                <w:szCs w:val="21"/>
              </w:rPr>
            </w:pPr>
            <w:r>
              <w:rPr>
                <w:rFonts w:eastAsia="等线"/>
                <w:kern w:val="0"/>
                <w:sz w:val="21"/>
                <w:szCs w:val="21"/>
                <w:lang w:bidi="ar"/>
              </w:rPr>
              <w:t>106°49′7.96888″</w:t>
            </w:r>
          </w:p>
        </w:tc>
        <w:tc>
          <w:tcPr>
            <w:tcW w:w="1160" w:type="pct"/>
            <w:vAlign w:val="center"/>
          </w:tcPr>
          <w:p w14:paraId="19295900">
            <w:pPr>
              <w:spacing w:line="240" w:lineRule="auto"/>
              <w:ind w:firstLine="0" w:firstLineChars="0"/>
              <w:jc w:val="center"/>
              <w:textAlignment w:val="center"/>
              <w:rPr>
                <w:sz w:val="21"/>
                <w:szCs w:val="21"/>
              </w:rPr>
            </w:pPr>
            <w:r>
              <w:rPr>
                <w:rFonts w:eastAsia="等线"/>
                <w:kern w:val="0"/>
                <w:sz w:val="21"/>
                <w:szCs w:val="21"/>
                <w:lang w:bidi="ar"/>
              </w:rPr>
              <w:t>40°0′48.99590″</w:t>
            </w:r>
          </w:p>
        </w:tc>
        <w:tc>
          <w:tcPr>
            <w:tcW w:w="673" w:type="pct"/>
            <w:vAlign w:val="center"/>
          </w:tcPr>
          <w:p w14:paraId="002A4196">
            <w:pPr>
              <w:spacing w:line="240" w:lineRule="auto"/>
              <w:ind w:firstLine="0" w:firstLineChars="0"/>
              <w:jc w:val="center"/>
              <w:textAlignment w:val="center"/>
              <w:rPr>
                <w:sz w:val="21"/>
                <w:szCs w:val="21"/>
                <w:highlight w:val="yellow"/>
              </w:rPr>
            </w:pPr>
            <w:r>
              <w:rPr>
                <w:rFonts w:eastAsia="等线"/>
                <w:kern w:val="0"/>
                <w:sz w:val="21"/>
                <w:szCs w:val="21"/>
                <w:lang w:bidi="ar"/>
              </w:rPr>
              <w:t>1126 m</w:t>
            </w:r>
          </w:p>
        </w:tc>
        <w:tc>
          <w:tcPr>
            <w:tcW w:w="742" w:type="pct"/>
            <w:vAlign w:val="center"/>
          </w:tcPr>
          <w:p w14:paraId="02526817">
            <w:pPr>
              <w:spacing w:line="240" w:lineRule="auto"/>
              <w:ind w:firstLine="0" w:firstLineChars="0"/>
              <w:jc w:val="center"/>
              <w:rPr>
                <w:sz w:val="21"/>
                <w:szCs w:val="21"/>
              </w:rPr>
            </w:pPr>
            <w:r>
              <w:rPr>
                <w:sz w:val="21"/>
                <w:szCs w:val="21"/>
              </w:rPr>
              <w:t>灌木样方</w:t>
            </w:r>
          </w:p>
        </w:tc>
      </w:tr>
      <w:tr w14:paraId="644ED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442" w:type="pct"/>
            <w:vAlign w:val="center"/>
          </w:tcPr>
          <w:p w14:paraId="75404469">
            <w:pPr>
              <w:spacing w:line="240" w:lineRule="auto"/>
              <w:ind w:firstLine="0" w:firstLineChars="0"/>
              <w:jc w:val="center"/>
              <w:rPr>
                <w:sz w:val="21"/>
                <w:szCs w:val="21"/>
              </w:rPr>
            </w:pPr>
            <w:r>
              <w:rPr>
                <w:sz w:val="21"/>
                <w:szCs w:val="21"/>
              </w:rPr>
              <w:t>2</w:t>
            </w:r>
          </w:p>
        </w:tc>
        <w:tc>
          <w:tcPr>
            <w:tcW w:w="745" w:type="pct"/>
            <w:vAlign w:val="center"/>
          </w:tcPr>
          <w:p w14:paraId="21115F6F">
            <w:pPr>
              <w:spacing w:line="240" w:lineRule="auto"/>
              <w:ind w:firstLine="0" w:firstLineChars="0"/>
              <w:jc w:val="center"/>
              <w:rPr>
                <w:sz w:val="21"/>
                <w:szCs w:val="21"/>
              </w:rPr>
            </w:pPr>
            <w:r>
              <w:rPr>
                <w:sz w:val="21"/>
                <w:szCs w:val="21"/>
              </w:rPr>
              <w:t>2#样方</w:t>
            </w:r>
          </w:p>
        </w:tc>
        <w:tc>
          <w:tcPr>
            <w:tcW w:w="1234" w:type="pct"/>
            <w:vAlign w:val="center"/>
          </w:tcPr>
          <w:p w14:paraId="5E098A98">
            <w:pPr>
              <w:spacing w:line="240" w:lineRule="auto"/>
              <w:ind w:firstLine="0" w:firstLineChars="0"/>
              <w:jc w:val="center"/>
              <w:textAlignment w:val="center"/>
              <w:rPr>
                <w:sz w:val="21"/>
                <w:szCs w:val="21"/>
              </w:rPr>
            </w:pPr>
            <w:r>
              <w:rPr>
                <w:rFonts w:eastAsia="等线"/>
                <w:kern w:val="0"/>
                <w:sz w:val="21"/>
                <w:szCs w:val="21"/>
                <w:lang w:bidi="ar"/>
              </w:rPr>
              <w:t>106°48′42.29802″</w:t>
            </w:r>
          </w:p>
        </w:tc>
        <w:tc>
          <w:tcPr>
            <w:tcW w:w="1160" w:type="pct"/>
            <w:vAlign w:val="center"/>
          </w:tcPr>
          <w:p w14:paraId="04347D52">
            <w:pPr>
              <w:spacing w:line="240" w:lineRule="auto"/>
              <w:ind w:firstLine="0" w:firstLineChars="0"/>
              <w:jc w:val="center"/>
              <w:textAlignment w:val="center"/>
              <w:rPr>
                <w:sz w:val="21"/>
                <w:szCs w:val="21"/>
              </w:rPr>
            </w:pPr>
            <w:r>
              <w:rPr>
                <w:rFonts w:eastAsia="等线"/>
                <w:kern w:val="0"/>
                <w:sz w:val="21"/>
                <w:szCs w:val="21"/>
                <w:lang w:bidi="ar"/>
              </w:rPr>
              <w:t>40°0′56.64362″</w:t>
            </w:r>
          </w:p>
        </w:tc>
        <w:tc>
          <w:tcPr>
            <w:tcW w:w="673" w:type="pct"/>
            <w:vAlign w:val="center"/>
          </w:tcPr>
          <w:p w14:paraId="270B31E7">
            <w:pPr>
              <w:spacing w:line="240" w:lineRule="auto"/>
              <w:ind w:firstLine="0" w:firstLineChars="0"/>
              <w:jc w:val="center"/>
              <w:textAlignment w:val="center"/>
              <w:rPr>
                <w:sz w:val="21"/>
                <w:szCs w:val="21"/>
                <w:highlight w:val="yellow"/>
              </w:rPr>
            </w:pPr>
            <w:r>
              <w:rPr>
                <w:rFonts w:eastAsia="等线"/>
                <w:kern w:val="0"/>
                <w:sz w:val="21"/>
                <w:szCs w:val="21"/>
                <w:lang w:bidi="ar"/>
              </w:rPr>
              <w:t>1132 m</w:t>
            </w:r>
          </w:p>
        </w:tc>
        <w:tc>
          <w:tcPr>
            <w:tcW w:w="742" w:type="pct"/>
            <w:vAlign w:val="center"/>
          </w:tcPr>
          <w:p w14:paraId="0FCE2757">
            <w:pPr>
              <w:spacing w:line="240" w:lineRule="auto"/>
              <w:ind w:firstLine="0" w:firstLineChars="0"/>
              <w:jc w:val="center"/>
              <w:rPr>
                <w:sz w:val="21"/>
                <w:szCs w:val="21"/>
              </w:rPr>
            </w:pPr>
            <w:r>
              <w:rPr>
                <w:sz w:val="21"/>
                <w:szCs w:val="21"/>
              </w:rPr>
              <w:t>灌木样方</w:t>
            </w:r>
          </w:p>
        </w:tc>
      </w:tr>
      <w:tr w14:paraId="2F261E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42" w:type="pct"/>
            <w:vAlign w:val="center"/>
          </w:tcPr>
          <w:p w14:paraId="0B88DEDA">
            <w:pPr>
              <w:spacing w:line="240" w:lineRule="auto"/>
              <w:ind w:firstLine="0" w:firstLineChars="0"/>
              <w:jc w:val="center"/>
              <w:rPr>
                <w:sz w:val="21"/>
                <w:szCs w:val="21"/>
              </w:rPr>
            </w:pPr>
            <w:r>
              <w:rPr>
                <w:sz w:val="21"/>
                <w:szCs w:val="21"/>
              </w:rPr>
              <w:t>3</w:t>
            </w:r>
          </w:p>
        </w:tc>
        <w:tc>
          <w:tcPr>
            <w:tcW w:w="745" w:type="pct"/>
            <w:vAlign w:val="center"/>
          </w:tcPr>
          <w:p w14:paraId="0A269AAA">
            <w:pPr>
              <w:spacing w:line="240" w:lineRule="auto"/>
              <w:ind w:firstLine="0" w:firstLineChars="0"/>
              <w:jc w:val="center"/>
              <w:rPr>
                <w:sz w:val="21"/>
                <w:szCs w:val="21"/>
              </w:rPr>
            </w:pPr>
            <w:r>
              <w:rPr>
                <w:sz w:val="21"/>
                <w:szCs w:val="21"/>
              </w:rPr>
              <w:t>3#样方</w:t>
            </w:r>
          </w:p>
        </w:tc>
        <w:tc>
          <w:tcPr>
            <w:tcW w:w="1234" w:type="pct"/>
            <w:vAlign w:val="center"/>
          </w:tcPr>
          <w:p w14:paraId="4A7F6944">
            <w:pPr>
              <w:spacing w:line="240" w:lineRule="auto"/>
              <w:ind w:firstLine="0" w:firstLineChars="0"/>
              <w:jc w:val="center"/>
              <w:textAlignment w:val="center"/>
              <w:rPr>
                <w:sz w:val="21"/>
                <w:szCs w:val="21"/>
              </w:rPr>
            </w:pPr>
            <w:r>
              <w:rPr>
                <w:rFonts w:eastAsia="等线"/>
                <w:kern w:val="0"/>
                <w:sz w:val="21"/>
                <w:szCs w:val="21"/>
                <w:lang w:bidi="ar"/>
              </w:rPr>
              <w:t>106°47′53.77520″</w:t>
            </w:r>
          </w:p>
        </w:tc>
        <w:tc>
          <w:tcPr>
            <w:tcW w:w="1160" w:type="pct"/>
            <w:vAlign w:val="center"/>
          </w:tcPr>
          <w:p w14:paraId="6470EFDB">
            <w:pPr>
              <w:spacing w:line="240" w:lineRule="auto"/>
              <w:ind w:firstLine="0" w:firstLineChars="0"/>
              <w:jc w:val="center"/>
              <w:textAlignment w:val="center"/>
              <w:rPr>
                <w:sz w:val="21"/>
                <w:szCs w:val="21"/>
              </w:rPr>
            </w:pPr>
            <w:r>
              <w:rPr>
                <w:rFonts w:eastAsia="等线"/>
                <w:kern w:val="0"/>
                <w:sz w:val="21"/>
                <w:szCs w:val="21"/>
                <w:lang w:bidi="ar"/>
              </w:rPr>
              <w:t>40°1′16.06597″</w:t>
            </w:r>
          </w:p>
        </w:tc>
        <w:tc>
          <w:tcPr>
            <w:tcW w:w="673" w:type="pct"/>
            <w:vAlign w:val="center"/>
          </w:tcPr>
          <w:p w14:paraId="74EB808C">
            <w:pPr>
              <w:spacing w:line="240" w:lineRule="auto"/>
              <w:ind w:firstLine="0" w:firstLineChars="0"/>
              <w:jc w:val="center"/>
              <w:textAlignment w:val="center"/>
              <w:rPr>
                <w:sz w:val="21"/>
                <w:szCs w:val="21"/>
                <w:highlight w:val="yellow"/>
              </w:rPr>
            </w:pPr>
            <w:r>
              <w:rPr>
                <w:rFonts w:eastAsia="等线"/>
                <w:kern w:val="0"/>
                <w:sz w:val="21"/>
                <w:szCs w:val="21"/>
                <w:lang w:bidi="ar"/>
              </w:rPr>
              <w:t>1142 m</w:t>
            </w:r>
          </w:p>
        </w:tc>
        <w:tc>
          <w:tcPr>
            <w:tcW w:w="742" w:type="pct"/>
            <w:vAlign w:val="center"/>
          </w:tcPr>
          <w:p w14:paraId="40B23097">
            <w:pPr>
              <w:spacing w:line="240" w:lineRule="auto"/>
              <w:ind w:firstLine="0" w:firstLineChars="0"/>
              <w:jc w:val="center"/>
              <w:rPr>
                <w:sz w:val="21"/>
                <w:szCs w:val="21"/>
              </w:rPr>
            </w:pPr>
            <w:r>
              <w:rPr>
                <w:sz w:val="21"/>
                <w:szCs w:val="21"/>
              </w:rPr>
              <w:t>灌木样方</w:t>
            </w:r>
          </w:p>
        </w:tc>
      </w:tr>
      <w:tr w14:paraId="4626D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442" w:type="pct"/>
            <w:vAlign w:val="center"/>
          </w:tcPr>
          <w:p w14:paraId="71934856">
            <w:pPr>
              <w:spacing w:line="240" w:lineRule="auto"/>
              <w:ind w:firstLine="0" w:firstLineChars="0"/>
              <w:jc w:val="center"/>
              <w:rPr>
                <w:sz w:val="21"/>
                <w:szCs w:val="21"/>
              </w:rPr>
            </w:pPr>
            <w:r>
              <w:rPr>
                <w:sz w:val="21"/>
                <w:szCs w:val="21"/>
              </w:rPr>
              <w:t>4</w:t>
            </w:r>
          </w:p>
        </w:tc>
        <w:tc>
          <w:tcPr>
            <w:tcW w:w="745" w:type="pct"/>
            <w:vAlign w:val="center"/>
          </w:tcPr>
          <w:p w14:paraId="4202006D">
            <w:pPr>
              <w:spacing w:line="240" w:lineRule="auto"/>
              <w:ind w:firstLine="0" w:firstLineChars="0"/>
              <w:jc w:val="center"/>
              <w:rPr>
                <w:sz w:val="21"/>
                <w:szCs w:val="21"/>
              </w:rPr>
            </w:pPr>
            <w:r>
              <w:rPr>
                <w:sz w:val="21"/>
                <w:szCs w:val="21"/>
              </w:rPr>
              <w:t>4#样方</w:t>
            </w:r>
          </w:p>
        </w:tc>
        <w:tc>
          <w:tcPr>
            <w:tcW w:w="1234" w:type="pct"/>
            <w:vAlign w:val="center"/>
          </w:tcPr>
          <w:p w14:paraId="46ECFAFD">
            <w:pPr>
              <w:spacing w:line="240" w:lineRule="auto"/>
              <w:ind w:firstLine="0" w:firstLineChars="0"/>
              <w:jc w:val="center"/>
              <w:textAlignment w:val="center"/>
              <w:rPr>
                <w:sz w:val="21"/>
                <w:szCs w:val="21"/>
              </w:rPr>
            </w:pPr>
            <w:r>
              <w:rPr>
                <w:sz w:val="21"/>
                <w:szCs w:val="21"/>
              </w:rPr>
              <w:t>106°47′48.59145″</w:t>
            </w:r>
          </w:p>
        </w:tc>
        <w:tc>
          <w:tcPr>
            <w:tcW w:w="1160" w:type="pct"/>
            <w:vAlign w:val="center"/>
          </w:tcPr>
          <w:p w14:paraId="15AD2AD9">
            <w:pPr>
              <w:spacing w:line="240" w:lineRule="auto"/>
              <w:ind w:firstLine="0" w:firstLineChars="0"/>
              <w:jc w:val="center"/>
              <w:textAlignment w:val="center"/>
              <w:rPr>
                <w:sz w:val="21"/>
                <w:szCs w:val="21"/>
              </w:rPr>
            </w:pPr>
            <w:r>
              <w:rPr>
                <w:sz w:val="21"/>
                <w:szCs w:val="21"/>
              </w:rPr>
              <w:t>40°1′25.47956″</w:t>
            </w:r>
          </w:p>
        </w:tc>
        <w:tc>
          <w:tcPr>
            <w:tcW w:w="673" w:type="pct"/>
            <w:vAlign w:val="center"/>
          </w:tcPr>
          <w:p w14:paraId="177E4B92">
            <w:pPr>
              <w:spacing w:line="240" w:lineRule="auto"/>
              <w:ind w:firstLine="0" w:firstLineChars="0"/>
              <w:jc w:val="center"/>
              <w:textAlignment w:val="center"/>
              <w:rPr>
                <w:sz w:val="21"/>
                <w:szCs w:val="21"/>
                <w:highlight w:val="yellow"/>
              </w:rPr>
            </w:pPr>
            <w:r>
              <w:rPr>
                <w:rFonts w:eastAsia="等线"/>
                <w:kern w:val="0"/>
                <w:sz w:val="21"/>
                <w:szCs w:val="21"/>
                <w:lang w:bidi="ar"/>
              </w:rPr>
              <w:t>1153 m</w:t>
            </w:r>
          </w:p>
        </w:tc>
        <w:tc>
          <w:tcPr>
            <w:tcW w:w="742" w:type="pct"/>
            <w:vAlign w:val="center"/>
          </w:tcPr>
          <w:p w14:paraId="72891234">
            <w:pPr>
              <w:spacing w:line="240" w:lineRule="auto"/>
              <w:ind w:firstLine="0" w:firstLineChars="0"/>
              <w:jc w:val="center"/>
              <w:rPr>
                <w:sz w:val="21"/>
                <w:szCs w:val="21"/>
              </w:rPr>
            </w:pPr>
            <w:r>
              <w:rPr>
                <w:sz w:val="21"/>
                <w:szCs w:val="21"/>
              </w:rPr>
              <w:t>灌木样方</w:t>
            </w:r>
          </w:p>
        </w:tc>
      </w:tr>
      <w:tr w14:paraId="5FB4E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42" w:type="pct"/>
            <w:vAlign w:val="center"/>
          </w:tcPr>
          <w:p w14:paraId="6CD5058F">
            <w:pPr>
              <w:spacing w:line="240" w:lineRule="auto"/>
              <w:ind w:firstLine="0" w:firstLineChars="0"/>
              <w:jc w:val="center"/>
              <w:rPr>
                <w:sz w:val="21"/>
                <w:szCs w:val="21"/>
              </w:rPr>
            </w:pPr>
            <w:r>
              <w:rPr>
                <w:sz w:val="21"/>
                <w:szCs w:val="21"/>
              </w:rPr>
              <w:t>5</w:t>
            </w:r>
          </w:p>
        </w:tc>
        <w:tc>
          <w:tcPr>
            <w:tcW w:w="745" w:type="pct"/>
            <w:vAlign w:val="center"/>
          </w:tcPr>
          <w:p w14:paraId="535546EE">
            <w:pPr>
              <w:spacing w:line="240" w:lineRule="auto"/>
              <w:ind w:firstLine="0" w:firstLineChars="0"/>
              <w:jc w:val="center"/>
              <w:rPr>
                <w:sz w:val="21"/>
                <w:szCs w:val="21"/>
              </w:rPr>
            </w:pPr>
            <w:r>
              <w:rPr>
                <w:sz w:val="21"/>
                <w:szCs w:val="21"/>
              </w:rPr>
              <w:t>5#样方</w:t>
            </w:r>
          </w:p>
        </w:tc>
        <w:tc>
          <w:tcPr>
            <w:tcW w:w="1234" w:type="pct"/>
            <w:vAlign w:val="center"/>
          </w:tcPr>
          <w:p w14:paraId="786D7AE6">
            <w:pPr>
              <w:spacing w:line="240" w:lineRule="auto"/>
              <w:ind w:firstLine="0" w:firstLineChars="0"/>
              <w:jc w:val="center"/>
              <w:textAlignment w:val="center"/>
              <w:rPr>
                <w:sz w:val="21"/>
                <w:szCs w:val="21"/>
              </w:rPr>
            </w:pPr>
            <w:r>
              <w:rPr>
                <w:sz w:val="21"/>
                <w:szCs w:val="21"/>
              </w:rPr>
              <w:t>106°47′26.73269″</w:t>
            </w:r>
          </w:p>
        </w:tc>
        <w:tc>
          <w:tcPr>
            <w:tcW w:w="1160" w:type="pct"/>
            <w:vAlign w:val="center"/>
          </w:tcPr>
          <w:p w14:paraId="7F3A1176">
            <w:pPr>
              <w:spacing w:line="240" w:lineRule="auto"/>
              <w:ind w:firstLine="0" w:firstLineChars="0"/>
              <w:jc w:val="center"/>
              <w:textAlignment w:val="center"/>
              <w:rPr>
                <w:sz w:val="21"/>
                <w:szCs w:val="21"/>
              </w:rPr>
            </w:pPr>
            <w:r>
              <w:rPr>
                <w:sz w:val="21"/>
                <w:szCs w:val="21"/>
              </w:rPr>
              <w:t>40°1′26.43205″</w:t>
            </w:r>
          </w:p>
        </w:tc>
        <w:tc>
          <w:tcPr>
            <w:tcW w:w="673" w:type="pct"/>
            <w:vAlign w:val="center"/>
          </w:tcPr>
          <w:p w14:paraId="40CEE2E7">
            <w:pPr>
              <w:spacing w:line="240" w:lineRule="auto"/>
              <w:ind w:firstLine="0" w:firstLineChars="0"/>
              <w:jc w:val="center"/>
              <w:textAlignment w:val="center"/>
              <w:rPr>
                <w:sz w:val="21"/>
                <w:szCs w:val="21"/>
                <w:highlight w:val="yellow"/>
              </w:rPr>
            </w:pPr>
            <w:r>
              <w:rPr>
                <w:rFonts w:eastAsia="等线"/>
                <w:kern w:val="0"/>
                <w:sz w:val="21"/>
                <w:szCs w:val="21"/>
                <w:lang w:bidi="ar"/>
              </w:rPr>
              <w:t>1125 m</w:t>
            </w:r>
          </w:p>
        </w:tc>
        <w:tc>
          <w:tcPr>
            <w:tcW w:w="742" w:type="pct"/>
            <w:vAlign w:val="center"/>
          </w:tcPr>
          <w:p w14:paraId="07D19EAE">
            <w:pPr>
              <w:spacing w:line="240" w:lineRule="auto"/>
              <w:ind w:firstLine="0" w:firstLineChars="0"/>
              <w:jc w:val="center"/>
              <w:rPr>
                <w:sz w:val="21"/>
                <w:szCs w:val="21"/>
              </w:rPr>
            </w:pPr>
            <w:r>
              <w:rPr>
                <w:sz w:val="21"/>
                <w:szCs w:val="21"/>
              </w:rPr>
              <w:t>灌木样方</w:t>
            </w:r>
          </w:p>
        </w:tc>
      </w:tr>
      <w:tr w14:paraId="69990E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42" w:type="pct"/>
            <w:vAlign w:val="center"/>
          </w:tcPr>
          <w:p w14:paraId="36393214">
            <w:pPr>
              <w:spacing w:line="240" w:lineRule="auto"/>
              <w:ind w:firstLine="0" w:firstLineChars="0"/>
              <w:jc w:val="center"/>
              <w:rPr>
                <w:sz w:val="21"/>
                <w:szCs w:val="21"/>
              </w:rPr>
            </w:pPr>
            <w:r>
              <w:rPr>
                <w:sz w:val="21"/>
                <w:szCs w:val="21"/>
              </w:rPr>
              <w:t>6</w:t>
            </w:r>
          </w:p>
        </w:tc>
        <w:tc>
          <w:tcPr>
            <w:tcW w:w="745" w:type="pct"/>
            <w:vAlign w:val="center"/>
          </w:tcPr>
          <w:p w14:paraId="1B3DFE06">
            <w:pPr>
              <w:spacing w:line="240" w:lineRule="auto"/>
              <w:ind w:firstLine="0" w:firstLineChars="0"/>
              <w:jc w:val="center"/>
              <w:rPr>
                <w:sz w:val="21"/>
                <w:szCs w:val="21"/>
              </w:rPr>
            </w:pPr>
            <w:r>
              <w:rPr>
                <w:sz w:val="21"/>
                <w:szCs w:val="21"/>
              </w:rPr>
              <w:t>6#样方</w:t>
            </w:r>
          </w:p>
        </w:tc>
        <w:tc>
          <w:tcPr>
            <w:tcW w:w="1234" w:type="pct"/>
            <w:vAlign w:val="center"/>
          </w:tcPr>
          <w:p w14:paraId="2CC6718F">
            <w:pPr>
              <w:spacing w:line="240" w:lineRule="auto"/>
              <w:ind w:firstLine="0" w:firstLineChars="0"/>
              <w:jc w:val="center"/>
              <w:textAlignment w:val="center"/>
              <w:rPr>
                <w:sz w:val="21"/>
                <w:szCs w:val="21"/>
              </w:rPr>
            </w:pPr>
            <w:r>
              <w:rPr>
                <w:sz w:val="21"/>
                <w:szCs w:val="21"/>
              </w:rPr>
              <w:t>106°47′25.71444″</w:t>
            </w:r>
          </w:p>
        </w:tc>
        <w:tc>
          <w:tcPr>
            <w:tcW w:w="1160" w:type="pct"/>
            <w:vAlign w:val="center"/>
          </w:tcPr>
          <w:p w14:paraId="4C10B5DE">
            <w:pPr>
              <w:spacing w:line="240" w:lineRule="auto"/>
              <w:ind w:firstLine="0" w:firstLineChars="0"/>
              <w:jc w:val="center"/>
              <w:textAlignment w:val="center"/>
              <w:rPr>
                <w:sz w:val="21"/>
                <w:szCs w:val="21"/>
              </w:rPr>
            </w:pPr>
            <w:r>
              <w:rPr>
                <w:sz w:val="21"/>
                <w:szCs w:val="21"/>
              </w:rPr>
              <w:t>40°1′5.81657″</w:t>
            </w:r>
          </w:p>
        </w:tc>
        <w:tc>
          <w:tcPr>
            <w:tcW w:w="673" w:type="pct"/>
            <w:vAlign w:val="center"/>
          </w:tcPr>
          <w:p w14:paraId="424120EE">
            <w:pPr>
              <w:spacing w:line="240" w:lineRule="auto"/>
              <w:ind w:firstLine="0" w:firstLineChars="0"/>
              <w:jc w:val="center"/>
              <w:textAlignment w:val="center"/>
              <w:rPr>
                <w:sz w:val="21"/>
                <w:szCs w:val="21"/>
                <w:highlight w:val="yellow"/>
              </w:rPr>
            </w:pPr>
            <w:r>
              <w:rPr>
                <w:rFonts w:eastAsia="等线"/>
                <w:kern w:val="0"/>
                <w:sz w:val="21"/>
                <w:szCs w:val="21"/>
                <w:lang w:bidi="ar"/>
              </w:rPr>
              <w:t>1126 m</w:t>
            </w:r>
          </w:p>
        </w:tc>
        <w:tc>
          <w:tcPr>
            <w:tcW w:w="742" w:type="pct"/>
            <w:vAlign w:val="center"/>
          </w:tcPr>
          <w:p w14:paraId="24B89794">
            <w:pPr>
              <w:spacing w:line="240" w:lineRule="auto"/>
              <w:ind w:firstLine="0" w:firstLineChars="0"/>
              <w:jc w:val="center"/>
              <w:rPr>
                <w:sz w:val="21"/>
                <w:szCs w:val="21"/>
              </w:rPr>
            </w:pPr>
            <w:r>
              <w:rPr>
                <w:sz w:val="21"/>
                <w:szCs w:val="21"/>
              </w:rPr>
              <w:t>灌木样方</w:t>
            </w:r>
          </w:p>
        </w:tc>
      </w:tr>
      <w:tr w14:paraId="49EAEC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42" w:type="pct"/>
            <w:vAlign w:val="center"/>
          </w:tcPr>
          <w:p w14:paraId="5765136C">
            <w:pPr>
              <w:spacing w:line="240" w:lineRule="auto"/>
              <w:ind w:firstLine="0" w:firstLineChars="0"/>
              <w:jc w:val="center"/>
              <w:rPr>
                <w:sz w:val="21"/>
                <w:szCs w:val="21"/>
              </w:rPr>
            </w:pPr>
            <w:r>
              <w:rPr>
                <w:sz w:val="21"/>
                <w:szCs w:val="21"/>
              </w:rPr>
              <w:t>7</w:t>
            </w:r>
          </w:p>
        </w:tc>
        <w:tc>
          <w:tcPr>
            <w:tcW w:w="745" w:type="pct"/>
            <w:vAlign w:val="center"/>
          </w:tcPr>
          <w:p w14:paraId="738972B6">
            <w:pPr>
              <w:spacing w:line="240" w:lineRule="auto"/>
              <w:ind w:firstLine="0" w:firstLineChars="0"/>
              <w:jc w:val="center"/>
              <w:rPr>
                <w:sz w:val="21"/>
                <w:szCs w:val="21"/>
              </w:rPr>
            </w:pPr>
            <w:r>
              <w:rPr>
                <w:sz w:val="21"/>
                <w:szCs w:val="21"/>
              </w:rPr>
              <w:t>7#样方</w:t>
            </w:r>
          </w:p>
        </w:tc>
        <w:tc>
          <w:tcPr>
            <w:tcW w:w="1234" w:type="pct"/>
            <w:vAlign w:val="center"/>
          </w:tcPr>
          <w:p w14:paraId="55868E66">
            <w:pPr>
              <w:spacing w:line="240" w:lineRule="auto"/>
              <w:ind w:firstLine="0" w:firstLineChars="0"/>
              <w:jc w:val="center"/>
              <w:textAlignment w:val="center"/>
              <w:rPr>
                <w:sz w:val="21"/>
                <w:szCs w:val="21"/>
              </w:rPr>
            </w:pPr>
            <w:r>
              <w:rPr>
                <w:sz w:val="21"/>
                <w:szCs w:val="21"/>
              </w:rPr>
              <w:t>106°47′54.88824″</w:t>
            </w:r>
          </w:p>
        </w:tc>
        <w:tc>
          <w:tcPr>
            <w:tcW w:w="1160" w:type="pct"/>
            <w:vAlign w:val="center"/>
          </w:tcPr>
          <w:p w14:paraId="7916FDB8">
            <w:pPr>
              <w:spacing w:line="240" w:lineRule="auto"/>
              <w:ind w:firstLine="0" w:firstLineChars="0"/>
              <w:jc w:val="center"/>
              <w:textAlignment w:val="center"/>
              <w:rPr>
                <w:sz w:val="21"/>
                <w:szCs w:val="21"/>
              </w:rPr>
            </w:pPr>
            <w:r>
              <w:rPr>
                <w:sz w:val="21"/>
                <w:szCs w:val="21"/>
              </w:rPr>
              <w:t>40°0′57.62796″</w:t>
            </w:r>
          </w:p>
        </w:tc>
        <w:tc>
          <w:tcPr>
            <w:tcW w:w="673" w:type="pct"/>
            <w:vAlign w:val="center"/>
          </w:tcPr>
          <w:p w14:paraId="1EC46233">
            <w:pPr>
              <w:spacing w:line="240" w:lineRule="auto"/>
              <w:ind w:firstLine="0" w:firstLineChars="0"/>
              <w:jc w:val="center"/>
              <w:textAlignment w:val="center"/>
              <w:rPr>
                <w:sz w:val="21"/>
                <w:szCs w:val="21"/>
                <w:highlight w:val="yellow"/>
              </w:rPr>
            </w:pPr>
            <w:r>
              <w:rPr>
                <w:rFonts w:eastAsia="等线"/>
                <w:kern w:val="0"/>
                <w:sz w:val="21"/>
                <w:szCs w:val="21"/>
                <w:lang w:bidi="ar"/>
              </w:rPr>
              <w:t>1137 m</w:t>
            </w:r>
          </w:p>
        </w:tc>
        <w:tc>
          <w:tcPr>
            <w:tcW w:w="742" w:type="pct"/>
            <w:vAlign w:val="center"/>
          </w:tcPr>
          <w:p w14:paraId="30BDC4CC">
            <w:pPr>
              <w:spacing w:line="240" w:lineRule="auto"/>
              <w:ind w:firstLine="0" w:firstLineChars="0"/>
              <w:jc w:val="center"/>
              <w:rPr>
                <w:sz w:val="21"/>
                <w:szCs w:val="21"/>
              </w:rPr>
            </w:pPr>
            <w:r>
              <w:rPr>
                <w:sz w:val="21"/>
                <w:szCs w:val="21"/>
              </w:rPr>
              <w:t>灌木样方</w:t>
            </w:r>
          </w:p>
        </w:tc>
      </w:tr>
      <w:tr w14:paraId="70A0DB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442" w:type="pct"/>
            <w:vAlign w:val="center"/>
          </w:tcPr>
          <w:p w14:paraId="652B42EE">
            <w:pPr>
              <w:spacing w:line="240" w:lineRule="auto"/>
              <w:ind w:firstLine="0" w:firstLineChars="0"/>
              <w:jc w:val="center"/>
              <w:rPr>
                <w:sz w:val="21"/>
                <w:szCs w:val="21"/>
              </w:rPr>
            </w:pPr>
            <w:r>
              <w:rPr>
                <w:sz w:val="21"/>
                <w:szCs w:val="21"/>
              </w:rPr>
              <w:t>8</w:t>
            </w:r>
          </w:p>
        </w:tc>
        <w:tc>
          <w:tcPr>
            <w:tcW w:w="745" w:type="pct"/>
            <w:vAlign w:val="center"/>
          </w:tcPr>
          <w:p w14:paraId="07A28C23">
            <w:pPr>
              <w:spacing w:line="240" w:lineRule="auto"/>
              <w:ind w:firstLine="0" w:firstLineChars="0"/>
              <w:jc w:val="center"/>
              <w:rPr>
                <w:sz w:val="21"/>
                <w:szCs w:val="21"/>
              </w:rPr>
            </w:pPr>
            <w:r>
              <w:rPr>
                <w:sz w:val="21"/>
                <w:szCs w:val="21"/>
              </w:rPr>
              <w:t>8#样方</w:t>
            </w:r>
          </w:p>
        </w:tc>
        <w:tc>
          <w:tcPr>
            <w:tcW w:w="1234" w:type="pct"/>
            <w:vAlign w:val="center"/>
          </w:tcPr>
          <w:p w14:paraId="65BF8C9B">
            <w:pPr>
              <w:spacing w:line="240" w:lineRule="auto"/>
              <w:ind w:firstLine="0" w:firstLineChars="0"/>
              <w:jc w:val="center"/>
              <w:textAlignment w:val="center"/>
              <w:rPr>
                <w:sz w:val="21"/>
                <w:szCs w:val="21"/>
              </w:rPr>
            </w:pPr>
            <w:r>
              <w:rPr>
                <w:sz w:val="21"/>
                <w:szCs w:val="21"/>
              </w:rPr>
              <w:t>106°48′18.43913″</w:t>
            </w:r>
          </w:p>
        </w:tc>
        <w:tc>
          <w:tcPr>
            <w:tcW w:w="1160" w:type="pct"/>
            <w:vAlign w:val="center"/>
          </w:tcPr>
          <w:p w14:paraId="09C32D60">
            <w:pPr>
              <w:spacing w:line="240" w:lineRule="auto"/>
              <w:ind w:firstLine="0" w:firstLineChars="0"/>
              <w:jc w:val="center"/>
              <w:textAlignment w:val="center"/>
              <w:rPr>
                <w:sz w:val="21"/>
                <w:szCs w:val="21"/>
              </w:rPr>
            </w:pPr>
            <w:r>
              <w:rPr>
                <w:sz w:val="21"/>
                <w:szCs w:val="21"/>
              </w:rPr>
              <w:t>40°0′36.13923″</w:t>
            </w:r>
          </w:p>
        </w:tc>
        <w:tc>
          <w:tcPr>
            <w:tcW w:w="673" w:type="pct"/>
            <w:vAlign w:val="center"/>
          </w:tcPr>
          <w:p w14:paraId="5574DFD6">
            <w:pPr>
              <w:spacing w:line="240" w:lineRule="auto"/>
              <w:ind w:firstLine="0" w:firstLineChars="0"/>
              <w:jc w:val="center"/>
              <w:textAlignment w:val="center"/>
              <w:rPr>
                <w:sz w:val="21"/>
                <w:szCs w:val="21"/>
                <w:highlight w:val="yellow"/>
              </w:rPr>
            </w:pPr>
            <w:r>
              <w:rPr>
                <w:rFonts w:eastAsia="等线"/>
                <w:kern w:val="0"/>
                <w:sz w:val="21"/>
                <w:szCs w:val="21"/>
                <w:lang w:bidi="ar"/>
              </w:rPr>
              <w:t>1159 m</w:t>
            </w:r>
          </w:p>
        </w:tc>
        <w:tc>
          <w:tcPr>
            <w:tcW w:w="742" w:type="pct"/>
            <w:vAlign w:val="center"/>
          </w:tcPr>
          <w:p w14:paraId="6F450145">
            <w:pPr>
              <w:spacing w:line="240" w:lineRule="auto"/>
              <w:ind w:firstLine="0" w:firstLineChars="0"/>
              <w:jc w:val="center"/>
              <w:rPr>
                <w:sz w:val="21"/>
                <w:szCs w:val="21"/>
              </w:rPr>
            </w:pPr>
            <w:r>
              <w:rPr>
                <w:sz w:val="21"/>
                <w:szCs w:val="21"/>
              </w:rPr>
              <w:t>灌木样方</w:t>
            </w:r>
          </w:p>
        </w:tc>
      </w:tr>
      <w:tr w14:paraId="08D128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 w:hRule="atLeast"/>
          <w:jc w:val="center"/>
        </w:trPr>
        <w:tc>
          <w:tcPr>
            <w:tcW w:w="442" w:type="pct"/>
            <w:vAlign w:val="center"/>
          </w:tcPr>
          <w:p w14:paraId="66336C0A">
            <w:pPr>
              <w:spacing w:line="240" w:lineRule="auto"/>
              <w:ind w:firstLine="0" w:firstLineChars="0"/>
              <w:jc w:val="center"/>
              <w:rPr>
                <w:sz w:val="21"/>
                <w:szCs w:val="21"/>
              </w:rPr>
            </w:pPr>
            <w:r>
              <w:rPr>
                <w:sz w:val="21"/>
                <w:szCs w:val="21"/>
              </w:rPr>
              <w:t>9</w:t>
            </w:r>
          </w:p>
        </w:tc>
        <w:tc>
          <w:tcPr>
            <w:tcW w:w="745" w:type="pct"/>
            <w:vAlign w:val="center"/>
          </w:tcPr>
          <w:p w14:paraId="4FA9E352">
            <w:pPr>
              <w:spacing w:line="240" w:lineRule="auto"/>
              <w:ind w:firstLine="0" w:firstLineChars="0"/>
              <w:jc w:val="center"/>
              <w:rPr>
                <w:sz w:val="21"/>
                <w:szCs w:val="21"/>
              </w:rPr>
            </w:pPr>
            <w:r>
              <w:rPr>
                <w:sz w:val="21"/>
                <w:szCs w:val="21"/>
              </w:rPr>
              <w:t>9#样方</w:t>
            </w:r>
          </w:p>
        </w:tc>
        <w:tc>
          <w:tcPr>
            <w:tcW w:w="1234" w:type="pct"/>
            <w:vAlign w:val="center"/>
          </w:tcPr>
          <w:p w14:paraId="4CCCD1CD">
            <w:pPr>
              <w:spacing w:line="240" w:lineRule="auto"/>
              <w:ind w:firstLine="0" w:firstLineChars="0"/>
              <w:jc w:val="center"/>
              <w:textAlignment w:val="center"/>
              <w:rPr>
                <w:sz w:val="21"/>
                <w:szCs w:val="21"/>
              </w:rPr>
            </w:pPr>
            <w:r>
              <w:rPr>
                <w:sz w:val="21"/>
                <w:szCs w:val="21"/>
              </w:rPr>
              <w:t>106°49′3.59666″</w:t>
            </w:r>
          </w:p>
        </w:tc>
        <w:tc>
          <w:tcPr>
            <w:tcW w:w="1160" w:type="pct"/>
            <w:vAlign w:val="center"/>
          </w:tcPr>
          <w:p w14:paraId="6FD4EAEC">
            <w:pPr>
              <w:spacing w:line="240" w:lineRule="auto"/>
              <w:ind w:firstLine="0" w:firstLineChars="0"/>
              <w:jc w:val="center"/>
              <w:textAlignment w:val="center"/>
              <w:rPr>
                <w:sz w:val="21"/>
                <w:szCs w:val="21"/>
              </w:rPr>
            </w:pPr>
            <w:r>
              <w:rPr>
                <w:sz w:val="21"/>
                <w:szCs w:val="21"/>
              </w:rPr>
              <w:t>40°0′34.69636″</w:t>
            </w:r>
          </w:p>
        </w:tc>
        <w:tc>
          <w:tcPr>
            <w:tcW w:w="673" w:type="pct"/>
            <w:vAlign w:val="center"/>
          </w:tcPr>
          <w:p w14:paraId="026E51DE">
            <w:pPr>
              <w:spacing w:line="240" w:lineRule="auto"/>
              <w:ind w:firstLine="0" w:firstLineChars="0"/>
              <w:jc w:val="center"/>
              <w:textAlignment w:val="center"/>
              <w:rPr>
                <w:sz w:val="21"/>
                <w:szCs w:val="21"/>
                <w:highlight w:val="yellow"/>
              </w:rPr>
            </w:pPr>
            <w:r>
              <w:rPr>
                <w:rFonts w:eastAsia="等线"/>
                <w:kern w:val="0"/>
                <w:sz w:val="21"/>
                <w:szCs w:val="21"/>
                <w:lang w:bidi="ar"/>
              </w:rPr>
              <w:t>1156 m</w:t>
            </w:r>
          </w:p>
        </w:tc>
        <w:tc>
          <w:tcPr>
            <w:tcW w:w="742" w:type="pct"/>
            <w:vAlign w:val="center"/>
          </w:tcPr>
          <w:p w14:paraId="511A82C3">
            <w:pPr>
              <w:spacing w:line="240" w:lineRule="auto"/>
              <w:ind w:firstLine="0" w:firstLineChars="0"/>
              <w:jc w:val="center"/>
              <w:rPr>
                <w:sz w:val="21"/>
                <w:szCs w:val="21"/>
              </w:rPr>
            </w:pPr>
            <w:r>
              <w:rPr>
                <w:sz w:val="21"/>
                <w:szCs w:val="21"/>
              </w:rPr>
              <w:t>灌木样方</w:t>
            </w:r>
          </w:p>
        </w:tc>
      </w:tr>
      <w:tr w14:paraId="4C5D2F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442" w:type="pct"/>
            <w:vAlign w:val="center"/>
          </w:tcPr>
          <w:p w14:paraId="48E3DEEC">
            <w:pPr>
              <w:spacing w:line="240" w:lineRule="auto"/>
              <w:ind w:firstLine="0" w:firstLineChars="0"/>
              <w:jc w:val="center"/>
              <w:rPr>
                <w:sz w:val="21"/>
                <w:szCs w:val="21"/>
              </w:rPr>
            </w:pPr>
            <w:r>
              <w:rPr>
                <w:sz w:val="21"/>
                <w:szCs w:val="21"/>
              </w:rPr>
              <w:t>10</w:t>
            </w:r>
          </w:p>
        </w:tc>
        <w:tc>
          <w:tcPr>
            <w:tcW w:w="745" w:type="pct"/>
            <w:vAlign w:val="center"/>
          </w:tcPr>
          <w:p w14:paraId="3AF4EC58">
            <w:pPr>
              <w:spacing w:line="240" w:lineRule="auto"/>
              <w:ind w:firstLine="0" w:firstLineChars="0"/>
              <w:jc w:val="center"/>
              <w:rPr>
                <w:sz w:val="21"/>
                <w:szCs w:val="21"/>
              </w:rPr>
            </w:pPr>
            <w:r>
              <w:rPr>
                <w:sz w:val="21"/>
                <w:szCs w:val="21"/>
              </w:rPr>
              <w:t>10#样方</w:t>
            </w:r>
          </w:p>
        </w:tc>
        <w:tc>
          <w:tcPr>
            <w:tcW w:w="1234" w:type="pct"/>
            <w:vAlign w:val="center"/>
          </w:tcPr>
          <w:p w14:paraId="1A03356E">
            <w:pPr>
              <w:spacing w:line="240" w:lineRule="auto"/>
              <w:ind w:firstLine="0" w:firstLineChars="0"/>
              <w:jc w:val="center"/>
              <w:textAlignment w:val="center"/>
              <w:rPr>
                <w:sz w:val="21"/>
                <w:szCs w:val="21"/>
              </w:rPr>
            </w:pPr>
            <w:r>
              <w:rPr>
                <w:sz w:val="21"/>
                <w:szCs w:val="21"/>
              </w:rPr>
              <w:t>106°48′0.05553″</w:t>
            </w:r>
          </w:p>
        </w:tc>
        <w:tc>
          <w:tcPr>
            <w:tcW w:w="1160" w:type="pct"/>
            <w:vAlign w:val="center"/>
          </w:tcPr>
          <w:p w14:paraId="53082207">
            <w:pPr>
              <w:spacing w:line="240" w:lineRule="auto"/>
              <w:ind w:firstLine="0" w:firstLineChars="0"/>
              <w:jc w:val="center"/>
              <w:textAlignment w:val="center"/>
              <w:rPr>
                <w:sz w:val="21"/>
                <w:szCs w:val="21"/>
              </w:rPr>
            </w:pPr>
            <w:r>
              <w:rPr>
                <w:sz w:val="21"/>
                <w:szCs w:val="21"/>
              </w:rPr>
              <w:t>40°1′36.23121″</w:t>
            </w:r>
          </w:p>
        </w:tc>
        <w:tc>
          <w:tcPr>
            <w:tcW w:w="673" w:type="pct"/>
            <w:vAlign w:val="center"/>
          </w:tcPr>
          <w:p w14:paraId="6D73454B">
            <w:pPr>
              <w:spacing w:line="240" w:lineRule="auto"/>
              <w:ind w:firstLine="0" w:firstLineChars="0"/>
              <w:jc w:val="center"/>
              <w:textAlignment w:val="center"/>
              <w:rPr>
                <w:sz w:val="21"/>
                <w:szCs w:val="21"/>
                <w:highlight w:val="yellow"/>
              </w:rPr>
            </w:pPr>
            <w:r>
              <w:rPr>
                <w:rFonts w:eastAsia="等线"/>
                <w:kern w:val="0"/>
                <w:sz w:val="21"/>
                <w:szCs w:val="21"/>
                <w:lang w:bidi="ar"/>
              </w:rPr>
              <w:t>1152 m</w:t>
            </w:r>
          </w:p>
        </w:tc>
        <w:tc>
          <w:tcPr>
            <w:tcW w:w="742" w:type="pct"/>
            <w:vAlign w:val="center"/>
          </w:tcPr>
          <w:p w14:paraId="5AC74CCF">
            <w:pPr>
              <w:spacing w:line="240" w:lineRule="auto"/>
              <w:ind w:firstLine="0" w:firstLineChars="0"/>
              <w:jc w:val="center"/>
              <w:rPr>
                <w:sz w:val="21"/>
                <w:szCs w:val="21"/>
              </w:rPr>
            </w:pPr>
            <w:r>
              <w:rPr>
                <w:sz w:val="21"/>
                <w:szCs w:val="21"/>
              </w:rPr>
              <w:t>灌木样方</w:t>
            </w:r>
          </w:p>
        </w:tc>
      </w:tr>
      <w:tr w14:paraId="048D31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42" w:type="pct"/>
            <w:vAlign w:val="center"/>
          </w:tcPr>
          <w:p w14:paraId="576FFFD8">
            <w:pPr>
              <w:spacing w:line="240" w:lineRule="auto"/>
              <w:ind w:firstLine="0" w:firstLineChars="0"/>
              <w:jc w:val="center"/>
              <w:rPr>
                <w:sz w:val="21"/>
                <w:szCs w:val="21"/>
              </w:rPr>
            </w:pPr>
            <w:r>
              <w:rPr>
                <w:sz w:val="21"/>
                <w:szCs w:val="21"/>
              </w:rPr>
              <w:t>11</w:t>
            </w:r>
          </w:p>
        </w:tc>
        <w:tc>
          <w:tcPr>
            <w:tcW w:w="745" w:type="pct"/>
            <w:vAlign w:val="center"/>
          </w:tcPr>
          <w:p w14:paraId="46848E91">
            <w:pPr>
              <w:spacing w:line="240" w:lineRule="auto"/>
              <w:ind w:firstLine="0" w:firstLineChars="0"/>
              <w:jc w:val="center"/>
              <w:rPr>
                <w:sz w:val="21"/>
                <w:szCs w:val="21"/>
              </w:rPr>
            </w:pPr>
            <w:r>
              <w:rPr>
                <w:sz w:val="21"/>
                <w:szCs w:val="21"/>
              </w:rPr>
              <w:t>11#样方</w:t>
            </w:r>
          </w:p>
        </w:tc>
        <w:tc>
          <w:tcPr>
            <w:tcW w:w="1234" w:type="pct"/>
            <w:vAlign w:val="center"/>
          </w:tcPr>
          <w:p w14:paraId="54D699EC">
            <w:pPr>
              <w:spacing w:line="240" w:lineRule="auto"/>
              <w:ind w:firstLine="0" w:firstLineChars="0"/>
              <w:jc w:val="center"/>
              <w:textAlignment w:val="center"/>
              <w:rPr>
                <w:sz w:val="21"/>
                <w:szCs w:val="21"/>
              </w:rPr>
            </w:pPr>
            <w:r>
              <w:rPr>
                <w:sz w:val="21"/>
                <w:szCs w:val="21"/>
              </w:rPr>
              <w:t>106°48′10.77716″</w:t>
            </w:r>
          </w:p>
        </w:tc>
        <w:tc>
          <w:tcPr>
            <w:tcW w:w="1160" w:type="pct"/>
            <w:vAlign w:val="center"/>
          </w:tcPr>
          <w:p w14:paraId="2F85369A">
            <w:pPr>
              <w:spacing w:line="240" w:lineRule="auto"/>
              <w:ind w:firstLine="0" w:firstLineChars="0"/>
              <w:jc w:val="center"/>
              <w:textAlignment w:val="center"/>
              <w:rPr>
                <w:sz w:val="21"/>
                <w:szCs w:val="21"/>
              </w:rPr>
            </w:pPr>
            <w:r>
              <w:rPr>
                <w:sz w:val="21"/>
                <w:szCs w:val="21"/>
              </w:rPr>
              <w:t>40°1′49.08177″</w:t>
            </w:r>
          </w:p>
        </w:tc>
        <w:tc>
          <w:tcPr>
            <w:tcW w:w="673" w:type="pct"/>
            <w:vAlign w:val="center"/>
          </w:tcPr>
          <w:p w14:paraId="3D49A76F">
            <w:pPr>
              <w:spacing w:line="240" w:lineRule="auto"/>
              <w:ind w:firstLine="0" w:firstLineChars="0"/>
              <w:jc w:val="center"/>
              <w:textAlignment w:val="center"/>
              <w:rPr>
                <w:sz w:val="21"/>
                <w:szCs w:val="21"/>
                <w:highlight w:val="yellow"/>
              </w:rPr>
            </w:pPr>
            <w:r>
              <w:rPr>
                <w:rFonts w:eastAsia="等线"/>
                <w:kern w:val="0"/>
                <w:sz w:val="21"/>
                <w:szCs w:val="21"/>
                <w:lang w:bidi="ar"/>
              </w:rPr>
              <w:t>1147 m</w:t>
            </w:r>
          </w:p>
        </w:tc>
        <w:tc>
          <w:tcPr>
            <w:tcW w:w="742" w:type="pct"/>
            <w:vAlign w:val="center"/>
          </w:tcPr>
          <w:p w14:paraId="3E4720ED">
            <w:pPr>
              <w:spacing w:line="240" w:lineRule="auto"/>
              <w:ind w:firstLine="0" w:firstLineChars="0"/>
              <w:jc w:val="center"/>
              <w:rPr>
                <w:sz w:val="21"/>
                <w:szCs w:val="21"/>
              </w:rPr>
            </w:pPr>
            <w:r>
              <w:rPr>
                <w:sz w:val="21"/>
                <w:szCs w:val="21"/>
              </w:rPr>
              <w:t>灌木样方</w:t>
            </w:r>
          </w:p>
        </w:tc>
      </w:tr>
      <w:tr w14:paraId="5DFA75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442" w:type="pct"/>
            <w:vAlign w:val="center"/>
          </w:tcPr>
          <w:p w14:paraId="4C3FED5A">
            <w:pPr>
              <w:spacing w:line="240" w:lineRule="auto"/>
              <w:ind w:firstLine="0" w:firstLineChars="0"/>
              <w:jc w:val="center"/>
              <w:rPr>
                <w:sz w:val="21"/>
                <w:szCs w:val="21"/>
              </w:rPr>
            </w:pPr>
            <w:r>
              <w:rPr>
                <w:sz w:val="21"/>
                <w:szCs w:val="21"/>
              </w:rPr>
              <w:t>12</w:t>
            </w:r>
          </w:p>
        </w:tc>
        <w:tc>
          <w:tcPr>
            <w:tcW w:w="745" w:type="pct"/>
            <w:vAlign w:val="center"/>
          </w:tcPr>
          <w:p w14:paraId="64F727C1">
            <w:pPr>
              <w:spacing w:line="240" w:lineRule="auto"/>
              <w:ind w:firstLine="0" w:firstLineChars="0"/>
              <w:jc w:val="center"/>
              <w:rPr>
                <w:sz w:val="21"/>
                <w:szCs w:val="21"/>
              </w:rPr>
            </w:pPr>
            <w:r>
              <w:rPr>
                <w:sz w:val="21"/>
                <w:szCs w:val="21"/>
              </w:rPr>
              <w:t>12#样方</w:t>
            </w:r>
          </w:p>
        </w:tc>
        <w:tc>
          <w:tcPr>
            <w:tcW w:w="1234" w:type="pct"/>
            <w:vAlign w:val="center"/>
          </w:tcPr>
          <w:p w14:paraId="49A73C0A">
            <w:pPr>
              <w:spacing w:line="240" w:lineRule="auto"/>
              <w:ind w:firstLine="0" w:firstLineChars="0"/>
              <w:jc w:val="center"/>
              <w:textAlignment w:val="center"/>
              <w:rPr>
                <w:sz w:val="21"/>
                <w:szCs w:val="21"/>
              </w:rPr>
            </w:pPr>
            <w:r>
              <w:rPr>
                <w:sz w:val="21"/>
                <w:szCs w:val="21"/>
              </w:rPr>
              <w:t>106°48′38.38481″</w:t>
            </w:r>
          </w:p>
        </w:tc>
        <w:tc>
          <w:tcPr>
            <w:tcW w:w="1160" w:type="pct"/>
            <w:vAlign w:val="center"/>
          </w:tcPr>
          <w:p w14:paraId="28FD4821">
            <w:pPr>
              <w:spacing w:line="240" w:lineRule="auto"/>
              <w:ind w:firstLine="0" w:firstLineChars="0"/>
              <w:jc w:val="center"/>
              <w:textAlignment w:val="center"/>
              <w:rPr>
                <w:sz w:val="21"/>
                <w:szCs w:val="21"/>
              </w:rPr>
            </w:pPr>
            <w:r>
              <w:rPr>
                <w:sz w:val="21"/>
                <w:szCs w:val="21"/>
              </w:rPr>
              <w:t>40°1′29.86206″</w:t>
            </w:r>
          </w:p>
        </w:tc>
        <w:tc>
          <w:tcPr>
            <w:tcW w:w="673" w:type="pct"/>
            <w:vAlign w:val="center"/>
          </w:tcPr>
          <w:p w14:paraId="5D0E6D80">
            <w:pPr>
              <w:spacing w:line="240" w:lineRule="auto"/>
              <w:ind w:firstLine="0" w:firstLineChars="0"/>
              <w:jc w:val="center"/>
              <w:textAlignment w:val="center"/>
              <w:rPr>
                <w:sz w:val="21"/>
                <w:szCs w:val="21"/>
                <w:highlight w:val="yellow"/>
              </w:rPr>
            </w:pPr>
            <w:r>
              <w:rPr>
                <w:rFonts w:eastAsia="等线"/>
                <w:kern w:val="0"/>
                <w:sz w:val="21"/>
                <w:szCs w:val="21"/>
                <w:lang w:bidi="ar"/>
              </w:rPr>
              <w:t>1139 m</w:t>
            </w:r>
          </w:p>
        </w:tc>
        <w:tc>
          <w:tcPr>
            <w:tcW w:w="742" w:type="pct"/>
            <w:vAlign w:val="center"/>
          </w:tcPr>
          <w:p w14:paraId="112B8775">
            <w:pPr>
              <w:spacing w:line="240" w:lineRule="auto"/>
              <w:ind w:firstLine="0" w:firstLineChars="0"/>
              <w:jc w:val="center"/>
              <w:rPr>
                <w:sz w:val="21"/>
                <w:szCs w:val="21"/>
              </w:rPr>
            </w:pPr>
            <w:r>
              <w:rPr>
                <w:sz w:val="21"/>
                <w:szCs w:val="21"/>
              </w:rPr>
              <w:t>灌木样方</w:t>
            </w:r>
          </w:p>
        </w:tc>
      </w:tr>
      <w:tr w14:paraId="2A18A5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442" w:type="pct"/>
            <w:vAlign w:val="center"/>
          </w:tcPr>
          <w:p w14:paraId="456B4E16">
            <w:pPr>
              <w:spacing w:line="240" w:lineRule="auto"/>
              <w:ind w:firstLine="0" w:firstLineChars="0"/>
              <w:jc w:val="center"/>
              <w:rPr>
                <w:sz w:val="21"/>
                <w:szCs w:val="21"/>
              </w:rPr>
            </w:pPr>
            <w:r>
              <w:rPr>
                <w:sz w:val="21"/>
                <w:szCs w:val="21"/>
              </w:rPr>
              <w:t>13</w:t>
            </w:r>
          </w:p>
        </w:tc>
        <w:tc>
          <w:tcPr>
            <w:tcW w:w="745" w:type="pct"/>
            <w:vAlign w:val="center"/>
          </w:tcPr>
          <w:p w14:paraId="42B0B351">
            <w:pPr>
              <w:spacing w:line="240" w:lineRule="auto"/>
              <w:ind w:firstLine="0" w:firstLineChars="0"/>
              <w:jc w:val="center"/>
              <w:rPr>
                <w:sz w:val="21"/>
                <w:szCs w:val="21"/>
              </w:rPr>
            </w:pPr>
            <w:r>
              <w:rPr>
                <w:sz w:val="21"/>
                <w:szCs w:val="21"/>
              </w:rPr>
              <w:t>13#样方</w:t>
            </w:r>
          </w:p>
        </w:tc>
        <w:tc>
          <w:tcPr>
            <w:tcW w:w="1234" w:type="pct"/>
            <w:vAlign w:val="center"/>
          </w:tcPr>
          <w:p w14:paraId="369E40A2">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106°48′47.58684″</w:t>
            </w:r>
          </w:p>
        </w:tc>
        <w:tc>
          <w:tcPr>
            <w:tcW w:w="1160" w:type="pct"/>
            <w:vAlign w:val="center"/>
          </w:tcPr>
          <w:p w14:paraId="555FFBF8">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40°1′33.52507″</w:t>
            </w:r>
          </w:p>
        </w:tc>
        <w:tc>
          <w:tcPr>
            <w:tcW w:w="673" w:type="pct"/>
            <w:vAlign w:val="center"/>
          </w:tcPr>
          <w:p w14:paraId="4DACBECB">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1138 m</w:t>
            </w:r>
          </w:p>
        </w:tc>
        <w:tc>
          <w:tcPr>
            <w:tcW w:w="742" w:type="pct"/>
            <w:vAlign w:val="center"/>
          </w:tcPr>
          <w:p w14:paraId="4BF5EE81">
            <w:pPr>
              <w:spacing w:line="240" w:lineRule="auto"/>
              <w:ind w:firstLine="0" w:firstLineChars="0"/>
              <w:jc w:val="center"/>
              <w:rPr>
                <w:sz w:val="21"/>
                <w:szCs w:val="21"/>
              </w:rPr>
            </w:pPr>
            <w:r>
              <w:rPr>
                <w:sz w:val="21"/>
                <w:szCs w:val="21"/>
              </w:rPr>
              <w:t>灌木样方</w:t>
            </w:r>
          </w:p>
        </w:tc>
      </w:tr>
      <w:tr w14:paraId="7BBB19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442" w:type="pct"/>
            <w:vAlign w:val="center"/>
          </w:tcPr>
          <w:p w14:paraId="17413DBE">
            <w:pPr>
              <w:spacing w:line="240" w:lineRule="auto"/>
              <w:ind w:firstLine="0" w:firstLineChars="0"/>
              <w:jc w:val="center"/>
              <w:rPr>
                <w:sz w:val="21"/>
                <w:szCs w:val="21"/>
              </w:rPr>
            </w:pPr>
            <w:r>
              <w:rPr>
                <w:sz w:val="21"/>
                <w:szCs w:val="21"/>
              </w:rPr>
              <w:t>14</w:t>
            </w:r>
          </w:p>
        </w:tc>
        <w:tc>
          <w:tcPr>
            <w:tcW w:w="745" w:type="pct"/>
            <w:vAlign w:val="center"/>
          </w:tcPr>
          <w:p w14:paraId="3A3BA145">
            <w:pPr>
              <w:spacing w:line="240" w:lineRule="auto"/>
              <w:ind w:firstLine="0" w:firstLineChars="0"/>
              <w:jc w:val="center"/>
              <w:rPr>
                <w:sz w:val="21"/>
                <w:szCs w:val="21"/>
              </w:rPr>
            </w:pPr>
            <w:r>
              <w:rPr>
                <w:sz w:val="21"/>
                <w:szCs w:val="21"/>
              </w:rPr>
              <w:t>14#样方</w:t>
            </w:r>
          </w:p>
        </w:tc>
        <w:tc>
          <w:tcPr>
            <w:tcW w:w="1234" w:type="pct"/>
            <w:vAlign w:val="center"/>
          </w:tcPr>
          <w:p w14:paraId="090E1D9A">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106°48′50.32176″</w:t>
            </w:r>
          </w:p>
        </w:tc>
        <w:tc>
          <w:tcPr>
            <w:tcW w:w="1160" w:type="pct"/>
            <w:vAlign w:val="center"/>
          </w:tcPr>
          <w:p w14:paraId="08ACDF19">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40°1′16.16681″</w:t>
            </w:r>
          </w:p>
        </w:tc>
        <w:tc>
          <w:tcPr>
            <w:tcW w:w="673" w:type="pct"/>
            <w:vAlign w:val="center"/>
          </w:tcPr>
          <w:p w14:paraId="631C72DC">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1135 m</w:t>
            </w:r>
          </w:p>
        </w:tc>
        <w:tc>
          <w:tcPr>
            <w:tcW w:w="742" w:type="pct"/>
            <w:vAlign w:val="center"/>
          </w:tcPr>
          <w:p w14:paraId="5809E52F">
            <w:pPr>
              <w:spacing w:line="240" w:lineRule="auto"/>
              <w:ind w:firstLine="0" w:firstLineChars="0"/>
              <w:jc w:val="center"/>
              <w:rPr>
                <w:sz w:val="21"/>
                <w:szCs w:val="21"/>
              </w:rPr>
            </w:pPr>
            <w:r>
              <w:rPr>
                <w:sz w:val="21"/>
                <w:szCs w:val="21"/>
              </w:rPr>
              <w:t>灌木样方</w:t>
            </w:r>
          </w:p>
        </w:tc>
      </w:tr>
      <w:tr w14:paraId="084F49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442" w:type="pct"/>
            <w:vAlign w:val="center"/>
          </w:tcPr>
          <w:p w14:paraId="55F48937">
            <w:pPr>
              <w:spacing w:line="240" w:lineRule="auto"/>
              <w:ind w:firstLine="0" w:firstLineChars="0"/>
              <w:jc w:val="center"/>
              <w:rPr>
                <w:sz w:val="21"/>
                <w:szCs w:val="21"/>
              </w:rPr>
            </w:pPr>
            <w:r>
              <w:rPr>
                <w:sz w:val="21"/>
                <w:szCs w:val="21"/>
              </w:rPr>
              <w:t>15</w:t>
            </w:r>
          </w:p>
        </w:tc>
        <w:tc>
          <w:tcPr>
            <w:tcW w:w="745" w:type="pct"/>
            <w:vAlign w:val="center"/>
          </w:tcPr>
          <w:p w14:paraId="6C059BF9">
            <w:pPr>
              <w:spacing w:line="240" w:lineRule="auto"/>
              <w:ind w:firstLine="0" w:firstLineChars="0"/>
              <w:jc w:val="center"/>
              <w:rPr>
                <w:sz w:val="21"/>
                <w:szCs w:val="21"/>
              </w:rPr>
            </w:pPr>
            <w:r>
              <w:rPr>
                <w:sz w:val="21"/>
                <w:szCs w:val="21"/>
              </w:rPr>
              <w:t>15#样方</w:t>
            </w:r>
          </w:p>
        </w:tc>
        <w:tc>
          <w:tcPr>
            <w:tcW w:w="1234" w:type="pct"/>
            <w:vAlign w:val="center"/>
          </w:tcPr>
          <w:p w14:paraId="191B0FB7">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106°49′17.19652″</w:t>
            </w:r>
          </w:p>
        </w:tc>
        <w:tc>
          <w:tcPr>
            <w:tcW w:w="1160" w:type="pct"/>
            <w:vAlign w:val="center"/>
          </w:tcPr>
          <w:p w14:paraId="2B78D1FD">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40°1′5.67516″</w:t>
            </w:r>
          </w:p>
        </w:tc>
        <w:tc>
          <w:tcPr>
            <w:tcW w:w="673" w:type="pct"/>
            <w:vAlign w:val="center"/>
          </w:tcPr>
          <w:p w14:paraId="488FFBAB">
            <w:pPr>
              <w:spacing w:line="240" w:lineRule="auto"/>
              <w:ind w:firstLine="0" w:firstLineChars="0"/>
              <w:jc w:val="center"/>
              <w:textAlignment w:val="center"/>
              <w:rPr>
                <w:rFonts w:eastAsia="等线"/>
                <w:kern w:val="0"/>
                <w:sz w:val="21"/>
                <w:szCs w:val="21"/>
                <w:lang w:bidi="ar"/>
              </w:rPr>
            </w:pPr>
            <w:r>
              <w:rPr>
                <w:rFonts w:eastAsia="等线"/>
                <w:kern w:val="0"/>
                <w:sz w:val="21"/>
                <w:szCs w:val="21"/>
                <w:lang w:bidi="ar"/>
              </w:rPr>
              <w:t>1127 m</w:t>
            </w:r>
          </w:p>
        </w:tc>
        <w:tc>
          <w:tcPr>
            <w:tcW w:w="742" w:type="pct"/>
            <w:vAlign w:val="center"/>
          </w:tcPr>
          <w:p w14:paraId="18704B94">
            <w:pPr>
              <w:spacing w:line="240" w:lineRule="auto"/>
              <w:ind w:firstLine="0" w:firstLineChars="0"/>
              <w:jc w:val="center"/>
              <w:rPr>
                <w:sz w:val="21"/>
                <w:szCs w:val="21"/>
              </w:rPr>
            </w:pPr>
            <w:r>
              <w:rPr>
                <w:sz w:val="21"/>
                <w:szCs w:val="21"/>
              </w:rPr>
              <w:t>灌木样方</w:t>
            </w:r>
          </w:p>
        </w:tc>
      </w:tr>
    </w:tbl>
    <w:p w14:paraId="079F30CC">
      <w:pPr>
        <w:pStyle w:val="80"/>
        <w:ind w:firstLine="0" w:firstLineChars="0"/>
        <w:jc w:val="both"/>
      </w:pPr>
      <w:r>
        <w:rPr>
          <w:rFonts w:hint="eastAsia"/>
        </w:rPr>
        <w:t xml:space="preserve">  </w:t>
      </w:r>
      <w:r>
        <w:drawing>
          <wp:inline distT="0" distB="0" distL="0" distR="0">
            <wp:extent cx="5760085" cy="4072890"/>
            <wp:effectExtent l="0" t="0" r="5715" b="3810"/>
            <wp:docPr id="1369025932" name="图片 32" descr="图表,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25932" name="图片 32" descr="图表, 图示&#10;&#10;描述已自动生成"/>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60085" cy="4072890"/>
                    </a:xfrm>
                    <a:prstGeom prst="rect">
                      <a:avLst/>
                    </a:prstGeom>
                  </pic:spPr>
                </pic:pic>
              </a:graphicData>
            </a:graphic>
          </wp:inline>
        </w:drawing>
      </w:r>
    </w:p>
    <w:p w14:paraId="5A19419E">
      <w:pPr>
        <w:ind w:firstLine="0" w:firstLineChars="0"/>
        <w:jc w:val="center"/>
        <w:rPr>
          <w:b/>
          <w:bCs/>
          <w:szCs w:val="24"/>
        </w:rPr>
      </w:pPr>
      <w:r>
        <w:rPr>
          <w:b/>
          <w:bCs/>
          <w:szCs w:val="24"/>
        </w:rPr>
        <w:t>图</w:t>
      </w:r>
      <w:r>
        <w:rPr>
          <w:rFonts w:hint="eastAsia"/>
          <w:b/>
          <w:bCs/>
          <w:szCs w:val="24"/>
        </w:rPr>
        <w:t>4.6-5</w:t>
      </w:r>
      <w:r>
        <w:rPr>
          <w:b/>
          <w:bCs/>
          <w:szCs w:val="24"/>
        </w:rPr>
        <w:t xml:space="preserve">  评价区样方点位图</w:t>
      </w:r>
    </w:p>
    <w:p w14:paraId="23B1744B">
      <w:pPr>
        <w:ind w:firstLine="482"/>
        <w:rPr>
          <w:b/>
          <w:bCs/>
          <w:szCs w:val="24"/>
        </w:rPr>
        <w:sectPr>
          <w:pgSz w:w="11907" w:h="16840"/>
          <w:pgMar w:top="1418" w:right="1418" w:bottom="1418" w:left="1418" w:header="964" w:footer="964" w:gutter="0"/>
          <w:cols w:space="720" w:num="1"/>
          <w:docGrid w:linePitch="312" w:charSpace="0"/>
        </w:sectPr>
      </w:pPr>
    </w:p>
    <w:tbl>
      <w:tblPr>
        <w:tblStyle w:val="82"/>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114"/>
        <w:gridCol w:w="4087"/>
        <w:gridCol w:w="1526"/>
        <w:gridCol w:w="1632"/>
        <w:gridCol w:w="2081"/>
        <w:gridCol w:w="1461"/>
        <w:gridCol w:w="1606"/>
      </w:tblGrid>
      <w:tr w14:paraId="73E21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077" w:type="pct"/>
            <w:gridSpan w:val="3"/>
            <w:tcBorders>
              <w:top w:val="single" w:color="auto" w:sz="12" w:space="0"/>
              <w:bottom w:val="nil"/>
              <w:right w:val="nil"/>
            </w:tcBorders>
            <w:shd w:val="clear" w:color="auto" w:fill="auto"/>
            <w:vAlign w:val="center"/>
          </w:tcPr>
          <w:p w14:paraId="6393DB27">
            <w:pPr>
              <w:spacing w:line="240" w:lineRule="auto"/>
              <w:ind w:firstLine="420"/>
              <w:jc w:val="center"/>
              <w:rPr>
                <w:sz w:val="21"/>
                <w:szCs w:val="21"/>
              </w:rPr>
            </w:pPr>
            <w:r>
              <w:rPr>
                <w:rFonts w:hint="eastAsia"/>
                <w:sz w:val="21"/>
                <w:szCs w:val="21"/>
              </w:rPr>
              <w:t>群落类型</w:t>
            </w:r>
            <w:r>
              <w:rPr>
                <w:sz w:val="21"/>
                <w:szCs w:val="21"/>
              </w:rPr>
              <w:t>：</w:t>
            </w:r>
            <w:r>
              <w:rPr>
                <w:rFonts w:hint="eastAsia"/>
                <w:sz w:val="21"/>
                <w:szCs w:val="21"/>
              </w:rPr>
              <w:t>霸王+沙冬青群落</w:t>
            </w:r>
          </w:p>
        </w:tc>
        <w:tc>
          <w:tcPr>
            <w:tcW w:w="1111" w:type="pct"/>
            <w:gridSpan w:val="2"/>
            <w:tcBorders>
              <w:top w:val="single" w:color="auto" w:sz="12" w:space="0"/>
              <w:left w:val="nil"/>
              <w:bottom w:val="nil"/>
              <w:right w:val="nil"/>
            </w:tcBorders>
            <w:shd w:val="clear" w:color="auto" w:fill="auto"/>
            <w:vAlign w:val="center"/>
          </w:tcPr>
          <w:p w14:paraId="27EC1F14">
            <w:pPr>
              <w:spacing w:line="240" w:lineRule="auto"/>
              <w:ind w:firstLine="420"/>
              <w:jc w:val="center"/>
              <w:rPr>
                <w:sz w:val="21"/>
                <w:szCs w:val="21"/>
              </w:rPr>
            </w:pPr>
            <w:r>
              <w:rPr>
                <w:sz w:val="21"/>
                <w:szCs w:val="21"/>
              </w:rPr>
              <w:t>样方号：1</w:t>
            </w:r>
          </w:p>
        </w:tc>
        <w:tc>
          <w:tcPr>
            <w:tcW w:w="1811" w:type="pct"/>
            <w:gridSpan w:val="3"/>
            <w:tcBorders>
              <w:top w:val="single" w:color="auto" w:sz="12" w:space="0"/>
              <w:left w:val="nil"/>
              <w:bottom w:val="nil"/>
            </w:tcBorders>
            <w:shd w:val="clear" w:color="auto" w:fill="auto"/>
            <w:vAlign w:val="center"/>
          </w:tcPr>
          <w:p w14:paraId="6A7CBB11">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302BFF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77" w:type="pct"/>
            <w:gridSpan w:val="3"/>
            <w:tcBorders>
              <w:top w:val="nil"/>
              <w:bottom w:val="nil"/>
              <w:right w:val="nil"/>
            </w:tcBorders>
            <w:shd w:val="clear" w:color="auto" w:fill="auto"/>
            <w:vAlign w:val="center"/>
          </w:tcPr>
          <w:p w14:paraId="544781B9">
            <w:pPr>
              <w:spacing w:line="240" w:lineRule="auto"/>
              <w:ind w:firstLine="420"/>
              <w:jc w:val="center"/>
              <w:rPr>
                <w:sz w:val="21"/>
                <w:szCs w:val="21"/>
              </w:rPr>
            </w:pPr>
            <w:r>
              <w:rPr>
                <w:sz w:val="21"/>
                <w:szCs w:val="21"/>
              </w:rPr>
              <w:t>经度：</w:t>
            </w:r>
            <w:r>
              <w:rPr>
                <w:rFonts w:eastAsia="等线"/>
                <w:kern w:val="0"/>
                <w:sz w:val="21"/>
                <w:szCs w:val="21"/>
                <w:lang w:bidi="ar"/>
              </w:rPr>
              <w:t>106°49′7.96888″</w:t>
            </w:r>
          </w:p>
        </w:tc>
        <w:tc>
          <w:tcPr>
            <w:tcW w:w="1111" w:type="pct"/>
            <w:gridSpan w:val="2"/>
            <w:tcBorders>
              <w:top w:val="nil"/>
              <w:left w:val="nil"/>
              <w:bottom w:val="nil"/>
              <w:right w:val="nil"/>
            </w:tcBorders>
            <w:shd w:val="clear" w:color="auto" w:fill="auto"/>
            <w:vAlign w:val="center"/>
          </w:tcPr>
          <w:p w14:paraId="5AAB7036">
            <w:pPr>
              <w:spacing w:line="240" w:lineRule="auto"/>
              <w:ind w:firstLine="420"/>
              <w:jc w:val="center"/>
              <w:rPr>
                <w:sz w:val="21"/>
                <w:szCs w:val="21"/>
              </w:rPr>
            </w:pPr>
            <w:r>
              <w:rPr>
                <w:sz w:val="21"/>
                <w:szCs w:val="21"/>
              </w:rPr>
              <w:t>纬度：</w:t>
            </w:r>
            <w:r>
              <w:rPr>
                <w:rFonts w:eastAsia="等线"/>
                <w:kern w:val="0"/>
                <w:sz w:val="21"/>
                <w:szCs w:val="21"/>
                <w:lang w:bidi="ar"/>
              </w:rPr>
              <w:t>40°0′48.99590″</w:t>
            </w:r>
          </w:p>
        </w:tc>
        <w:tc>
          <w:tcPr>
            <w:tcW w:w="1811" w:type="pct"/>
            <w:gridSpan w:val="3"/>
            <w:tcBorders>
              <w:top w:val="nil"/>
              <w:left w:val="nil"/>
              <w:bottom w:val="nil"/>
            </w:tcBorders>
            <w:shd w:val="clear" w:color="auto" w:fill="auto"/>
            <w:vAlign w:val="center"/>
          </w:tcPr>
          <w:p w14:paraId="6E694FDB">
            <w:pPr>
              <w:spacing w:line="240" w:lineRule="auto"/>
              <w:ind w:firstLine="420"/>
              <w:jc w:val="center"/>
              <w:rPr>
                <w:sz w:val="21"/>
                <w:szCs w:val="21"/>
              </w:rPr>
            </w:pPr>
            <w:r>
              <w:rPr>
                <w:sz w:val="21"/>
                <w:szCs w:val="21"/>
              </w:rPr>
              <w:t>海拔：1126 m</w:t>
            </w:r>
          </w:p>
        </w:tc>
      </w:tr>
      <w:tr w14:paraId="6DCEA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614" w:type="pct"/>
            <w:gridSpan w:val="4"/>
            <w:tcBorders>
              <w:top w:val="nil"/>
              <w:bottom w:val="single" w:color="auto" w:sz="4" w:space="0"/>
              <w:right w:val="nil"/>
            </w:tcBorders>
            <w:shd w:val="clear" w:color="auto" w:fill="auto"/>
            <w:vAlign w:val="center"/>
          </w:tcPr>
          <w:p w14:paraId="5366FDB0">
            <w:pPr>
              <w:spacing w:line="240" w:lineRule="auto"/>
              <w:ind w:firstLine="420"/>
              <w:jc w:val="center"/>
              <w:rPr>
                <w:sz w:val="21"/>
                <w:szCs w:val="21"/>
              </w:rPr>
            </w:pPr>
            <w:r>
              <w:rPr>
                <w:sz w:val="21"/>
                <w:szCs w:val="21"/>
              </w:rPr>
              <w:t>调查人：佟世峰</w:t>
            </w:r>
          </w:p>
        </w:tc>
        <w:tc>
          <w:tcPr>
            <w:tcW w:w="574" w:type="pct"/>
            <w:tcBorders>
              <w:top w:val="nil"/>
              <w:left w:val="nil"/>
              <w:bottom w:val="single" w:color="auto" w:sz="4" w:space="0"/>
              <w:right w:val="nil"/>
            </w:tcBorders>
            <w:shd w:val="clear" w:color="auto" w:fill="auto"/>
            <w:vAlign w:val="center"/>
          </w:tcPr>
          <w:p w14:paraId="30EDAE8D">
            <w:pPr>
              <w:spacing w:line="240" w:lineRule="auto"/>
              <w:ind w:firstLine="420"/>
              <w:jc w:val="center"/>
              <w:rPr>
                <w:sz w:val="21"/>
                <w:szCs w:val="21"/>
              </w:rPr>
            </w:pPr>
          </w:p>
        </w:tc>
        <w:tc>
          <w:tcPr>
            <w:tcW w:w="1811" w:type="pct"/>
            <w:gridSpan w:val="3"/>
            <w:tcBorders>
              <w:top w:val="nil"/>
              <w:left w:val="nil"/>
              <w:bottom w:val="single" w:color="auto" w:sz="4" w:space="0"/>
            </w:tcBorders>
            <w:shd w:val="clear" w:color="auto" w:fill="auto"/>
            <w:vAlign w:val="center"/>
          </w:tcPr>
          <w:p w14:paraId="5486D1A0">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0</w:t>
            </w:r>
          </w:p>
        </w:tc>
      </w:tr>
      <w:tr w14:paraId="06F81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47" w:type="pct"/>
            <w:tcBorders>
              <w:top w:val="single" w:color="auto" w:sz="4" w:space="0"/>
            </w:tcBorders>
            <w:shd w:val="clear" w:color="auto" w:fill="auto"/>
            <w:vAlign w:val="center"/>
          </w:tcPr>
          <w:p w14:paraId="3A62EAE1">
            <w:pPr>
              <w:spacing w:line="240" w:lineRule="auto"/>
              <w:ind w:firstLine="0" w:firstLineChars="0"/>
              <w:jc w:val="center"/>
              <w:rPr>
                <w:sz w:val="21"/>
                <w:szCs w:val="21"/>
              </w:rPr>
            </w:pPr>
            <w:r>
              <w:rPr>
                <w:sz w:val="21"/>
                <w:szCs w:val="21"/>
              </w:rPr>
              <w:t>种号</w:t>
            </w:r>
          </w:p>
        </w:tc>
        <w:tc>
          <w:tcPr>
            <w:tcW w:w="392" w:type="pct"/>
            <w:tcBorders>
              <w:top w:val="single" w:color="auto" w:sz="4" w:space="0"/>
            </w:tcBorders>
            <w:shd w:val="clear" w:color="auto" w:fill="auto"/>
            <w:vAlign w:val="center"/>
          </w:tcPr>
          <w:p w14:paraId="3DCC43A1">
            <w:pPr>
              <w:spacing w:line="240" w:lineRule="auto"/>
              <w:ind w:firstLine="0" w:firstLineChars="0"/>
              <w:jc w:val="center"/>
              <w:rPr>
                <w:sz w:val="21"/>
                <w:szCs w:val="21"/>
              </w:rPr>
            </w:pPr>
            <w:r>
              <w:rPr>
                <w:sz w:val="21"/>
                <w:szCs w:val="21"/>
              </w:rPr>
              <w:t>中文名</w:t>
            </w:r>
          </w:p>
        </w:tc>
        <w:tc>
          <w:tcPr>
            <w:tcW w:w="1438" w:type="pct"/>
            <w:tcBorders>
              <w:top w:val="single" w:color="auto" w:sz="4" w:space="0"/>
            </w:tcBorders>
            <w:shd w:val="clear" w:color="auto" w:fill="auto"/>
            <w:vAlign w:val="center"/>
          </w:tcPr>
          <w:p w14:paraId="30940C06">
            <w:pPr>
              <w:spacing w:line="240" w:lineRule="auto"/>
              <w:ind w:firstLine="0" w:firstLineChars="0"/>
              <w:jc w:val="center"/>
              <w:rPr>
                <w:sz w:val="21"/>
                <w:szCs w:val="21"/>
              </w:rPr>
            </w:pPr>
            <w:r>
              <w:rPr>
                <w:sz w:val="21"/>
                <w:szCs w:val="21"/>
              </w:rPr>
              <w:t>拉丁名</w:t>
            </w:r>
          </w:p>
        </w:tc>
        <w:tc>
          <w:tcPr>
            <w:tcW w:w="536" w:type="pct"/>
            <w:tcBorders>
              <w:top w:val="single" w:color="auto" w:sz="4" w:space="0"/>
            </w:tcBorders>
            <w:shd w:val="clear" w:color="auto" w:fill="auto"/>
            <w:vAlign w:val="center"/>
          </w:tcPr>
          <w:p w14:paraId="0CC78466">
            <w:pPr>
              <w:spacing w:line="240" w:lineRule="auto"/>
              <w:ind w:firstLine="0" w:firstLineChars="0"/>
              <w:jc w:val="center"/>
              <w:rPr>
                <w:sz w:val="21"/>
                <w:szCs w:val="21"/>
              </w:rPr>
            </w:pPr>
            <w:r>
              <w:rPr>
                <w:sz w:val="21"/>
                <w:szCs w:val="21"/>
              </w:rPr>
              <w:t>物候期</w:t>
            </w:r>
          </w:p>
        </w:tc>
        <w:tc>
          <w:tcPr>
            <w:tcW w:w="574" w:type="pct"/>
            <w:tcBorders>
              <w:top w:val="single" w:color="auto" w:sz="4" w:space="0"/>
            </w:tcBorders>
            <w:shd w:val="clear" w:color="auto" w:fill="auto"/>
            <w:vAlign w:val="center"/>
          </w:tcPr>
          <w:p w14:paraId="60CC6FD1">
            <w:pPr>
              <w:spacing w:line="240" w:lineRule="auto"/>
              <w:ind w:firstLine="0" w:firstLineChars="0"/>
              <w:jc w:val="center"/>
              <w:rPr>
                <w:sz w:val="21"/>
                <w:szCs w:val="21"/>
              </w:rPr>
            </w:pPr>
            <w:r>
              <w:rPr>
                <w:sz w:val="21"/>
                <w:szCs w:val="21"/>
              </w:rPr>
              <w:t>株（丛）数</w:t>
            </w:r>
          </w:p>
        </w:tc>
        <w:tc>
          <w:tcPr>
            <w:tcW w:w="732" w:type="pct"/>
            <w:tcBorders>
              <w:top w:val="single" w:color="auto" w:sz="4" w:space="0"/>
            </w:tcBorders>
            <w:shd w:val="clear" w:color="auto" w:fill="auto"/>
            <w:vAlign w:val="center"/>
          </w:tcPr>
          <w:p w14:paraId="3C340DCD">
            <w:pPr>
              <w:spacing w:line="240" w:lineRule="auto"/>
              <w:ind w:firstLine="0" w:firstLineChars="0"/>
              <w:jc w:val="center"/>
              <w:rPr>
                <w:sz w:val="21"/>
                <w:szCs w:val="21"/>
              </w:rPr>
            </w:pPr>
            <w:r>
              <w:rPr>
                <w:sz w:val="21"/>
                <w:szCs w:val="21"/>
              </w:rPr>
              <w:t>平均高度/cm</w:t>
            </w:r>
          </w:p>
        </w:tc>
        <w:tc>
          <w:tcPr>
            <w:tcW w:w="514" w:type="pct"/>
            <w:tcBorders>
              <w:top w:val="single" w:color="auto" w:sz="4" w:space="0"/>
            </w:tcBorders>
            <w:shd w:val="clear" w:color="auto" w:fill="auto"/>
            <w:vAlign w:val="center"/>
          </w:tcPr>
          <w:p w14:paraId="280A2C5D">
            <w:pPr>
              <w:spacing w:line="240" w:lineRule="auto"/>
              <w:ind w:firstLine="0" w:firstLineChars="0"/>
              <w:jc w:val="center"/>
              <w:rPr>
                <w:sz w:val="21"/>
                <w:szCs w:val="21"/>
              </w:rPr>
            </w:pPr>
            <w:r>
              <w:rPr>
                <w:rFonts w:hint="eastAsia"/>
                <w:sz w:val="21"/>
                <w:szCs w:val="21"/>
              </w:rPr>
              <w:t>冠幅</w:t>
            </w:r>
            <w:r>
              <w:rPr>
                <w:sz w:val="21"/>
                <w:szCs w:val="21"/>
              </w:rPr>
              <w:t>/m</w:t>
            </w:r>
          </w:p>
        </w:tc>
        <w:tc>
          <w:tcPr>
            <w:tcW w:w="565" w:type="pct"/>
            <w:tcBorders>
              <w:top w:val="single" w:color="auto" w:sz="4" w:space="0"/>
            </w:tcBorders>
            <w:shd w:val="clear" w:color="auto" w:fill="auto"/>
            <w:vAlign w:val="center"/>
          </w:tcPr>
          <w:p w14:paraId="32398817">
            <w:pPr>
              <w:spacing w:line="240" w:lineRule="auto"/>
              <w:ind w:firstLine="0" w:firstLineChars="0"/>
              <w:jc w:val="center"/>
              <w:rPr>
                <w:sz w:val="21"/>
                <w:szCs w:val="21"/>
              </w:rPr>
            </w:pPr>
            <w:r>
              <w:rPr>
                <w:rFonts w:hint="eastAsia"/>
                <w:sz w:val="21"/>
                <w:szCs w:val="21"/>
              </w:rPr>
              <w:t>总</w:t>
            </w:r>
            <w:r>
              <w:rPr>
                <w:sz w:val="21"/>
                <w:szCs w:val="21"/>
              </w:rPr>
              <w:t>盖度%</w:t>
            </w:r>
          </w:p>
        </w:tc>
      </w:tr>
      <w:tr w14:paraId="1B396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247" w:type="pct"/>
            <w:shd w:val="clear" w:color="auto" w:fill="auto"/>
            <w:vAlign w:val="center"/>
          </w:tcPr>
          <w:p w14:paraId="6A1BE62C">
            <w:pPr>
              <w:spacing w:line="240" w:lineRule="auto"/>
              <w:ind w:firstLine="210" w:firstLineChars="100"/>
              <w:jc w:val="center"/>
              <w:rPr>
                <w:sz w:val="21"/>
                <w:szCs w:val="21"/>
              </w:rPr>
            </w:pPr>
            <w:r>
              <w:rPr>
                <w:sz w:val="21"/>
                <w:szCs w:val="21"/>
              </w:rPr>
              <w:t>1</w:t>
            </w:r>
          </w:p>
        </w:tc>
        <w:tc>
          <w:tcPr>
            <w:tcW w:w="392" w:type="pct"/>
            <w:shd w:val="clear" w:color="auto" w:fill="auto"/>
            <w:vAlign w:val="center"/>
          </w:tcPr>
          <w:p w14:paraId="3040B90D">
            <w:pPr>
              <w:spacing w:line="240" w:lineRule="auto"/>
              <w:ind w:firstLine="0" w:firstLineChars="0"/>
              <w:jc w:val="center"/>
              <w:rPr>
                <w:sz w:val="21"/>
                <w:szCs w:val="21"/>
              </w:rPr>
            </w:pPr>
            <w:r>
              <w:rPr>
                <w:sz w:val="21"/>
                <w:szCs w:val="21"/>
              </w:rPr>
              <w:t>霸王</w:t>
            </w:r>
          </w:p>
        </w:tc>
        <w:tc>
          <w:tcPr>
            <w:tcW w:w="1438" w:type="pct"/>
            <w:shd w:val="clear" w:color="auto" w:fill="auto"/>
          </w:tcPr>
          <w:p w14:paraId="14BE9F53">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p>
        </w:tc>
        <w:tc>
          <w:tcPr>
            <w:tcW w:w="536" w:type="pct"/>
            <w:shd w:val="clear" w:color="auto" w:fill="auto"/>
            <w:vAlign w:val="center"/>
          </w:tcPr>
          <w:p w14:paraId="6707DFF3">
            <w:pPr>
              <w:spacing w:line="240" w:lineRule="auto"/>
              <w:ind w:firstLine="0" w:firstLineChars="0"/>
              <w:jc w:val="center"/>
              <w:rPr>
                <w:sz w:val="21"/>
                <w:szCs w:val="21"/>
              </w:rPr>
            </w:pPr>
            <w:r>
              <w:rPr>
                <w:rFonts w:hint="eastAsia"/>
                <w:sz w:val="21"/>
                <w:szCs w:val="21"/>
              </w:rPr>
              <w:t>花果期</w:t>
            </w:r>
          </w:p>
        </w:tc>
        <w:tc>
          <w:tcPr>
            <w:tcW w:w="574" w:type="pct"/>
            <w:shd w:val="clear" w:color="auto" w:fill="auto"/>
            <w:vAlign w:val="center"/>
          </w:tcPr>
          <w:p w14:paraId="71B62C79">
            <w:pPr>
              <w:spacing w:line="240" w:lineRule="auto"/>
              <w:ind w:firstLine="0" w:firstLineChars="0"/>
              <w:jc w:val="center"/>
              <w:rPr>
                <w:sz w:val="21"/>
                <w:szCs w:val="21"/>
              </w:rPr>
            </w:pPr>
            <w:r>
              <w:rPr>
                <w:rFonts w:hint="eastAsia"/>
                <w:sz w:val="21"/>
                <w:szCs w:val="21"/>
              </w:rPr>
              <w:t>3</w:t>
            </w:r>
          </w:p>
        </w:tc>
        <w:tc>
          <w:tcPr>
            <w:tcW w:w="732" w:type="pct"/>
            <w:shd w:val="clear" w:color="auto" w:fill="auto"/>
            <w:vAlign w:val="center"/>
          </w:tcPr>
          <w:p w14:paraId="65B905C9">
            <w:pPr>
              <w:spacing w:line="240" w:lineRule="auto"/>
              <w:ind w:firstLine="0" w:firstLineChars="0"/>
              <w:jc w:val="center"/>
              <w:rPr>
                <w:sz w:val="21"/>
                <w:szCs w:val="21"/>
              </w:rPr>
            </w:pPr>
            <w:r>
              <w:rPr>
                <w:rFonts w:hint="eastAsia"/>
                <w:sz w:val="21"/>
                <w:szCs w:val="21"/>
              </w:rPr>
              <w:t>3</w:t>
            </w:r>
            <w:r>
              <w:rPr>
                <w:sz w:val="21"/>
                <w:szCs w:val="21"/>
              </w:rPr>
              <w:t>5</w:t>
            </w:r>
          </w:p>
        </w:tc>
        <w:tc>
          <w:tcPr>
            <w:tcW w:w="514" w:type="pct"/>
            <w:shd w:val="clear" w:color="auto" w:fill="auto"/>
            <w:vAlign w:val="center"/>
          </w:tcPr>
          <w:p w14:paraId="41FB465F">
            <w:pPr>
              <w:spacing w:line="240" w:lineRule="auto"/>
              <w:ind w:firstLine="0" w:firstLineChars="0"/>
              <w:jc w:val="center"/>
              <w:rPr>
                <w:sz w:val="21"/>
                <w:szCs w:val="21"/>
              </w:rPr>
            </w:pPr>
            <w:r>
              <w:rPr>
                <w:sz w:val="21"/>
                <w:szCs w:val="21"/>
              </w:rPr>
              <w:t>0.</w:t>
            </w:r>
            <w:r>
              <w:rPr>
                <w:rFonts w:hint="eastAsia"/>
                <w:sz w:val="21"/>
                <w:szCs w:val="21"/>
              </w:rPr>
              <w:t>5×0.8</w:t>
            </w:r>
          </w:p>
        </w:tc>
        <w:tc>
          <w:tcPr>
            <w:tcW w:w="565" w:type="pct"/>
            <w:vMerge w:val="restart"/>
            <w:shd w:val="clear" w:color="auto" w:fill="auto"/>
            <w:vAlign w:val="center"/>
          </w:tcPr>
          <w:p w14:paraId="6221778E">
            <w:pPr>
              <w:spacing w:line="240" w:lineRule="auto"/>
              <w:ind w:firstLine="0" w:firstLineChars="0"/>
              <w:jc w:val="center"/>
              <w:rPr>
                <w:sz w:val="21"/>
                <w:szCs w:val="21"/>
              </w:rPr>
            </w:pPr>
            <w:r>
              <w:rPr>
                <w:rFonts w:hint="eastAsia"/>
                <w:sz w:val="21"/>
                <w:szCs w:val="21"/>
              </w:rPr>
              <w:t>5</w:t>
            </w:r>
          </w:p>
        </w:tc>
      </w:tr>
      <w:tr w14:paraId="4B4F0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47" w:type="pct"/>
            <w:shd w:val="clear" w:color="auto" w:fill="auto"/>
            <w:vAlign w:val="center"/>
          </w:tcPr>
          <w:p w14:paraId="0FEAB6E4">
            <w:pPr>
              <w:widowControl w:val="0"/>
              <w:wordWrap w:val="0"/>
              <w:topLinePunct/>
              <w:adjustRightInd w:val="0"/>
              <w:snapToGrid w:val="0"/>
              <w:spacing w:line="240" w:lineRule="auto"/>
              <w:ind w:firstLine="210" w:firstLineChars="100"/>
              <w:jc w:val="center"/>
              <w:rPr>
                <w:sz w:val="21"/>
                <w:szCs w:val="21"/>
              </w:rPr>
            </w:pPr>
            <w:r>
              <w:rPr>
                <w:sz w:val="21"/>
                <w:szCs w:val="21"/>
              </w:rPr>
              <w:t>2</w:t>
            </w:r>
          </w:p>
        </w:tc>
        <w:tc>
          <w:tcPr>
            <w:tcW w:w="392" w:type="pct"/>
            <w:shd w:val="clear" w:color="auto" w:fill="auto"/>
            <w:vAlign w:val="center"/>
          </w:tcPr>
          <w:p w14:paraId="16993851">
            <w:pPr>
              <w:widowControl w:val="0"/>
              <w:wordWrap w:val="0"/>
              <w:topLinePunct/>
              <w:adjustRightInd w:val="0"/>
              <w:snapToGrid w:val="0"/>
              <w:spacing w:line="240" w:lineRule="auto"/>
              <w:ind w:firstLine="0" w:firstLineChars="0"/>
              <w:jc w:val="center"/>
              <w:rPr>
                <w:sz w:val="21"/>
                <w:szCs w:val="21"/>
              </w:rPr>
            </w:pPr>
            <w:r>
              <w:rPr>
                <w:rFonts w:hint="eastAsia"/>
                <w:sz w:val="21"/>
                <w:szCs w:val="21"/>
              </w:rPr>
              <w:t>沙冬青</w:t>
            </w:r>
          </w:p>
        </w:tc>
        <w:tc>
          <w:tcPr>
            <w:tcW w:w="1438" w:type="pct"/>
            <w:shd w:val="clear" w:color="auto" w:fill="auto"/>
          </w:tcPr>
          <w:p w14:paraId="56215271">
            <w:pPr>
              <w:widowControl w:val="0"/>
              <w:wordWrap w:val="0"/>
              <w:topLinePunct/>
              <w:adjustRightInd w:val="0"/>
              <w:snapToGrid w:val="0"/>
              <w:spacing w:line="240" w:lineRule="auto"/>
              <w:ind w:firstLine="0" w:firstLineChars="0"/>
              <w:jc w:val="center"/>
              <w:rPr>
                <w:i/>
                <w:sz w:val="21"/>
                <w:szCs w:val="21"/>
              </w:rPr>
            </w:pPr>
            <w:r>
              <w:rPr>
                <w:i/>
                <w:iCs/>
                <w:sz w:val="21"/>
                <w:szCs w:val="21"/>
              </w:rPr>
              <w:t>Ammopiptanthus mongolicus (Maxim. ex Kom.) Cheng f.</w:t>
            </w:r>
          </w:p>
        </w:tc>
        <w:tc>
          <w:tcPr>
            <w:tcW w:w="536" w:type="pct"/>
            <w:shd w:val="clear" w:color="auto" w:fill="auto"/>
            <w:vAlign w:val="center"/>
          </w:tcPr>
          <w:p w14:paraId="1F3F1DC8">
            <w:pPr>
              <w:spacing w:line="240" w:lineRule="auto"/>
              <w:ind w:firstLine="0" w:firstLineChars="0"/>
              <w:jc w:val="center"/>
              <w:rPr>
                <w:sz w:val="21"/>
                <w:szCs w:val="21"/>
              </w:rPr>
            </w:pPr>
            <w:r>
              <w:rPr>
                <w:rFonts w:hint="eastAsia"/>
                <w:sz w:val="21"/>
                <w:szCs w:val="21"/>
              </w:rPr>
              <w:t>花果期</w:t>
            </w:r>
          </w:p>
        </w:tc>
        <w:tc>
          <w:tcPr>
            <w:tcW w:w="574" w:type="pct"/>
            <w:shd w:val="clear" w:color="auto" w:fill="auto"/>
            <w:vAlign w:val="center"/>
          </w:tcPr>
          <w:p w14:paraId="6E9491AC">
            <w:pPr>
              <w:spacing w:line="240" w:lineRule="auto"/>
              <w:ind w:firstLine="0" w:firstLineChars="0"/>
              <w:jc w:val="center"/>
              <w:rPr>
                <w:sz w:val="21"/>
                <w:szCs w:val="21"/>
              </w:rPr>
            </w:pPr>
            <w:r>
              <w:rPr>
                <w:rFonts w:hint="eastAsia"/>
                <w:sz w:val="21"/>
                <w:szCs w:val="21"/>
              </w:rPr>
              <w:t>1</w:t>
            </w:r>
          </w:p>
        </w:tc>
        <w:tc>
          <w:tcPr>
            <w:tcW w:w="732" w:type="pct"/>
            <w:shd w:val="clear" w:color="auto" w:fill="auto"/>
            <w:vAlign w:val="center"/>
          </w:tcPr>
          <w:p w14:paraId="1A0DECCD">
            <w:pPr>
              <w:spacing w:line="240" w:lineRule="auto"/>
              <w:ind w:firstLine="0" w:firstLineChars="0"/>
              <w:jc w:val="center"/>
              <w:rPr>
                <w:sz w:val="21"/>
                <w:szCs w:val="21"/>
              </w:rPr>
            </w:pPr>
            <w:r>
              <w:rPr>
                <w:sz w:val="21"/>
                <w:szCs w:val="21"/>
              </w:rPr>
              <w:t>20</w:t>
            </w:r>
          </w:p>
        </w:tc>
        <w:tc>
          <w:tcPr>
            <w:tcW w:w="514" w:type="pct"/>
            <w:shd w:val="clear" w:color="auto" w:fill="auto"/>
            <w:vAlign w:val="center"/>
          </w:tcPr>
          <w:p w14:paraId="1DC387CE">
            <w:pPr>
              <w:spacing w:line="240" w:lineRule="auto"/>
              <w:ind w:firstLine="0" w:firstLineChars="0"/>
              <w:jc w:val="center"/>
              <w:rPr>
                <w:sz w:val="21"/>
                <w:szCs w:val="21"/>
              </w:rPr>
            </w:pPr>
            <w:r>
              <w:rPr>
                <w:sz w:val="21"/>
                <w:szCs w:val="21"/>
              </w:rPr>
              <w:t>0.4</w:t>
            </w:r>
            <w:r>
              <w:rPr>
                <w:rFonts w:hint="eastAsia"/>
                <w:sz w:val="21"/>
                <w:szCs w:val="21"/>
              </w:rPr>
              <w:t>×0.4</w:t>
            </w:r>
          </w:p>
        </w:tc>
        <w:tc>
          <w:tcPr>
            <w:tcW w:w="565" w:type="pct"/>
            <w:vMerge w:val="continue"/>
            <w:shd w:val="clear" w:color="auto" w:fill="auto"/>
            <w:vAlign w:val="center"/>
          </w:tcPr>
          <w:p w14:paraId="76BB265E">
            <w:pPr>
              <w:spacing w:line="240" w:lineRule="auto"/>
              <w:ind w:firstLine="0" w:firstLineChars="0"/>
              <w:jc w:val="center"/>
              <w:rPr>
                <w:sz w:val="21"/>
                <w:szCs w:val="21"/>
              </w:rPr>
            </w:pPr>
          </w:p>
        </w:tc>
      </w:tr>
    </w:tbl>
    <w:p w14:paraId="359D0E89">
      <w:pPr>
        <w:ind w:firstLine="0" w:firstLineChars="0"/>
        <w:jc w:val="center"/>
      </w:pPr>
      <w:r>
        <w:rPr>
          <w:rFonts w:ascii="宋体" w:hAnsi="宋体" w:cs="宋体"/>
          <w:kern w:val="0"/>
        </w:rPr>
        <w:t xml:space="preserve"> </w:t>
      </w:r>
      <w:r>
        <w:drawing>
          <wp:inline distT="0" distB="0" distL="0" distR="0">
            <wp:extent cx="5939790" cy="3959860"/>
            <wp:effectExtent l="0" t="0" r="3810" b="2540"/>
            <wp:docPr id="271107749" name="图片 2" descr="沙漠中的风景&#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07749" name="图片 2" descr="沙漠中的风景&#10;&#10;中度可信度描述已自动生成"/>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50CEB020">
      <w:pPr>
        <w:ind w:firstLine="0" w:firstLineChars="0"/>
        <w:jc w:val="center"/>
      </w:pPr>
      <w:r>
        <w:rPr>
          <w:rFonts w:hint="eastAsia"/>
        </w:rPr>
        <w:t>样方1</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496"/>
        <w:gridCol w:w="4065"/>
        <w:gridCol w:w="1629"/>
        <w:gridCol w:w="1645"/>
        <w:gridCol w:w="1691"/>
        <w:gridCol w:w="1369"/>
        <w:gridCol w:w="1423"/>
      </w:tblGrid>
      <w:tr w14:paraId="3F8FC7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201" w:type="dxa"/>
            <w:gridSpan w:val="3"/>
            <w:tcBorders>
              <w:top w:val="single" w:color="auto" w:sz="12" w:space="0"/>
              <w:bottom w:val="nil"/>
              <w:right w:val="nil"/>
            </w:tcBorders>
            <w:shd w:val="clear" w:color="auto" w:fill="auto"/>
            <w:vAlign w:val="center"/>
          </w:tcPr>
          <w:p w14:paraId="4E2A4F84">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霸王+沙冬青群落</w:t>
            </w:r>
          </w:p>
        </w:tc>
        <w:tc>
          <w:tcPr>
            <w:tcW w:w="3274" w:type="dxa"/>
            <w:gridSpan w:val="2"/>
            <w:tcBorders>
              <w:top w:val="single" w:color="auto" w:sz="12" w:space="0"/>
              <w:left w:val="nil"/>
              <w:bottom w:val="nil"/>
              <w:right w:val="nil"/>
            </w:tcBorders>
            <w:shd w:val="clear" w:color="auto" w:fill="auto"/>
            <w:vAlign w:val="center"/>
          </w:tcPr>
          <w:p w14:paraId="3131CCCB">
            <w:pPr>
              <w:spacing w:line="240" w:lineRule="auto"/>
              <w:ind w:firstLine="420"/>
              <w:jc w:val="center"/>
              <w:rPr>
                <w:sz w:val="21"/>
                <w:szCs w:val="21"/>
              </w:rPr>
            </w:pPr>
            <w:r>
              <w:rPr>
                <w:sz w:val="21"/>
                <w:szCs w:val="21"/>
              </w:rPr>
              <w:t>样方号：2</w:t>
            </w:r>
          </w:p>
        </w:tc>
        <w:tc>
          <w:tcPr>
            <w:tcW w:w="4483" w:type="dxa"/>
            <w:gridSpan w:val="3"/>
            <w:tcBorders>
              <w:top w:val="single" w:color="auto" w:sz="12" w:space="0"/>
              <w:left w:val="nil"/>
              <w:bottom w:val="nil"/>
            </w:tcBorders>
            <w:shd w:val="clear" w:color="auto" w:fill="auto"/>
            <w:vAlign w:val="center"/>
          </w:tcPr>
          <w:p w14:paraId="62D5F502">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672FA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01" w:type="dxa"/>
            <w:gridSpan w:val="3"/>
            <w:tcBorders>
              <w:top w:val="nil"/>
              <w:bottom w:val="nil"/>
              <w:right w:val="nil"/>
            </w:tcBorders>
            <w:shd w:val="clear" w:color="auto" w:fill="auto"/>
            <w:vAlign w:val="center"/>
          </w:tcPr>
          <w:p w14:paraId="7583408B">
            <w:pPr>
              <w:spacing w:line="240" w:lineRule="auto"/>
              <w:ind w:firstLine="420"/>
              <w:jc w:val="center"/>
              <w:rPr>
                <w:sz w:val="21"/>
                <w:szCs w:val="21"/>
              </w:rPr>
            </w:pPr>
            <w:r>
              <w:rPr>
                <w:sz w:val="21"/>
                <w:szCs w:val="21"/>
              </w:rPr>
              <w:t>经度：</w:t>
            </w:r>
            <w:r>
              <w:rPr>
                <w:rFonts w:eastAsia="等线"/>
                <w:kern w:val="0"/>
                <w:sz w:val="21"/>
                <w:szCs w:val="21"/>
                <w:lang w:bidi="ar"/>
              </w:rPr>
              <w:t>106°48′42.29802″</w:t>
            </w:r>
          </w:p>
        </w:tc>
        <w:tc>
          <w:tcPr>
            <w:tcW w:w="3274" w:type="dxa"/>
            <w:gridSpan w:val="2"/>
            <w:tcBorders>
              <w:top w:val="nil"/>
              <w:left w:val="nil"/>
              <w:bottom w:val="nil"/>
              <w:right w:val="nil"/>
            </w:tcBorders>
            <w:shd w:val="clear" w:color="auto" w:fill="auto"/>
            <w:vAlign w:val="center"/>
          </w:tcPr>
          <w:p w14:paraId="654B2B25">
            <w:pPr>
              <w:spacing w:line="240" w:lineRule="auto"/>
              <w:ind w:firstLine="420"/>
              <w:jc w:val="center"/>
              <w:rPr>
                <w:sz w:val="21"/>
                <w:szCs w:val="21"/>
              </w:rPr>
            </w:pPr>
            <w:r>
              <w:rPr>
                <w:sz w:val="21"/>
                <w:szCs w:val="21"/>
              </w:rPr>
              <w:t>纬度：</w:t>
            </w:r>
            <w:r>
              <w:rPr>
                <w:rFonts w:eastAsia="等线"/>
                <w:kern w:val="0"/>
                <w:sz w:val="21"/>
                <w:szCs w:val="21"/>
                <w:lang w:bidi="ar"/>
              </w:rPr>
              <w:t>40°0′56.64362″</w:t>
            </w:r>
          </w:p>
        </w:tc>
        <w:tc>
          <w:tcPr>
            <w:tcW w:w="4483" w:type="dxa"/>
            <w:gridSpan w:val="3"/>
            <w:tcBorders>
              <w:top w:val="nil"/>
              <w:left w:val="nil"/>
              <w:bottom w:val="nil"/>
            </w:tcBorders>
            <w:shd w:val="clear" w:color="auto" w:fill="auto"/>
            <w:vAlign w:val="center"/>
          </w:tcPr>
          <w:p w14:paraId="22DC09FA">
            <w:pPr>
              <w:spacing w:line="240" w:lineRule="auto"/>
              <w:ind w:firstLine="420"/>
              <w:jc w:val="center"/>
              <w:rPr>
                <w:sz w:val="21"/>
                <w:szCs w:val="21"/>
              </w:rPr>
            </w:pPr>
            <w:r>
              <w:rPr>
                <w:sz w:val="21"/>
                <w:szCs w:val="21"/>
              </w:rPr>
              <w:t>海拔：</w:t>
            </w:r>
            <w:r>
              <w:rPr>
                <w:rFonts w:hint="eastAsia"/>
                <w:sz w:val="21"/>
                <w:szCs w:val="21"/>
              </w:rPr>
              <w:t>11</w:t>
            </w:r>
            <w:r>
              <w:rPr>
                <w:sz w:val="21"/>
                <w:szCs w:val="21"/>
              </w:rPr>
              <w:t>32 m</w:t>
            </w:r>
          </w:p>
        </w:tc>
      </w:tr>
      <w:tr w14:paraId="55FD5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830" w:type="dxa"/>
            <w:gridSpan w:val="4"/>
            <w:tcBorders>
              <w:top w:val="nil"/>
              <w:bottom w:val="single" w:color="auto" w:sz="4" w:space="0"/>
              <w:right w:val="nil"/>
            </w:tcBorders>
            <w:shd w:val="clear" w:color="auto" w:fill="auto"/>
            <w:vAlign w:val="center"/>
          </w:tcPr>
          <w:p w14:paraId="031E2270">
            <w:pPr>
              <w:spacing w:line="240" w:lineRule="auto"/>
              <w:ind w:firstLine="420"/>
              <w:jc w:val="center"/>
              <w:rPr>
                <w:sz w:val="21"/>
                <w:szCs w:val="21"/>
              </w:rPr>
            </w:pPr>
            <w:r>
              <w:rPr>
                <w:sz w:val="21"/>
                <w:szCs w:val="21"/>
              </w:rPr>
              <w:t>调查人：苏斯图</w:t>
            </w:r>
          </w:p>
        </w:tc>
        <w:tc>
          <w:tcPr>
            <w:tcW w:w="1645" w:type="dxa"/>
            <w:tcBorders>
              <w:top w:val="nil"/>
              <w:left w:val="nil"/>
              <w:bottom w:val="single" w:color="auto" w:sz="4" w:space="0"/>
              <w:right w:val="nil"/>
            </w:tcBorders>
            <w:shd w:val="clear" w:color="auto" w:fill="auto"/>
            <w:vAlign w:val="center"/>
          </w:tcPr>
          <w:p w14:paraId="2D61DDEF">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53F411AB">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0</w:t>
            </w:r>
          </w:p>
        </w:tc>
      </w:tr>
      <w:tr w14:paraId="5CE6FF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368D0D6B">
            <w:pPr>
              <w:spacing w:line="240" w:lineRule="auto"/>
              <w:ind w:firstLine="0" w:firstLineChars="0"/>
              <w:jc w:val="center"/>
              <w:rPr>
                <w:sz w:val="21"/>
                <w:szCs w:val="21"/>
              </w:rPr>
            </w:pPr>
            <w:r>
              <w:rPr>
                <w:sz w:val="21"/>
                <w:szCs w:val="21"/>
              </w:rPr>
              <w:t>种号</w:t>
            </w:r>
          </w:p>
        </w:tc>
        <w:tc>
          <w:tcPr>
            <w:tcW w:w="1496" w:type="dxa"/>
            <w:tcBorders>
              <w:top w:val="single" w:color="auto" w:sz="4" w:space="0"/>
            </w:tcBorders>
            <w:shd w:val="clear" w:color="auto" w:fill="auto"/>
            <w:vAlign w:val="center"/>
          </w:tcPr>
          <w:p w14:paraId="576C87B2">
            <w:pPr>
              <w:spacing w:line="240" w:lineRule="auto"/>
              <w:ind w:firstLine="0" w:firstLineChars="0"/>
              <w:jc w:val="center"/>
              <w:rPr>
                <w:sz w:val="21"/>
                <w:szCs w:val="21"/>
              </w:rPr>
            </w:pPr>
            <w:r>
              <w:rPr>
                <w:sz w:val="21"/>
                <w:szCs w:val="21"/>
              </w:rPr>
              <w:t>中文名</w:t>
            </w:r>
          </w:p>
        </w:tc>
        <w:tc>
          <w:tcPr>
            <w:tcW w:w="4065" w:type="dxa"/>
            <w:tcBorders>
              <w:top w:val="single" w:color="auto" w:sz="4" w:space="0"/>
            </w:tcBorders>
            <w:shd w:val="clear" w:color="auto" w:fill="auto"/>
            <w:vAlign w:val="center"/>
          </w:tcPr>
          <w:p w14:paraId="283932EB">
            <w:pPr>
              <w:spacing w:line="240" w:lineRule="auto"/>
              <w:ind w:firstLine="0" w:firstLineChars="0"/>
              <w:jc w:val="center"/>
              <w:rPr>
                <w:sz w:val="21"/>
                <w:szCs w:val="21"/>
              </w:rPr>
            </w:pPr>
            <w:r>
              <w:rPr>
                <w:sz w:val="21"/>
                <w:szCs w:val="21"/>
              </w:rPr>
              <w:t>拉丁名</w:t>
            </w:r>
          </w:p>
        </w:tc>
        <w:tc>
          <w:tcPr>
            <w:tcW w:w="1629" w:type="dxa"/>
            <w:tcBorders>
              <w:top w:val="single" w:color="auto" w:sz="4" w:space="0"/>
            </w:tcBorders>
            <w:shd w:val="clear" w:color="auto" w:fill="auto"/>
            <w:vAlign w:val="center"/>
          </w:tcPr>
          <w:p w14:paraId="32050AB1">
            <w:pPr>
              <w:spacing w:line="240" w:lineRule="auto"/>
              <w:ind w:firstLine="0" w:firstLineChars="0"/>
              <w:jc w:val="center"/>
              <w:rPr>
                <w:sz w:val="21"/>
                <w:szCs w:val="21"/>
              </w:rPr>
            </w:pPr>
            <w:r>
              <w:rPr>
                <w:sz w:val="21"/>
                <w:szCs w:val="21"/>
              </w:rPr>
              <w:t>物候期</w:t>
            </w:r>
          </w:p>
        </w:tc>
        <w:tc>
          <w:tcPr>
            <w:tcW w:w="1645" w:type="dxa"/>
            <w:tcBorders>
              <w:top w:val="single" w:color="auto" w:sz="4" w:space="0"/>
            </w:tcBorders>
            <w:shd w:val="clear" w:color="auto" w:fill="auto"/>
            <w:vAlign w:val="center"/>
          </w:tcPr>
          <w:p w14:paraId="06D94D0E">
            <w:pPr>
              <w:spacing w:line="240" w:lineRule="auto"/>
              <w:ind w:firstLine="0" w:firstLineChars="0"/>
              <w:jc w:val="center"/>
              <w:rPr>
                <w:sz w:val="21"/>
                <w:szCs w:val="21"/>
              </w:rPr>
            </w:pPr>
            <w:r>
              <w:rPr>
                <w:sz w:val="21"/>
                <w:szCs w:val="21"/>
              </w:rPr>
              <w:t>株（丛）数</w:t>
            </w:r>
          </w:p>
        </w:tc>
        <w:tc>
          <w:tcPr>
            <w:tcW w:w="1691" w:type="dxa"/>
            <w:tcBorders>
              <w:top w:val="single" w:color="auto" w:sz="4" w:space="0"/>
            </w:tcBorders>
            <w:shd w:val="clear" w:color="auto" w:fill="auto"/>
            <w:vAlign w:val="center"/>
          </w:tcPr>
          <w:p w14:paraId="3F25EB51">
            <w:pPr>
              <w:spacing w:line="240" w:lineRule="auto"/>
              <w:ind w:firstLine="0" w:firstLineChars="0"/>
              <w:jc w:val="center"/>
              <w:rPr>
                <w:sz w:val="21"/>
                <w:szCs w:val="21"/>
              </w:rPr>
            </w:pPr>
            <w:r>
              <w:rPr>
                <w:sz w:val="21"/>
                <w:szCs w:val="21"/>
              </w:rPr>
              <w:t>平均高度/cm</w:t>
            </w:r>
          </w:p>
        </w:tc>
        <w:tc>
          <w:tcPr>
            <w:tcW w:w="1369" w:type="dxa"/>
            <w:tcBorders>
              <w:top w:val="single" w:color="auto" w:sz="4" w:space="0"/>
            </w:tcBorders>
            <w:shd w:val="clear" w:color="auto" w:fill="auto"/>
            <w:vAlign w:val="center"/>
          </w:tcPr>
          <w:p w14:paraId="6008BF84">
            <w:pPr>
              <w:spacing w:line="240" w:lineRule="auto"/>
              <w:ind w:firstLine="0" w:firstLineChars="0"/>
              <w:jc w:val="center"/>
              <w:rPr>
                <w:sz w:val="21"/>
                <w:szCs w:val="21"/>
              </w:rPr>
            </w:pPr>
            <w:r>
              <w:rPr>
                <w:rFonts w:hint="eastAsia"/>
                <w:sz w:val="21"/>
                <w:szCs w:val="21"/>
              </w:rPr>
              <w:t>冠幅</w:t>
            </w:r>
            <w:r>
              <w:rPr>
                <w:sz w:val="21"/>
                <w:szCs w:val="21"/>
              </w:rPr>
              <w:t>/m</w:t>
            </w:r>
          </w:p>
        </w:tc>
        <w:tc>
          <w:tcPr>
            <w:tcW w:w="1423" w:type="dxa"/>
            <w:tcBorders>
              <w:top w:val="single" w:color="auto" w:sz="4" w:space="0"/>
            </w:tcBorders>
            <w:shd w:val="clear" w:color="auto" w:fill="auto"/>
            <w:vAlign w:val="center"/>
          </w:tcPr>
          <w:p w14:paraId="288994C2">
            <w:pPr>
              <w:spacing w:line="240" w:lineRule="auto"/>
              <w:ind w:firstLine="0" w:firstLineChars="0"/>
              <w:jc w:val="center"/>
              <w:rPr>
                <w:sz w:val="21"/>
                <w:szCs w:val="21"/>
              </w:rPr>
            </w:pPr>
            <w:r>
              <w:rPr>
                <w:rFonts w:hint="eastAsia"/>
                <w:sz w:val="21"/>
                <w:szCs w:val="21"/>
              </w:rPr>
              <w:t>总</w:t>
            </w:r>
            <w:r>
              <w:rPr>
                <w:sz w:val="21"/>
                <w:szCs w:val="21"/>
              </w:rPr>
              <w:t>盖度%</w:t>
            </w:r>
          </w:p>
        </w:tc>
      </w:tr>
      <w:tr w14:paraId="51F21F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640" w:type="dxa"/>
            <w:shd w:val="clear" w:color="auto" w:fill="auto"/>
            <w:vAlign w:val="center"/>
          </w:tcPr>
          <w:p w14:paraId="2218A1F6">
            <w:pPr>
              <w:spacing w:line="240" w:lineRule="auto"/>
              <w:ind w:firstLine="210" w:firstLineChars="100"/>
              <w:jc w:val="center"/>
              <w:rPr>
                <w:sz w:val="21"/>
                <w:szCs w:val="21"/>
              </w:rPr>
            </w:pPr>
            <w:r>
              <w:rPr>
                <w:sz w:val="21"/>
                <w:szCs w:val="21"/>
              </w:rPr>
              <w:t>1</w:t>
            </w:r>
          </w:p>
        </w:tc>
        <w:tc>
          <w:tcPr>
            <w:tcW w:w="1496" w:type="dxa"/>
            <w:shd w:val="clear" w:color="auto" w:fill="auto"/>
            <w:vAlign w:val="center"/>
          </w:tcPr>
          <w:p w14:paraId="7D2A561C">
            <w:pPr>
              <w:spacing w:line="240" w:lineRule="auto"/>
              <w:ind w:firstLine="0" w:firstLineChars="0"/>
              <w:jc w:val="center"/>
              <w:rPr>
                <w:sz w:val="21"/>
                <w:szCs w:val="21"/>
              </w:rPr>
            </w:pPr>
            <w:r>
              <w:rPr>
                <w:sz w:val="21"/>
                <w:szCs w:val="21"/>
              </w:rPr>
              <w:t>霸王</w:t>
            </w:r>
          </w:p>
        </w:tc>
        <w:tc>
          <w:tcPr>
            <w:tcW w:w="4065" w:type="dxa"/>
            <w:shd w:val="clear" w:color="auto" w:fill="auto"/>
          </w:tcPr>
          <w:p w14:paraId="0E0D4105">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p>
        </w:tc>
        <w:tc>
          <w:tcPr>
            <w:tcW w:w="1629" w:type="dxa"/>
            <w:shd w:val="clear" w:color="auto" w:fill="auto"/>
            <w:vAlign w:val="center"/>
          </w:tcPr>
          <w:p w14:paraId="4C52F9F8">
            <w:pPr>
              <w:spacing w:line="240" w:lineRule="auto"/>
              <w:ind w:firstLine="0" w:firstLineChars="0"/>
              <w:jc w:val="center"/>
              <w:rPr>
                <w:sz w:val="21"/>
                <w:szCs w:val="21"/>
              </w:rPr>
            </w:pPr>
            <w:r>
              <w:rPr>
                <w:rFonts w:hint="eastAsia"/>
                <w:sz w:val="21"/>
                <w:szCs w:val="21"/>
              </w:rPr>
              <w:t>花果期</w:t>
            </w:r>
          </w:p>
        </w:tc>
        <w:tc>
          <w:tcPr>
            <w:tcW w:w="1645" w:type="dxa"/>
            <w:shd w:val="clear" w:color="auto" w:fill="auto"/>
            <w:vAlign w:val="center"/>
          </w:tcPr>
          <w:p w14:paraId="4623B59C">
            <w:pPr>
              <w:spacing w:line="240" w:lineRule="auto"/>
              <w:ind w:firstLine="0" w:firstLineChars="0"/>
              <w:jc w:val="center"/>
              <w:rPr>
                <w:sz w:val="21"/>
                <w:szCs w:val="21"/>
              </w:rPr>
            </w:pPr>
            <w:r>
              <w:rPr>
                <w:rFonts w:hint="eastAsia"/>
                <w:sz w:val="21"/>
                <w:szCs w:val="21"/>
              </w:rPr>
              <w:t>3</w:t>
            </w:r>
          </w:p>
        </w:tc>
        <w:tc>
          <w:tcPr>
            <w:tcW w:w="1691" w:type="dxa"/>
            <w:shd w:val="clear" w:color="auto" w:fill="auto"/>
            <w:vAlign w:val="center"/>
          </w:tcPr>
          <w:p w14:paraId="7EAE4649">
            <w:pPr>
              <w:spacing w:line="240" w:lineRule="auto"/>
              <w:ind w:firstLine="0" w:firstLineChars="0"/>
              <w:jc w:val="center"/>
              <w:rPr>
                <w:sz w:val="21"/>
                <w:szCs w:val="21"/>
              </w:rPr>
            </w:pPr>
            <w:r>
              <w:rPr>
                <w:sz w:val="21"/>
                <w:szCs w:val="21"/>
              </w:rPr>
              <w:t>5</w:t>
            </w:r>
            <w:r>
              <w:rPr>
                <w:rFonts w:hint="eastAsia"/>
                <w:sz w:val="21"/>
                <w:szCs w:val="21"/>
              </w:rPr>
              <w:t>0</w:t>
            </w:r>
          </w:p>
        </w:tc>
        <w:tc>
          <w:tcPr>
            <w:tcW w:w="1369" w:type="dxa"/>
            <w:shd w:val="clear" w:color="auto" w:fill="auto"/>
            <w:vAlign w:val="center"/>
          </w:tcPr>
          <w:p w14:paraId="5A4BFE4F">
            <w:pPr>
              <w:spacing w:line="240" w:lineRule="auto"/>
              <w:ind w:firstLine="0" w:firstLineChars="0"/>
              <w:jc w:val="center"/>
              <w:rPr>
                <w:sz w:val="21"/>
                <w:szCs w:val="21"/>
              </w:rPr>
            </w:pPr>
            <w:r>
              <w:rPr>
                <w:sz w:val="21"/>
                <w:szCs w:val="21"/>
              </w:rPr>
              <w:t>0.</w:t>
            </w:r>
            <w:r>
              <w:rPr>
                <w:rFonts w:hint="eastAsia"/>
                <w:sz w:val="21"/>
                <w:szCs w:val="21"/>
              </w:rPr>
              <w:t>8×0.9</w:t>
            </w:r>
          </w:p>
        </w:tc>
        <w:tc>
          <w:tcPr>
            <w:tcW w:w="1423" w:type="dxa"/>
            <w:vMerge w:val="restart"/>
            <w:shd w:val="clear" w:color="auto" w:fill="auto"/>
            <w:vAlign w:val="center"/>
          </w:tcPr>
          <w:p w14:paraId="7FA6C6D8">
            <w:pPr>
              <w:spacing w:line="240" w:lineRule="auto"/>
              <w:ind w:firstLine="0" w:firstLineChars="0"/>
              <w:jc w:val="center"/>
              <w:rPr>
                <w:sz w:val="21"/>
                <w:szCs w:val="21"/>
              </w:rPr>
            </w:pPr>
            <w:r>
              <w:rPr>
                <w:rFonts w:hint="eastAsia"/>
                <w:sz w:val="21"/>
                <w:szCs w:val="21"/>
              </w:rPr>
              <w:t>6</w:t>
            </w:r>
          </w:p>
        </w:tc>
      </w:tr>
      <w:tr w14:paraId="4A1E28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081C16DF">
            <w:pPr>
              <w:spacing w:line="240" w:lineRule="auto"/>
              <w:ind w:firstLine="210" w:firstLineChars="100"/>
              <w:jc w:val="center"/>
              <w:rPr>
                <w:sz w:val="21"/>
                <w:szCs w:val="21"/>
              </w:rPr>
            </w:pPr>
            <w:r>
              <w:rPr>
                <w:sz w:val="21"/>
                <w:szCs w:val="21"/>
              </w:rPr>
              <w:t>2</w:t>
            </w:r>
          </w:p>
        </w:tc>
        <w:tc>
          <w:tcPr>
            <w:tcW w:w="1496" w:type="dxa"/>
            <w:shd w:val="clear" w:color="auto" w:fill="auto"/>
            <w:vAlign w:val="center"/>
          </w:tcPr>
          <w:p w14:paraId="4A0ECA71">
            <w:pPr>
              <w:spacing w:line="240" w:lineRule="auto"/>
              <w:ind w:firstLine="0" w:firstLineChars="0"/>
              <w:jc w:val="center"/>
              <w:rPr>
                <w:sz w:val="21"/>
                <w:szCs w:val="21"/>
              </w:rPr>
            </w:pPr>
            <w:r>
              <w:rPr>
                <w:rFonts w:hint="eastAsia"/>
                <w:sz w:val="21"/>
                <w:szCs w:val="21"/>
              </w:rPr>
              <w:t>沙冬青</w:t>
            </w:r>
          </w:p>
        </w:tc>
        <w:tc>
          <w:tcPr>
            <w:tcW w:w="4065" w:type="dxa"/>
            <w:shd w:val="clear" w:color="auto" w:fill="auto"/>
          </w:tcPr>
          <w:p w14:paraId="2F3C1C3D">
            <w:pPr>
              <w:spacing w:line="240" w:lineRule="auto"/>
              <w:ind w:firstLine="0" w:firstLineChars="0"/>
              <w:jc w:val="center"/>
              <w:rPr>
                <w:i/>
                <w:sz w:val="21"/>
                <w:szCs w:val="21"/>
              </w:rPr>
            </w:pPr>
            <w:r>
              <w:rPr>
                <w:i/>
                <w:iCs/>
                <w:sz w:val="21"/>
                <w:szCs w:val="21"/>
              </w:rPr>
              <w:t>Ammopiptanthus mongolicus (Maxim. ex Kom.) Cheng f.</w:t>
            </w:r>
          </w:p>
        </w:tc>
        <w:tc>
          <w:tcPr>
            <w:tcW w:w="1629" w:type="dxa"/>
            <w:shd w:val="clear" w:color="auto" w:fill="auto"/>
            <w:vAlign w:val="center"/>
          </w:tcPr>
          <w:p w14:paraId="4BB2F8D5">
            <w:pPr>
              <w:spacing w:line="240" w:lineRule="auto"/>
              <w:ind w:firstLine="0" w:firstLineChars="0"/>
              <w:jc w:val="center"/>
              <w:rPr>
                <w:sz w:val="21"/>
                <w:szCs w:val="21"/>
              </w:rPr>
            </w:pPr>
            <w:r>
              <w:rPr>
                <w:rFonts w:hint="eastAsia"/>
                <w:sz w:val="21"/>
                <w:szCs w:val="21"/>
              </w:rPr>
              <w:t>花果期</w:t>
            </w:r>
          </w:p>
        </w:tc>
        <w:tc>
          <w:tcPr>
            <w:tcW w:w="1645" w:type="dxa"/>
            <w:shd w:val="clear" w:color="auto" w:fill="auto"/>
            <w:vAlign w:val="center"/>
          </w:tcPr>
          <w:p w14:paraId="79AD3831">
            <w:pPr>
              <w:spacing w:line="240" w:lineRule="auto"/>
              <w:ind w:firstLine="0" w:firstLineChars="0"/>
              <w:jc w:val="center"/>
              <w:rPr>
                <w:sz w:val="21"/>
                <w:szCs w:val="21"/>
              </w:rPr>
            </w:pPr>
            <w:r>
              <w:rPr>
                <w:rFonts w:hint="eastAsia"/>
                <w:sz w:val="21"/>
                <w:szCs w:val="21"/>
              </w:rPr>
              <w:t>1</w:t>
            </w:r>
          </w:p>
        </w:tc>
        <w:tc>
          <w:tcPr>
            <w:tcW w:w="1691" w:type="dxa"/>
            <w:shd w:val="clear" w:color="auto" w:fill="auto"/>
            <w:vAlign w:val="center"/>
          </w:tcPr>
          <w:p w14:paraId="18272A93">
            <w:pPr>
              <w:spacing w:line="240" w:lineRule="auto"/>
              <w:ind w:firstLine="0" w:firstLineChars="0"/>
              <w:jc w:val="center"/>
              <w:rPr>
                <w:sz w:val="21"/>
                <w:szCs w:val="21"/>
              </w:rPr>
            </w:pPr>
            <w:r>
              <w:rPr>
                <w:sz w:val="21"/>
                <w:szCs w:val="21"/>
              </w:rPr>
              <w:t>2</w:t>
            </w:r>
            <w:r>
              <w:rPr>
                <w:rFonts w:hint="eastAsia"/>
                <w:sz w:val="21"/>
                <w:szCs w:val="21"/>
              </w:rPr>
              <w:t>2</w:t>
            </w:r>
          </w:p>
        </w:tc>
        <w:tc>
          <w:tcPr>
            <w:tcW w:w="1369" w:type="dxa"/>
            <w:shd w:val="clear" w:color="auto" w:fill="auto"/>
            <w:vAlign w:val="center"/>
          </w:tcPr>
          <w:p w14:paraId="4C74F617">
            <w:pPr>
              <w:spacing w:line="240" w:lineRule="auto"/>
              <w:ind w:firstLine="0" w:firstLineChars="0"/>
              <w:jc w:val="center"/>
              <w:rPr>
                <w:sz w:val="21"/>
                <w:szCs w:val="21"/>
              </w:rPr>
            </w:pPr>
            <w:r>
              <w:rPr>
                <w:sz w:val="21"/>
                <w:szCs w:val="21"/>
              </w:rPr>
              <w:t>0.</w:t>
            </w:r>
            <w:r>
              <w:rPr>
                <w:rFonts w:hint="eastAsia"/>
                <w:sz w:val="21"/>
                <w:szCs w:val="21"/>
              </w:rPr>
              <w:t>3×0.2</w:t>
            </w:r>
          </w:p>
        </w:tc>
        <w:tc>
          <w:tcPr>
            <w:tcW w:w="1423" w:type="dxa"/>
            <w:vMerge w:val="continue"/>
            <w:shd w:val="clear" w:color="auto" w:fill="auto"/>
            <w:vAlign w:val="center"/>
          </w:tcPr>
          <w:p w14:paraId="7181E3AE">
            <w:pPr>
              <w:spacing w:line="240" w:lineRule="auto"/>
              <w:ind w:firstLine="0" w:firstLineChars="0"/>
              <w:jc w:val="center"/>
              <w:rPr>
                <w:sz w:val="21"/>
                <w:szCs w:val="21"/>
              </w:rPr>
            </w:pPr>
          </w:p>
        </w:tc>
      </w:tr>
    </w:tbl>
    <w:p w14:paraId="4A31D367">
      <w:pPr>
        <w:ind w:firstLine="0" w:firstLineChars="0"/>
        <w:jc w:val="center"/>
      </w:pPr>
      <w:r>
        <w:drawing>
          <wp:inline distT="0" distB="0" distL="0" distR="0">
            <wp:extent cx="5939790" cy="3959860"/>
            <wp:effectExtent l="0" t="0" r="3810" b="2540"/>
            <wp:docPr id="727573976" name="图片 4" descr="一棵树&#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73976" name="图片 4" descr="一棵树&#10;&#10;低可信度描述已自动生成"/>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3B004BCD">
      <w:pPr>
        <w:ind w:firstLine="0" w:firstLineChars="0"/>
        <w:jc w:val="center"/>
      </w:pPr>
      <w:r>
        <w:rPr>
          <w:rFonts w:hint="eastAsia"/>
        </w:rPr>
        <w:t>样方2</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363"/>
        <w:gridCol w:w="4338"/>
        <w:gridCol w:w="1446"/>
        <w:gridCol w:w="1688"/>
        <w:gridCol w:w="1932"/>
        <w:gridCol w:w="1372"/>
        <w:gridCol w:w="1179"/>
      </w:tblGrid>
      <w:tr w14:paraId="0B411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341" w:type="dxa"/>
            <w:gridSpan w:val="3"/>
            <w:tcBorders>
              <w:top w:val="single" w:color="auto" w:sz="12" w:space="0"/>
              <w:bottom w:val="nil"/>
              <w:right w:val="nil"/>
            </w:tcBorders>
            <w:shd w:val="clear" w:color="auto" w:fill="auto"/>
            <w:vAlign w:val="center"/>
          </w:tcPr>
          <w:p w14:paraId="60C14D60">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w:t>
            </w:r>
            <w:r>
              <w:rPr>
                <w:sz w:val="21"/>
                <w:szCs w:val="21"/>
              </w:rPr>
              <w:t>+</w:t>
            </w:r>
            <w:r>
              <w:rPr>
                <w:rFonts w:hint="eastAsia"/>
                <w:sz w:val="21"/>
                <w:szCs w:val="21"/>
              </w:rPr>
              <w:t>沙冬青群落</w:t>
            </w:r>
          </w:p>
        </w:tc>
        <w:tc>
          <w:tcPr>
            <w:tcW w:w="3134" w:type="dxa"/>
            <w:gridSpan w:val="2"/>
            <w:tcBorders>
              <w:top w:val="single" w:color="auto" w:sz="12" w:space="0"/>
              <w:left w:val="nil"/>
              <w:bottom w:val="nil"/>
              <w:right w:val="nil"/>
            </w:tcBorders>
            <w:shd w:val="clear" w:color="auto" w:fill="auto"/>
            <w:vAlign w:val="center"/>
          </w:tcPr>
          <w:p w14:paraId="0F837144">
            <w:pPr>
              <w:spacing w:line="240" w:lineRule="auto"/>
              <w:ind w:firstLine="420"/>
              <w:jc w:val="center"/>
              <w:rPr>
                <w:sz w:val="21"/>
                <w:szCs w:val="21"/>
              </w:rPr>
            </w:pPr>
            <w:r>
              <w:rPr>
                <w:sz w:val="21"/>
                <w:szCs w:val="21"/>
              </w:rPr>
              <w:t>样方号：3</w:t>
            </w:r>
          </w:p>
        </w:tc>
        <w:tc>
          <w:tcPr>
            <w:tcW w:w="4483" w:type="dxa"/>
            <w:gridSpan w:val="3"/>
            <w:tcBorders>
              <w:top w:val="single" w:color="auto" w:sz="12" w:space="0"/>
              <w:left w:val="nil"/>
              <w:bottom w:val="nil"/>
            </w:tcBorders>
            <w:shd w:val="clear" w:color="auto" w:fill="auto"/>
            <w:vAlign w:val="center"/>
          </w:tcPr>
          <w:p w14:paraId="484A1BE9">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4E095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341" w:type="dxa"/>
            <w:gridSpan w:val="3"/>
            <w:tcBorders>
              <w:top w:val="nil"/>
              <w:bottom w:val="nil"/>
              <w:right w:val="nil"/>
            </w:tcBorders>
            <w:shd w:val="clear" w:color="auto" w:fill="auto"/>
            <w:vAlign w:val="center"/>
          </w:tcPr>
          <w:p w14:paraId="1E0254DC">
            <w:pPr>
              <w:spacing w:line="240" w:lineRule="auto"/>
              <w:ind w:firstLine="420"/>
              <w:jc w:val="center"/>
              <w:rPr>
                <w:sz w:val="21"/>
                <w:szCs w:val="21"/>
              </w:rPr>
            </w:pPr>
            <w:r>
              <w:rPr>
                <w:sz w:val="21"/>
                <w:szCs w:val="21"/>
              </w:rPr>
              <w:t>经度：</w:t>
            </w:r>
            <w:r>
              <w:rPr>
                <w:rFonts w:eastAsia="等线"/>
                <w:kern w:val="0"/>
                <w:sz w:val="21"/>
                <w:szCs w:val="21"/>
                <w:lang w:bidi="ar"/>
              </w:rPr>
              <w:t>106°47′53.77520″</w:t>
            </w:r>
          </w:p>
        </w:tc>
        <w:tc>
          <w:tcPr>
            <w:tcW w:w="3134" w:type="dxa"/>
            <w:gridSpan w:val="2"/>
            <w:tcBorders>
              <w:top w:val="nil"/>
              <w:left w:val="nil"/>
              <w:bottom w:val="nil"/>
              <w:right w:val="nil"/>
            </w:tcBorders>
            <w:shd w:val="clear" w:color="auto" w:fill="auto"/>
            <w:vAlign w:val="center"/>
          </w:tcPr>
          <w:p w14:paraId="6CF0E8A6">
            <w:pPr>
              <w:spacing w:line="240" w:lineRule="auto"/>
              <w:ind w:firstLine="420"/>
              <w:jc w:val="center"/>
              <w:rPr>
                <w:sz w:val="21"/>
                <w:szCs w:val="21"/>
              </w:rPr>
            </w:pPr>
            <w:r>
              <w:rPr>
                <w:sz w:val="21"/>
                <w:szCs w:val="21"/>
              </w:rPr>
              <w:t>纬度：</w:t>
            </w:r>
            <w:r>
              <w:rPr>
                <w:rFonts w:eastAsia="等线"/>
                <w:kern w:val="0"/>
                <w:sz w:val="21"/>
                <w:szCs w:val="21"/>
                <w:lang w:bidi="ar"/>
              </w:rPr>
              <w:t>40°1′16.06597″</w:t>
            </w:r>
          </w:p>
        </w:tc>
        <w:tc>
          <w:tcPr>
            <w:tcW w:w="4483" w:type="dxa"/>
            <w:gridSpan w:val="3"/>
            <w:tcBorders>
              <w:top w:val="nil"/>
              <w:left w:val="nil"/>
              <w:bottom w:val="nil"/>
            </w:tcBorders>
            <w:shd w:val="clear" w:color="auto" w:fill="auto"/>
            <w:vAlign w:val="center"/>
          </w:tcPr>
          <w:p w14:paraId="4BC66618">
            <w:pPr>
              <w:spacing w:line="240" w:lineRule="auto"/>
              <w:ind w:firstLine="420"/>
              <w:jc w:val="center"/>
              <w:rPr>
                <w:sz w:val="21"/>
                <w:szCs w:val="21"/>
              </w:rPr>
            </w:pPr>
            <w:r>
              <w:rPr>
                <w:sz w:val="21"/>
                <w:szCs w:val="21"/>
              </w:rPr>
              <w:t>海拔：</w:t>
            </w:r>
            <w:r>
              <w:rPr>
                <w:rFonts w:hint="eastAsia"/>
                <w:sz w:val="21"/>
                <w:szCs w:val="21"/>
              </w:rPr>
              <w:t>11</w:t>
            </w:r>
            <w:r>
              <w:rPr>
                <w:sz w:val="21"/>
                <w:szCs w:val="21"/>
              </w:rPr>
              <w:t>42 m</w:t>
            </w:r>
          </w:p>
        </w:tc>
      </w:tr>
      <w:tr w14:paraId="6BF40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7" w:type="dxa"/>
            <w:gridSpan w:val="4"/>
            <w:tcBorders>
              <w:top w:val="nil"/>
              <w:bottom w:val="single" w:color="auto" w:sz="4" w:space="0"/>
              <w:right w:val="nil"/>
            </w:tcBorders>
            <w:shd w:val="clear" w:color="auto" w:fill="auto"/>
            <w:vAlign w:val="center"/>
          </w:tcPr>
          <w:p w14:paraId="1D38473F">
            <w:pPr>
              <w:spacing w:line="240" w:lineRule="auto"/>
              <w:ind w:firstLine="420"/>
              <w:jc w:val="center"/>
              <w:rPr>
                <w:sz w:val="21"/>
                <w:szCs w:val="21"/>
              </w:rPr>
            </w:pPr>
            <w:r>
              <w:rPr>
                <w:sz w:val="21"/>
                <w:szCs w:val="21"/>
              </w:rPr>
              <w:t>调查人：苏斯图</w:t>
            </w:r>
          </w:p>
        </w:tc>
        <w:tc>
          <w:tcPr>
            <w:tcW w:w="1688" w:type="dxa"/>
            <w:tcBorders>
              <w:top w:val="nil"/>
              <w:left w:val="nil"/>
              <w:bottom w:val="single" w:color="auto" w:sz="4" w:space="0"/>
              <w:right w:val="nil"/>
            </w:tcBorders>
            <w:shd w:val="clear" w:color="auto" w:fill="auto"/>
            <w:vAlign w:val="center"/>
          </w:tcPr>
          <w:p w14:paraId="30D2E766">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645A1B36">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0</w:t>
            </w:r>
          </w:p>
        </w:tc>
      </w:tr>
      <w:tr w14:paraId="77F57D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66F51D48">
            <w:pPr>
              <w:spacing w:line="240" w:lineRule="auto"/>
              <w:ind w:firstLine="0" w:firstLineChars="0"/>
              <w:jc w:val="center"/>
              <w:rPr>
                <w:sz w:val="21"/>
                <w:szCs w:val="21"/>
              </w:rPr>
            </w:pPr>
            <w:r>
              <w:rPr>
                <w:sz w:val="21"/>
                <w:szCs w:val="21"/>
              </w:rPr>
              <w:t>种号</w:t>
            </w:r>
          </w:p>
        </w:tc>
        <w:tc>
          <w:tcPr>
            <w:tcW w:w="1363" w:type="dxa"/>
            <w:tcBorders>
              <w:top w:val="single" w:color="auto" w:sz="4" w:space="0"/>
            </w:tcBorders>
            <w:shd w:val="clear" w:color="auto" w:fill="auto"/>
            <w:vAlign w:val="center"/>
          </w:tcPr>
          <w:p w14:paraId="60BE43FE">
            <w:pPr>
              <w:spacing w:line="240" w:lineRule="auto"/>
              <w:ind w:firstLine="0" w:firstLineChars="0"/>
              <w:jc w:val="center"/>
              <w:rPr>
                <w:sz w:val="21"/>
                <w:szCs w:val="21"/>
              </w:rPr>
            </w:pPr>
            <w:r>
              <w:rPr>
                <w:sz w:val="21"/>
                <w:szCs w:val="21"/>
              </w:rPr>
              <w:t>中文名</w:t>
            </w:r>
          </w:p>
        </w:tc>
        <w:tc>
          <w:tcPr>
            <w:tcW w:w="4338" w:type="dxa"/>
            <w:tcBorders>
              <w:top w:val="single" w:color="auto" w:sz="4" w:space="0"/>
            </w:tcBorders>
            <w:shd w:val="clear" w:color="auto" w:fill="auto"/>
            <w:vAlign w:val="center"/>
          </w:tcPr>
          <w:p w14:paraId="20E3BB89">
            <w:pPr>
              <w:spacing w:line="240" w:lineRule="auto"/>
              <w:ind w:firstLine="0" w:firstLineChars="0"/>
              <w:jc w:val="center"/>
              <w:rPr>
                <w:sz w:val="21"/>
                <w:szCs w:val="21"/>
              </w:rPr>
            </w:pPr>
            <w:r>
              <w:rPr>
                <w:sz w:val="21"/>
                <w:szCs w:val="21"/>
              </w:rPr>
              <w:t>拉丁名</w:t>
            </w:r>
          </w:p>
        </w:tc>
        <w:tc>
          <w:tcPr>
            <w:tcW w:w="1446" w:type="dxa"/>
            <w:tcBorders>
              <w:top w:val="single" w:color="auto" w:sz="4" w:space="0"/>
            </w:tcBorders>
            <w:shd w:val="clear" w:color="auto" w:fill="auto"/>
            <w:vAlign w:val="center"/>
          </w:tcPr>
          <w:p w14:paraId="5A40B217">
            <w:pPr>
              <w:spacing w:line="240" w:lineRule="auto"/>
              <w:ind w:firstLine="0" w:firstLineChars="0"/>
              <w:jc w:val="center"/>
              <w:rPr>
                <w:sz w:val="21"/>
                <w:szCs w:val="21"/>
              </w:rPr>
            </w:pPr>
            <w:r>
              <w:rPr>
                <w:sz w:val="21"/>
                <w:szCs w:val="21"/>
              </w:rPr>
              <w:t>物候期</w:t>
            </w:r>
          </w:p>
        </w:tc>
        <w:tc>
          <w:tcPr>
            <w:tcW w:w="1688" w:type="dxa"/>
            <w:tcBorders>
              <w:top w:val="single" w:color="auto" w:sz="4" w:space="0"/>
            </w:tcBorders>
            <w:shd w:val="clear" w:color="auto" w:fill="auto"/>
            <w:vAlign w:val="center"/>
          </w:tcPr>
          <w:p w14:paraId="225D16EA">
            <w:pPr>
              <w:spacing w:line="240" w:lineRule="auto"/>
              <w:ind w:firstLine="0" w:firstLineChars="0"/>
              <w:jc w:val="center"/>
              <w:rPr>
                <w:sz w:val="21"/>
                <w:szCs w:val="21"/>
              </w:rPr>
            </w:pPr>
            <w:r>
              <w:rPr>
                <w:sz w:val="21"/>
                <w:szCs w:val="21"/>
              </w:rPr>
              <w:t>株（丛）数</w:t>
            </w:r>
          </w:p>
        </w:tc>
        <w:tc>
          <w:tcPr>
            <w:tcW w:w="1932" w:type="dxa"/>
            <w:tcBorders>
              <w:top w:val="single" w:color="auto" w:sz="4" w:space="0"/>
            </w:tcBorders>
            <w:shd w:val="clear" w:color="auto" w:fill="auto"/>
            <w:vAlign w:val="center"/>
          </w:tcPr>
          <w:p w14:paraId="1A2382A3">
            <w:pPr>
              <w:spacing w:line="240" w:lineRule="auto"/>
              <w:ind w:firstLine="0" w:firstLineChars="0"/>
              <w:jc w:val="center"/>
              <w:rPr>
                <w:sz w:val="21"/>
                <w:szCs w:val="21"/>
              </w:rPr>
            </w:pPr>
            <w:r>
              <w:rPr>
                <w:sz w:val="21"/>
                <w:szCs w:val="21"/>
              </w:rPr>
              <w:t>平均高度/cm</w:t>
            </w:r>
          </w:p>
        </w:tc>
        <w:tc>
          <w:tcPr>
            <w:tcW w:w="1372" w:type="dxa"/>
            <w:tcBorders>
              <w:top w:val="single" w:color="auto" w:sz="4" w:space="0"/>
            </w:tcBorders>
            <w:shd w:val="clear" w:color="auto" w:fill="auto"/>
            <w:vAlign w:val="center"/>
          </w:tcPr>
          <w:p w14:paraId="2D858580">
            <w:pPr>
              <w:spacing w:line="240" w:lineRule="auto"/>
              <w:ind w:firstLine="0" w:firstLineChars="0"/>
              <w:jc w:val="center"/>
              <w:rPr>
                <w:sz w:val="21"/>
                <w:szCs w:val="21"/>
              </w:rPr>
            </w:pPr>
            <w:r>
              <w:rPr>
                <w:rFonts w:hint="eastAsia"/>
                <w:sz w:val="21"/>
                <w:szCs w:val="21"/>
              </w:rPr>
              <w:t>冠幅</w:t>
            </w:r>
            <w:r>
              <w:rPr>
                <w:sz w:val="21"/>
                <w:szCs w:val="21"/>
              </w:rPr>
              <w:t>/m</w:t>
            </w:r>
          </w:p>
        </w:tc>
        <w:tc>
          <w:tcPr>
            <w:tcW w:w="1179" w:type="dxa"/>
            <w:tcBorders>
              <w:top w:val="single" w:color="auto" w:sz="4" w:space="0"/>
            </w:tcBorders>
            <w:shd w:val="clear" w:color="auto" w:fill="auto"/>
            <w:vAlign w:val="center"/>
          </w:tcPr>
          <w:p w14:paraId="7339139C">
            <w:pPr>
              <w:spacing w:line="240" w:lineRule="auto"/>
              <w:ind w:firstLine="0" w:firstLineChars="0"/>
              <w:jc w:val="center"/>
              <w:rPr>
                <w:sz w:val="21"/>
                <w:szCs w:val="21"/>
              </w:rPr>
            </w:pPr>
            <w:r>
              <w:rPr>
                <w:rFonts w:hint="eastAsia"/>
                <w:sz w:val="21"/>
                <w:szCs w:val="21"/>
              </w:rPr>
              <w:t>总</w:t>
            </w:r>
            <w:r>
              <w:rPr>
                <w:sz w:val="21"/>
                <w:szCs w:val="21"/>
              </w:rPr>
              <w:t>盖度%</w:t>
            </w:r>
          </w:p>
        </w:tc>
      </w:tr>
      <w:tr w14:paraId="56DF6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640" w:type="dxa"/>
            <w:shd w:val="clear" w:color="auto" w:fill="auto"/>
            <w:vAlign w:val="center"/>
          </w:tcPr>
          <w:p w14:paraId="018DA43D">
            <w:pPr>
              <w:spacing w:line="240" w:lineRule="auto"/>
              <w:ind w:firstLine="210" w:firstLineChars="100"/>
              <w:jc w:val="center"/>
              <w:rPr>
                <w:sz w:val="21"/>
                <w:szCs w:val="21"/>
              </w:rPr>
            </w:pPr>
            <w:r>
              <w:rPr>
                <w:sz w:val="21"/>
                <w:szCs w:val="21"/>
              </w:rPr>
              <w:t>1</w:t>
            </w:r>
          </w:p>
        </w:tc>
        <w:tc>
          <w:tcPr>
            <w:tcW w:w="1363" w:type="dxa"/>
            <w:shd w:val="clear" w:color="auto" w:fill="auto"/>
            <w:vAlign w:val="center"/>
          </w:tcPr>
          <w:p w14:paraId="181B3B0A">
            <w:pPr>
              <w:spacing w:line="240" w:lineRule="auto"/>
              <w:ind w:firstLine="0" w:firstLineChars="0"/>
              <w:jc w:val="center"/>
              <w:rPr>
                <w:sz w:val="21"/>
                <w:szCs w:val="21"/>
              </w:rPr>
            </w:pPr>
            <w:r>
              <w:rPr>
                <w:sz w:val="21"/>
                <w:szCs w:val="21"/>
              </w:rPr>
              <w:t>霸王</w:t>
            </w:r>
          </w:p>
        </w:tc>
        <w:tc>
          <w:tcPr>
            <w:tcW w:w="4338" w:type="dxa"/>
            <w:shd w:val="clear" w:color="auto" w:fill="auto"/>
          </w:tcPr>
          <w:p w14:paraId="352640B3">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p>
        </w:tc>
        <w:tc>
          <w:tcPr>
            <w:tcW w:w="1446" w:type="dxa"/>
            <w:shd w:val="clear" w:color="auto" w:fill="auto"/>
            <w:vAlign w:val="center"/>
          </w:tcPr>
          <w:p w14:paraId="305B978C">
            <w:pPr>
              <w:spacing w:line="240" w:lineRule="auto"/>
              <w:ind w:firstLine="0" w:firstLineChars="0"/>
              <w:jc w:val="center"/>
              <w:rPr>
                <w:sz w:val="21"/>
                <w:szCs w:val="21"/>
              </w:rPr>
            </w:pPr>
            <w:r>
              <w:rPr>
                <w:rFonts w:hint="eastAsia"/>
                <w:sz w:val="21"/>
                <w:szCs w:val="21"/>
              </w:rPr>
              <w:t>花果期</w:t>
            </w:r>
          </w:p>
        </w:tc>
        <w:tc>
          <w:tcPr>
            <w:tcW w:w="1688" w:type="dxa"/>
            <w:shd w:val="clear" w:color="auto" w:fill="auto"/>
            <w:vAlign w:val="center"/>
          </w:tcPr>
          <w:p w14:paraId="51042DC6">
            <w:pPr>
              <w:spacing w:line="240" w:lineRule="auto"/>
              <w:ind w:firstLine="0" w:firstLineChars="0"/>
              <w:jc w:val="center"/>
              <w:rPr>
                <w:sz w:val="21"/>
                <w:szCs w:val="21"/>
              </w:rPr>
            </w:pPr>
            <w:r>
              <w:rPr>
                <w:rFonts w:hint="eastAsia"/>
                <w:sz w:val="21"/>
                <w:szCs w:val="21"/>
              </w:rPr>
              <w:t>8</w:t>
            </w:r>
          </w:p>
        </w:tc>
        <w:tc>
          <w:tcPr>
            <w:tcW w:w="1932" w:type="dxa"/>
            <w:shd w:val="clear" w:color="auto" w:fill="auto"/>
            <w:vAlign w:val="center"/>
          </w:tcPr>
          <w:p w14:paraId="15720454">
            <w:pPr>
              <w:spacing w:line="240" w:lineRule="auto"/>
              <w:ind w:firstLine="0" w:firstLineChars="0"/>
              <w:jc w:val="center"/>
              <w:rPr>
                <w:sz w:val="21"/>
                <w:szCs w:val="21"/>
              </w:rPr>
            </w:pPr>
            <w:r>
              <w:rPr>
                <w:rFonts w:hint="eastAsia"/>
                <w:sz w:val="21"/>
                <w:szCs w:val="21"/>
              </w:rPr>
              <w:t>46</w:t>
            </w:r>
          </w:p>
        </w:tc>
        <w:tc>
          <w:tcPr>
            <w:tcW w:w="1372" w:type="dxa"/>
            <w:shd w:val="clear" w:color="auto" w:fill="auto"/>
            <w:vAlign w:val="center"/>
          </w:tcPr>
          <w:p w14:paraId="1F895589">
            <w:pPr>
              <w:spacing w:line="240" w:lineRule="auto"/>
              <w:ind w:firstLine="0" w:firstLineChars="0"/>
              <w:jc w:val="center"/>
              <w:rPr>
                <w:sz w:val="21"/>
                <w:szCs w:val="21"/>
              </w:rPr>
            </w:pPr>
            <w:r>
              <w:rPr>
                <w:sz w:val="21"/>
                <w:szCs w:val="21"/>
              </w:rPr>
              <w:t>0.</w:t>
            </w:r>
            <w:r>
              <w:rPr>
                <w:rFonts w:hint="eastAsia"/>
                <w:sz w:val="21"/>
                <w:szCs w:val="21"/>
              </w:rPr>
              <w:t>65×0.5</w:t>
            </w:r>
          </w:p>
        </w:tc>
        <w:tc>
          <w:tcPr>
            <w:tcW w:w="1179" w:type="dxa"/>
            <w:vMerge w:val="restart"/>
            <w:shd w:val="clear" w:color="auto" w:fill="auto"/>
            <w:vAlign w:val="center"/>
          </w:tcPr>
          <w:p w14:paraId="0B756DD6">
            <w:pPr>
              <w:spacing w:line="240" w:lineRule="auto"/>
              <w:ind w:firstLine="0" w:firstLineChars="0"/>
              <w:jc w:val="center"/>
              <w:rPr>
                <w:sz w:val="21"/>
                <w:szCs w:val="21"/>
              </w:rPr>
            </w:pPr>
            <w:r>
              <w:rPr>
                <w:rFonts w:hint="eastAsia"/>
                <w:sz w:val="21"/>
                <w:szCs w:val="21"/>
              </w:rPr>
              <w:t>8</w:t>
            </w:r>
          </w:p>
        </w:tc>
      </w:tr>
      <w:tr w14:paraId="5F5F73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1A27F435">
            <w:pPr>
              <w:spacing w:line="240" w:lineRule="auto"/>
              <w:ind w:firstLine="210" w:firstLineChars="100"/>
              <w:jc w:val="center"/>
              <w:rPr>
                <w:sz w:val="21"/>
                <w:szCs w:val="21"/>
              </w:rPr>
            </w:pPr>
            <w:r>
              <w:rPr>
                <w:sz w:val="21"/>
                <w:szCs w:val="21"/>
              </w:rPr>
              <w:t>2</w:t>
            </w:r>
          </w:p>
        </w:tc>
        <w:tc>
          <w:tcPr>
            <w:tcW w:w="1363" w:type="dxa"/>
            <w:shd w:val="clear" w:color="auto" w:fill="auto"/>
            <w:vAlign w:val="center"/>
          </w:tcPr>
          <w:p w14:paraId="67C334B4">
            <w:pPr>
              <w:spacing w:line="240" w:lineRule="auto"/>
              <w:ind w:firstLine="0" w:firstLineChars="0"/>
              <w:jc w:val="center"/>
              <w:rPr>
                <w:sz w:val="21"/>
                <w:szCs w:val="21"/>
              </w:rPr>
            </w:pPr>
            <w:r>
              <w:rPr>
                <w:rFonts w:hint="eastAsia"/>
                <w:sz w:val="21"/>
                <w:szCs w:val="21"/>
              </w:rPr>
              <w:t>沙冬青</w:t>
            </w:r>
          </w:p>
        </w:tc>
        <w:tc>
          <w:tcPr>
            <w:tcW w:w="4338" w:type="dxa"/>
            <w:shd w:val="clear" w:color="auto" w:fill="auto"/>
          </w:tcPr>
          <w:p w14:paraId="5FE2CCC4">
            <w:pPr>
              <w:spacing w:line="240" w:lineRule="auto"/>
              <w:ind w:firstLine="0" w:firstLineChars="0"/>
              <w:jc w:val="center"/>
              <w:rPr>
                <w:i/>
                <w:sz w:val="21"/>
                <w:szCs w:val="21"/>
              </w:rPr>
            </w:pPr>
            <w:r>
              <w:rPr>
                <w:i/>
                <w:iCs/>
                <w:sz w:val="21"/>
                <w:szCs w:val="21"/>
              </w:rPr>
              <w:t>Ammopiptanthus mongolicus (Maxim. ex Kom.) Cheng f.</w:t>
            </w:r>
          </w:p>
        </w:tc>
        <w:tc>
          <w:tcPr>
            <w:tcW w:w="1446" w:type="dxa"/>
            <w:shd w:val="clear" w:color="auto" w:fill="auto"/>
            <w:vAlign w:val="center"/>
          </w:tcPr>
          <w:p w14:paraId="48CA291B">
            <w:pPr>
              <w:spacing w:line="240" w:lineRule="auto"/>
              <w:ind w:firstLine="0" w:firstLineChars="0"/>
              <w:jc w:val="center"/>
              <w:rPr>
                <w:sz w:val="21"/>
                <w:szCs w:val="21"/>
              </w:rPr>
            </w:pPr>
            <w:r>
              <w:rPr>
                <w:rFonts w:hint="eastAsia"/>
                <w:sz w:val="21"/>
                <w:szCs w:val="21"/>
              </w:rPr>
              <w:t>花果期</w:t>
            </w:r>
          </w:p>
        </w:tc>
        <w:tc>
          <w:tcPr>
            <w:tcW w:w="1688" w:type="dxa"/>
            <w:shd w:val="clear" w:color="auto" w:fill="auto"/>
            <w:vAlign w:val="center"/>
          </w:tcPr>
          <w:p w14:paraId="4C0F5C54">
            <w:pPr>
              <w:spacing w:line="240" w:lineRule="auto"/>
              <w:ind w:firstLine="0" w:firstLineChars="0"/>
              <w:jc w:val="center"/>
              <w:rPr>
                <w:sz w:val="21"/>
                <w:szCs w:val="21"/>
              </w:rPr>
            </w:pPr>
            <w:r>
              <w:rPr>
                <w:rFonts w:hint="eastAsia"/>
                <w:sz w:val="21"/>
                <w:szCs w:val="21"/>
              </w:rPr>
              <w:t>2</w:t>
            </w:r>
          </w:p>
        </w:tc>
        <w:tc>
          <w:tcPr>
            <w:tcW w:w="1932" w:type="dxa"/>
            <w:shd w:val="clear" w:color="auto" w:fill="auto"/>
            <w:vAlign w:val="center"/>
          </w:tcPr>
          <w:p w14:paraId="3ED1BFCB">
            <w:pPr>
              <w:spacing w:line="240" w:lineRule="auto"/>
              <w:ind w:firstLine="0" w:firstLineChars="0"/>
              <w:jc w:val="center"/>
              <w:rPr>
                <w:sz w:val="21"/>
                <w:szCs w:val="21"/>
              </w:rPr>
            </w:pPr>
            <w:r>
              <w:rPr>
                <w:sz w:val="21"/>
                <w:szCs w:val="21"/>
              </w:rPr>
              <w:t>2</w:t>
            </w:r>
            <w:r>
              <w:rPr>
                <w:rFonts w:hint="eastAsia"/>
                <w:sz w:val="21"/>
                <w:szCs w:val="21"/>
              </w:rPr>
              <w:t>1</w:t>
            </w:r>
          </w:p>
        </w:tc>
        <w:tc>
          <w:tcPr>
            <w:tcW w:w="1372" w:type="dxa"/>
            <w:shd w:val="clear" w:color="auto" w:fill="auto"/>
            <w:vAlign w:val="center"/>
          </w:tcPr>
          <w:p w14:paraId="6FC1A8E5">
            <w:pPr>
              <w:spacing w:line="240" w:lineRule="auto"/>
              <w:ind w:firstLine="0" w:firstLineChars="0"/>
              <w:jc w:val="center"/>
              <w:rPr>
                <w:sz w:val="21"/>
                <w:szCs w:val="21"/>
              </w:rPr>
            </w:pPr>
            <w:r>
              <w:rPr>
                <w:sz w:val="21"/>
                <w:szCs w:val="21"/>
              </w:rPr>
              <w:t>0.</w:t>
            </w:r>
            <w:r>
              <w:rPr>
                <w:rFonts w:hint="eastAsia"/>
                <w:sz w:val="21"/>
                <w:szCs w:val="21"/>
              </w:rPr>
              <w:t>2×0.2</w:t>
            </w:r>
          </w:p>
        </w:tc>
        <w:tc>
          <w:tcPr>
            <w:tcW w:w="1179" w:type="dxa"/>
            <w:vMerge w:val="continue"/>
            <w:shd w:val="clear" w:color="auto" w:fill="auto"/>
            <w:vAlign w:val="center"/>
          </w:tcPr>
          <w:p w14:paraId="7A5B4F84">
            <w:pPr>
              <w:spacing w:line="240" w:lineRule="auto"/>
              <w:ind w:firstLine="0" w:firstLineChars="0"/>
              <w:jc w:val="center"/>
              <w:rPr>
                <w:sz w:val="21"/>
                <w:szCs w:val="21"/>
              </w:rPr>
            </w:pPr>
          </w:p>
        </w:tc>
      </w:tr>
    </w:tbl>
    <w:p w14:paraId="324C2054">
      <w:pPr>
        <w:ind w:firstLine="0" w:firstLineChars="0"/>
        <w:jc w:val="center"/>
      </w:pPr>
      <w:r>
        <w:drawing>
          <wp:inline distT="0" distB="0" distL="0" distR="0">
            <wp:extent cx="5280025" cy="3959860"/>
            <wp:effectExtent l="0" t="0" r="3175" b="2540"/>
            <wp:docPr id="1609712411" name="图片 6" descr="沙漠中的风景&#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712411" name="图片 6" descr="沙漠中的风景&#10;&#10;描述已自动生成"/>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5280146" cy="3960000"/>
                    </a:xfrm>
                    <a:prstGeom prst="rect">
                      <a:avLst/>
                    </a:prstGeom>
                    <a:noFill/>
                    <a:ln>
                      <a:noFill/>
                    </a:ln>
                  </pic:spPr>
                </pic:pic>
              </a:graphicData>
            </a:graphic>
          </wp:inline>
        </w:drawing>
      </w:r>
    </w:p>
    <w:p w14:paraId="259E37AA">
      <w:pPr>
        <w:ind w:firstLine="0" w:firstLineChars="0"/>
        <w:jc w:val="center"/>
      </w:pPr>
      <w:r>
        <w:rPr>
          <w:rFonts w:hint="eastAsia"/>
        </w:rPr>
        <w:t>样方3</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496"/>
        <w:gridCol w:w="4022"/>
        <w:gridCol w:w="1748"/>
        <w:gridCol w:w="1569"/>
        <w:gridCol w:w="1864"/>
        <w:gridCol w:w="1496"/>
        <w:gridCol w:w="1123"/>
      </w:tblGrid>
      <w:tr w14:paraId="0CD66E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158" w:type="dxa"/>
            <w:gridSpan w:val="3"/>
            <w:tcBorders>
              <w:top w:val="single" w:color="auto" w:sz="12" w:space="0"/>
              <w:bottom w:val="nil"/>
              <w:right w:val="nil"/>
            </w:tcBorders>
            <w:shd w:val="clear" w:color="auto" w:fill="auto"/>
            <w:vAlign w:val="center"/>
          </w:tcPr>
          <w:p w14:paraId="5233A260">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w:t>
            </w:r>
            <w:r>
              <w:rPr>
                <w:sz w:val="21"/>
                <w:szCs w:val="21"/>
              </w:rPr>
              <w:t>+</w:t>
            </w:r>
            <w:r>
              <w:rPr>
                <w:rFonts w:hint="eastAsia"/>
                <w:sz w:val="21"/>
                <w:szCs w:val="21"/>
              </w:rPr>
              <w:t>沙冬青群落</w:t>
            </w:r>
          </w:p>
        </w:tc>
        <w:tc>
          <w:tcPr>
            <w:tcW w:w="3317" w:type="dxa"/>
            <w:gridSpan w:val="2"/>
            <w:tcBorders>
              <w:top w:val="single" w:color="auto" w:sz="12" w:space="0"/>
              <w:left w:val="nil"/>
              <w:bottom w:val="nil"/>
              <w:right w:val="nil"/>
            </w:tcBorders>
            <w:shd w:val="clear" w:color="auto" w:fill="auto"/>
            <w:vAlign w:val="center"/>
          </w:tcPr>
          <w:p w14:paraId="19672E2F">
            <w:pPr>
              <w:spacing w:line="240" w:lineRule="auto"/>
              <w:ind w:firstLine="420"/>
              <w:jc w:val="center"/>
              <w:rPr>
                <w:sz w:val="21"/>
                <w:szCs w:val="21"/>
              </w:rPr>
            </w:pPr>
            <w:r>
              <w:rPr>
                <w:sz w:val="21"/>
                <w:szCs w:val="21"/>
              </w:rPr>
              <w:t>样方号：4</w:t>
            </w:r>
          </w:p>
        </w:tc>
        <w:tc>
          <w:tcPr>
            <w:tcW w:w="4483" w:type="dxa"/>
            <w:gridSpan w:val="3"/>
            <w:tcBorders>
              <w:top w:val="single" w:color="auto" w:sz="12" w:space="0"/>
              <w:left w:val="nil"/>
              <w:bottom w:val="nil"/>
            </w:tcBorders>
            <w:shd w:val="clear" w:color="auto" w:fill="auto"/>
            <w:vAlign w:val="center"/>
          </w:tcPr>
          <w:p w14:paraId="4061F530">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1AC3CA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158" w:type="dxa"/>
            <w:gridSpan w:val="3"/>
            <w:tcBorders>
              <w:top w:val="nil"/>
              <w:bottom w:val="nil"/>
              <w:right w:val="nil"/>
            </w:tcBorders>
            <w:shd w:val="clear" w:color="auto" w:fill="auto"/>
            <w:vAlign w:val="center"/>
          </w:tcPr>
          <w:p w14:paraId="70EC7A0A">
            <w:pPr>
              <w:spacing w:line="240" w:lineRule="auto"/>
              <w:ind w:firstLine="420"/>
              <w:jc w:val="center"/>
              <w:rPr>
                <w:sz w:val="21"/>
                <w:szCs w:val="21"/>
              </w:rPr>
            </w:pPr>
            <w:r>
              <w:rPr>
                <w:sz w:val="21"/>
                <w:szCs w:val="21"/>
              </w:rPr>
              <w:t>经度：106°47′48.59145″</w:t>
            </w:r>
          </w:p>
        </w:tc>
        <w:tc>
          <w:tcPr>
            <w:tcW w:w="3317" w:type="dxa"/>
            <w:gridSpan w:val="2"/>
            <w:tcBorders>
              <w:top w:val="nil"/>
              <w:left w:val="nil"/>
              <w:bottom w:val="nil"/>
              <w:right w:val="nil"/>
            </w:tcBorders>
            <w:shd w:val="clear" w:color="auto" w:fill="auto"/>
            <w:vAlign w:val="center"/>
          </w:tcPr>
          <w:p w14:paraId="79E8F457">
            <w:pPr>
              <w:spacing w:line="240" w:lineRule="auto"/>
              <w:ind w:firstLine="420"/>
              <w:jc w:val="center"/>
              <w:rPr>
                <w:sz w:val="21"/>
                <w:szCs w:val="21"/>
              </w:rPr>
            </w:pPr>
            <w:r>
              <w:rPr>
                <w:sz w:val="21"/>
                <w:szCs w:val="21"/>
              </w:rPr>
              <w:t>纬度：40°1′25.47956″</w:t>
            </w:r>
          </w:p>
        </w:tc>
        <w:tc>
          <w:tcPr>
            <w:tcW w:w="4483" w:type="dxa"/>
            <w:gridSpan w:val="3"/>
            <w:tcBorders>
              <w:top w:val="nil"/>
              <w:left w:val="nil"/>
              <w:bottom w:val="nil"/>
            </w:tcBorders>
            <w:shd w:val="clear" w:color="auto" w:fill="auto"/>
            <w:vAlign w:val="center"/>
          </w:tcPr>
          <w:p w14:paraId="2201F70A">
            <w:pPr>
              <w:spacing w:line="240" w:lineRule="auto"/>
              <w:ind w:firstLine="420"/>
              <w:jc w:val="center"/>
              <w:rPr>
                <w:sz w:val="21"/>
                <w:szCs w:val="21"/>
              </w:rPr>
            </w:pPr>
            <w:r>
              <w:rPr>
                <w:sz w:val="21"/>
                <w:szCs w:val="21"/>
              </w:rPr>
              <w:t>海拔：</w:t>
            </w:r>
            <w:r>
              <w:rPr>
                <w:rFonts w:hint="eastAsia"/>
                <w:sz w:val="21"/>
                <w:szCs w:val="21"/>
              </w:rPr>
              <w:t>11</w:t>
            </w:r>
            <w:r>
              <w:rPr>
                <w:sz w:val="21"/>
                <w:szCs w:val="21"/>
              </w:rPr>
              <w:t>53 m</w:t>
            </w:r>
          </w:p>
        </w:tc>
      </w:tr>
      <w:tr w14:paraId="3AF32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906" w:type="dxa"/>
            <w:gridSpan w:val="4"/>
            <w:tcBorders>
              <w:top w:val="nil"/>
              <w:bottom w:val="single" w:color="auto" w:sz="4" w:space="0"/>
              <w:right w:val="nil"/>
            </w:tcBorders>
            <w:shd w:val="clear" w:color="auto" w:fill="auto"/>
            <w:vAlign w:val="center"/>
          </w:tcPr>
          <w:p w14:paraId="0575271A">
            <w:pPr>
              <w:spacing w:line="240" w:lineRule="auto"/>
              <w:ind w:firstLine="420"/>
              <w:jc w:val="center"/>
              <w:rPr>
                <w:sz w:val="21"/>
                <w:szCs w:val="21"/>
              </w:rPr>
            </w:pPr>
            <w:r>
              <w:rPr>
                <w:sz w:val="21"/>
                <w:szCs w:val="21"/>
              </w:rPr>
              <w:t>调查人：佟世峰</w:t>
            </w:r>
          </w:p>
        </w:tc>
        <w:tc>
          <w:tcPr>
            <w:tcW w:w="1569" w:type="dxa"/>
            <w:tcBorders>
              <w:top w:val="nil"/>
              <w:left w:val="nil"/>
              <w:bottom w:val="single" w:color="auto" w:sz="4" w:space="0"/>
              <w:right w:val="nil"/>
            </w:tcBorders>
            <w:shd w:val="clear" w:color="auto" w:fill="auto"/>
            <w:vAlign w:val="center"/>
          </w:tcPr>
          <w:p w14:paraId="62CF6851">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13CC879D">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0</w:t>
            </w:r>
          </w:p>
        </w:tc>
      </w:tr>
      <w:tr w14:paraId="7E762A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6D401743">
            <w:pPr>
              <w:spacing w:line="240" w:lineRule="auto"/>
              <w:ind w:firstLine="0" w:firstLineChars="0"/>
              <w:jc w:val="center"/>
              <w:rPr>
                <w:sz w:val="21"/>
                <w:szCs w:val="21"/>
              </w:rPr>
            </w:pPr>
            <w:r>
              <w:rPr>
                <w:sz w:val="21"/>
                <w:szCs w:val="21"/>
              </w:rPr>
              <w:t>种号</w:t>
            </w:r>
          </w:p>
        </w:tc>
        <w:tc>
          <w:tcPr>
            <w:tcW w:w="1496" w:type="dxa"/>
            <w:tcBorders>
              <w:top w:val="single" w:color="auto" w:sz="4" w:space="0"/>
            </w:tcBorders>
            <w:shd w:val="clear" w:color="auto" w:fill="auto"/>
            <w:vAlign w:val="center"/>
          </w:tcPr>
          <w:p w14:paraId="3EAE634F">
            <w:pPr>
              <w:spacing w:line="240" w:lineRule="auto"/>
              <w:ind w:firstLine="0" w:firstLineChars="0"/>
              <w:jc w:val="center"/>
              <w:rPr>
                <w:sz w:val="21"/>
                <w:szCs w:val="21"/>
              </w:rPr>
            </w:pPr>
            <w:r>
              <w:rPr>
                <w:sz w:val="21"/>
                <w:szCs w:val="21"/>
              </w:rPr>
              <w:t>中文名</w:t>
            </w:r>
          </w:p>
        </w:tc>
        <w:tc>
          <w:tcPr>
            <w:tcW w:w="4022" w:type="dxa"/>
            <w:tcBorders>
              <w:top w:val="single" w:color="auto" w:sz="4" w:space="0"/>
            </w:tcBorders>
            <w:shd w:val="clear" w:color="auto" w:fill="auto"/>
            <w:vAlign w:val="center"/>
          </w:tcPr>
          <w:p w14:paraId="36BD41E0">
            <w:pPr>
              <w:spacing w:line="240" w:lineRule="auto"/>
              <w:ind w:firstLine="0" w:firstLineChars="0"/>
              <w:jc w:val="center"/>
              <w:rPr>
                <w:sz w:val="21"/>
                <w:szCs w:val="21"/>
              </w:rPr>
            </w:pPr>
            <w:r>
              <w:rPr>
                <w:sz w:val="21"/>
                <w:szCs w:val="21"/>
              </w:rPr>
              <w:t>拉丁名</w:t>
            </w:r>
          </w:p>
        </w:tc>
        <w:tc>
          <w:tcPr>
            <w:tcW w:w="1748" w:type="dxa"/>
            <w:tcBorders>
              <w:top w:val="single" w:color="auto" w:sz="4" w:space="0"/>
            </w:tcBorders>
            <w:shd w:val="clear" w:color="auto" w:fill="auto"/>
            <w:vAlign w:val="center"/>
          </w:tcPr>
          <w:p w14:paraId="1C455B61">
            <w:pPr>
              <w:spacing w:line="240" w:lineRule="auto"/>
              <w:ind w:firstLine="0" w:firstLineChars="0"/>
              <w:jc w:val="center"/>
              <w:rPr>
                <w:sz w:val="21"/>
                <w:szCs w:val="21"/>
              </w:rPr>
            </w:pPr>
            <w:r>
              <w:rPr>
                <w:sz w:val="21"/>
                <w:szCs w:val="21"/>
              </w:rPr>
              <w:t>物候期</w:t>
            </w:r>
          </w:p>
        </w:tc>
        <w:tc>
          <w:tcPr>
            <w:tcW w:w="1569" w:type="dxa"/>
            <w:tcBorders>
              <w:top w:val="single" w:color="auto" w:sz="4" w:space="0"/>
            </w:tcBorders>
            <w:shd w:val="clear" w:color="auto" w:fill="auto"/>
            <w:vAlign w:val="center"/>
          </w:tcPr>
          <w:p w14:paraId="6CF941CD">
            <w:pPr>
              <w:spacing w:line="240" w:lineRule="auto"/>
              <w:ind w:firstLine="0" w:firstLineChars="0"/>
              <w:jc w:val="center"/>
              <w:rPr>
                <w:sz w:val="21"/>
                <w:szCs w:val="21"/>
              </w:rPr>
            </w:pPr>
            <w:r>
              <w:rPr>
                <w:sz w:val="21"/>
                <w:szCs w:val="21"/>
              </w:rPr>
              <w:t>株（丛）数</w:t>
            </w:r>
          </w:p>
        </w:tc>
        <w:tc>
          <w:tcPr>
            <w:tcW w:w="1864" w:type="dxa"/>
            <w:tcBorders>
              <w:top w:val="single" w:color="auto" w:sz="4" w:space="0"/>
            </w:tcBorders>
            <w:shd w:val="clear" w:color="auto" w:fill="auto"/>
            <w:vAlign w:val="center"/>
          </w:tcPr>
          <w:p w14:paraId="5E37D06B">
            <w:pPr>
              <w:spacing w:line="240" w:lineRule="auto"/>
              <w:ind w:firstLine="0" w:firstLineChars="0"/>
              <w:jc w:val="center"/>
              <w:rPr>
                <w:sz w:val="21"/>
                <w:szCs w:val="21"/>
              </w:rPr>
            </w:pPr>
            <w:r>
              <w:rPr>
                <w:sz w:val="21"/>
                <w:szCs w:val="21"/>
              </w:rPr>
              <w:t>平均高度/cm</w:t>
            </w:r>
          </w:p>
        </w:tc>
        <w:tc>
          <w:tcPr>
            <w:tcW w:w="1496" w:type="dxa"/>
            <w:tcBorders>
              <w:top w:val="single" w:color="auto" w:sz="4" w:space="0"/>
            </w:tcBorders>
            <w:shd w:val="clear" w:color="auto" w:fill="auto"/>
            <w:vAlign w:val="center"/>
          </w:tcPr>
          <w:p w14:paraId="3D711E79">
            <w:pPr>
              <w:spacing w:line="240" w:lineRule="auto"/>
              <w:ind w:firstLine="0" w:firstLineChars="0"/>
              <w:jc w:val="center"/>
              <w:rPr>
                <w:sz w:val="21"/>
                <w:szCs w:val="21"/>
              </w:rPr>
            </w:pPr>
            <w:r>
              <w:rPr>
                <w:rFonts w:hint="eastAsia"/>
                <w:sz w:val="21"/>
                <w:szCs w:val="21"/>
              </w:rPr>
              <w:t>冠幅</w:t>
            </w:r>
            <w:r>
              <w:rPr>
                <w:sz w:val="21"/>
                <w:szCs w:val="21"/>
              </w:rPr>
              <w:t>/m</w:t>
            </w:r>
          </w:p>
        </w:tc>
        <w:tc>
          <w:tcPr>
            <w:tcW w:w="1123" w:type="dxa"/>
            <w:tcBorders>
              <w:top w:val="single" w:color="auto" w:sz="4" w:space="0"/>
            </w:tcBorders>
            <w:shd w:val="clear" w:color="auto" w:fill="auto"/>
            <w:vAlign w:val="center"/>
          </w:tcPr>
          <w:p w14:paraId="05A70AB6">
            <w:pPr>
              <w:spacing w:line="240" w:lineRule="auto"/>
              <w:ind w:firstLine="0" w:firstLineChars="0"/>
              <w:jc w:val="center"/>
              <w:rPr>
                <w:sz w:val="21"/>
                <w:szCs w:val="21"/>
              </w:rPr>
            </w:pPr>
            <w:r>
              <w:rPr>
                <w:rFonts w:hint="eastAsia"/>
                <w:sz w:val="21"/>
                <w:szCs w:val="21"/>
              </w:rPr>
              <w:t>总</w:t>
            </w:r>
            <w:r>
              <w:rPr>
                <w:sz w:val="21"/>
                <w:szCs w:val="21"/>
              </w:rPr>
              <w:t>盖度%</w:t>
            </w:r>
          </w:p>
        </w:tc>
      </w:tr>
      <w:tr w14:paraId="0E86D8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40" w:type="dxa"/>
            <w:shd w:val="clear" w:color="auto" w:fill="auto"/>
            <w:vAlign w:val="center"/>
          </w:tcPr>
          <w:p w14:paraId="5EFE3F47">
            <w:pPr>
              <w:spacing w:line="240" w:lineRule="auto"/>
              <w:ind w:firstLine="210" w:firstLineChars="100"/>
              <w:jc w:val="center"/>
              <w:rPr>
                <w:sz w:val="21"/>
                <w:szCs w:val="21"/>
              </w:rPr>
            </w:pPr>
            <w:r>
              <w:rPr>
                <w:sz w:val="21"/>
                <w:szCs w:val="21"/>
              </w:rPr>
              <w:t>1</w:t>
            </w:r>
          </w:p>
        </w:tc>
        <w:tc>
          <w:tcPr>
            <w:tcW w:w="1496" w:type="dxa"/>
            <w:shd w:val="clear" w:color="auto" w:fill="auto"/>
            <w:vAlign w:val="center"/>
          </w:tcPr>
          <w:p w14:paraId="1DE3754C">
            <w:pPr>
              <w:spacing w:line="240" w:lineRule="auto"/>
              <w:ind w:firstLine="0" w:firstLineChars="0"/>
              <w:jc w:val="center"/>
              <w:rPr>
                <w:sz w:val="21"/>
                <w:szCs w:val="21"/>
              </w:rPr>
            </w:pPr>
            <w:r>
              <w:rPr>
                <w:sz w:val="21"/>
                <w:szCs w:val="21"/>
              </w:rPr>
              <w:t>霸王</w:t>
            </w:r>
          </w:p>
        </w:tc>
        <w:tc>
          <w:tcPr>
            <w:tcW w:w="4022" w:type="dxa"/>
            <w:shd w:val="clear" w:color="auto" w:fill="auto"/>
          </w:tcPr>
          <w:p w14:paraId="4AAD5255">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p>
        </w:tc>
        <w:tc>
          <w:tcPr>
            <w:tcW w:w="1748" w:type="dxa"/>
            <w:shd w:val="clear" w:color="auto" w:fill="auto"/>
            <w:vAlign w:val="center"/>
          </w:tcPr>
          <w:p w14:paraId="581EE1E2">
            <w:pPr>
              <w:spacing w:line="240" w:lineRule="auto"/>
              <w:ind w:firstLine="0" w:firstLineChars="0"/>
              <w:jc w:val="center"/>
              <w:rPr>
                <w:sz w:val="21"/>
                <w:szCs w:val="21"/>
              </w:rPr>
            </w:pPr>
            <w:r>
              <w:rPr>
                <w:rFonts w:hint="eastAsia"/>
                <w:sz w:val="21"/>
                <w:szCs w:val="21"/>
              </w:rPr>
              <w:t>花</w:t>
            </w:r>
            <w:r>
              <w:rPr>
                <w:sz w:val="21"/>
                <w:szCs w:val="21"/>
              </w:rPr>
              <w:t>果期</w:t>
            </w:r>
          </w:p>
        </w:tc>
        <w:tc>
          <w:tcPr>
            <w:tcW w:w="1569" w:type="dxa"/>
            <w:shd w:val="clear" w:color="auto" w:fill="auto"/>
            <w:vAlign w:val="center"/>
          </w:tcPr>
          <w:p w14:paraId="424E659B">
            <w:pPr>
              <w:spacing w:line="240" w:lineRule="auto"/>
              <w:ind w:firstLine="0" w:firstLineChars="0"/>
              <w:jc w:val="center"/>
              <w:rPr>
                <w:sz w:val="21"/>
                <w:szCs w:val="21"/>
              </w:rPr>
            </w:pPr>
            <w:r>
              <w:rPr>
                <w:rFonts w:hint="eastAsia"/>
                <w:sz w:val="21"/>
                <w:szCs w:val="21"/>
              </w:rPr>
              <w:t>3</w:t>
            </w:r>
          </w:p>
        </w:tc>
        <w:tc>
          <w:tcPr>
            <w:tcW w:w="1864" w:type="dxa"/>
            <w:shd w:val="clear" w:color="auto" w:fill="auto"/>
            <w:vAlign w:val="center"/>
          </w:tcPr>
          <w:p w14:paraId="2BE91521">
            <w:pPr>
              <w:spacing w:line="240" w:lineRule="auto"/>
              <w:ind w:firstLine="0" w:firstLineChars="0"/>
              <w:jc w:val="center"/>
              <w:rPr>
                <w:sz w:val="21"/>
                <w:szCs w:val="21"/>
              </w:rPr>
            </w:pPr>
            <w:r>
              <w:rPr>
                <w:sz w:val="21"/>
                <w:szCs w:val="21"/>
              </w:rPr>
              <w:t>60</w:t>
            </w:r>
          </w:p>
        </w:tc>
        <w:tc>
          <w:tcPr>
            <w:tcW w:w="1496" w:type="dxa"/>
            <w:shd w:val="clear" w:color="auto" w:fill="auto"/>
            <w:vAlign w:val="center"/>
          </w:tcPr>
          <w:p w14:paraId="1DFF54E2">
            <w:pPr>
              <w:spacing w:line="240" w:lineRule="auto"/>
              <w:ind w:firstLine="0" w:firstLineChars="0"/>
              <w:jc w:val="center"/>
              <w:rPr>
                <w:sz w:val="21"/>
                <w:szCs w:val="21"/>
              </w:rPr>
            </w:pPr>
            <w:r>
              <w:rPr>
                <w:sz w:val="21"/>
                <w:szCs w:val="21"/>
              </w:rPr>
              <w:t>0.65</w:t>
            </w:r>
            <w:r>
              <w:rPr>
                <w:rFonts w:hint="eastAsia"/>
                <w:sz w:val="21"/>
                <w:szCs w:val="21"/>
              </w:rPr>
              <w:t>×0.65</w:t>
            </w:r>
          </w:p>
        </w:tc>
        <w:tc>
          <w:tcPr>
            <w:tcW w:w="1123" w:type="dxa"/>
            <w:vMerge w:val="restart"/>
            <w:shd w:val="clear" w:color="auto" w:fill="auto"/>
            <w:vAlign w:val="center"/>
          </w:tcPr>
          <w:p w14:paraId="73D5F284">
            <w:pPr>
              <w:spacing w:line="240" w:lineRule="auto"/>
              <w:ind w:firstLine="0" w:firstLineChars="0"/>
              <w:jc w:val="center"/>
              <w:rPr>
                <w:sz w:val="21"/>
                <w:szCs w:val="21"/>
              </w:rPr>
            </w:pPr>
            <w:r>
              <w:rPr>
                <w:rFonts w:hint="eastAsia"/>
                <w:sz w:val="21"/>
                <w:szCs w:val="21"/>
              </w:rPr>
              <w:t>5</w:t>
            </w:r>
          </w:p>
        </w:tc>
      </w:tr>
      <w:tr w14:paraId="49E69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4772DDDB">
            <w:pPr>
              <w:spacing w:line="240" w:lineRule="auto"/>
              <w:ind w:firstLine="210" w:firstLineChars="100"/>
              <w:jc w:val="center"/>
              <w:rPr>
                <w:sz w:val="21"/>
                <w:szCs w:val="21"/>
              </w:rPr>
            </w:pPr>
            <w:r>
              <w:rPr>
                <w:sz w:val="21"/>
                <w:szCs w:val="21"/>
              </w:rPr>
              <w:t>2</w:t>
            </w:r>
          </w:p>
        </w:tc>
        <w:tc>
          <w:tcPr>
            <w:tcW w:w="1496" w:type="dxa"/>
            <w:shd w:val="clear" w:color="auto" w:fill="auto"/>
            <w:vAlign w:val="center"/>
          </w:tcPr>
          <w:p w14:paraId="798D4DC9">
            <w:pPr>
              <w:spacing w:line="240" w:lineRule="auto"/>
              <w:ind w:firstLine="0" w:firstLineChars="0"/>
              <w:jc w:val="center"/>
              <w:rPr>
                <w:sz w:val="21"/>
                <w:szCs w:val="21"/>
              </w:rPr>
            </w:pPr>
            <w:r>
              <w:rPr>
                <w:rFonts w:hint="eastAsia"/>
                <w:sz w:val="21"/>
                <w:szCs w:val="21"/>
              </w:rPr>
              <w:t>沙冬青</w:t>
            </w:r>
          </w:p>
        </w:tc>
        <w:tc>
          <w:tcPr>
            <w:tcW w:w="4022" w:type="dxa"/>
            <w:shd w:val="clear" w:color="auto" w:fill="auto"/>
          </w:tcPr>
          <w:p w14:paraId="391A124B">
            <w:pPr>
              <w:spacing w:line="240" w:lineRule="auto"/>
              <w:ind w:firstLine="0" w:firstLineChars="0"/>
              <w:jc w:val="center"/>
              <w:rPr>
                <w:i/>
                <w:sz w:val="21"/>
                <w:szCs w:val="21"/>
              </w:rPr>
            </w:pPr>
            <w:r>
              <w:rPr>
                <w:i/>
                <w:iCs/>
                <w:sz w:val="21"/>
                <w:szCs w:val="21"/>
              </w:rPr>
              <w:t>Ammopiptanthus mongolicus (Maxim. ex Kom.) Cheng f.</w:t>
            </w:r>
          </w:p>
        </w:tc>
        <w:tc>
          <w:tcPr>
            <w:tcW w:w="1748" w:type="dxa"/>
            <w:shd w:val="clear" w:color="auto" w:fill="auto"/>
            <w:vAlign w:val="center"/>
          </w:tcPr>
          <w:p w14:paraId="5BFCF14E">
            <w:pPr>
              <w:spacing w:line="240" w:lineRule="auto"/>
              <w:ind w:firstLine="0" w:firstLineChars="0"/>
              <w:jc w:val="center"/>
              <w:rPr>
                <w:sz w:val="21"/>
                <w:szCs w:val="21"/>
              </w:rPr>
            </w:pPr>
            <w:r>
              <w:rPr>
                <w:rFonts w:hint="eastAsia"/>
                <w:sz w:val="21"/>
                <w:szCs w:val="21"/>
              </w:rPr>
              <w:t>花果期</w:t>
            </w:r>
          </w:p>
        </w:tc>
        <w:tc>
          <w:tcPr>
            <w:tcW w:w="1569" w:type="dxa"/>
            <w:shd w:val="clear" w:color="auto" w:fill="auto"/>
            <w:vAlign w:val="center"/>
          </w:tcPr>
          <w:p w14:paraId="5A4A338E">
            <w:pPr>
              <w:spacing w:line="240" w:lineRule="auto"/>
              <w:ind w:firstLine="0" w:firstLineChars="0"/>
              <w:jc w:val="center"/>
              <w:rPr>
                <w:sz w:val="21"/>
                <w:szCs w:val="21"/>
              </w:rPr>
            </w:pPr>
            <w:r>
              <w:rPr>
                <w:rFonts w:hint="eastAsia"/>
                <w:sz w:val="21"/>
                <w:szCs w:val="21"/>
              </w:rPr>
              <w:t>2</w:t>
            </w:r>
          </w:p>
        </w:tc>
        <w:tc>
          <w:tcPr>
            <w:tcW w:w="1864" w:type="dxa"/>
            <w:shd w:val="clear" w:color="auto" w:fill="auto"/>
            <w:vAlign w:val="center"/>
          </w:tcPr>
          <w:p w14:paraId="5344A21A">
            <w:pPr>
              <w:spacing w:line="240" w:lineRule="auto"/>
              <w:ind w:firstLine="0" w:firstLineChars="0"/>
              <w:jc w:val="center"/>
              <w:rPr>
                <w:sz w:val="21"/>
                <w:szCs w:val="21"/>
              </w:rPr>
            </w:pPr>
            <w:r>
              <w:rPr>
                <w:sz w:val="21"/>
                <w:szCs w:val="21"/>
              </w:rPr>
              <w:t>25</w:t>
            </w:r>
          </w:p>
        </w:tc>
        <w:tc>
          <w:tcPr>
            <w:tcW w:w="1496" w:type="dxa"/>
            <w:shd w:val="clear" w:color="auto" w:fill="auto"/>
            <w:vAlign w:val="center"/>
          </w:tcPr>
          <w:p w14:paraId="728E5C82">
            <w:pPr>
              <w:spacing w:line="240" w:lineRule="auto"/>
              <w:ind w:firstLine="0" w:firstLineChars="0"/>
              <w:jc w:val="center"/>
              <w:rPr>
                <w:sz w:val="21"/>
                <w:szCs w:val="21"/>
              </w:rPr>
            </w:pPr>
            <w:r>
              <w:rPr>
                <w:sz w:val="21"/>
                <w:szCs w:val="21"/>
              </w:rPr>
              <w:t>0.2</w:t>
            </w:r>
            <w:r>
              <w:rPr>
                <w:rFonts w:hint="eastAsia"/>
                <w:sz w:val="21"/>
                <w:szCs w:val="21"/>
              </w:rPr>
              <w:t>×0.15</w:t>
            </w:r>
          </w:p>
        </w:tc>
        <w:tc>
          <w:tcPr>
            <w:tcW w:w="1123" w:type="dxa"/>
            <w:vMerge w:val="continue"/>
            <w:shd w:val="clear" w:color="auto" w:fill="auto"/>
            <w:vAlign w:val="center"/>
          </w:tcPr>
          <w:p w14:paraId="15A61738">
            <w:pPr>
              <w:spacing w:line="240" w:lineRule="auto"/>
              <w:ind w:firstLine="0" w:firstLineChars="0"/>
              <w:jc w:val="center"/>
              <w:rPr>
                <w:sz w:val="21"/>
                <w:szCs w:val="21"/>
              </w:rPr>
            </w:pPr>
          </w:p>
        </w:tc>
      </w:tr>
    </w:tbl>
    <w:p w14:paraId="42ABE4F4">
      <w:pPr>
        <w:ind w:firstLine="0" w:firstLineChars="0"/>
        <w:jc w:val="center"/>
      </w:pPr>
      <w:r>
        <w:drawing>
          <wp:inline distT="0" distB="0" distL="0" distR="0">
            <wp:extent cx="5939790" cy="3959860"/>
            <wp:effectExtent l="0" t="0" r="3810" b="2540"/>
            <wp:docPr id="3914214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21410" name="图片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7D023A87">
      <w:pPr>
        <w:ind w:firstLine="0" w:firstLineChars="0"/>
        <w:jc w:val="center"/>
      </w:pPr>
      <w:r>
        <w:rPr>
          <w:rFonts w:hint="eastAsia"/>
        </w:rPr>
        <w:t>样方4</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496"/>
        <w:gridCol w:w="4000"/>
        <w:gridCol w:w="1910"/>
        <w:gridCol w:w="1429"/>
        <w:gridCol w:w="1418"/>
        <w:gridCol w:w="1335"/>
        <w:gridCol w:w="1730"/>
      </w:tblGrid>
      <w:tr w14:paraId="1246F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136" w:type="dxa"/>
            <w:gridSpan w:val="3"/>
            <w:tcBorders>
              <w:top w:val="single" w:color="auto" w:sz="12" w:space="0"/>
              <w:bottom w:val="nil"/>
              <w:right w:val="nil"/>
            </w:tcBorders>
            <w:shd w:val="clear" w:color="auto" w:fill="auto"/>
            <w:vAlign w:val="center"/>
          </w:tcPr>
          <w:p w14:paraId="63E0AE72">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w:t>
            </w:r>
            <w:r>
              <w:rPr>
                <w:sz w:val="21"/>
                <w:szCs w:val="21"/>
              </w:rPr>
              <w:t>+</w:t>
            </w:r>
            <w:r>
              <w:rPr>
                <w:rFonts w:hint="eastAsia"/>
                <w:sz w:val="21"/>
                <w:szCs w:val="21"/>
              </w:rPr>
              <w:t>沙冬青群落</w:t>
            </w:r>
          </w:p>
        </w:tc>
        <w:tc>
          <w:tcPr>
            <w:tcW w:w="3339" w:type="dxa"/>
            <w:gridSpan w:val="2"/>
            <w:tcBorders>
              <w:top w:val="single" w:color="auto" w:sz="12" w:space="0"/>
              <w:left w:val="nil"/>
              <w:bottom w:val="nil"/>
              <w:right w:val="nil"/>
            </w:tcBorders>
            <w:shd w:val="clear" w:color="auto" w:fill="auto"/>
            <w:vAlign w:val="center"/>
          </w:tcPr>
          <w:p w14:paraId="3020659C">
            <w:pPr>
              <w:spacing w:line="240" w:lineRule="auto"/>
              <w:ind w:firstLine="420"/>
              <w:jc w:val="center"/>
              <w:rPr>
                <w:sz w:val="21"/>
                <w:szCs w:val="21"/>
              </w:rPr>
            </w:pPr>
            <w:r>
              <w:rPr>
                <w:sz w:val="21"/>
                <w:szCs w:val="21"/>
              </w:rPr>
              <w:t>样方号：5</w:t>
            </w:r>
          </w:p>
        </w:tc>
        <w:tc>
          <w:tcPr>
            <w:tcW w:w="4483" w:type="dxa"/>
            <w:gridSpan w:val="3"/>
            <w:tcBorders>
              <w:top w:val="single" w:color="auto" w:sz="12" w:space="0"/>
              <w:left w:val="nil"/>
              <w:bottom w:val="nil"/>
            </w:tcBorders>
            <w:shd w:val="clear" w:color="auto" w:fill="auto"/>
            <w:vAlign w:val="center"/>
          </w:tcPr>
          <w:p w14:paraId="7C2A681D">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078BE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136" w:type="dxa"/>
            <w:gridSpan w:val="3"/>
            <w:tcBorders>
              <w:top w:val="nil"/>
              <w:bottom w:val="nil"/>
              <w:right w:val="nil"/>
            </w:tcBorders>
            <w:shd w:val="clear" w:color="auto" w:fill="auto"/>
            <w:vAlign w:val="center"/>
          </w:tcPr>
          <w:p w14:paraId="61A2EF2F">
            <w:pPr>
              <w:spacing w:line="240" w:lineRule="auto"/>
              <w:ind w:firstLine="420"/>
              <w:jc w:val="center"/>
              <w:rPr>
                <w:sz w:val="21"/>
                <w:szCs w:val="21"/>
              </w:rPr>
            </w:pPr>
            <w:r>
              <w:rPr>
                <w:sz w:val="21"/>
                <w:szCs w:val="21"/>
              </w:rPr>
              <w:t>经度：106°47′26.73269″</w:t>
            </w:r>
          </w:p>
        </w:tc>
        <w:tc>
          <w:tcPr>
            <w:tcW w:w="3339" w:type="dxa"/>
            <w:gridSpan w:val="2"/>
            <w:tcBorders>
              <w:top w:val="nil"/>
              <w:left w:val="nil"/>
              <w:bottom w:val="nil"/>
              <w:right w:val="nil"/>
            </w:tcBorders>
            <w:shd w:val="clear" w:color="auto" w:fill="auto"/>
            <w:vAlign w:val="center"/>
          </w:tcPr>
          <w:p w14:paraId="6591805C">
            <w:pPr>
              <w:spacing w:line="240" w:lineRule="auto"/>
              <w:ind w:firstLine="420"/>
              <w:jc w:val="center"/>
              <w:rPr>
                <w:sz w:val="21"/>
                <w:szCs w:val="21"/>
              </w:rPr>
            </w:pPr>
            <w:r>
              <w:rPr>
                <w:sz w:val="21"/>
                <w:szCs w:val="21"/>
              </w:rPr>
              <w:t>纬度：</w:t>
            </w:r>
            <w:r>
              <w:rPr>
                <w:rFonts w:eastAsia="等线"/>
                <w:kern w:val="0"/>
                <w:sz w:val="21"/>
                <w:szCs w:val="21"/>
                <w:lang w:bidi="ar"/>
              </w:rPr>
              <w:t>40°1′26.43205″</w:t>
            </w:r>
          </w:p>
        </w:tc>
        <w:tc>
          <w:tcPr>
            <w:tcW w:w="4483" w:type="dxa"/>
            <w:gridSpan w:val="3"/>
            <w:tcBorders>
              <w:top w:val="nil"/>
              <w:left w:val="nil"/>
              <w:bottom w:val="nil"/>
            </w:tcBorders>
            <w:shd w:val="clear" w:color="auto" w:fill="auto"/>
            <w:vAlign w:val="center"/>
          </w:tcPr>
          <w:p w14:paraId="2289C846">
            <w:pPr>
              <w:spacing w:line="240" w:lineRule="auto"/>
              <w:ind w:firstLine="420"/>
              <w:jc w:val="center"/>
              <w:rPr>
                <w:sz w:val="21"/>
                <w:szCs w:val="21"/>
              </w:rPr>
            </w:pPr>
            <w:r>
              <w:rPr>
                <w:sz w:val="21"/>
                <w:szCs w:val="21"/>
              </w:rPr>
              <w:t>海拔：1125 m</w:t>
            </w:r>
          </w:p>
        </w:tc>
      </w:tr>
      <w:tr w14:paraId="66086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46" w:type="dxa"/>
            <w:gridSpan w:val="4"/>
            <w:tcBorders>
              <w:top w:val="nil"/>
              <w:bottom w:val="single" w:color="auto" w:sz="4" w:space="0"/>
              <w:right w:val="nil"/>
            </w:tcBorders>
            <w:shd w:val="clear" w:color="auto" w:fill="auto"/>
            <w:vAlign w:val="center"/>
          </w:tcPr>
          <w:p w14:paraId="1296469F">
            <w:pPr>
              <w:spacing w:line="240" w:lineRule="auto"/>
              <w:ind w:firstLine="420"/>
              <w:jc w:val="center"/>
              <w:rPr>
                <w:sz w:val="21"/>
                <w:szCs w:val="21"/>
              </w:rPr>
            </w:pPr>
            <w:r>
              <w:rPr>
                <w:sz w:val="21"/>
                <w:szCs w:val="21"/>
              </w:rPr>
              <w:t>调查人：佟世峰</w:t>
            </w:r>
          </w:p>
        </w:tc>
        <w:tc>
          <w:tcPr>
            <w:tcW w:w="1429" w:type="dxa"/>
            <w:tcBorders>
              <w:top w:val="nil"/>
              <w:left w:val="nil"/>
              <w:bottom w:val="single" w:color="auto" w:sz="4" w:space="0"/>
              <w:right w:val="nil"/>
            </w:tcBorders>
            <w:shd w:val="clear" w:color="auto" w:fill="auto"/>
            <w:vAlign w:val="center"/>
          </w:tcPr>
          <w:p w14:paraId="7696825B">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68723FBC">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0</w:t>
            </w:r>
          </w:p>
        </w:tc>
      </w:tr>
      <w:tr w14:paraId="10F2F2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0F09A09B">
            <w:pPr>
              <w:spacing w:line="240" w:lineRule="auto"/>
              <w:ind w:firstLine="0" w:firstLineChars="0"/>
              <w:jc w:val="center"/>
              <w:rPr>
                <w:sz w:val="21"/>
                <w:szCs w:val="21"/>
              </w:rPr>
            </w:pPr>
            <w:r>
              <w:rPr>
                <w:sz w:val="21"/>
                <w:szCs w:val="21"/>
              </w:rPr>
              <w:t>种号</w:t>
            </w:r>
          </w:p>
        </w:tc>
        <w:tc>
          <w:tcPr>
            <w:tcW w:w="1496" w:type="dxa"/>
            <w:tcBorders>
              <w:top w:val="single" w:color="auto" w:sz="4" w:space="0"/>
            </w:tcBorders>
            <w:shd w:val="clear" w:color="auto" w:fill="auto"/>
            <w:vAlign w:val="center"/>
          </w:tcPr>
          <w:p w14:paraId="7ED154FD">
            <w:pPr>
              <w:spacing w:line="240" w:lineRule="auto"/>
              <w:ind w:firstLine="0" w:firstLineChars="0"/>
              <w:jc w:val="center"/>
              <w:rPr>
                <w:sz w:val="21"/>
                <w:szCs w:val="21"/>
              </w:rPr>
            </w:pPr>
            <w:r>
              <w:rPr>
                <w:sz w:val="21"/>
                <w:szCs w:val="21"/>
              </w:rPr>
              <w:t>中文名</w:t>
            </w:r>
          </w:p>
        </w:tc>
        <w:tc>
          <w:tcPr>
            <w:tcW w:w="4000" w:type="dxa"/>
            <w:tcBorders>
              <w:top w:val="single" w:color="auto" w:sz="4" w:space="0"/>
            </w:tcBorders>
            <w:shd w:val="clear" w:color="auto" w:fill="auto"/>
            <w:vAlign w:val="center"/>
          </w:tcPr>
          <w:p w14:paraId="52F67697">
            <w:pPr>
              <w:spacing w:line="240" w:lineRule="auto"/>
              <w:ind w:firstLine="0" w:firstLineChars="0"/>
              <w:jc w:val="center"/>
              <w:rPr>
                <w:sz w:val="21"/>
                <w:szCs w:val="21"/>
              </w:rPr>
            </w:pPr>
            <w:r>
              <w:rPr>
                <w:sz w:val="21"/>
                <w:szCs w:val="21"/>
              </w:rPr>
              <w:t>拉丁名</w:t>
            </w:r>
          </w:p>
        </w:tc>
        <w:tc>
          <w:tcPr>
            <w:tcW w:w="1910" w:type="dxa"/>
            <w:tcBorders>
              <w:top w:val="single" w:color="auto" w:sz="4" w:space="0"/>
            </w:tcBorders>
            <w:shd w:val="clear" w:color="auto" w:fill="auto"/>
            <w:vAlign w:val="center"/>
          </w:tcPr>
          <w:p w14:paraId="25A6FCE7">
            <w:pPr>
              <w:spacing w:line="240" w:lineRule="auto"/>
              <w:ind w:firstLine="0" w:firstLineChars="0"/>
              <w:jc w:val="center"/>
              <w:rPr>
                <w:sz w:val="21"/>
                <w:szCs w:val="21"/>
              </w:rPr>
            </w:pPr>
            <w:r>
              <w:rPr>
                <w:sz w:val="21"/>
                <w:szCs w:val="21"/>
              </w:rPr>
              <w:t>物候期</w:t>
            </w:r>
          </w:p>
        </w:tc>
        <w:tc>
          <w:tcPr>
            <w:tcW w:w="1429" w:type="dxa"/>
            <w:tcBorders>
              <w:top w:val="single" w:color="auto" w:sz="4" w:space="0"/>
            </w:tcBorders>
            <w:shd w:val="clear" w:color="auto" w:fill="auto"/>
            <w:vAlign w:val="center"/>
          </w:tcPr>
          <w:p w14:paraId="631FB39A">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335A6ED4">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64D8DFBE">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53D36E58">
            <w:pPr>
              <w:spacing w:line="240" w:lineRule="auto"/>
              <w:ind w:firstLine="0" w:firstLineChars="0"/>
              <w:jc w:val="center"/>
              <w:rPr>
                <w:sz w:val="21"/>
                <w:szCs w:val="21"/>
              </w:rPr>
            </w:pPr>
            <w:r>
              <w:rPr>
                <w:rFonts w:hint="eastAsia"/>
                <w:sz w:val="21"/>
                <w:szCs w:val="21"/>
              </w:rPr>
              <w:t>总</w:t>
            </w:r>
            <w:r>
              <w:rPr>
                <w:sz w:val="21"/>
                <w:szCs w:val="21"/>
              </w:rPr>
              <w:t>盖度%</w:t>
            </w:r>
          </w:p>
        </w:tc>
      </w:tr>
      <w:tr w14:paraId="7D0ED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0" w:type="dxa"/>
            <w:shd w:val="clear" w:color="auto" w:fill="auto"/>
            <w:vAlign w:val="center"/>
          </w:tcPr>
          <w:p w14:paraId="308CEAA2">
            <w:pPr>
              <w:spacing w:line="240" w:lineRule="auto"/>
              <w:ind w:firstLine="210" w:firstLineChars="100"/>
              <w:jc w:val="center"/>
              <w:rPr>
                <w:sz w:val="21"/>
                <w:szCs w:val="21"/>
              </w:rPr>
            </w:pPr>
            <w:r>
              <w:rPr>
                <w:sz w:val="21"/>
                <w:szCs w:val="21"/>
              </w:rPr>
              <w:t>1</w:t>
            </w:r>
          </w:p>
        </w:tc>
        <w:tc>
          <w:tcPr>
            <w:tcW w:w="1496" w:type="dxa"/>
            <w:shd w:val="clear" w:color="auto" w:fill="auto"/>
            <w:vAlign w:val="center"/>
          </w:tcPr>
          <w:p w14:paraId="6C4BD990">
            <w:pPr>
              <w:spacing w:line="240" w:lineRule="auto"/>
              <w:ind w:firstLine="0" w:firstLineChars="0"/>
              <w:jc w:val="center"/>
              <w:rPr>
                <w:sz w:val="21"/>
                <w:szCs w:val="21"/>
              </w:rPr>
            </w:pPr>
            <w:r>
              <w:rPr>
                <w:sz w:val="21"/>
                <w:szCs w:val="21"/>
              </w:rPr>
              <w:t>霸王</w:t>
            </w:r>
          </w:p>
        </w:tc>
        <w:tc>
          <w:tcPr>
            <w:tcW w:w="4000" w:type="dxa"/>
            <w:shd w:val="clear" w:color="auto" w:fill="auto"/>
          </w:tcPr>
          <w:p w14:paraId="5CBB5C64">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p>
        </w:tc>
        <w:tc>
          <w:tcPr>
            <w:tcW w:w="1910" w:type="dxa"/>
            <w:shd w:val="clear" w:color="auto" w:fill="auto"/>
            <w:vAlign w:val="center"/>
          </w:tcPr>
          <w:p w14:paraId="73744246">
            <w:pPr>
              <w:spacing w:line="240" w:lineRule="auto"/>
              <w:ind w:firstLine="0" w:firstLineChars="0"/>
              <w:jc w:val="center"/>
              <w:rPr>
                <w:sz w:val="21"/>
                <w:szCs w:val="21"/>
              </w:rPr>
            </w:pPr>
            <w:r>
              <w:rPr>
                <w:rFonts w:hint="eastAsia"/>
                <w:sz w:val="21"/>
                <w:szCs w:val="21"/>
              </w:rPr>
              <w:t>花</w:t>
            </w:r>
            <w:r>
              <w:rPr>
                <w:sz w:val="21"/>
                <w:szCs w:val="21"/>
              </w:rPr>
              <w:t>果期</w:t>
            </w:r>
          </w:p>
        </w:tc>
        <w:tc>
          <w:tcPr>
            <w:tcW w:w="1429" w:type="dxa"/>
            <w:shd w:val="clear" w:color="auto" w:fill="auto"/>
            <w:vAlign w:val="center"/>
          </w:tcPr>
          <w:p w14:paraId="0B5D0B07">
            <w:pPr>
              <w:spacing w:line="240" w:lineRule="auto"/>
              <w:ind w:firstLine="0" w:firstLineChars="0"/>
              <w:jc w:val="center"/>
              <w:rPr>
                <w:sz w:val="21"/>
                <w:szCs w:val="21"/>
              </w:rPr>
            </w:pPr>
            <w:r>
              <w:rPr>
                <w:rFonts w:hint="eastAsia"/>
                <w:sz w:val="21"/>
                <w:szCs w:val="21"/>
              </w:rPr>
              <w:t>7</w:t>
            </w:r>
          </w:p>
        </w:tc>
        <w:tc>
          <w:tcPr>
            <w:tcW w:w="1418" w:type="dxa"/>
            <w:shd w:val="clear" w:color="auto" w:fill="auto"/>
            <w:vAlign w:val="center"/>
          </w:tcPr>
          <w:p w14:paraId="45ED55BD">
            <w:pPr>
              <w:spacing w:line="240" w:lineRule="auto"/>
              <w:ind w:firstLine="0" w:firstLineChars="0"/>
              <w:jc w:val="center"/>
              <w:rPr>
                <w:sz w:val="21"/>
                <w:szCs w:val="21"/>
              </w:rPr>
            </w:pPr>
            <w:r>
              <w:rPr>
                <w:rFonts w:hint="eastAsia"/>
                <w:sz w:val="21"/>
                <w:szCs w:val="21"/>
              </w:rPr>
              <w:t>60</w:t>
            </w:r>
          </w:p>
        </w:tc>
        <w:tc>
          <w:tcPr>
            <w:tcW w:w="1335" w:type="dxa"/>
            <w:shd w:val="clear" w:color="auto" w:fill="auto"/>
            <w:vAlign w:val="center"/>
          </w:tcPr>
          <w:p w14:paraId="2559475E">
            <w:pPr>
              <w:spacing w:line="240" w:lineRule="auto"/>
              <w:ind w:firstLine="0" w:firstLineChars="0"/>
              <w:jc w:val="center"/>
              <w:rPr>
                <w:sz w:val="21"/>
                <w:szCs w:val="21"/>
              </w:rPr>
            </w:pPr>
            <w:r>
              <w:rPr>
                <w:sz w:val="21"/>
                <w:szCs w:val="21"/>
              </w:rPr>
              <w:t>0.</w:t>
            </w:r>
            <w:r>
              <w:rPr>
                <w:rFonts w:hint="eastAsia"/>
                <w:sz w:val="21"/>
                <w:szCs w:val="21"/>
              </w:rPr>
              <w:t>7×0.6</w:t>
            </w:r>
          </w:p>
        </w:tc>
        <w:tc>
          <w:tcPr>
            <w:tcW w:w="1730" w:type="dxa"/>
            <w:vMerge w:val="restart"/>
            <w:shd w:val="clear" w:color="auto" w:fill="auto"/>
            <w:vAlign w:val="center"/>
          </w:tcPr>
          <w:p w14:paraId="3344880F">
            <w:pPr>
              <w:spacing w:line="240" w:lineRule="auto"/>
              <w:ind w:firstLine="0" w:firstLineChars="0"/>
              <w:jc w:val="center"/>
              <w:rPr>
                <w:sz w:val="21"/>
                <w:szCs w:val="21"/>
              </w:rPr>
            </w:pPr>
            <w:r>
              <w:rPr>
                <w:rFonts w:hint="eastAsia"/>
                <w:sz w:val="21"/>
                <w:szCs w:val="21"/>
              </w:rPr>
              <w:t>7</w:t>
            </w:r>
          </w:p>
        </w:tc>
      </w:tr>
      <w:tr w14:paraId="69504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1F28BF01">
            <w:pPr>
              <w:spacing w:line="240" w:lineRule="auto"/>
              <w:ind w:firstLine="210" w:firstLineChars="100"/>
              <w:jc w:val="center"/>
              <w:rPr>
                <w:sz w:val="21"/>
                <w:szCs w:val="21"/>
              </w:rPr>
            </w:pPr>
            <w:r>
              <w:rPr>
                <w:sz w:val="21"/>
                <w:szCs w:val="21"/>
              </w:rPr>
              <w:t>2</w:t>
            </w:r>
          </w:p>
        </w:tc>
        <w:tc>
          <w:tcPr>
            <w:tcW w:w="1496" w:type="dxa"/>
            <w:shd w:val="clear" w:color="auto" w:fill="auto"/>
            <w:vAlign w:val="center"/>
          </w:tcPr>
          <w:p w14:paraId="51C1F992">
            <w:pPr>
              <w:spacing w:line="240" w:lineRule="auto"/>
              <w:ind w:firstLine="0" w:firstLineChars="0"/>
              <w:jc w:val="center"/>
              <w:rPr>
                <w:sz w:val="21"/>
                <w:szCs w:val="21"/>
              </w:rPr>
            </w:pPr>
            <w:r>
              <w:rPr>
                <w:rFonts w:hint="eastAsia"/>
                <w:sz w:val="21"/>
                <w:szCs w:val="21"/>
              </w:rPr>
              <w:t>沙冬青</w:t>
            </w:r>
          </w:p>
        </w:tc>
        <w:tc>
          <w:tcPr>
            <w:tcW w:w="4000" w:type="dxa"/>
            <w:shd w:val="clear" w:color="auto" w:fill="auto"/>
          </w:tcPr>
          <w:p w14:paraId="46626213">
            <w:pPr>
              <w:spacing w:line="240" w:lineRule="auto"/>
              <w:ind w:firstLine="0" w:firstLineChars="0"/>
              <w:jc w:val="center"/>
              <w:rPr>
                <w:i/>
                <w:sz w:val="21"/>
                <w:szCs w:val="21"/>
              </w:rPr>
            </w:pPr>
            <w:r>
              <w:rPr>
                <w:i/>
                <w:iCs/>
                <w:sz w:val="21"/>
                <w:szCs w:val="21"/>
              </w:rPr>
              <w:t>Ammopiptanthus mongolicus (Maxim. ex Kom.) Cheng f.</w:t>
            </w:r>
          </w:p>
        </w:tc>
        <w:tc>
          <w:tcPr>
            <w:tcW w:w="1910" w:type="dxa"/>
            <w:shd w:val="clear" w:color="auto" w:fill="auto"/>
            <w:vAlign w:val="center"/>
          </w:tcPr>
          <w:p w14:paraId="132F4A14">
            <w:pPr>
              <w:spacing w:line="240" w:lineRule="auto"/>
              <w:ind w:firstLine="0" w:firstLineChars="0"/>
              <w:jc w:val="center"/>
              <w:rPr>
                <w:sz w:val="21"/>
                <w:szCs w:val="21"/>
              </w:rPr>
            </w:pPr>
            <w:r>
              <w:rPr>
                <w:rFonts w:hint="eastAsia"/>
                <w:sz w:val="21"/>
                <w:szCs w:val="21"/>
              </w:rPr>
              <w:t>花果期</w:t>
            </w:r>
          </w:p>
        </w:tc>
        <w:tc>
          <w:tcPr>
            <w:tcW w:w="1429" w:type="dxa"/>
            <w:shd w:val="clear" w:color="auto" w:fill="auto"/>
            <w:vAlign w:val="center"/>
          </w:tcPr>
          <w:p w14:paraId="357FD3CE">
            <w:pPr>
              <w:spacing w:line="240" w:lineRule="auto"/>
              <w:ind w:firstLine="0" w:firstLineChars="0"/>
              <w:jc w:val="center"/>
              <w:rPr>
                <w:sz w:val="21"/>
                <w:szCs w:val="21"/>
              </w:rPr>
            </w:pPr>
            <w:r>
              <w:rPr>
                <w:rFonts w:hint="eastAsia"/>
                <w:sz w:val="21"/>
                <w:szCs w:val="21"/>
              </w:rPr>
              <w:t>5</w:t>
            </w:r>
          </w:p>
        </w:tc>
        <w:tc>
          <w:tcPr>
            <w:tcW w:w="1418" w:type="dxa"/>
            <w:shd w:val="clear" w:color="auto" w:fill="auto"/>
            <w:vAlign w:val="center"/>
          </w:tcPr>
          <w:p w14:paraId="6F28775F">
            <w:pPr>
              <w:spacing w:line="240" w:lineRule="auto"/>
              <w:ind w:firstLine="0" w:firstLineChars="0"/>
              <w:jc w:val="center"/>
              <w:rPr>
                <w:sz w:val="21"/>
                <w:szCs w:val="21"/>
              </w:rPr>
            </w:pPr>
            <w:r>
              <w:rPr>
                <w:sz w:val="21"/>
                <w:szCs w:val="21"/>
              </w:rPr>
              <w:t>3</w:t>
            </w:r>
            <w:r>
              <w:rPr>
                <w:rFonts w:hint="eastAsia"/>
                <w:sz w:val="21"/>
                <w:szCs w:val="21"/>
              </w:rPr>
              <w:t>5</w:t>
            </w:r>
          </w:p>
        </w:tc>
        <w:tc>
          <w:tcPr>
            <w:tcW w:w="1335" w:type="dxa"/>
            <w:shd w:val="clear" w:color="auto" w:fill="auto"/>
            <w:vAlign w:val="center"/>
          </w:tcPr>
          <w:p w14:paraId="695A099D">
            <w:pPr>
              <w:spacing w:line="240" w:lineRule="auto"/>
              <w:ind w:firstLine="0" w:firstLineChars="0"/>
              <w:jc w:val="center"/>
              <w:rPr>
                <w:sz w:val="21"/>
                <w:szCs w:val="21"/>
              </w:rPr>
            </w:pPr>
            <w:r>
              <w:rPr>
                <w:sz w:val="21"/>
                <w:szCs w:val="21"/>
              </w:rPr>
              <w:t>0.5</w:t>
            </w:r>
            <w:r>
              <w:rPr>
                <w:rFonts w:hint="eastAsia"/>
                <w:sz w:val="21"/>
                <w:szCs w:val="21"/>
              </w:rPr>
              <w:t>×0.4</w:t>
            </w:r>
          </w:p>
        </w:tc>
        <w:tc>
          <w:tcPr>
            <w:tcW w:w="1730" w:type="dxa"/>
            <w:vMerge w:val="continue"/>
            <w:shd w:val="clear" w:color="auto" w:fill="auto"/>
            <w:vAlign w:val="center"/>
          </w:tcPr>
          <w:p w14:paraId="0A25B650">
            <w:pPr>
              <w:spacing w:line="240" w:lineRule="auto"/>
              <w:ind w:firstLine="0" w:firstLineChars="0"/>
              <w:jc w:val="center"/>
              <w:rPr>
                <w:sz w:val="21"/>
                <w:szCs w:val="21"/>
              </w:rPr>
            </w:pPr>
          </w:p>
        </w:tc>
      </w:tr>
    </w:tbl>
    <w:p w14:paraId="311A5F18">
      <w:pPr>
        <w:ind w:firstLine="0" w:firstLineChars="0"/>
        <w:jc w:val="center"/>
      </w:pPr>
      <w:r>
        <w:drawing>
          <wp:inline distT="0" distB="0" distL="0" distR="0">
            <wp:extent cx="5939790" cy="3959860"/>
            <wp:effectExtent l="0" t="0" r="3810" b="2540"/>
            <wp:docPr id="1984446034" name="图片 10" descr="山上的风景&#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446034" name="图片 10" descr="山上的风景&#10;&#10;描述已自动生成"/>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1474AC59">
      <w:pPr>
        <w:ind w:firstLine="0" w:firstLineChars="0"/>
        <w:jc w:val="center"/>
      </w:pPr>
      <w:r>
        <w:rPr>
          <w:rFonts w:hint="eastAsia"/>
        </w:rPr>
        <w:t>样方5</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345"/>
        <w:gridCol w:w="4507"/>
        <w:gridCol w:w="1565"/>
        <w:gridCol w:w="1418"/>
        <w:gridCol w:w="1418"/>
        <w:gridCol w:w="1335"/>
        <w:gridCol w:w="1730"/>
      </w:tblGrid>
      <w:tr w14:paraId="757D7F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92" w:type="dxa"/>
            <w:gridSpan w:val="3"/>
            <w:tcBorders>
              <w:top w:val="single" w:color="auto" w:sz="12" w:space="0"/>
              <w:bottom w:val="nil"/>
              <w:right w:val="nil"/>
            </w:tcBorders>
            <w:shd w:val="clear" w:color="auto" w:fill="auto"/>
            <w:vAlign w:val="center"/>
          </w:tcPr>
          <w:p w14:paraId="291B3A6F">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霸王群落</w:t>
            </w:r>
          </w:p>
        </w:tc>
        <w:tc>
          <w:tcPr>
            <w:tcW w:w="2983" w:type="dxa"/>
            <w:gridSpan w:val="2"/>
            <w:tcBorders>
              <w:top w:val="single" w:color="auto" w:sz="12" w:space="0"/>
              <w:left w:val="nil"/>
              <w:bottom w:val="nil"/>
              <w:right w:val="nil"/>
            </w:tcBorders>
            <w:shd w:val="clear" w:color="auto" w:fill="auto"/>
            <w:vAlign w:val="center"/>
          </w:tcPr>
          <w:p w14:paraId="35C89E17">
            <w:pPr>
              <w:spacing w:line="240" w:lineRule="auto"/>
              <w:ind w:firstLine="420"/>
              <w:jc w:val="center"/>
              <w:rPr>
                <w:sz w:val="21"/>
                <w:szCs w:val="21"/>
              </w:rPr>
            </w:pPr>
            <w:r>
              <w:rPr>
                <w:sz w:val="21"/>
                <w:szCs w:val="21"/>
              </w:rPr>
              <w:t>样方号：6</w:t>
            </w:r>
          </w:p>
        </w:tc>
        <w:tc>
          <w:tcPr>
            <w:tcW w:w="4483" w:type="dxa"/>
            <w:gridSpan w:val="3"/>
            <w:tcBorders>
              <w:top w:val="single" w:color="auto" w:sz="12" w:space="0"/>
              <w:left w:val="nil"/>
              <w:bottom w:val="nil"/>
            </w:tcBorders>
            <w:shd w:val="clear" w:color="auto" w:fill="auto"/>
            <w:vAlign w:val="center"/>
          </w:tcPr>
          <w:p w14:paraId="2D7C357E">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47D55D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92" w:type="dxa"/>
            <w:gridSpan w:val="3"/>
            <w:tcBorders>
              <w:top w:val="nil"/>
              <w:bottom w:val="nil"/>
              <w:right w:val="nil"/>
            </w:tcBorders>
            <w:shd w:val="clear" w:color="auto" w:fill="auto"/>
            <w:vAlign w:val="center"/>
          </w:tcPr>
          <w:p w14:paraId="6A38ECBE">
            <w:pPr>
              <w:spacing w:line="240" w:lineRule="auto"/>
              <w:ind w:firstLine="420"/>
              <w:jc w:val="center"/>
              <w:rPr>
                <w:sz w:val="21"/>
                <w:szCs w:val="21"/>
              </w:rPr>
            </w:pPr>
            <w:r>
              <w:rPr>
                <w:sz w:val="21"/>
                <w:szCs w:val="21"/>
              </w:rPr>
              <w:t>经度：106°47′25.71444″</w:t>
            </w:r>
          </w:p>
        </w:tc>
        <w:tc>
          <w:tcPr>
            <w:tcW w:w="2983" w:type="dxa"/>
            <w:gridSpan w:val="2"/>
            <w:tcBorders>
              <w:top w:val="nil"/>
              <w:left w:val="nil"/>
              <w:bottom w:val="nil"/>
              <w:right w:val="nil"/>
            </w:tcBorders>
            <w:shd w:val="clear" w:color="auto" w:fill="auto"/>
            <w:vAlign w:val="center"/>
          </w:tcPr>
          <w:p w14:paraId="58B03284">
            <w:pPr>
              <w:spacing w:line="240" w:lineRule="auto"/>
              <w:ind w:firstLine="420"/>
              <w:jc w:val="center"/>
              <w:rPr>
                <w:sz w:val="21"/>
                <w:szCs w:val="21"/>
              </w:rPr>
            </w:pPr>
            <w:r>
              <w:rPr>
                <w:sz w:val="21"/>
                <w:szCs w:val="21"/>
              </w:rPr>
              <w:t>纬度：40°1′5.81657″</w:t>
            </w:r>
          </w:p>
        </w:tc>
        <w:tc>
          <w:tcPr>
            <w:tcW w:w="4483" w:type="dxa"/>
            <w:gridSpan w:val="3"/>
            <w:tcBorders>
              <w:top w:val="nil"/>
              <w:left w:val="nil"/>
              <w:bottom w:val="nil"/>
            </w:tcBorders>
            <w:shd w:val="clear" w:color="auto" w:fill="auto"/>
            <w:vAlign w:val="center"/>
          </w:tcPr>
          <w:p w14:paraId="66E3211C">
            <w:pPr>
              <w:spacing w:line="240" w:lineRule="auto"/>
              <w:ind w:firstLine="420"/>
              <w:jc w:val="center"/>
              <w:rPr>
                <w:sz w:val="21"/>
                <w:szCs w:val="21"/>
              </w:rPr>
            </w:pPr>
            <w:r>
              <w:rPr>
                <w:sz w:val="21"/>
                <w:szCs w:val="21"/>
              </w:rPr>
              <w:t>海拔：</w:t>
            </w:r>
            <w:r>
              <w:rPr>
                <w:rFonts w:hint="eastAsia"/>
                <w:sz w:val="21"/>
                <w:szCs w:val="21"/>
              </w:rPr>
              <w:t>11</w:t>
            </w:r>
            <w:r>
              <w:rPr>
                <w:sz w:val="21"/>
                <w:szCs w:val="21"/>
              </w:rPr>
              <w:t>26 m</w:t>
            </w:r>
          </w:p>
        </w:tc>
      </w:tr>
      <w:tr w14:paraId="18D64E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57" w:type="dxa"/>
            <w:gridSpan w:val="4"/>
            <w:tcBorders>
              <w:top w:val="nil"/>
              <w:bottom w:val="single" w:color="auto" w:sz="4" w:space="0"/>
              <w:right w:val="nil"/>
            </w:tcBorders>
            <w:shd w:val="clear" w:color="auto" w:fill="auto"/>
            <w:vAlign w:val="center"/>
          </w:tcPr>
          <w:p w14:paraId="7C523334">
            <w:pPr>
              <w:spacing w:line="240" w:lineRule="auto"/>
              <w:ind w:firstLine="420"/>
              <w:jc w:val="center"/>
              <w:rPr>
                <w:sz w:val="21"/>
                <w:szCs w:val="21"/>
              </w:rPr>
            </w:pPr>
            <w:r>
              <w:rPr>
                <w:sz w:val="21"/>
                <w:szCs w:val="21"/>
              </w:rPr>
              <w:t>调查人：苏斯图</w:t>
            </w:r>
          </w:p>
        </w:tc>
        <w:tc>
          <w:tcPr>
            <w:tcW w:w="1418" w:type="dxa"/>
            <w:tcBorders>
              <w:top w:val="nil"/>
              <w:left w:val="nil"/>
              <w:bottom w:val="single" w:color="auto" w:sz="4" w:space="0"/>
              <w:right w:val="nil"/>
            </w:tcBorders>
            <w:shd w:val="clear" w:color="auto" w:fill="auto"/>
            <w:vAlign w:val="center"/>
          </w:tcPr>
          <w:p w14:paraId="2DE39D37">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5733D91E">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4961A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74E12604">
            <w:pPr>
              <w:spacing w:line="240" w:lineRule="auto"/>
              <w:ind w:firstLine="0" w:firstLineChars="0"/>
              <w:jc w:val="center"/>
              <w:rPr>
                <w:sz w:val="21"/>
                <w:szCs w:val="21"/>
              </w:rPr>
            </w:pPr>
            <w:r>
              <w:rPr>
                <w:sz w:val="21"/>
                <w:szCs w:val="21"/>
              </w:rPr>
              <w:t>种号</w:t>
            </w:r>
          </w:p>
        </w:tc>
        <w:tc>
          <w:tcPr>
            <w:tcW w:w="1345" w:type="dxa"/>
            <w:tcBorders>
              <w:top w:val="single" w:color="auto" w:sz="4" w:space="0"/>
            </w:tcBorders>
            <w:shd w:val="clear" w:color="auto" w:fill="auto"/>
            <w:vAlign w:val="center"/>
          </w:tcPr>
          <w:p w14:paraId="5CB9DD73">
            <w:pPr>
              <w:spacing w:line="240" w:lineRule="auto"/>
              <w:ind w:firstLine="0" w:firstLineChars="0"/>
              <w:jc w:val="center"/>
              <w:rPr>
                <w:sz w:val="21"/>
                <w:szCs w:val="21"/>
              </w:rPr>
            </w:pPr>
            <w:r>
              <w:rPr>
                <w:sz w:val="21"/>
                <w:szCs w:val="21"/>
              </w:rPr>
              <w:t>中文名</w:t>
            </w:r>
          </w:p>
        </w:tc>
        <w:tc>
          <w:tcPr>
            <w:tcW w:w="4507" w:type="dxa"/>
            <w:tcBorders>
              <w:top w:val="single" w:color="auto" w:sz="4" w:space="0"/>
            </w:tcBorders>
            <w:shd w:val="clear" w:color="auto" w:fill="auto"/>
            <w:vAlign w:val="center"/>
          </w:tcPr>
          <w:p w14:paraId="6D6D2C8C">
            <w:pPr>
              <w:spacing w:line="240" w:lineRule="auto"/>
              <w:ind w:firstLine="0" w:firstLineChars="0"/>
              <w:jc w:val="center"/>
              <w:rPr>
                <w:sz w:val="21"/>
                <w:szCs w:val="21"/>
              </w:rPr>
            </w:pPr>
            <w:r>
              <w:rPr>
                <w:sz w:val="21"/>
                <w:szCs w:val="21"/>
              </w:rPr>
              <w:t>拉丁名</w:t>
            </w:r>
          </w:p>
        </w:tc>
        <w:tc>
          <w:tcPr>
            <w:tcW w:w="1565" w:type="dxa"/>
            <w:tcBorders>
              <w:top w:val="single" w:color="auto" w:sz="4" w:space="0"/>
            </w:tcBorders>
            <w:shd w:val="clear" w:color="auto" w:fill="auto"/>
            <w:vAlign w:val="center"/>
          </w:tcPr>
          <w:p w14:paraId="07F49298">
            <w:pPr>
              <w:spacing w:line="240" w:lineRule="auto"/>
              <w:ind w:firstLine="0" w:firstLineChars="0"/>
              <w:jc w:val="center"/>
              <w:rPr>
                <w:sz w:val="21"/>
                <w:szCs w:val="21"/>
              </w:rPr>
            </w:pPr>
            <w:r>
              <w:rPr>
                <w:sz w:val="21"/>
                <w:szCs w:val="21"/>
              </w:rPr>
              <w:t>物候期</w:t>
            </w:r>
          </w:p>
        </w:tc>
        <w:tc>
          <w:tcPr>
            <w:tcW w:w="1418" w:type="dxa"/>
            <w:tcBorders>
              <w:top w:val="single" w:color="auto" w:sz="4" w:space="0"/>
            </w:tcBorders>
            <w:shd w:val="clear" w:color="auto" w:fill="auto"/>
            <w:vAlign w:val="center"/>
          </w:tcPr>
          <w:p w14:paraId="14406D7D">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539F5169">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13A3EF61">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01E224CC">
            <w:pPr>
              <w:spacing w:line="240" w:lineRule="auto"/>
              <w:ind w:firstLine="0" w:firstLineChars="0"/>
              <w:jc w:val="center"/>
              <w:rPr>
                <w:sz w:val="21"/>
                <w:szCs w:val="21"/>
              </w:rPr>
            </w:pPr>
            <w:r>
              <w:rPr>
                <w:rFonts w:hint="eastAsia"/>
                <w:sz w:val="21"/>
                <w:szCs w:val="21"/>
              </w:rPr>
              <w:t>总</w:t>
            </w:r>
            <w:r>
              <w:rPr>
                <w:sz w:val="21"/>
                <w:szCs w:val="21"/>
              </w:rPr>
              <w:t>盖度%</w:t>
            </w:r>
          </w:p>
        </w:tc>
      </w:tr>
      <w:tr w14:paraId="5BB34D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14F0868A">
            <w:pPr>
              <w:spacing w:line="240" w:lineRule="auto"/>
              <w:ind w:firstLine="210" w:firstLineChars="100"/>
              <w:jc w:val="center"/>
              <w:rPr>
                <w:sz w:val="21"/>
                <w:szCs w:val="21"/>
              </w:rPr>
            </w:pPr>
            <w:r>
              <w:rPr>
                <w:sz w:val="21"/>
                <w:szCs w:val="21"/>
              </w:rPr>
              <w:t>1</w:t>
            </w:r>
          </w:p>
        </w:tc>
        <w:tc>
          <w:tcPr>
            <w:tcW w:w="1345" w:type="dxa"/>
            <w:shd w:val="clear" w:color="auto" w:fill="auto"/>
            <w:vAlign w:val="center"/>
          </w:tcPr>
          <w:p w14:paraId="5C5BECD0">
            <w:pPr>
              <w:spacing w:line="240" w:lineRule="auto"/>
              <w:ind w:firstLine="0" w:firstLineChars="0"/>
              <w:jc w:val="center"/>
              <w:rPr>
                <w:sz w:val="21"/>
                <w:szCs w:val="21"/>
              </w:rPr>
            </w:pPr>
            <w:r>
              <w:rPr>
                <w:rFonts w:hint="eastAsia"/>
                <w:sz w:val="21"/>
                <w:szCs w:val="21"/>
              </w:rPr>
              <w:t>霸王</w:t>
            </w:r>
          </w:p>
        </w:tc>
        <w:tc>
          <w:tcPr>
            <w:tcW w:w="4507" w:type="dxa"/>
            <w:shd w:val="clear" w:color="auto" w:fill="auto"/>
          </w:tcPr>
          <w:p w14:paraId="15BFBF7D">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p>
        </w:tc>
        <w:tc>
          <w:tcPr>
            <w:tcW w:w="1565" w:type="dxa"/>
            <w:shd w:val="clear" w:color="auto" w:fill="auto"/>
            <w:vAlign w:val="center"/>
          </w:tcPr>
          <w:p w14:paraId="3EEA0E49">
            <w:pPr>
              <w:spacing w:line="240" w:lineRule="auto"/>
              <w:ind w:firstLine="0" w:firstLineChars="0"/>
              <w:jc w:val="center"/>
              <w:rPr>
                <w:sz w:val="21"/>
                <w:szCs w:val="21"/>
              </w:rPr>
            </w:pPr>
            <w:r>
              <w:rPr>
                <w:rFonts w:hint="eastAsia"/>
                <w:sz w:val="21"/>
                <w:szCs w:val="21"/>
              </w:rPr>
              <w:t>花期-果期</w:t>
            </w:r>
          </w:p>
        </w:tc>
        <w:tc>
          <w:tcPr>
            <w:tcW w:w="1418" w:type="dxa"/>
            <w:shd w:val="clear" w:color="auto" w:fill="auto"/>
            <w:vAlign w:val="center"/>
          </w:tcPr>
          <w:p w14:paraId="2474827A">
            <w:pPr>
              <w:spacing w:line="240" w:lineRule="auto"/>
              <w:ind w:firstLine="0" w:firstLineChars="0"/>
              <w:jc w:val="center"/>
              <w:rPr>
                <w:sz w:val="21"/>
                <w:szCs w:val="21"/>
              </w:rPr>
            </w:pPr>
            <w:r>
              <w:rPr>
                <w:rFonts w:hint="eastAsia"/>
                <w:sz w:val="21"/>
                <w:szCs w:val="21"/>
              </w:rPr>
              <w:t>15</w:t>
            </w:r>
          </w:p>
        </w:tc>
        <w:tc>
          <w:tcPr>
            <w:tcW w:w="1418" w:type="dxa"/>
            <w:shd w:val="clear" w:color="auto" w:fill="auto"/>
            <w:vAlign w:val="center"/>
          </w:tcPr>
          <w:p w14:paraId="18089D32">
            <w:pPr>
              <w:spacing w:line="240" w:lineRule="auto"/>
              <w:ind w:firstLine="0" w:firstLineChars="0"/>
              <w:jc w:val="center"/>
              <w:rPr>
                <w:sz w:val="21"/>
                <w:szCs w:val="21"/>
              </w:rPr>
            </w:pPr>
            <w:r>
              <w:rPr>
                <w:rFonts w:hint="eastAsia"/>
                <w:sz w:val="21"/>
                <w:szCs w:val="21"/>
              </w:rPr>
              <w:t>3</w:t>
            </w:r>
            <w:r>
              <w:rPr>
                <w:sz w:val="21"/>
                <w:szCs w:val="21"/>
              </w:rPr>
              <w:t>5</w:t>
            </w:r>
          </w:p>
        </w:tc>
        <w:tc>
          <w:tcPr>
            <w:tcW w:w="1335" w:type="dxa"/>
            <w:shd w:val="clear" w:color="auto" w:fill="auto"/>
            <w:vAlign w:val="center"/>
          </w:tcPr>
          <w:p w14:paraId="43C29C7D">
            <w:pPr>
              <w:spacing w:line="240" w:lineRule="auto"/>
              <w:ind w:firstLine="0" w:firstLineChars="0"/>
              <w:jc w:val="center"/>
              <w:rPr>
                <w:sz w:val="21"/>
                <w:szCs w:val="21"/>
              </w:rPr>
            </w:pPr>
            <w:r>
              <w:rPr>
                <w:sz w:val="21"/>
                <w:szCs w:val="21"/>
              </w:rPr>
              <w:t>0.</w:t>
            </w:r>
            <w:r>
              <w:rPr>
                <w:rFonts w:hint="eastAsia"/>
                <w:sz w:val="21"/>
                <w:szCs w:val="21"/>
              </w:rPr>
              <w:t>75×0.68</w:t>
            </w:r>
          </w:p>
        </w:tc>
        <w:tc>
          <w:tcPr>
            <w:tcW w:w="1730" w:type="dxa"/>
            <w:shd w:val="clear" w:color="auto" w:fill="auto"/>
            <w:vAlign w:val="center"/>
          </w:tcPr>
          <w:p w14:paraId="21221AA9">
            <w:pPr>
              <w:spacing w:line="240" w:lineRule="auto"/>
              <w:ind w:firstLine="0" w:firstLineChars="0"/>
              <w:jc w:val="center"/>
              <w:rPr>
                <w:sz w:val="21"/>
                <w:szCs w:val="21"/>
              </w:rPr>
            </w:pPr>
            <w:r>
              <w:rPr>
                <w:rFonts w:hint="eastAsia"/>
                <w:sz w:val="21"/>
                <w:szCs w:val="21"/>
              </w:rPr>
              <w:t>18</w:t>
            </w:r>
          </w:p>
        </w:tc>
      </w:tr>
    </w:tbl>
    <w:p w14:paraId="5B4EFF11">
      <w:pPr>
        <w:ind w:firstLine="0" w:firstLineChars="0"/>
        <w:jc w:val="center"/>
      </w:pPr>
      <w:r>
        <w:drawing>
          <wp:inline distT="0" distB="0" distL="0" distR="0">
            <wp:extent cx="6480175" cy="4319905"/>
            <wp:effectExtent l="0" t="0" r="9525" b="10795"/>
            <wp:docPr id="165816936" name="图片 12" descr="走在路上&#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6936" name="图片 12" descr="走在路上&#10;&#10;描述已自动生成"/>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6480238" cy="4320000"/>
                    </a:xfrm>
                    <a:prstGeom prst="rect">
                      <a:avLst/>
                    </a:prstGeom>
                    <a:noFill/>
                    <a:ln>
                      <a:noFill/>
                    </a:ln>
                  </pic:spPr>
                </pic:pic>
              </a:graphicData>
            </a:graphic>
          </wp:inline>
        </w:drawing>
      </w:r>
    </w:p>
    <w:p w14:paraId="7C60F707">
      <w:pPr>
        <w:ind w:firstLine="0" w:firstLineChars="0"/>
        <w:jc w:val="center"/>
      </w:pPr>
      <w:r>
        <w:rPr>
          <w:rFonts w:hint="eastAsia"/>
        </w:rPr>
        <w:t>样方6</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03"/>
        <w:gridCol w:w="4536"/>
        <w:gridCol w:w="1701"/>
        <w:gridCol w:w="1395"/>
        <w:gridCol w:w="1418"/>
        <w:gridCol w:w="1335"/>
        <w:gridCol w:w="1730"/>
      </w:tblGrid>
      <w:tr w14:paraId="1A0730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379" w:type="dxa"/>
            <w:gridSpan w:val="3"/>
            <w:tcBorders>
              <w:top w:val="single" w:color="auto" w:sz="12" w:space="0"/>
              <w:bottom w:val="nil"/>
              <w:right w:val="nil"/>
            </w:tcBorders>
            <w:shd w:val="clear" w:color="auto" w:fill="auto"/>
            <w:vAlign w:val="center"/>
          </w:tcPr>
          <w:p w14:paraId="206A4B8D">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霸王群落</w:t>
            </w:r>
          </w:p>
        </w:tc>
        <w:tc>
          <w:tcPr>
            <w:tcW w:w="3096" w:type="dxa"/>
            <w:gridSpan w:val="2"/>
            <w:tcBorders>
              <w:top w:val="single" w:color="auto" w:sz="12" w:space="0"/>
              <w:left w:val="nil"/>
              <w:bottom w:val="nil"/>
              <w:right w:val="nil"/>
            </w:tcBorders>
            <w:shd w:val="clear" w:color="auto" w:fill="auto"/>
            <w:vAlign w:val="center"/>
          </w:tcPr>
          <w:p w14:paraId="56BC17EA">
            <w:pPr>
              <w:spacing w:line="240" w:lineRule="auto"/>
              <w:ind w:firstLine="420"/>
              <w:jc w:val="center"/>
              <w:rPr>
                <w:sz w:val="21"/>
                <w:szCs w:val="21"/>
              </w:rPr>
            </w:pPr>
            <w:r>
              <w:rPr>
                <w:sz w:val="21"/>
                <w:szCs w:val="21"/>
              </w:rPr>
              <w:t>样方号：7</w:t>
            </w:r>
          </w:p>
        </w:tc>
        <w:tc>
          <w:tcPr>
            <w:tcW w:w="4483" w:type="dxa"/>
            <w:gridSpan w:val="3"/>
            <w:tcBorders>
              <w:top w:val="single" w:color="auto" w:sz="12" w:space="0"/>
              <w:left w:val="nil"/>
              <w:bottom w:val="nil"/>
            </w:tcBorders>
            <w:shd w:val="clear" w:color="auto" w:fill="auto"/>
            <w:vAlign w:val="center"/>
          </w:tcPr>
          <w:p w14:paraId="56C51207">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3533B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379" w:type="dxa"/>
            <w:gridSpan w:val="3"/>
            <w:tcBorders>
              <w:top w:val="nil"/>
              <w:bottom w:val="nil"/>
              <w:right w:val="nil"/>
            </w:tcBorders>
            <w:shd w:val="clear" w:color="auto" w:fill="auto"/>
            <w:vAlign w:val="center"/>
          </w:tcPr>
          <w:p w14:paraId="3ABF9437">
            <w:pPr>
              <w:spacing w:line="240" w:lineRule="auto"/>
              <w:ind w:firstLine="420"/>
              <w:jc w:val="center"/>
              <w:rPr>
                <w:sz w:val="21"/>
                <w:szCs w:val="21"/>
              </w:rPr>
            </w:pPr>
            <w:r>
              <w:rPr>
                <w:sz w:val="21"/>
                <w:szCs w:val="21"/>
              </w:rPr>
              <w:t>经度：106°47′54.88824″</w:t>
            </w:r>
          </w:p>
        </w:tc>
        <w:tc>
          <w:tcPr>
            <w:tcW w:w="3096" w:type="dxa"/>
            <w:gridSpan w:val="2"/>
            <w:tcBorders>
              <w:top w:val="nil"/>
              <w:left w:val="nil"/>
              <w:bottom w:val="nil"/>
              <w:right w:val="nil"/>
            </w:tcBorders>
            <w:shd w:val="clear" w:color="auto" w:fill="auto"/>
            <w:vAlign w:val="center"/>
          </w:tcPr>
          <w:p w14:paraId="651A7C43">
            <w:pPr>
              <w:spacing w:line="240" w:lineRule="auto"/>
              <w:ind w:firstLine="420"/>
              <w:jc w:val="center"/>
              <w:rPr>
                <w:sz w:val="21"/>
                <w:szCs w:val="21"/>
              </w:rPr>
            </w:pPr>
            <w:r>
              <w:rPr>
                <w:sz w:val="21"/>
                <w:szCs w:val="21"/>
              </w:rPr>
              <w:t>纬度：40°0′57.62796″</w:t>
            </w:r>
          </w:p>
        </w:tc>
        <w:tc>
          <w:tcPr>
            <w:tcW w:w="4483" w:type="dxa"/>
            <w:gridSpan w:val="3"/>
            <w:tcBorders>
              <w:top w:val="nil"/>
              <w:left w:val="nil"/>
              <w:bottom w:val="nil"/>
            </w:tcBorders>
            <w:shd w:val="clear" w:color="auto" w:fill="auto"/>
            <w:vAlign w:val="center"/>
          </w:tcPr>
          <w:p w14:paraId="53290008">
            <w:pPr>
              <w:spacing w:line="240" w:lineRule="auto"/>
              <w:ind w:firstLine="420"/>
              <w:jc w:val="center"/>
              <w:rPr>
                <w:sz w:val="21"/>
                <w:szCs w:val="21"/>
              </w:rPr>
            </w:pPr>
            <w:r>
              <w:rPr>
                <w:sz w:val="21"/>
                <w:szCs w:val="21"/>
              </w:rPr>
              <w:t>海拔：1137 m</w:t>
            </w:r>
          </w:p>
        </w:tc>
      </w:tr>
      <w:tr w14:paraId="09BC31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80" w:type="dxa"/>
            <w:gridSpan w:val="4"/>
            <w:tcBorders>
              <w:top w:val="nil"/>
              <w:bottom w:val="single" w:color="auto" w:sz="4" w:space="0"/>
              <w:right w:val="nil"/>
            </w:tcBorders>
            <w:shd w:val="clear" w:color="auto" w:fill="auto"/>
            <w:vAlign w:val="center"/>
          </w:tcPr>
          <w:p w14:paraId="63C5D735">
            <w:pPr>
              <w:spacing w:line="240" w:lineRule="auto"/>
              <w:ind w:firstLine="420"/>
              <w:jc w:val="center"/>
              <w:rPr>
                <w:sz w:val="21"/>
                <w:szCs w:val="21"/>
              </w:rPr>
            </w:pPr>
            <w:r>
              <w:rPr>
                <w:sz w:val="21"/>
                <w:szCs w:val="21"/>
              </w:rPr>
              <w:t>调查人：苏斯图</w:t>
            </w:r>
          </w:p>
        </w:tc>
        <w:tc>
          <w:tcPr>
            <w:tcW w:w="1395" w:type="dxa"/>
            <w:tcBorders>
              <w:top w:val="nil"/>
              <w:left w:val="nil"/>
              <w:bottom w:val="single" w:color="auto" w:sz="4" w:space="0"/>
              <w:right w:val="nil"/>
            </w:tcBorders>
            <w:shd w:val="clear" w:color="auto" w:fill="auto"/>
            <w:vAlign w:val="center"/>
          </w:tcPr>
          <w:p w14:paraId="7E8831D6">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461C8D32">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70D42B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3B663E10">
            <w:pPr>
              <w:spacing w:line="240" w:lineRule="auto"/>
              <w:ind w:firstLine="0" w:firstLineChars="0"/>
              <w:jc w:val="center"/>
              <w:rPr>
                <w:sz w:val="21"/>
                <w:szCs w:val="21"/>
              </w:rPr>
            </w:pPr>
            <w:r>
              <w:rPr>
                <w:sz w:val="21"/>
                <w:szCs w:val="21"/>
              </w:rPr>
              <w:t>种号</w:t>
            </w:r>
          </w:p>
        </w:tc>
        <w:tc>
          <w:tcPr>
            <w:tcW w:w="1203" w:type="dxa"/>
            <w:tcBorders>
              <w:top w:val="single" w:color="auto" w:sz="4" w:space="0"/>
            </w:tcBorders>
            <w:shd w:val="clear" w:color="auto" w:fill="auto"/>
            <w:vAlign w:val="center"/>
          </w:tcPr>
          <w:p w14:paraId="6376AE09">
            <w:pPr>
              <w:spacing w:line="240" w:lineRule="auto"/>
              <w:ind w:firstLine="0" w:firstLineChars="0"/>
              <w:jc w:val="center"/>
              <w:rPr>
                <w:sz w:val="21"/>
                <w:szCs w:val="21"/>
              </w:rPr>
            </w:pPr>
            <w:r>
              <w:rPr>
                <w:sz w:val="21"/>
                <w:szCs w:val="21"/>
              </w:rPr>
              <w:t>中文名</w:t>
            </w:r>
          </w:p>
        </w:tc>
        <w:tc>
          <w:tcPr>
            <w:tcW w:w="4536" w:type="dxa"/>
            <w:tcBorders>
              <w:top w:val="single" w:color="auto" w:sz="4" w:space="0"/>
            </w:tcBorders>
            <w:shd w:val="clear" w:color="auto" w:fill="auto"/>
            <w:vAlign w:val="center"/>
          </w:tcPr>
          <w:p w14:paraId="1D479021">
            <w:pPr>
              <w:spacing w:line="240" w:lineRule="auto"/>
              <w:ind w:firstLine="0" w:firstLineChars="0"/>
              <w:jc w:val="center"/>
              <w:rPr>
                <w:sz w:val="21"/>
                <w:szCs w:val="21"/>
              </w:rPr>
            </w:pPr>
            <w:r>
              <w:rPr>
                <w:sz w:val="21"/>
                <w:szCs w:val="21"/>
              </w:rPr>
              <w:t>拉丁名</w:t>
            </w:r>
          </w:p>
        </w:tc>
        <w:tc>
          <w:tcPr>
            <w:tcW w:w="1701" w:type="dxa"/>
            <w:tcBorders>
              <w:top w:val="single" w:color="auto" w:sz="4" w:space="0"/>
            </w:tcBorders>
            <w:shd w:val="clear" w:color="auto" w:fill="auto"/>
            <w:vAlign w:val="center"/>
          </w:tcPr>
          <w:p w14:paraId="51FB4E02">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0D8BC33C">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6B7D8F7B">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25E9991C">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37AEEC14">
            <w:pPr>
              <w:spacing w:line="240" w:lineRule="auto"/>
              <w:ind w:firstLine="0" w:firstLineChars="0"/>
              <w:jc w:val="center"/>
              <w:rPr>
                <w:sz w:val="21"/>
                <w:szCs w:val="21"/>
              </w:rPr>
            </w:pPr>
            <w:r>
              <w:rPr>
                <w:rFonts w:hint="eastAsia"/>
                <w:sz w:val="21"/>
                <w:szCs w:val="21"/>
              </w:rPr>
              <w:t>总</w:t>
            </w:r>
            <w:r>
              <w:rPr>
                <w:sz w:val="21"/>
                <w:szCs w:val="21"/>
              </w:rPr>
              <w:t>盖度%</w:t>
            </w:r>
          </w:p>
        </w:tc>
      </w:tr>
      <w:tr w14:paraId="7253CF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60E772CD">
            <w:pPr>
              <w:spacing w:line="240" w:lineRule="auto"/>
              <w:ind w:firstLine="210" w:firstLineChars="100"/>
              <w:jc w:val="center"/>
              <w:rPr>
                <w:sz w:val="21"/>
                <w:szCs w:val="21"/>
              </w:rPr>
            </w:pPr>
            <w:r>
              <w:rPr>
                <w:sz w:val="21"/>
                <w:szCs w:val="21"/>
              </w:rPr>
              <w:t>1</w:t>
            </w:r>
          </w:p>
        </w:tc>
        <w:tc>
          <w:tcPr>
            <w:tcW w:w="1203" w:type="dxa"/>
            <w:shd w:val="clear" w:color="auto" w:fill="auto"/>
            <w:vAlign w:val="center"/>
          </w:tcPr>
          <w:p w14:paraId="5543E4FB">
            <w:pPr>
              <w:spacing w:line="240" w:lineRule="auto"/>
              <w:ind w:firstLine="0" w:firstLineChars="0"/>
              <w:jc w:val="center"/>
              <w:rPr>
                <w:sz w:val="21"/>
                <w:szCs w:val="21"/>
              </w:rPr>
            </w:pPr>
            <w:r>
              <w:rPr>
                <w:rFonts w:hint="eastAsia"/>
                <w:sz w:val="21"/>
                <w:szCs w:val="21"/>
              </w:rPr>
              <w:t>霸王</w:t>
            </w:r>
          </w:p>
        </w:tc>
        <w:tc>
          <w:tcPr>
            <w:tcW w:w="4536" w:type="dxa"/>
            <w:shd w:val="clear" w:color="auto" w:fill="auto"/>
          </w:tcPr>
          <w:p w14:paraId="2A07A278">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p>
        </w:tc>
        <w:tc>
          <w:tcPr>
            <w:tcW w:w="1701" w:type="dxa"/>
            <w:shd w:val="clear" w:color="auto" w:fill="auto"/>
            <w:vAlign w:val="center"/>
          </w:tcPr>
          <w:p w14:paraId="78AA687A">
            <w:pPr>
              <w:spacing w:line="240" w:lineRule="auto"/>
              <w:ind w:firstLine="0" w:firstLineChars="0"/>
              <w:jc w:val="center"/>
              <w:rPr>
                <w:sz w:val="21"/>
                <w:szCs w:val="21"/>
              </w:rPr>
            </w:pPr>
            <w:r>
              <w:rPr>
                <w:rFonts w:hint="eastAsia"/>
                <w:sz w:val="21"/>
                <w:szCs w:val="21"/>
              </w:rPr>
              <w:t>花期-果期</w:t>
            </w:r>
          </w:p>
        </w:tc>
        <w:tc>
          <w:tcPr>
            <w:tcW w:w="1395" w:type="dxa"/>
            <w:shd w:val="clear" w:color="auto" w:fill="auto"/>
            <w:vAlign w:val="center"/>
          </w:tcPr>
          <w:p w14:paraId="2CA5FA4C">
            <w:pPr>
              <w:spacing w:line="240" w:lineRule="auto"/>
              <w:ind w:firstLine="0" w:firstLineChars="0"/>
              <w:jc w:val="center"/>
              <w:rPr>
                <w:sz w:val="21"/>
                <w:szCs w:val="21"/>
              </w:rPr>
            </w:pPr>
            <w:r>
              <w:rPr>
                <w:rFonts w:hint="eastAsia"/>
                <w:sz w:val="21"/>
                <w:szCs w:val="21"/>
              </w:rPr>
              <w:t>19</w:t>
            </w:r>
          </w:p>
        </w:tc>
        <w:tc>
          <w:tcPr>
            <w:tcW w:w="1418" w:type="dxa"/>
            <w:shd w:val="clear" w:color="auto" w:fill="auto"/>
            <w:vAlign w:val="center"/>
          </w:tcPr>
          <w:p w14:paraId="37A8E99E">
            <w:pPr>
              <w:spacing w:line="240" w:lineRule="auto"/>
              <w:ind w:firstLine="0" w:firstLineChars="0"/>
              <w:jc w:val="center"/>
              <w:rPr>
                <w:sz w:val="21"/>
                <w:szCs w:val="21"/>
              </w:rPr>
            </w:pPr>
            <w:r>
              <w:rPr>
                <w:rFonts w:hint="eastAsia"/>
                <w:sz w:val="21"/>
                <w:szCs w:val="21"/>
              </w:rPr>
              <w:t>34</w:t>
            </w:r>
          </w:p>
        </w:tc>
        <w:tc>
          <w:tcPr>
            <w:tcW w:w="1335" w:type="dxa"/>
            <w:shd w:val="clear" w:color="auto" w:fill="auto"/>
            <w:vAlign w:val="center"/>
          </w:tcPr>
          <w:p w14:paraId="1B448F70">
            <w:pPr>
              <w:spacing w:line="240" w:lineRule="auto"/>
              <w:ind w:firstLine="0" w:firstLineChars="0"/>
              <w:jc w:val="center"/>
              <w:rPr>
                <w:sz w:val="21"/>
                <w:szCs w:val="21"/>
              </w:rPr>
            </w:pPr>
            <w:r>
              <w:rPr>
                <w:sz w:val="21"/>
                <w:szCs w:val="21"/>
              </w:rPr>
              <w:t>0.</w:t>
            </w:r>
            <w:r>
              <w:rPr>
                <w:rFonts w:hint="eastAsia"/>
                <w:sz w:val="21"/>
                <w:szCs w:val="21"/>
              </w:rPr>
              <w:t>4×0.45</w:t>
            </w:r>
          </w:p>
        </w:tc>
        <w:tc>
          <w:tcPr>
            <w:tcW w:w="1730" w:type="dxa"/>
            <w:shd w:val="clear" w:color="auto" w:fill="auto"/>
            <w:vAlign w:val="center"/>
          </w:tcPr>
          <w:p w14:paraId="0B53944E">
            <w:pPr>
              <w:spacing w:line="240" w:lineRule="auto"/>
              <w:ind w:firstLine="0" w:firstLineChars="0"/>
              <w:jc w:val="center"/>
              <w:rPr>
                <w:sz w:val="21"/>
                <w:szCs w:val="21"/>
              </w:rPr>
            </w:pPr>
            <w:r>
              <w:rPr>
                <w:rFonts w:hint="eastAsia"/>
                <w:sz w:val="21"/>
                <w:szCs w:val="21"/>
              </w:rPr>
              <w:t>9</w:t>
            </w:r>
          </w:p>
        </w:tc>
      </w:tr>
    </w:tbl>
    <w:p w14:paraId="4E6748BA">
      <w:pPr>
        <w:ind w:firstLine="0" w:firstLineChars="0"/>
        <w:jc w:val="center"/>
      </w:pPr>
      <w:r>
        <w:drawing>
          <wp:inline distT="0" distB="0" distL="0" distR="0">
            <wp:extent cx="6480175" cy="4319905"/>
            <wp:effectExtent l="0" t="0" r="9525" b="10795"/>
            <wp:docPr id="1486959699" name="图片 14" descr="在沙地上&#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59699" name="图片 14" descr="在沙地上&#10;&#10;描述已自动生成"/>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6480238" cy="4320000"/>
                    </a:xfrm>
                    <a:prstGeom prst="rect">
                      <a:avLst/>
                    </a:prstGeom>
                    <a:noFill/>
                    <a:ln>
                      <a:noFill/>
                    </a:ln>
                  </pic:spPr>
                </pic:pic>
              </a:graphicData>
            </a:graphic>
          </wp:inline>
        </w:drawing>
      </w:r>
    </w:p>
    <w:p w14:paraId="1C1CCED7">
      <w:pPr>
        <w:ind w:firstLine="0" w:firstLineChars="0"/>
        <w:jc w:val="center"/>
      </w:pPr>
      <w:r>
        <w:rPr>
          <w:rFonts w:hint="eastAsia"/>
        </w:rPr>
        <w:t>样方7</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345"/>
        <w:gridCol w:w="4536"/>
        <w:gridCol w:w="1559"/>
        <w:gridCol w:w="1395"/>
        <w:gridCol w:w="1418"/>
        <w:gridCol w:w="1335"/>
        <w:gridCol w:w="1730"/>
      </w:tblGrid>
      <w:tr w14:paraId="138FB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single" w:color="auto" w:sz="12" w:space="0"/>
              <w:bottom w:val="nil"/>
              <w:right w:val="nil"/>
            </w:tcBorders>
            <w:shd w:val="clear" w:color="auto" w:fill="auto"/>
            <w:vAlign w:val="center"/>
          </w:tcPr>
          <w:p w14:paraId="5CC822BF">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霸王群落</w:t>
            </w:r>
          </w:p>
        </w:tc>
        <w:tc>
          <w:tcPr>
            <w:tcW w:w="2954" w:type="dxa"/>
            <w:gridSpan w:val="2"/>
            <w:tcBorders>
              <w:top w:val="single" w:color="auto" w:sz="12" w:space="0"/>
              <w:left w:val="nil"/>
              <w:bottom w:val="nil"/>
              <w:right w:val="nil"/>
            </w:tcBorders>
            <w:shd w:val="clear" w:color="auto" w:fill="auto"/>
            <w:vAlign w:val="center"/>
          </w:tcPr>
          <w:p w14:paraId="12FC353A">
            <w:pPr>
              <w:spacing w:line="240" w:lineRule="auto"/>
              <w:ind w:firstLine="420"/>
              <w:jc w:val="center"/>
              <w:rPr>
                <w:sz w:val="21"/>
                <w:szCs w:val="21"/>
              </w:rPr>
            </w:pPr>
            <w:r>
              <w:rPr>
                <w:sz w:val="21"/>
                <w:szCs w:val="21"/>
              </w:rPr>
              <w:t>样方号：8</w:t>
            </w:r>
          </w:p>
        </w:tc>
        <w:tc>
          <w:tcPr>
            <w:tcW w:w="4483" w:type="dxa"/>
            <w:gridSpan w:val="3"/>
            <w:tcBorders>
              <w:top w:val="single" w:color="auto" w:sz="12" w:space="0"/>
              <w:left w:val="nil"/>
              <w:bottom w:val="nil"/>
            </w:tcBorders>
            <w:shd w:val="clear" w:color="auto" w:fill="auto"/>
            <w:vAlign w:val="center"/>
          </w:tcPr>
          <w:p w14:paraId="69F7CEF5">
            <w:pPr>
              <w:spacing w:line="240" w:lineRule="auto"/>
              <w:ind w:firstLine="420"/>
              <w:jc w:val="center"/>
              <w:rPr>
                <w:sz w:val="21"/>
                <w:szCs w:val="21"/>
              </w:rPr>
            </w:pPr>
            <w:r>
              <w:rPr>
                <w:sz w:val="21"/>
                <w:szCs w:val="21"/>
              </w:rPr>
              <w:t>样方面积：</w:t>
            </w:r>
            <w:r>
              <w:rPr>
                <w:rFonts w:hint="eastAsia"/>
                <w:sz w:val="21"/>
                <w:szCs w:val="21"/>
              </w:rPr>
              <w:t>10×10</w:t>
            </w:r>
            <w:r>
              <w:rPr>
                <w:sz w:val="21"/>
                <w:szCs w:val="21"/>
              </w:rPr>
              <w:t xml:space="preserve"> m</w:t>
            </w:r>
            <w:r>
              <w:rPr>
                <w:sz w:val="21"/>
                <w:szCs w:val="21"/>
                <w:vertAlign w:val="superscript"/>
              </w:rPr>
              <w:t>2</w:t>
            </w:r>
          </w:p>
        </w:tc>
      </w:tr>
      <w:tr w14:paraId="2E1B32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nil"/>
              <w:bottom w:val="nil"/>
              <w:right w:val="nil"/>
            </w:tcBorders>
            <w:shd w:val="clear" w:color="auto" w:fill="auto"/>
            <w:vAlign w:val="center"/>
          </w:tcPr>
          <w:p w14:paraId="19050C12">
            <w:pPr>
              <w:spacing w:line="240" w:lineRule="auto"/>
              <w:ind w:firstLine="420"/>
              <w:jc w:val="center"/>
              <w:rPr>
                <w:sz w:val="21"/>
                <w:szCs w:val="21"/>
              </w:rPr>
            </w:pPr>
            <w:r>
              <w:rPr>
                <w:sz w:val="21"/>
                <w:szCs w:val="21"/>
              </w:rPr>
              <w:t>经度：106°48′18.43913″</w:t>
            </w:r>
          </w:p>
        </w:tc>
        <w:tc>
          <w:tcPr>
            <w:tcW w:w="2954" w:type="dxa"/>
            <w:gridSpan w:val="2"/>
            <w:tcBorders>
              <w:top w:val="nil"/>
              <w:left w:val="nil"/>
              <w:bottom w:val="nil"/>
              <w:right w:val="nil"/>
            </w:tcBorders>
            <w:shd w:val="clear" w:color="auto" w:fill="auto"/>
            <w:vAlign w:val="center"/>
          </w:tcPr>
          <w:p w14:paraId="3CB45778">
            <w:pPr>
              <w:spacing w:line="240" w:lineRule="auto"/>
              <w:ind w:firstLine="420"/>
              <w:jc w:val="center"/>
              <w:rPr>
                <w:sz w:val="21"/>
                <w:szCs w:val="21"/>
              </w:rPr>
            </w:pPr>
            <w:r>
              <w:rPr>
                <w:sz w:val="21"/>
                <w:szCs w:val="21"/>
              </w:rPr>
              <w:t>纬度：40°0′36.13923″</w:t>
            </w:r>
          </w:p>
        </w:tc>
        <w:tc>
          <w:tcPr>
            <w:tcW w:w="4483" w:type="dxa"/>
            <w:gridSpan w:val="3"/>
            <w:tcBorders>
              <w:top w:val="nil"/>
              <w:left w:val="nil"/>
              <w:bottom w:val="nil"/>
            </w:tcBorders>
            <w:shd w:val="clear" w:color="auto" w:fill="auto"/>
            <w:vAlign w:val="center"/>
          </w:tcPr>
          <w:p w14:paraId="503A3BAD">
            <w:pPr>
              <w:spacing w:line="240" w:lineRule="auto"/>
              <w:ind w:firstLine="420"/>
              <w:jc w:val="center"/>
              <w:rPr>
                <w:sz w:val="21"/>
                <w:szCs w:val="21"/>
              </w:rPr>
            </w:pPr>
            <w:r>
              <w:rPr>
                <w:sz w:val="21"/>
                <w:szCs w:val="21"/>
              </w:rPr>
              <w:t>海拔：1159 m</w:t>
            </w:r>
          </w:p>
        </w:tc>
      </w:tr>
      <w:tr w14:paraId="2A981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80" w:type="dxa"/>
            <w:gridSpan w:val="4"/>
            <w:tcBorders>
              <w:top w:val="nil"/>
              <w:bottom w:val="single" w:color="auto" w:sz="4" w:space="0"/>
              <w:right w:val="nil"/>
            </w:tcBorders>
            <w:shd w:val="clear" w:color="auto" w:fill="auto"/>
            <w:vAlign w:val="center"/>
          </w:tcPr>
          <w:p w14:paraId="685D54FA">
            <w:pPr>
              <w:spacing w:line="240" w:lineRule="auto"/>
              <w:ind w:firstLine="420"/>
              <w:jc w:val="center"/>
              <w:rPr>
                <w:sz w:val="21"/>
                <w:szCs w:val="21"/>
              </w:rPr>
            </w:pPr>
            <w:r>
              <w:rPr>
                <w:sz w:val="21"/>
                <w:szCs w:val="21"/>
              </w:rPr>
              <w:t>调查人：苏斯图</w:t>
            </w:r>
          </w:p>
        </w:tc>
        <w:tc>
          <w:tcPr>
            <w:tcW w:w="1395" w:type="dxa"/>
            <w:tcBorders>
              <w:top w:val="nil"/>
              <w:left w:val="nil"/>
              <w:bottom w:val="single" w:color="auto" w:sz="4" w:space="0"/>
              <w:right w:val="nil"/>
            </w:tcBorders>
            <w:shd w:val="clear" w:color="auto" w:fill="auto"/>
            <w:vAlign w:val="center"/>
          </w:tcPr>
          <w:p w14:paraId="76FD6B8B">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7AB18CEC">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0D30E9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472B4DAF">
            <w:pPr>
              <w:spacing w:line="240" w:lineRule="auto"/>
              <w:ind w:firstLine="0" w:firstLineChars="0"/>
              <w:jc w:val="center"/>
              <w:rPr>
                <w:sz w:val="21"/>
                <w:szCs w:val="21"/>
              </w:rPr>
            </w:pPr>
            <w:r>
              <w:rPr>
                <w:sz w:val="21"/>
                <w:szCs w:val="21"/>
              </w:rPr>
              <w:t>种号</w:t>
            </w:r>
          </w:p>
        </w:tc>
        <w:tc>
          <w:tcPr>
            <w:tcW w:w="1345" w:type="dxa"/>
            <w:tcBorders>
              <w:top w:val="single" w:color="auto" w:sz="4" w:space="0"/>
            </w:tcBorders>
            <w:shd w:val="clear" w:color="auto" w:fill="auto"/>
            <w:vAlign w:val="center"/>
          </w:tcPr>
          <w:p w14:paraId="24BF4787">
            <w:pPr>
              <w:spacing w:line="240" w:lineRule="auto"/>
              <w:ind w:firstLine="0" w:firstLineChars="0"/>
              <w:jc w:val="center"/>
              <w:rPr>
                <w:sz w:val="21"/>
                <w:szCs w:val="21"/>
              </w:rPr>
            </w:pPr>
            <w:r>
              <w:rPr>
                <w:sz w:val="21"/>
                <w:szCs w:val="21"/>
              </w:rPr>
              <w:t>中文名</w:t>
            </w:r>
          </w:p>
        </w:tc>
        <w:tc>
          <w:tcPr>
            <w:tcW w:w="4536" w:type="dxa"/>
            <w:tcBorders>
              <w:top w:val="single" w:color="auto" w:sz="4" w:space="0"/>
            </w:tcBorders>
            <w:shd w:val="clear" w:color="auto" w:fill="auto"/>
            <w:vAlign w:val="center"/>
          </w:tcPr>
          <w:p w14:paraId="13E582E5">
            <w:pPr>
              <w:spacing w:line="240" w:lineRule="auto"/>
              <w:ind w:firstLine="0" w:firstLineChars="0"/>
              <w:jc w:val="center"/>
              <w:rPr>
                <w:sz w:val="21"/>
                <w:szCs w:val="21"/>
              </w:rPr>
            </w:pPr>
            <w:r>
              <w:rPr>
                <w:sz w:val="21"/>
                <w:szCs w:val="21"/>
              </w:rPr>
              <w:t>拉丁名</w:t>
            </w:r>
          </w:p>
        </w:tc>
        <w:tc>
          <w:tcPr>
            <w:tcW w:w="1559" w:type="dxa"/>
            <w:tcBorders>
              <w:top w:val="single" w:color="auto" w:sz="4" w:space="0"/>
            </w:tcBorders>
            <w:shd w:val="clear" w:color="auto" w:fill="auto"/>
            <w:vAlign w:val="center"/>
          </w:tcPr>
          <w:p w14:paraId="0E256DE9">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297864A2">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6EE1DF41">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3E1D28C6">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5030D08E">
            <w:pPr>
              <w:spacing w:line="240" w:lineRule="auto"/>
              <w:ind w:firstLine="0" w:firstLineChars="0"/>
              <w:jc w:val="center"/>
              <w:rPr>
                <w:sz w:val="21"/>
                <w:szCs w:val="21"/>
              </w:rPr>
            </w:pPr>
            <w:r>
              <w:rPr>
                <w:rFonts w:hint="eastAsia"/>
                <w:sz w:val="21"/>
                <w:szCs w:val="21"/>
              </w:rPr>
              <w:t>总</w:t>
            </w:r>
            <w:r>
              <w:rPr>
                <w:sz w:val="21"/>
                <w:szCs w:val="21"/>
              </w:rPr>
              <w:t>盖度%</w:t>
            </w:r>
          </w:p>
        </w:tc>
      </w:tr>
      <w:tr w14:paraId="51B98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15A9285D">
            <w:pPr>
              <w:spacing w:line="240" w:lineRule="auto"/>
              <w:ind w:firstLine="210" w:firstLineChars="100"/>
              <w:jc w:val="center"/>
              <w:rPr>
                <w:sz w:val="21"/>
                <w:szCs w:val="21"/>
              </w:rPr>
            </w:pPr>
            <w:r>
              <w:rPr>
                <w:sz w:val="21"/>
                <w:szCs w:val="21"/>
              </w:rPr>
              <w:t>1</w:t>
            </w:r>
          </w:p>
        </w:tc>
        <w:tc>
          <w:tcPr>
            <w:tcW w:w="1345" w:type="dxa"/>
            <w:shd w:val="clear" w:color="auto" w:fill="auto"/>
            <w:vAlign w:val="center"/>
          </w:tcPr>
          <w:p w14:paraId="1B770451">
            <w:pPr>
              <w:spacing w:line="240" w:lineRule="auto"/>
              <w:ind w:firstLine="0" w:firstLineChars="0"/>
              <w:jc w:val="center"/>
              <w:rPr>
                <w:sz w:val="21"/>
                <w:szCs w:val="21"/>
              </w:rPr>
            </w:pPr>
            <w:r>
              <w:rPr>
                <w:rFonts w:hint="eastAsia"/>
                <w:sz w:val="21"/>
                <w:szCs w:val="21"/>
              </w:rPr>
              <w:t>霸王</w:t>
            </w:r>
          </w:p>
        </w:tc>
        <w:tc>
          <w:tcPr>
            <w:tcW w:w="4536" w:type="dxa"/>
            <w:shd w:val="clear" w:color="auto" w:fill="auto"/>
          </w:tcPr>
          <w:p w14:paraId="49443EBF">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r>
              <w:rPr>
                <w:rFonts w:hint="eastAsia"/>
                <w:iCs/>
                <w:sz w:val="21"/>
                <w:szCs w:val="21"/>
              </w:rPr>
              <w:t>．</w:t>
            </w:r>
          </w:p>
        </w:tc>
        <w:tc>
          <w:tcPr>
            <w:tcW w:w="1559" w:type="dxa"/>
            <w:shd w:val="clear" w:color="auto" w:fill="auto"/>
            <w:vAlign w:val="center"/>
          </w:tcPr>
          <w:p w14:paraId="085D90B8">
            <w:pPr>
              <w:spacing w:line="240" w:lineRule="auto"/>
              <w:ind w:firstLine="0" w:firstLineChars="0"/>
              <w:jc w:val="center"/>
              <w:rPr>
                <w:sz w:val="21"/>
                <w:szCs w:val="21"/>
              </w:rPr>
            </w:pPr>
            <w:r>
              <w:rPr>
                <w:rFonts w:hint="eastAsia"/>
                <w:sz w:val="21"/>
                <w:szCs w:val="21"/>
              </w:rPr>
              <w:t>花期-果期</w:t>
            </w:r>
          </w:p>
        </w:tc>
        <w:tc>
          <w:tcPr>
            <w:tcW w:w="1395" w:type="dxa"/>
            <w:shd w:val="clear" w:color="auto" w:fill="auto"/>
            <w:vAlign w:val="center"/>
          </w:tcPr>
          <w:p w14:paraId="5A481B42">
            <w:pPr>
              <w:spacing w:line="240" w:lineRule="auto"/>
              <w:ind w:firstLine="0" w:firstLineChars="0"/>
              <w:jc w:val="center"/>
              <w:rPr>
                <w:sz w:val="21"/>
                <w:szCs w:val="21"/>
              </w:rPr>
            </w:pPr>
            <w:r>
              <w:rPr>
                <w:sz w:val="21"/>
                <w:szCs w:val="21"/>
              </w:rPr>
              <w:t>1</w:t>
            </w:r>
            <w:r>
              <w:rPr>
                <w:rFonts w:hint="eastAsia"/>
                <w:sz w:val="21"/>
                <w:szCs w:val="21"/>
              </w:rPr>
              <w:t>1</w:t>
            </w:r>
          </w:p>
        </w:tc>
        <w:tc>
          <w:tcPr>
            <w:tcW w:w="1418" w:type="dxa"/>
            <w:shd w:val="clear" w:color="auto" w:fill="auto"/>
            <w:vAlign w:val="center"/>
          </w:tcPr>
          <w:p w14:paraId="38B2BCCA">
            <w:pPr>
              <w:spacing w:line="240" w:lineRule="auto"/>
              <w:ind w:firstLine="0" w:firstLineChars="0"/>
              <w:jc w:val="center"/>
              <w:rPr>
                <w:sz w:val="21"/>
                <w:szCs w:val="21"/>
              </w:rPr>
            </w:pPr>
            <w:r>
              <w:rPr>
                <w:rFonts w:hint="eastAsia"/>
                <w:sz w:val="21"/>
                <w:szCs w:val="21"/>
              </w:rPr>
              <w:t>3</w:t>
            </w:r>
            <w:r>
              <w:rPr>
                <w:sz w:val="21"/>
                <w:szCs w:val="21"/>
              </w:rPr>
              <w:t>0</w:t>
            </w:r>
          </w:p>
        </w:tc>
        <w:tc>
          <w:tcPr>
            <w:tcW w:w="1335" w:type="dxa"/>
            <w:shd w:val="clear" w:color="auto" w:fill="auto"/>
            <w:vAlign w:val="center"/>
          </w:tcPr>
          <w:p w14:paraId="3F43A492">
            <w:pPr>
              <w:spacing w:line="240" w:lineRule="auto"/>
              <w:ind w:firstLine="0" w:firstLineChars="0"/>
              <w:jc w:val="center"/>
              <w:rPr>
                <w:sz w:val="21"/>
                <w:szCs w:val="21"/>
              </w:rPr>
            </w:pPr>
            <w:r>
              <w:rPr>
                <w:sz w:val="21"/>
                <w:szCs w:val="21"/>
              </w:rPr>
              <w:t>0.</w:t>
            </w:r>
            <w:r>
              <w:rPr>
                <w:rFonts w:hint="eastAsia"/>
                <w:sz w:val="21"/>
                <w:szCs w:val="21"/>
              </w:rPr>
              <w:t>27×0.32</w:t>
            </w:r>
          </w:p>
        </w:tc>
        <w:tc>
          <w:tcPr>
            <w:tcW w:w="1730" w:type="dxa"/>
            <w:shd w:val="clear" w:color="auto" w:fill="auto"/>
            <w:vAlign w:val="center"/>
          </w:tcPr>
          <w:p w14:paraId="6FF207A6">
            <w:pPr>
              <w:spacing w:line="240" w:lineRule="auto"/>
              <w:ind w:firstLine="0" w:firstLineChars="0"/>
              <w:jc w:val="center"/>
              <w:rPr>
                <w:sz w:val="21"/>
                <w:szCs w:val="21"/>
              </w:rPr>
            </w:pPr>
            <w:r>
              <w:rPr>
                <w:rFonts w:hint="eastAsia"/>
                <w:sz w:val="21"/>
                <w:szCs w:val="21"/>
              </w:rPr>
              <w:t>7</w:t>
            </w:r>
          </w:p>
        </w:tc>
      </w:tr>
    </w:tbl>
    <w:p w14:paraId="36515960">
      <w:pPr>
        <w:ind w:firstLine="0" w:firstLineChars="0"/>
        <w:jc w:val="center"/>
      </w:pPr>
      <w:r>
        <w:drawing>
          <wp:inline distT="0" distB="0" distL="0" distR="0">
            <wp:extent cx="6480175" cy="4319905"/>
            <wp:effectExtent l="0" t="0" r="9525" b="10795"/>
            <wp:docPr id="11134405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40536" name="图片 1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6480238" cy="4320000"/>
                    </a:xfrm>
                    <a:prstGeom prst="rect">
                      <a:avLst/>
                    </a:prstGeom>
                    <a:noFill/>
                    <a:ln>
                      <a:noFill/>
                    </a:ln>
                  </pic:spPr>
                </pic:pic>
              </a:graphicData>
            </a:graphic>
          </wp:inline>
        </w:drawing>
      </w:r>
    </w:p>
    <w:p w14:paraId="767B3839">
      <w:pPr>
        <w:ind w:firstLine="0" w:firstLineChars="0"/>
        <w:jc w:val="center"/>
      </w:pPr>
      <w:r>
        <w:rPr>
          <w:rFonts w:hint="eastAsia"/>
        </w:rPr>
        <w:t>样方8</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345"/>
        <w:gridCol w:w="4536"/>
        <w:gridCol w:w="1559"/>
        <w:gridCol w:w="1395"/>
        <w:gridCol w:w="1418"/>
        <w:gridCol w:w="1335"/>
        <w:gridCol w:w="1730"/>
      </w:tblGrid>
      <w:tr w14:paraId="468ABC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single" w:color="auto" w:sz="12" w:space="0"/>
              <w:bottom w:val="nil"/>
              <w:right w:val="nil"/>
            </w:tcBorders>
            <w:shd w:val="clear" w:color="auto" w:fill="auto"/>
            <w:vAlign w:val="center"/>
          </w:tcPr>
          <w:p w14:paraId="7CFEAF27">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霸王群落</w:t>
            </w:r>
          </w:p>
        </w:tc>
        <w:tc>
          <w:tcPr>
            <w:tcW w:w="2954" w:type="dxa"/>
            <w:gridSpan w:val="2"/>
            <w:tcBorders>
              <w:top w:val="single" w:color="auto" w:sz="12" w:space="0"/>
              <w:left w:val="nil"/>
              <w:bottom w:val="nil"/>
              <w:right w:val="nil"/>
            </w:tcBorders>
            <w:shd w:val="clear" w:color="auto" w:fill="auto"/>
            <w:vAlign w:val="center"/>
          </w:tcPr>
          <w:p w14:paraId="35FC3659">
            <w:pPr>
              <w:spacing w:line="240" w:lineRule="auto"/>
              <w:ind w:firstLine="420"/>
              <w:jc w:val="center"/>
              <w:rPr>
                <w:sz w:val="21"/>
                <w:szCs w:val="21"/>
              </w:rPr>
            </w:pPr>
            <w:r>
              <w:rPr>
                <w:sz w:val="21"/>
                <w:szCs w:val="21"/>
              </w:rPr>
              <w:t>样方号：9</w:t>
            </w:r>
          </w:p>
        </w:tc>
        <w:tc>
          <w:tcPr>
            <w:tcW w:w="4483" w:type="dxa"/>
            <w:gridSpan w:val="3"/>
            <w:tcBorders>
              <w:top w:val="single" w:color="auto" w:sz="12" w:space="0"/>
              <w:left w:val="nil"/>
              <w:bottom w:val="nil"/>
            </w:tcBorders>
            <w:shd w:val="clear" w:color="auto" w:fill="auto"/>
            <w:vAlign w:val="center"/>
          </w:tcPr>
          <w:p w14:paraId="6D098D58">
            <w:pPr>
              <w:spacing w:line="240" w:lineRule="auto"/>
              <w:ind w:firstLine="420"/>
              <w:jc w:val="center"/>
              <w:rPr>
                <w:sz w:val="21"/>
                <w:szCs w:val="21"/>
              </w:rPr>
            </w:pPr>
            <w:r>
              <w:rPr>
                <w:sz w:val="21"/>
                <w:szCs w:val="21"/>
              </w:rPr>
              <w:t>样方面积：10</w:t>
            </w:r>
            <w:r>
              <w:rPr>
                <w:rFonts w:hint="eastAsia"/>
                <w:sz w:val="21"/>
                <w:szCs w:val="21"/>
              </w:rPr>
              <w:t>0</w:t>
            </w:r>
            <w:r>
              <w:rPr>
                <w:sz w:val="21"/>
                <w:szCs w:val="21"/>
              </w:rPr>
              <w:t xml:space="preserve"> m</w:t>
            </w:r>
            <w:r>
              <w:rPr>
                <w:sz w:val="21"/>
                <w:szCs w:val="21"/>
                <w:vertAlign w:val="superscript"/>
              </w:rPr>
              <w:t>2</w:t>
            </w:r>
          </w:p>
        </w:tc>
      </w:tr>
      <w:tr w14:paraId="11E059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nil"/>
              <w:bottom w:val="nil"/>
              <w:right w:val="nil"/>
            </w:tcBorders>
            <w:shd w:val="clear" w:color="auto" w:fill="auto"/>
            <w:vAlign w:val="center"/>
          </w:tcPr>
          <w:p w14:paraId="3D28F333">
            <w:pPr>
              <w:spacing w:line="240" w:lineRule="auto"/>
              <w:ind w:firstLine="420"/>
              <w:jc w:val="center"/>
              <w:rPr>
                <w:sz w:val="21"/>
                <w:szCs w:val="21"/>
              </w:rPr>
            </w:pPr>
            <w:r>
              <w:rPr>
                <w:sz w:val="21"/>
                <w:szCs w:val="21"/>
              </w:rPr>
              <w:t>经度：106°49′3.59666″</w:t>
            </w:r>
          </w:p>
        </w:tc>
        <w:tc>
          <w:tcPr>
            <w:tcW w:w="2954" w:type="dxa"/>
            <w:gridSpan w:val="2"/>
            <w:tcBorders>
              <w:top w:val="nil"/>
              <w:left w:val="nil"/>
              <w:bottom w:val="nil"/>
              <w:right w:val="nil"/>
            </w:tcBorders>
            <w:shd w:val="clear" w:color="auto" w:fill="auto"/>
            <w:vAlign w:val="center"/>
          </w:tcPr>
          <w:p w14:paraId="24D9CCAE">
            <w:pPr>
              <w:spacing w:line="240" w:lineRule="auto"/>
              <w:ind w:firstLine="420"/>
              <w:jc w:val="center"/>
              <w:rPr>
                <w:sz w:val="21"/>
                <w:szCs w:val="21"/>
              </w:rPr>
            </w:pPr>
            <w:r>
              <w:rPr>
                <w:sz w:val="21"/>
                <w:szCs w:val="21"/>
              </w:rPr>
              <w:t>纬度：40°0′34.69636″</w:t>
            </w:r>
          </w:p>
        </w:tc>
        <w:tc>
          <w:tcPr>
            <w:tcW w:w="4483" w:type="dxa"/>
            <w:gridSpan w:val="3"/>
            <w:tcBorders>
              <w:top w:val="nil"/>
              <w:left w:val="nil"/>
              <w:bottom w:val="nil"/>
            </w:tcBorders>
            <w:shd w:val="clear" w:color="auto" w:fill="auto"/>
            <w:vAlign w:val="center"/>
          </w:tcPr>
          <w:p w14:paraId="48BDC6E0">
            <w:pPr>
              <w:spacing w:line="240" w:lineRule="auto"/>
              <w:ind w:firstLine="420"/>
              <w:jc w:val="center"/>
              <w:rPr>
                <w:sz w:val="21"/>
                <w:szCs w:val="21"/>
              </w:rPr>
            </w:pPr>
            <w:r>
              <w:rPr>
                <w:sz w:val="21"/>
                <w:szCs w:val="21"/>
              </w:rPr>
              <w:t>海拔：1156 m</w:t>
            </w:r>
          </w:p>
        </w:tc>
      </w:tr>
      <w:tr w14:paraId="46514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80" w:type="dxa"/>
            <w:gridSpan w:val="4"/>
            <w:tcBorders>
              <w:top w:val="nil"/>
              <w:bottom w:val="single" w:color="auto" w:sz="4" w:space="0"/>
              <w:right w:val="nil"/>
            </w:tcBorders>
            <w:shd w:val="clear" w:color="auto" w:fill="auto"/>
            <w:vAlign w:val="center"/>
          </w:tcPr>
          <w:p w14:paraId="7173713B">
            <w:pPr>
              <w:spacing w:line="240" w:lineRule="auto"/>
              <w:ind w:firstLine="420"/>
              <w:jc w:val="center"/>
              <w:rPr>
                <w:sz w:val="21"/>
                <w:szCs w:val="21"/>
              </w:rPr>
            </w:pPr>
            <w:r>
              <w:rPr>
                <w:sz w:val="21"/>
                <w:szCs w:val="21"/>
              </w:rPr>
              <w:t>调查人：</w:t>
            </w:r>
            <w:r>
              <w:rPr>
                <w:rFonts w:hint="eastAsia"/>
                <w:sz w:val="21"/>
                <w:szCs w:val="21"/>
              </w:rPr>
              <w:t>苏斯图</w:t>
            </w:r>
          </w:p>
        </w:tc>
        <w:tc>
          <w:tcPr>
            <w:tcW w:w="1395" w:type="dxa"/>
            <w:tcBorders>
              <w:top w:val="nil"/>
              <w:left w:val="nil"/>
              <w:bottom w:val="single" w:color="auto" w:sz="4" w:space="0"/>
              <w:right w:val="nil"/>
            </w:tcBorders>
            <w:shd w:val="clear" w:color="auto" w:fill="auto"/>
            <w:vAlign w:val="center"/>
          </w:tcPr>
          <w:p w14:paraId="3C280E03">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274BB201">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1D544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751D8818">
            <w:pPr>
              <w:spacing w:line="240" w:lineRule="auto"/>
              <w:ind w:firstLine="0" w:firstLineChars="0"/>
              <w:jc w:val="center"/>
              <w:rPr>
                <w:sz w:val="21"/>
                <w:szCs w:val="21"/>
              </w:rPr>
            </w:pPr>
            <w:r>
              <w:rPr>
                <w:sz w:val="21"/>
                <w:szCs w:val="21"/>
              </w:rPr>
              <w:t>种号</w:t>
            </w:r>
          </w:p>
        </w:tc>
        <w:tc>
          <w:tcPr>
            <w:tcW w:w="1345" w:type="dxa"/>
            <w:tcBorders>
              <w:top w:val="single" w:color="auto" w:sz="4" w:space="0"/>
            </w:tcBorders>
            <w:shd w:val="clear" w:color="auto" w:fill="auto"/>
            <w:vAlign w:val="center"/>
          </w:tcPr>
          <w:p w14:paraId="55862D83">
            <w:pPr>
              <w:spacing w:line="240" w:lineRule="auto"/>
              <w:ind w:firstLine="0" w:firstLineChars="0"/>
              <w:jc w:val="center"/>
              <w:rPr>
                <w:sz w:val="21"/>
                <w:szCs w:val="21"/>
              </w:rPr>
            </w:pPr>
            <w:r>
              <w:rPr>
                <w:sz w:val="21"/>
                <w:szCs w:val="21"/>
              </w:rPr>
              <w:t>中文名</w:t>
            </w:r>
          </w:p>
        </w:tc>
        <w:tc>
          <w:tcPr>
            <w:tcW w:w="4536" w:type="dxa"/>
            <w:tcBorders>
              <w:top w:val="single" w:color="auto" w:sz="4" w:space="0"/>
            </w:tcBorders>
            <w:shd w:val="clear" w:color="auto" w:fill="auto"/>
            <w:vAlign w:val="center"/>
          </w:tcPr>
          <w:p w14:paraId="0A42CB05">
            <w:pPr>
              <w:spacing w:line="240" w:lineRule="auto"/>
              <w:ind w:firstLine="0" w:firstLineChars="0"/>
              <w:jc w:val="center"/>
              <w:rPr>
                <w:sz w:val="21"/>
                <w:szCs w:val="21"/>
              </w:rPr>
            </w:pPr>
            <w:r>
              <w:rPr>
                <w:sz w:val="21"/>
                <w:szCs w:val="21"/>
              </w:rPr>
              <w:t>拉丁名</w:t>
            </w:r>
          </w:p>
        </w:tc>
        <w:tc>
          <w:tcPr>
            <w:tcW w:w="1559" w:type="dxa"/>
            <w:tcBorders>
              <w:top w:val="single" w:color="auto" w:sz="4" w:space="0"/>
            </w:tcBorders>
            <w:shd w:val="clear" w:color="auto" w:fill="auto"/>
            <w:vAlign w:val="center"/>
          </w:tcPr>
          <w:p w14:paraId="65CDC66F">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2AD62E8E">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133B6297">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71E162EE">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66D6D2B7">
            <w:pPr>
              <w:spacing w:line="240" w:lineRule="auto"/>
              <w:ind w:firstLine="0" w:firstLineChars="0"/>
              <w:jc w:val="center"/>
              <w:rPr>
                <w:sz w:val="21"/>
                <w:szCs w:val="21"/>
              </w:rPr>
            </w:pPr>
            <w:r>
              <w:rPr>
                <w:rFonts w:hint="eastAsia"/>
                <w:sz w:val="21"/>
                <w:szCs w:val="21"/>
              </w:rPr>
              <w:t>总</w:t>
            </w:r>
            <w:r>
              <w:rPr>
                <w:sz w:val="21"/>
                <w:szCs w:val="21"/>
              </w:rPr>
              <w:t>盖度%</w:t>
            </w:r>
          </w:p>
        </w:tc>
      </w:tr>
      <w:tr w14:paraId="7F9BD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3DFD563E">
            <w:pPr>
              <w:spacing w:line="240" w:lineRule="auto"/>
              <w:ind w:firstLine="210" w:firstLineChars="100"/>
              <w:jc w:val="center"/>
              <w:rPr>
                <w:sz w:val="21"/>
                <w:szCs w:val="21"/>
              </w:rPr>
            </w:pPr>
            <w:r>
              <w:rPr>
                <w:sz w:val="21"/>
                <w:szCs w:val="21"/>
              </w:rPr>
              <w:t>1</w:t>
            </w:r>
          </w:p>
        </w:tc>
        <w:tc>
          <w:tcPr>
            <w:tcW w:w="1345" w:type="dxa"/>
            <w:shd w:val="clear" w:color="auto" w:fill="auto"/>
            <w:vAlign w:val="center"/>
          </w:tcPr>
          <w:p w14:paraId="1E7EEE75">
            <w:pPr>
              <w:spacing w:line="240" w:lineRule="auto"/>
              <w:ind w:firstLine="0" w:firstLineChars="0"/>
              <w:jc w:val="center"/>
              <w:rPr>
                <w:sz w:val="21"/>
                <w:szCs w:val="21"/>
              </w:rPr>
            </w:pPr>
            <w:r>
              <w:rPr>
                <w:rFonts w:hint="eastAsia"/>
                <w:sz w:val="21"/>
                <w:szCs w:val="21"/>
              </w:rPr>
              <w:t>霸王</w:t>
            </w:r>
          </w:p>
        </w:tc>
        <w:tc>
          <w:tcPr>
            <w:tcW w:w="4536" w:type="dxa"/>
            <w:shd w:val="clear" w:color="auto" w:fill="auto"/>
          </w:tcPr>
          <w:p w14:paraId="7F084B0A">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r>
              <w:rPr>
                <w:rFonts w:hint="eastAsia"/>
                <w:iCs/>
                <w:sz w:val="21"/>
                <w:szCs w:val="21"/>
              </w:rPr>
              <w:t>．</w:t>
            </w:r>
          </w:p>
        </w:tc>
        <w:tc>
          <w:tcPr>
            <w:tcW w:w="1559" w:type="dxa"/>
            <w:shd w:val="clear" w:color="auto" w:fill="auto"/>
            <w:vAlign w:val="center"/>
          </w:tcPr>
          <w:p w14:paraId="0E8F9301">
            <w:pPr>
              <w:spacing w:line="240" w:lineRule="auto"/>
              <w:ind w:firstLine="0" w:firstLineChars="0"/>
              <w:jc w:val="center"/>
              <w:rPr>
                <w:sz w:val="21"/>
                <w:szCs w:val="21"/>
              </w:rPr>
            </w:pPr>
            <w:r>
              <w:rPr>
                <w:rFonts w:hint="eastAsia"/>
                <w:sz w:val="21"/>
                <w:szCs w:val="21"/>
              </w:rPr>
              <w:t>花期-果期</w:t>
            </w:r>
          </w:p>
        </w:tc>
        <w:tc>
          <w:tcPr>
            <w:tcW w:w="1395" w:type="dxa"/>
            <w:shd w:val="clear" w:color="auto" w:fill="auto"/>
            <w:vAlign w:val="center"/>
          </w:tcPr>
          <w:p w14:paraId="13A5D9A3">
            <w:pPr>
              <w:spacing w:line="240" w:lineRule="auto"/>
              <w:ind w:firstLine="0" w:firstLineChars="0"/>
              <w:jc w:val="center"/>
              <w:rPr>
                <w:sz w:val="21"/>
                <w:szCs w:val="21"/>
              </w:rPr>
            </w:pPr>
            <w:r>
              <w:rPr>
                <w:rFonts w:hint="eastAsia"/>
                <w:sz w:val="21"/>
                <w:szCs w:val="21"/>
              </w:rPr>
              <w:t>11</w:t>
            </w:r>
          </w:p>
        </w:tc>
        <w:tc>
          <w:tcPr>
            <w:tcW w:w="1418" w:type="dxa"/>
            <w:shd w:val="clear" w:color="auto" w:fill="auto"/>
            <w:vAlign w:val="center"/>
          </w:tcPr>
          <w:p w14:paraId="47CA7B4A">
            <w:pPr>
              <w:spacing w:line="240" w:lineRule="auto"/>
              <w:ind w:firstLine="0" w:firstLineChars="0"/>
              <w:jc w:val="center"/>
              <w:rPr>
                <w:sz w:val="21"/>
                <w:szCs w:val="21"/>
              </w:rPr>
            </w:pPr>
            <w:r>
              <w:rPr>
                <w:rFonts w:hint="eastAsia"/>
                <w:sz w:val="21"/>
                <w:szCs w:val="21"/>
              </w:rPr>
              <w:t>28</w:t>
            </w:r>
          </w:p>
        </w:tc>
        <w:tc>
          <w:tcPr>
            <w:tcW w:w="1335" w:type="dxa"/>
            <w:shd w:val="clear" w:color="auto" w:fill="auto"/>
            <w:vAlign w:val="center"/>
          </w:tcPr>
          <w:p w14:paraId="27D137C8">
            <w:pPr>
              <w:spacing w:line="240" w:lineRule="auto"/>
              <w:ind w:firstLine="0" w:firstLineChars="0"/>
              <w:jc w:val="center"/>
              <w:rPr>
                <w:sz w:val="21"/>
                <w:szCs w:val="21"/>
              </w:rPr>
            </w:pPr>
            <w:r>
              <w:rPr>
                <w:sz w:val="21"/>
                <w:szCs w:val="21"/>
              </w:rPr>
              <w:t>0.</w:t>
            </w:r>
            <w:r>
              <w:rPr>
                <w:rFonts w:hint="eastAsia"/>
                <w:sz w:val="21"/>
                <w:szCs w:val="21"/>
              </w:rPr>
              <w:t>45×0.35</w:t>
            </w:r>
          </w:p>
        </w:tc>
        <w:tc>
          <w:tcPr>
            <w:tcW w:w="1730" w:type="dxa"/>
            <w:shd w:val="clear" w:color="auto" w:fill="auto"/>
            <w:vAlign w:val="center"/>
          </w:tcPr>
          <w:p w14:paraId="65AC42DF">
            <w:pPr>
              <w:spacing w:line="240" w:lineRule="auto"/>
              <w:ind w:firstLine="0" w:firstLineChars="0"/>
              <w:jc w:val="center"/>
              <w:rPr>
                <w:sz w:val="21"/>
                <w:szCs w:val="21"/>
              </w:rPr>
            </w:pPr>
            <w:r>
              <w:rPr>
                <w:rFonts w:hint="eastAsia"/>
                <w:sz w:val="21"/>
                <w:szCs w:val="21"/>
              </w:rPr>
              <w:t>9</w:t>
            </w:r>
          </w:p>
        </w:tc>
      </w:tr>
    </w:tbl>
    <w:p w14:paraId="33F6E6E0">
      <w:pPr>
        <w:ind w:firstLine="0" w:firstLineChars="0"/>
        <w:jc w:val="center"/>
      </w:pPr>
      <w:r>
        <w:drawing>
          <wp:inline distT="0" distB="0" distL="0" distR="0">
            <wp:extent cx="6480175" cy="4319905"/>
            <wp:effectExtent l="0" t="0" r="9525" b="10795"/>
            <wp:docPr id="153615078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50781" name="图片 1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6480238" cy="4320000"/>
                    </a:xfrm>
                    <a:prstGeom prst="rect">
                      <a:avLst/>
                    </a:prstGeom>
                    <a:noFill/>
                    <a:ln>
                      <a:noFill/>
                    </a:ln>
                  </pic:spPr>
                </pic:pic>
              </a:graphicData>
            </a:graphic>
          </wp:inline>
        </w:drawing>
      </w:r>
    </w:p>
    <w:p w14:paraId="722CBE29">
      <w:pPr>
        <w:ind w:firstLine="0" w:firstLineChars="0"/>
        <w:jc w:val="center"/>
      </w:pPr>
      <w:r>
        <w:rPr>
          <w:rFonts w:hint="eastAsia"/>
        </w:rPr>
        <w:t>样方9</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345"/>
        <w:gridCol w:w="4536"/>
        <w:gridCol w:w="1559"/>
        <w:gridCol w:w="1395"/>
        <w:gridCol w:w="1418"/>
        <w:gridCol w:w="1335"/>
        <w:gridCol w:w="1730"/>
      </w:tblGrid>
      <w:tr w14:paraId="45968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single" w:color="auto" w:sz="12" w:space="0"/>
              <w:bottom w:val="nil"/>
              <w:right w:val="nil"/>
            </w:tcBorders>
            <w:shd w:val="clear" w:color="auto" w:fill="auto"/>
            <w:vAlign w:val="center"/>
          </w:tcPr>
          <w:p w14:paraId="743E3F4B">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霸王群落</w:t>
            </w:r>
          </w:p>
        </w:tc>
        <w:tc>
          <w:tcPr>
            <w:tcW w:w="2954" w:type="dxa"/>
            <w:gridSpan w:val="2"/>
            <w:tcBorders>
              <w:top w:val="single" w:color="auto" w:sz="12" w:space="0"/>
              <w:left w:val="nil"/>
              <w:bottom w:val="nil"/>
              <w:right w:val="nil"/>
            </w:tcBorders>
            <w:shd w:val="clear" w:color="auto" w:fill="auto"/>
            <w:vAlign w:val="center"/>
          </w:tcPr>
          <w:p w14:paraId="533A4CC5">
            <w:pPr>
              <w:spacing w:line="240" w:lineRule="auto"/>
              <w:ind w:firstLine="420"/>
              <w:jc w:val="center"/>
              <w:rPr>
                <w:sz w:val="21"/>
                <w:szCs w:val="21"/>
              </w:rPr>
            </w:pPr>
            <w:r>
              <w:rPr>
                <w:sz w:val="21"/>
                <w:szCs w:val="21"/>
              </w:rPr>
              <w:t>样方号：10</w:t>
            </w:r>
          </w:p>
        </w:tc>
        <w:tc>
          <w:tcPr>
            <w:tcW w:w="4483" w:type="dxa"/>
            <w:gridSpan w:val="3"/>
            <w:tcBorders>
              <w:top w:val="single" w:color="auto" w:sz="12" w:space="0"/>
              <w:left w:val="nil"/>
              <w:bottom w:val="nil"/>
            </w:tcBorders>
            <w:shd w:val="clear" w:color="auto" w:fill="auto"/>
            <w:vAlign w:val="center"/>
          </w:tcPr>
          <w:p w14:paraId="2C3249E2">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3D3909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nil"/>
              <w:bottom w:val="nil"/>
              <w:right w:val="nil"/>
            </w:tcBorders>
            <w:shd w:val="clear" w:color="auto" w:fill="auto"/>
            <w:vAlign w:val="center"/>
          </w:tcPr>
          <w:p w14:paraId="275C8B9F">
            <w:pPr>
              <w:spacing w:line="240" w:lineRule="auto"/>
              <w:ind w:firstLine="420"/>
              <w:jc w:val="center"/>
              <w:rPr>
                <w:sz w:val="21"/>
                <w:szCs w:val="21"/>
              </w:rPr>
            </w:pPr>
            <w:r>
              <w:rPr>
                <w:sz w:val="21"/>
                <w:szCs w:val="21"/>
              </w:rPr>
              <w:t>经度：106°48′0.05553″</w:t>
            </w:r>
          </w:p>
        </w:tc>
        <w:tc>
          <w:tcPr>
            <w:tcW w:w="2954" w:type="dxa"/>
            <w:gridSpan w:val="2"/>
            <w:tcBorders>
              <w:top w:val="nil"/>
              <w:left w:val="nil"/>
              <w:bottom w:val="nil"/>
              <w:right w:val="nil"/>
            </w:tcBorders>
            <w:shd w:val="clear" w:color="auto" w:fill="auto"/>
            <w:vAlign w:val="center"/>
          </w:tcPr>
          <w:p w14:paraId="026A265F">
            <w:pPr>
              <w:spacing w:line="240" w:lineRule="auto"/>
              <w:ind w:firstLine="420"/>
              <w:jc w:val="center"/>
              <w:rPr>
                <w:sz w:val="21"/>
                <w:szCs w:val="21"/>
              </w:rPr>
            </w:pPr>
            <w:r>
              <w:rPr>
                <w:sz w:val="21"/>
                <w:szCs w:val="21"/>
              </w:rPr>
              <w:t>纬度：40°1′36.23121″</w:t>
            </w:r>
          </w:p>
        </w:tc>
        <w:tc>
          <w:tcPr>
            <w:tcW w:w="4483" w:type="dxa"/>
            <w:gridSpan w:val="3"/>
            <w:tcBorders>
              <w:top w:val="nil"/>
              <w:left w:val="nil"/>
              <w:bottom w:val="nil"/>
            </w:tcBorders>
            <w:shd w:val="clear" w:color="auto" w:fill="auto"/>
            <w:vAlign w:val="center"/>
          </w:tcPr>
          <w:p w14:paraId="09456E69">
            <w:pPr>
              <w:spacing w:line="240" w:lineRule="auto"/>
              <w:ind w:firstLine="420"/>
              <w:jc w:val="center"/>
              <w:rPr>
                <w:sz w:val="21"/>
                <w:szCs w:val="21"/>
              </w:rPr>
            </w:pPr>
            <w:r>
              <w:rPr>
                <w:sz w:val="21"/>
                <w:szCs w:val="21"/>
              </w:rPr>
              <w:t>海拔：1152 m</w:t>
            </w:r>
          </w:p>
        </w:tc>
      </w:tr>
      <w:tr w14:paraId="798622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080" w:type="dxa"/>
            <w:gridSpan w:val="4"/>
            <w:tcBorders>
              <w:top w:val="nil"/>
              <w:bottom w:val="single" w:color="auto" w:sz="4" w:space="0"/>
              <w:right w:val="nil"/>
            </w:tcBorders>
            <w:shd w:val="clear" w:color="auto" w:fill="auto"/>
            <w:vAlign w:val="center"/>
          </w:tcPr>
          <w:p w14:paraId="52F121FA">
            <w:pPr>
              <w:spacing w:line="240" w:lineRule="auto"/>
              <w:ind w:firstLine="420"/>
              <w:jc w:val="center"/>
              <w:rPr>
                <w:sz w:val="21"/>
                <w:szCs w:val="21"/>
              </w:rPr>
            </w:pPr>
            <w:r>
              <w:rPr>
                <w:sz w:val="21"/>
                <w:szCs w:val="21"/>
              </w:rPr>
              <w:t>调查人：苏斯图</w:t>
            </w:r>
          </w:p>
        </w:tc>
        <w:tc>
          <w:tcPr>
            <w:tcW w:w="1395" w:type="dxa"/>
            <w:tcBorders>
              <w:top w:val="nil"/>
              <w:left w:val="nil"/>
              <w:bottom w:val="single" w:color="auto" w:sz="4" w:space="0"/>
              <w:right w:val="nil"/>
            </w:tcBorders>
            <w:shd w:val="clear" w:color="auto" w:fill="auto"/>
            <w:vAlign w:val="center"/>
          </w:tcPr>
          <w:p w14:paraId="693B32C0">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1FC5C652">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08FF9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3E4AD28A">
            <w:pPr>
              <w:spacing w:line="240" w:lineRule="auto"/>
              <w:ind w:firstLine="0" w:firstLineChars="0"/>
              <w:jc w:val="center"/>
              <w:rPr>
                <w:sz w:val="21"/>
                <w:szCs w:val="21"/>
              </w:rPr>
            </w:pPr>
            <w:r>
              <w:rPr>
                <w:sz w:val="21"/>
                <w:szCs w:val="21"/>
              </w:rPr>
              <w:t>种号</w:t>
            </w:r>
          </w:p>
        </w:tc>
        <w:tc>
          <w:tcPr>
            <w:tcW w:w="1345" w:type="dxa"/>
            <w:tcBorders>
              <w:top w:val="single" w:color="auto" w:sz="4" w:space="0"/>
            </w:tcBorders>
            <w:shd w:val="clear" w:color="auto" w:fill="auto"/>
            <w:vAlign w:val="center"/>
          </w:tcPr>
          <w:p w14:paraId="4023B53E">
            <w:pPr>
              <w:spacing w:line="240" w:lineRule="auto"/>
              <w:ind w:firstLine="0" w:firstLineChars="0"/>
              <w:jc w:val="center"/>
              <w:rPr>
                <w:sz w:val="21"/>
                <w:szCs w:val="21"/>
              </w:rPr>
            </w:pPr>
            <w:r>
              <w:rPr>
                <w:sz w:val="21"/>
                <w:szCs w:val="21"/>
              </w:rPr>
              <w:t>中文名</w:t>
            </w:r>
          </w:p>
        </w:tc>
        <w:tc>
          <w:tcPr>
            <w:tcW w:w="4536" w:type="dxa"/>
            <w:tcBorders>
              <w:top w:val="single" w:color="auto" w:sz="4" w:space="0"/>
            </w:tcBorders>
            <w:shd w:val="clear" w:color="auto" w:fill="auto"/>
            <w:vAlign w:val="center"/>
          </w:tcPr>
          <w:p w14:paraId="23CA3FAF">
            <w:pPr>
              <w:spacing w:line="240" w:lineRule="auto"/>
              <w:ind w:firstLine="0" w:firstLineChars="0"/>
              <w:jc w:val="center"/>
              <w:rPr>
                <w:sz w:val="21"/>
                <w:szCs w:val="21"/>
              </w:rPr>
            </w:pPr>
            <w:r>
              <w:rPr>
                <w:sz w:val="21"/>
                <w:szCs w:val="21"/>
              </w:rPr>
              <w:t>拉丁名</w:t>
            </w:r>
          </w:p>
        </w:tc>
        <w:tc>
          <w:tcPr>
            <w:tcW w:w="1559" w:type="dxa"/>
            <w:tcBorders>
              <w:top w:val="single" w:color="auto" w:sz="4" w:space="0"/>
            </w:tcBorders>
            <w:shd w:val="clear" w:color="auto" w:fill="auto"/>
            <w:vAlign w:val="center"/>
          </w:tcPr>
          <w:p w14:paraId="1CACCD6A">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2F3FA31A">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24D651BB">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68A387C6">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6AB04977">
            <w:pPr>
              <w:spacing w:line="240" w:lineRule="auto"/>
              <w:ind w:firstLine="0" w:firstLineChars="0"/>
              <w:jc w:val="center"/>
              <w:rPr>
                <w:sz w:val="21"/>
                <w:szCs w:val="21"/>
              </w:rPr>
            </w:pPr>
            <w:r>
              <w:rPr>
                <w:rFonts w:hint="eastAsia"/>
                <w:sz w:val="21"/>
                <w:szCs w:val="21"/>
              </w:rPr>
              <w:t>总</w:t>
            </w:r>
            <w:r>
              <w:rPr>
                <w:sz w:val="21"/>
                <w:szCs w:val="21"/>
              </w:rPr>
              <w:t>盖度%</w:t>
            </w:r>
          </w:p>
        </w:tc>
      </w:tr>
      <w:tr w14:paraId="4AB50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046FFBBB">
            <w:pPr>
              <w:spacing w:line="240" w:lineRule="auto"/>
              <w:ind w:firstLine="210" w:firstLineChars="100"/>
              <w:jc w:val="center"/>
              <w:rPr>
                <w:sz w:val="21"/>
                <w:szCs w:val="21"/>
              </w:rPr>
            </w:pPr>
            <w:r>
              <w:rPr>
                <w:sz w:val="21"/>
                <w:szCs w:val="21"/>
              </w:rPr>
              <w:t>1</w:t>
            </w:r>
          </w:p>
        </w:tc>
        <w:tc>
          <w:tcPr>
            <w:tcW w:w="1345" w:type="dxa"/>
            <w:shd w:val="clear" w:color="auto" w:fill="auto"/>
            <w:vAlign w:val="center"/>
          </w:tcPr>
          <w:p w14:paraId="5333F6E1">
            <w:pPr>
              <w:spacing w:line="240" w:lineRule="auto"/>
              <w:ind w:firstLine="0" w:firstLineChars="0"/>
              <w:jc w:val="center"/>
              <w:rPr>
                <w:sz w:val="21"/>
                <w:szCs w:val="21"/>
              </w:rPr>
            </w:pPr>
            <w:r>
              <w:rPr>
                <w:rFonts w:hint="eastAsia"/>
                <w:sz w:val="21"/>
                <w:szCs w:val="21"/>
              </w:rPr>
              <w:t>霸王</w:t>
            </w:r>
          </w:p>
        </w:tc>
        <w:tc>
          <w:tcPr>
            <w:tcW w:w="4536" w:type="dxa"/>
            <w:shd w:val="clear" w:color="auto" w:fill="auto"/>
          </w:tcPr>
          <w:p w14:paraId="30E74DC9">
            <w:pPr>
              <w:spacing w:line="240" w:lineRule="auto"/>
              <w:ind w:firstLine="0" w:firstLineChars="0"/>
              <w:jc w:val="center"/>
              <w:rPr>
                <w:i/>
                <w:sz w:val="21"/>
                <w:szCs w:val="21"/>
              </w:rPr>
            </w:pPr>
            <w:r>
              <w:rPr>
                <w:i/>
                <w:sz w:val="21"/>
                <w:szCs w:val="21"/>
              </w:rPr>
              <w:t xml:space="preserve">Zygophyllum xanthoxylon </w:t>
            </w:r>
            <w:r>
              <w:rPr>
                <w:iCs/>
                <w:sz w:val="21"/>
                <w:szCs w:val="21"/>
              </w:rPr>
              <w:t>(Bunge) Maxim</w:t>
            </w:r>
            <w:r>
              <w:rPr>
                <w:rFonts w:hint="eastAsia"/>
                <w:iCs/>
                <w:sz w:val="21"/>
                <w:szCs w:val="21"/>
              </w:rPr>
              <w:t>．</w:t>
            </w:r>
          </w:p>
        </w:tc>
        <w:tc>
          <w:tcPr>
            <w:tcW w:w="1559" w:type="dxa"/>
            <w:shd w:val="clear" w:color="auto" w:fill="auto"/>
            <w:vAlign w:val="center"/>
          </w:tcPr>
          <w:p w14:paraId="07ED30F1">
            <w:pPr>
              <w:spacing w:line="240" w:lineRule="auto"/>
              <w:ind w:firstLine="0" w:firstLineChars="0"/>
              <w:jc w:val="center"/>
              <w:rPr>
                <w:sz w:val="21"/>
                <w:szCs w:val="21"/>
              </w:rPr>
            </w:pPr>
            <w:r>
              <w:rPr>
                <w:rFonts w:hint="eastAsia"/>
                <w:sz w:val="21"/>
                <w:szCs w:val="21"/>
              </w:rPr>
              <w:t>花期-果期</w:t>
            </w:r>
          </w:p>
        </w:tc>
        <w:tc>
          <w:tcPr>
            <w:tcW w:w="1395" w:type="dxa"/>
            <w:shd w:val="clear" w:color="auto" w:fill="auto"/>
            <w:vAlign w:val="center"/>
          </w:tcPr>
          <w:p w14:paraId="53AB4CA7">
            <w:pPr>
              <w:spacing w:line="240" w:lineRule="auto"/>
              <w:ind w:firstLine="0" w:firstLineChars="0"/>
              <w:jc w:val="center"/>
              <w:rPr>
                <w:sz w:val="21"/>
                <w:szCs w:val="21"/>
              </w:rPr>
            </w:pPr>
            <w:r>
              <w:rPr>
                <w:rFonts w:hint="eastAsia"/>
                <w:sz w:val="21"/>
                <w:szCs w:val="21"/>
              </w:rPr>
              <w:t>4</w:t>
            </w:r>
          </w:p>
        </w:tc>
        <w:tc>
          <w:tcPr>
            <w:tcW w:w="1418" w:type="dxa"/>
            <w:shd w:val="clear" w:color="auto" w:fill="auto"/>
            <w:vAlign w:val="center"/>
          </w:tcPr>
          <w:p w14:paraId="7A369C30">
            <w:pPr>
              <w:spacing w:line="240" w:lineRule="auto"/>
              <w:ind w:firstLine="0" w:firstLineChars="0"/>
              <w:jc w:val="center"/>
              <w:rPr>
                <w:sz w:val="21"/>
                <w:szCs w:val="21"/>
              </w:rPr>
            </w:pPr>
            <w:r>
              <w:rPr>
                <w:rFonts w:hint="eastAsia"/>
                <w:sz w:val="21"/>
                <w:szCs w:val="21"/>
              </w:rPr>
              <w:t>3</w:t>
            </w:r>
            <w:r>
              <w:rPr>
                <w:sz w:val="21"/>
                <w:szCs w:val="21"/>
              </w:rPr>
              <w:t>1</w:t>
            </w:r>
          </w:p>
        </w:tc>
        <w:tc>
          <w:tcPr>
            <w:tcW w:w="1335" w:type="dxa"/>
            <w:shd w:val="clear" w:color="auto" w:fill="auto"/>
            <w:vAlign w:val="center"/>
          </w:tcPr>
          <w:p w14:paraId="2A9CC712">
            <w:pPr>
              <w:spacing w:line="240" w:lineRule="auto"/>
              <w:ind w:firstLine="0" w:firstLineChars="0"/>
              <w:jc w:val="center"/>
              <w:rPr>
                <w:sz w:val="21"/>
                <w:szCs w:val="21"/>
              </w:rPr>
            </w:pPr>
            <w:r>
              <w:rPr>
                <w:sz w:val="21"/>
                <w:szCs w:val="21"/>
              </w:rPr>
              <w:t>0.</w:t>
            </w:r>
            <w:r>
              <w:rPr>
                <w:rFonts w:hint="eastAsia"/>
                <w:sz w:val="21"/>
                <w:szCs w:val="21"/>
              </w:rPr>
              <w:t>8×0.7</w:t>
            </w:r>
          </w:p>
        </w:tc>
        <w:tc>
          <w:tcPr>
            <w:tcW w:w="1730" w:type="dxa"/>
            <w:shd w:val="clear" w:color="auto" w:fill="auto"/>
            <w:vAlign w:val="center"/>
          </w:tcPr>
          <w:p w14:paraId="20CC145C">
            <w:pPr>
              <w:spacing w:line="240" w:lineRule="auto"/>
              <w:ind w:firstLine="0" w:firstLineChars="0"/>
              <w:jc w:val="center"/>
              <w:rPr>
                <w:sz w:val="21"/>
                <w:szCs w:val="21"/>
              </w:rPr>
            </w:pPr>
            <w:r>
              <w:rPr>
                <w:rFonts w:hint="eastAsia"/>
                <w:sz w:val="21"/>
                <w:szCs w:val="21"/>
              </w:rPr>
              <w:t>12</w:t>
            </w:r>
          </w:p>
        </w:tc>
      </w:tr>
    </w:tbl>
    <w:p w14:paraId="175849FD">
      <w:pPr>
        <w:ind w:firstLine="0" w:firstLineChars="0"/>
        <w:jc w:val="center"/>
      </w:pPr>
      <w:r>
        <w:drawing>
          <wp:inline distT="0" distB="0" distL="0" distR="0">
            <wp:extent cx="6480175" cy="4319905"/>
            <wp:effectExtent l="0" t="0" r="9525" b="10795"/>
            <wp:docPr id="1658681600" name="图片 20" descr="沙漠中仙人掌&#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81600" name="图片 20" descr="沙漠中仙人掌&#10;&#10;描述已自动生成"/>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6480238" cy="4320000"/>
                    </a:xfrm>
                    <a:prstGeom prst="rect">
                      <a:avLst/>
                    </a:prstGeom>
                    <a:noFill/>
                    <a:ln>
                      <a:noFill/>
                    </a:ln>
                  </pic:spPr>
                </pic:pic>
              </a:graphicData>
            </a:graphic>
          </wp:inline>
        </w:drawing>
      </w:r>
    </w:p>
    <w:p w14:paraId="08FEF118">
      <w:pPr>
        <w:ind w:firstLine="0" w:firstLineChars="0"/>
        <w:jc w:val="center"/>
      </w:pPr>
      <w:r>
        <w:rPr>
          <w:rFonts w:hint="eastAsia"/>
        </w:rPr>
        <w:t>样方10</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03"/>
        <w:gridCol w:w="4678"/>
        <w:gridCol w:w="1559"/>
        <w:gridCol w:w="1395"/>
        <w:gridCol w:w="1418"/>
        <w:gridCol w:w="1335"/>
        <w:gridCol w:w="1730"/>
      </w:tblGrid>
      <w:tr w14:paraId="06973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single" w:color="auto" w:sz="12" w:space="0"/>
              <w:bottom w:val="nil"/>
              <w:right w:val="nil"/>
            </w:tcBorders>
            <w:shd w:val="clear" w:color="auto" w:fill="auto"/>
            <w:vAlign w:val="center"/>
          </w:tcPr>
          <w:p w14:paraId="1067AE2F">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红砂+四合木群落</w:t>
            </w:r>
          </w:p>
        </w:tc>
        <w:tc>
          <w:tcPr>
            <w:tcW w:w="2954" w:type="dxa"/>
            <w:gridSpan w:val="2"/>
            <w:tcBorders>
              <w:top w:val="single" w:color="auto" w:sz="12" w:space="0"/>
              <w:left w:val="nil"/>
              <w:bottom w:val="nil"/>
              <w:right w:val="nil"/>
            </w:tcBorders>
            <w:shd w:val="clear" w:color="auto" w:fill="auto"/>
            <w:vAlign w:val="center"/>
          </w:tcPr>
          <w:p w14:paraId="561E2065">
            <w:pPr>
              <w:spacing w:line="240" w:lineRule="auto"/>
              <w:ind w:firstLine="420"/>
              <w:jc w:val="center"/>
              <w:rPr>
                <w:sz w:val="21"/>
                <w:szCs w:val="21"/>
              </w:rPr>
            </w:pPr>
            <w:r>
              <w:rPr>
                <w:sz w:val="21"/>
                <w:szCs w:val="21"/>
              </w:rPr>
              <w:t>样方号：11</w:t>
            </w:r>
          </w:p>
        </w:tc>
        <w:tc>
          <w:tcPr>
            <w:tcW w:w="4483" w:type="dxa"/>
            <w:gridSpan w:val="3"/>
            <w:tcBorders>
              <w:top w:val="single" w:color="auto" w:sz="12" w:space="0"/>
              <w:left w:val="nil"/>
              <w:bottom w:val="nil"/>
            </w:tcBorders>
            <w:shd w:val="clear" w:color="auto" w:fill="auto"/>
            <w:vAlign w:val="center"/>
          </w:tcPr>
          <w:p w14:paraId="2FC77DAE">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47F499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nil"/>
              <w:bottom w:val="nil"/>
              <w:right w:val="nil"/>
            </w:tcBorders>
            <w:shd w:val="clear" w:color="auto" w:fill="auto"/>
            <w:vAlign w:val="center"/>
          </w:tcPr>
          <w:p w14:paraId="0F8FF92F">
            <w:pPr>
              <w:spacing w:line="240" w:lineRule="auto"/>
              <w:ind w:firstLine="420"/>
              <w:jc w:val="center"/>
              <w:rPr>
                <w:sz w:val="21"/>
                <w:szCs w:val="21"/>
              </w:rPr>
            </w:pPr>
            <w:r>
              <w:rPr>
                <w:sz w:val="21"/>
                <w:szCs w:val="21"/>
              </w:rPr>
              <w:t>经度：106°48′10.77716″</w:t>
            </w:r>
          </w:p>
        </w:tc>
        <w:tc>
          <w:tcPr>
            <w:tcW w:w="2954" w:type="dxa"/>
            <w:gridSpan w:val="2"/>
            <w:tcBorders>
              <w:top w:val="nil"/>
              <w:left w:val="nil"/>
              <w:bottom w:val="nil"/>
              <w:right w:val="nil"/>
            </w:tcBorders>
            <w:shd w:val="clear" w:color="auto" w:fill="auto"/>
            <w:vAlign w:val="center"/>
          </w:tcPr>
          <w:p w14:paraId="2C1A58F9">
            <w:pPr>
              <w:spacing w:line="240" w:lineRule="auto"/>
              <w:ind w:firstLine="420"/>
              <w:jc w:val="center"/>
              <w:rPr>
                <w:sz w:val="21"/>
                <w:szCs w:val="21"/>
              </w:rPr>
            </w:pPr>
            <w:r>
              <w:rPr>
                <w:sz w:val="21"/>
                <w:szCs w:val="21"/>
              </w:rPr>
              <w:t>纬度：40°1′49.08177″</w:t>
            </w:r>
          </w:p>
        </w:tc>
        <w:tc>
          <w:tcPr>
            <w:tcW w:w="4483" w:type="dxa"/>
            <w:gridSpan w:val="3"/>
            <w:tcBorders>
              <w:top w:val="nil"/>
              <w:left w:val="nil"/>
              <w:bottom w:val="nil"/>
            </w:tcBorders>
            <w:shd w:val="clear" w:color="auto" w:fill="auto"/>
            <w:vAlign w:val="center"/>
          </w:tcPr>
          <w:p w14:paraId="6E16158F">
            <w:pPr>
              <w:spacing w:line="240" w:lineRule="auto"/>
              <w:ind w:firstLine="420"/>
              <w:jc w:val="center"/>
              <w:rPr>
                <w:sz w:val="21"/>
                <w:szCs w:val="21"/>
              </w:rPr>
            </w:pPr>
            <w:r>
              <w:rPr>
                <w:sz w:val="21"/>
                <w:szCs w:val="21"/>
              </w:rPr>
              <w:t>海拔：1147 m</w:t>
            </w:r>
          </w:p>
        </w:tc>
      </w:tr>
      <w:tr w14:paraId="2C079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80" w:type="dxa"/>
            <w:gridSpan w:val="4"/>
            <w:tcBorders>
              <w:top w:val="nil"/>
              <w:bottom w:val="single" w:color="auto" w:sz="4" w:space="0"/>
              <w:right w:val="nil"/>
            </w:tcBorders>
            <w:shd w:val="clear" w:color="auto" w:fill="auto"/>
            <w:vAlign w:val="center"/>
          </w:tcPr>
          <w:p w14:paraId="19D7AB72">
            <w:pPr>
              <w:spacing w:line="240" w:lineRule="auto"/>
              <w:ind w:firstLine="420"/>
              <w:jc w:val="center"/>
              <w:rPr>
                <w:sz w:val="21"/>
                <w:szCs w:val="21"/>
              </w:rPr>
            </w:pPr>
            <w:r>
              <w:rPr>
                <w:sz w:val="21"/>
                <w:szCs w:val="21"/>
              </w:rPr>
              <w:t>调查人：苏斯图</w:t>
            </w:r>
          </w:p>
        </w:tc>
        <w:tc>
          <w:tcPr>
            <w:tcW w:w="1395" w:type="dxa"/>
            <w:tcBorders>
              <w:top w:val="nil"/>
              <w:left w:val="nil"/>
              <w:bottom w:val="single" w:color="auto" w:sz="4" w:space="0"/>
              <w:right w:val="nil"/>
            </w:tcBorders>
            <w:shd w:val="clear" w:color="auto" w:fill="auto"/>
            <w:vAlign w:val="center"/>
          </w:tcPr>
          <w:p w14:paraId="2E5EA1D9">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3355159F">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4476E9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39C21262">
            <w:pPr>
              <w:spacing w:line="240" w:lineRule="auto"/>
              <w:ind w:firstLine="0" w:firstLineChars="0"/>
              <w:jc w:val="center"/>
              <w:rPr>
                <w:sz w:val="21"/>
                <w:szCs w:val="21"/>
              </w:rPr>
            </w:pPr>
            <w:r>
              <w:rPr>
                <w:sz w:val="21"/>
                <w:szCs w:val="21"/>
              </w:rPr>
              <w:t>种号</w:t>
            </w:r>
          </w:p>
        </w:tc>
        <w:tc>
          <w:tcPr>
            <w:tcW w:w="1203" w:type="dxa"/>
            <w:tcBorders>
              <w:top w:val="single" w:color="auto" w:sz="4" w:space="0"/>
            </w:tcBorders>
            <w:shd w:val="clear" w:color="auto" w:fill="auto"/>
            <w:vAlign w:val="center"/>
          </w:tcPr>
          <w:p w14:paraId="7C6D8760">
            <w:pPr>
              <w:spacing w:line="240" w:lineRule="auto"/>
              <w:ind w:firstLine="0" w:firstLineChars="0"/>
              <w:jc w:val="center"/>
              <w:rPr>
                <w:sz w:val="21"/>
                <w:szCs w:val="21"/>
              </w:rPr>
            </w:pPr>
            <w:r>
              <w:rPr>
                <w:sz w:val="21"/>
                <w:szCs w:val="21"/>
              </w:rPr>
              <w:t>中文名</w:t>
            </w:r>
          </w:p>
        </w:tc>
        <w:tc>
          <w:tcPr>
            <w:tcW w:w="4678" w:type="dxa"/>
            <w:tcBorders>
              <w:top w:val="single" w:color="auto" w:sz="4" w:space="0"/>
            </w:tcBorders>
            <w:shd w:val="clear" w:color="auto" w:fill="auto"/>
            <w:vAlign w:val="center"/>
          </w:tcPr>
          <w:p w14:paraId="74E45802">
            <w:pPr>
              <w:spacing w:line="240" w:lineRule="auto"/>
              <w:ind w:firstLine="0" w:firstLineChars="0"/>
              <w:jc w:val="center"/>
              <w:rPr>
                <w:sz w:val="21"/>
                <w:szCs w:val="21"/>
              </w:rPr>
            </w:pPr>
            <w:r>
              <w:rPr>
                <w:sz w:val="21"/>
                <w:szCs w:val="21"/>
              </w:rPr>
              <w:t>拉丁名</w:t>
            </w:r>
          </w:p>
        </w:tc>
        <w:tc>
          <w:tcPr>
            <w:tcW w:w="1559" w:type="dxa"/>
            <w:tcBorders>
              <w:top w:val="single" w:color="auto" w:sz="4" w:space="0"/>
            </w:tcBorders>
            <w:shd w:val="clear" w:color="auto" w:fill="auto"/>
            <w:vAlign w:val="center"/>
          </w:tcPr>
          <w:p w14:paraId="4428013E">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3C180A2B">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4E5423E0">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35847BDE">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69882827">
            <w:pPr>
              <w:spacing w:line="240" w:lineRule="auto"/>
              <w:ind w:firstLine="0" w:firstLineChars="0"/>
              <w:jc w:val="center"/>
              <w:rPr>
                <w:sz w:val="21"/>
                <w:szCs w:val="21"/>
              </w:rPr>
            </w:pPr>
            <w:r>
              <w:rPr>
                <w:rFonts w:hint="eastAsia"/>
                <w:sz w:val="21"/>
                <w:szCs w:val="21"/>
              </w:rPr>
              <w:t>总</w:t>
            </w:r>
            <w:r>
              <w:rPr>
                <w:sz w:val="21"/>
                <w:szCs w:val="21"/>
              </w:rPr>
              <w:t>盖度%</w:t>
            </w:r>
          </w:p>
        </w:tc>
      </w:tr>
      <w:tr w14:paraId="42CA5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3A21F033">
            <w:pPr>
              <w:spacing w:line="240" w:lineRule="auto"/>
              <w:ind w:firstLine="210" w:firstLineChars="100"/>
              <w:jc w:val="center"/>
              <w:rPr>
                <w:sz w:val="21"/>
                <w:szCs w:val="21"/>
              </w:rPr>
            </w:pPr>
            <w:r>
              <w:rPr>
                <w:sz w:val="21"/>
                <w:szCs w:val="21"/>
              </w:rPr>
              <w:t>1</w:t>
            </w:r>
          </w:p>
        </w:tc>
        <w:tc>
          <w:tcPr>
            <w:tcW w:w="1203" w:type="dxa"/>
            <w:shd w:val="clear" w:color="auto" w:fill="auto"/>
            <w:vAlign w:val="center"/>
          </w:tcPr>
          <w:p w14:paraId="01308444">
            <w:pPr>
              <w:spacing w:line="240" w:lineRule="auto"/>
              <w:ind w:firstLine="0" w:firstLineChars="0"/>
              <w:jc w:val="center"/>
              <w:rPr>
                <w:sz w:val="21"/>
                <w:szCs w:val="21"/>
              </w:rPr>
            </w:pPr>
            <w:r>
              <w:rPr>
                <w:rFonts w:hint="eastAsia"/>
                <w:sz w:val="21"/>
                <w:szCs w:val="21"/>
              </w:rPr>
              <w:t>红砂</w:t>
            </w:r>
          </w:p>
        </w:tc>
        <w:tc>
          <w:tcPr>
            <w:tcW w:w="4678" w:type="dxa"/>
            <w:shd w:val="clear" w:color="auto" w:fill="auto"/>
          </w:tcPr>
          <w:p w14:paraId="22242F31">
            <w:pPr>
              <w:spacing w:line="240" w:lineRule="auto"/>
              <w:ind w:firstLine="0" w:firstLineChars="0"/>
              <w:jc w:val="center"/>
              <w:rPr>
                <w:i/>
                <w:sz w:val="21"/>
                <w:szCs w:val="21"/>
              </w:rPr>
            </w:pPr>
            <w:r>
              <w:rPr>
                <w:i/>
                <w:sz w:val="21"/>
                <w:szCs w:val="21"/>
              </w:rPr>
              <w:t xml:space="preserve">Reaumuria songarica </w:t>
            </w:r>
            <w:r>
              <w:rPr>
                <w:iCs/>
                <w:sz w:val="21"/>
                <w:szCs w:val="21"/>
              </w:rPr>
              <w:t>(Pall.) Maxim.</w:t>
            </w:r>
          </w:p>
        </w:tc>
        <w:tc>
          <w:tcPr>
            <w:tcW w:w="1559" w:type="dxa"/>
            <w:shd w:val="clear" w:color="auto" w:fill="auto"/>
            <w:vAlign w:val="center"/>
          </w:tcPr>
          <w:p w14:paraId="0F4F9000">
            <w:pPr>
              <w:spacing w:line="240" w:lineRule="auto"/>
              <w:ind w:firstLine="0" w:firstLineChars="0"/>
              <w:jc w:val="center"/>
              <w:rPr>
                <w:sz w:val="21"/>
                <w:szCs w:val="21"/>
              </w:rPr>
            </w:pPr>
            <w:r>
              <w:rPr>
                <w:rFonts w:hint="eastAsia"/>
                <w:sz w:val="21"/>
                <w:szCs w:val="21"/>
              </w:rPr>
              <w:t>花果期</w:t>
            </w:r>
          </w:p>
        </w:tc>
        <w:tc>
          <w:tcPr>
            <w:tcW w:w="1395" w:type="dxa"/>
            <w:shd w:val="clear" w:color="auto" w:fill="auto"/>
            <w:vAlign w:val="center"/>
          </w:tcPr>
          <w:p w14:paraId="067A4164">
            <w:pPr>
              <w:spacing w:line="240" w:lineRule="auto"/>
              <w:ind w:firstLine="0" w:firstLineChars="0"/>
              <w:jc w:val="center"/>
              <w:rPr>
                <w:sz w:val="21"/>
                <w:szCs w:val="21"/>
              </w:rPr>
            </w:pPr>
            <w:r>
              <w:rPr>
                <w:rFonts w:hint="eastAsia"/>
                <w:sz w:val="21"/>
                <w:szCs w:val="21"/>
              </w:rPr>
              <w:t>11</w:t>
            </w:r>
          </w:p>
        </w:tc>
        <w:tc>
          <w:tcPr>
            <w:tcW w:w="1418" w:type="dxa"/>
            <w:shd w:val="clear" w:color="auto" w:fill="auto"/>
            <w:vAlign w:val="center"/>
          </w:tcPr>
          <w:p w14:paraId="532B5D1A">
            <w:pPr>
              <w:spacing w:line="240" w:lineRule="auto"/>
              <w:ind w:firstLine="0" w:firstLineChars="0"/>
              <w:jc w:val="center"/>
              <w:rPr>
                <w:sz w:val="21"/>
                <w:szCs w:val="21"/>
              </w:rPr>
            </w:pPr>
            <w:r>
              <w:rPr>
                <w:sz w:val="21"/>
                <w:szCs w:val="21"/>
              </w:rPr>
              <w:t>1</w:t>
            </w:r>
            <w:r>
              <w:rPr>
                <w:rFonts w:hint="eastAsia"/>
                <w:sz w:val="21"/>
                <w:szCs w:val="21"/>
              </w:rPr>
              <w:t>2</w:t>
            </w:r>
          </w:p>
        </w:tc>
        <w:tc>
          <w:tcPr>
            <w:tcW w:w="1335" w:type="dxa"/>
            <w:shd w:val="clear" w:color="auto" w:fill="auto"/>
            <w:vAlign w:val="center"/>
          </w:tcPr>
          <w:p w14:paraId="644DA7E8">
            <w:pPr>
              <w:spacing w:line="240" w:lineRule="auto"/>
              <w:ind w:firstLine="0" w:firstLineChars="0"/>
              <w:jc w:val="center"/>
              <w:rPr>
                <w:sz w:val="21"/>
                <w:szCs w:val="21"/>
              </w:rPr>
            </w:pPr>
            <w:r>
              <w:rPr>
                <w:sz w:val="21"/>
                <w:szCs w:val="21"/>
              </w:rPr>
              <w:t>0.</w:t>
            </w:r>
            <w:r>
              <w:rPr>
                <w:rFonts w:hint="eastAsia"/>
                <w:sz w:val="21"/>
                <w:szCs w:val="21"/>
              </w:rPr>
              <w:t>2×0.3</w:t>
            </w:r>
          </w:p>
        </w:tc>
        <w:tc>
          <w:tcPr>
            <w:tcW w:w="1730" w:type="dxa"/>
            <w:vMerge w:val="restart"/>
            <w:shd w:val="clear" w:color="auto" w:fill="auto"/>
            <w:vAlign w:val="center"/>
          </w:tcPr>
          <w:p w14:paraId="2951E346">
            <w:pPr>
              <w:spacing w:line="240" w:lineRule="auto"/>
              <w:ind w:firstLine="0" w:firstLineChars="0"/>
              <w:jc w:val="center"/>
              <w:rPr>
                <w:sz w:val="21"/>
                <w:szCs w:val="21"/>
              </w:rPr>
            </w:pPr>
            <w:r>
              <w:rPr>
                <w:rFonts w:hint="eastAsia"/>
                <w:sz w:val="21"/>
                <w:szCs w:val="21"/>
              </w:rPr>
              <w:t>11</w:t>
            </w:r>
          </w:p>
        </w:tc>
      </w:tr>
      <w:tr w14:paraId="078781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0F855A7F">
            <w:pPr>
              <w:spacing w:line="240" w:lineRule="auto"/>
              <w:ind w:firstLine="210" w:firstLineChars="100"/>
              <w:jc w:val="center"/>
              <w:rPr>
                <w:sz w:val="21"/>
                <w:szCs w:val="21"/>
              </w:rPr>
            </w:pPr>
            <w:r>
              <w:rPr>
                <w:sz w:val="21"/>
                <w:szCs w:val="21"/>
              </w:rPr>
              <w:t>2</w:t>
            </w:r>
          </w:p>
        </w:tc>
        <w:tc>
          <w:tcPr>
            <w:tcW w:w="1203" w:type="dxa"/>
            <w:shd w:val="clear" w:color="auto" w:fill="auto"/>
            <w:vAlign w:val="center"/>
          </w:tcPr>
          <w:p w14:paraId="0A1B5C33">
            <w:pPr>
              <w:spacing w:line="240" w:lineRule="auto"/>
              <w:ind w:firstLine="0" w:firstLineChars="0"/>
              <w:jc w:val="center"/>
              <w:rPr>
                <w:sz w:val="21"/>
                <w:szCs w:val="21"/>
              </w:rPr>
            </w:pPr>
            <w:r>
              <w:rPr>
                <w:rFonts w:hint="eastAsia"/>
                <w:sz w:val="21"/>
                <w:szCs w:val="21"/>
              </w:rPr>
              <w:t>四合木</w:t>
            </w:r>
          </w:p>
        </w:tc>
        <w:tc>
          <w:tcPr>
            <w:tcW w:w="4678" w:type="dxa"/>
            <w:shd w:val="clear" w:color="auto" w:fill="auto"/>
          </w:tcPr>
          <w:p w14:paraId="035EF97C">
            <w:pPr>
              <w:spacing w:line="240" w:lineRule="auto"/>
              <w:ind w:firstLine="0" w:firstLineChars="0"/>
              <w:jc w:val="center"/>
              <w:rPr>
                <w:i/>
                <w:sz w:val="21"/>
                <w:szCs w:val="21"/>
              </w:rPr>
            </w:pPr>
            <w:r>
              <w:rPr>
                <w:i/>
                <w:sz w:val="21"/>
                <w:szCs w:val="21"/>
              </w:rPr>
              <w:t xml:space="preserve">Ammopiptanthus mongolicus </w:t>
            </w:r>
            <w:r>
              <w:rPr>
                <w:iCs/>
                <w:sz w:val="21"/>
                <w:szCs w:val="21"/>
              </w:rPr>
              <w:t>(Maxim</w:t>
            </w:r>
            <w:r>
              <w:rPr>
                <w:rFonts w:hint="eastAsia"/>
                <w:iCs/>
                <w:sz w:val="21"/>
                <w:szCs w:val="21"/>
              </w:rPr>
              <w:t>.</w:t>
            </w:r>
            <w:r>
              <w:rPr>
                <w:iCs/>
                <w:sz w:val="21"/>
                <w:szCs w:val="21"/>
              </w:rPr>
              <w:t>)Cheng f</w:t>
            </w:r>
            <w:r>
              <w:rPr>
                <w:rFonts w:hint="eastAsia"/>
                <w:iCs/>
                <w:sz w:val="21"/>
                <w:szCs w:val="21"/>
              </w:rPr>
              <w:t>．</w:t>
            </w:r>
          </w:p>
        </w:tc>
        <w:tc>
          <w:tcPr>
            <w:tcW w:w="1559" w:type="dxa"/>
            <w:shd w:val="clear" w:color="auto" w:fill="auto"/>
            <w:vAlign w:val="center"/>
          </w:tcPr>
          <w:p w14:paraId="5A0A845E">
            <w:pPr>
              <w:spacing w:line="240" w:lineRule="auto"/>
              <w:ind w:firstLine="0" w:firstLineChars="0"/>
              <w:jc w:val="center"/>
              <w:rPr>
                <w:sz w:val="21"/>
                <w:szCs w:val="21"/>
              </w:rPr>
            </w:pPr>
            <w:r>
              <w:rPr>
                <w:rFonts w:hint="eastAsia"/>
                <w:sz w:val="21"/>
                <w:szCs w:val="21"/>
              </w:rPr>
              <w:t>花果期</w:t>
            </w:r>
          </w:p>
        </w:tc>
        <w:tc>
          <w:tcPr>
            <w:tcW w:w="1395" w:type="dxa"/>
            <w:shd w:val="clear" w:color="auto" w:fill="auto"/>
            <w:vAlign w:val="center"/>
          </w:tcPr>
          <w:p w14:paraId="79A988BC">
            <w:pPr>
              <w:spacing w:line="240" w:lineRule="auto"/>
              <w:ind w:firstLine="0" w:firstLineChars="0"/>
              <w:jc w:val="center"/>
              <w:rPr>
                <w:sz w:val="21"/>
                <w:szCs w:val="21"/>
              </w:rPr>
            </w:pPr>
            <w:r>
              <w:rPr>
                <w:rFonts w:hint="eastAsia"/>
                <w:sz w:val="21"/>
                <w:szCs w:val="21"/>
              </w:rPr>
              <w:t>18</w:t>
            </w:r>
          </w:p>
        </w:tc>
        <w:tc>
          <w:tcPr>
            <w:tcW w:w="1418" w:type="dxa"/>
            <w:shd w:val="clear" w:color="auto" w:fill="auto"/>
            <w:vAlign w:val="center"/>
          </w:tcPr>
          <w:p w14:paraId="4410003F">
            <w:pPr>
              <w:spacing w:line="240" w:lineRule="auto"/>
              <w:ind w:firstLine="0" w:firstLineChars="0"/>
              <w:jc w:val="center"/>
              <w:rPr>
                <w:sz w:val="21"/>
                <w:szCs w:val="21"/>
              </w:rPr>
            </w:pPr>
            <w:r>
              <w:rPr>
                <w:rFonts w:hint="eastAsia"/>
                <w:sz w:val="21"/>
                <w:szCs w:val="21"/>
              </w:rPr>
              <w:t>29</w:t>
            </w:r>
          </w:p>
        </w:tc>
        <w:tc>
          <w:tcPr>
            <w:tcW w:w="1335" w:type="dxa"/>
            <w:shd w:val="clear" w:color="auto" w:fill="auto"/>
            <w:vAlign w:val="center"/>
          </w:tcPr>
          <w:p w14:paraId="65635491">
            <w:pPr>
              <w:spacing w:line="240" w:lineRule="auto"/>
              <w:ind w:firstLine="0" w:firstLineChars="0"/>
              <w:jc w:val="center"/>
              <w:rPr>
                <w:sz w:val="21"/>
                <w:szCs w:val="21"/>
              </w:rPr>
            </w:pPr>
            <w:r>
              <w:rPr>
                <w:sz w:val="21"/>
                <w:szCs w:val="21"/>
              </w:rPr>
              <w:t>0.</w:t>
            </w:r>
            <w:r>
              <w:rPr>
                <w:rFonts w:hint="eastAsia"/>
                <w:sz w:val="21"/>
                <w:szCs w:val="21"/>
              </w:rPr>
              <w:t>3×0.4</w:t>
            </w:r>
          </w:p>
        </w:tc>
        <w:tc>
          <w:tcPr>
            <w:tcW w:w="1730" w:type="dxa"/>
            <w:vMerge w:val="continue"/>
            <w:shd w:val="clear" w:color="auto" w:fill="auto"/>
            <w:vAlign w:val="center"/>
          </w:tcPr>
          <w:p w14:paraId="30AA1CD5">
            <w:pPr>
              <w:spacing w:line="240" w:lineRule="auto"/>
              <w:ind w:firstLine="0" w:firstLineChars="0"/>
              <w:jc w:val="center"/>
              <w:rPr>
                <w:sz w:val="21"/>
                <w:szCs w:val="21"/>
              </w:rPr>
            </w:pPr>
          </w:p>
        </w:tc>
      </w:tr>
    </w:tbl>
    <w:p w14:paraId="59AA87B3">
      <w:pPr>
        <w:ind w:firstLine="0" w:firstLineChars="0"/>
        <w:jc w:val="center"/>
      </w:pPr>
      <w:r>
        <w:drawing>
          <wp:inline distT="0" distB="0" distL="0" distR="0">
            <wp:extent cx="5939790" cy="3959860"/>
            <wp:effectExtent l="0" t="0" r="3810" b="2540"/>
            <wp:docPr id="20184573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57330" name="图片 2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417977AC">
      <w:pPr>
        <w:ind w:firstLine="0" w:firstLineChars="0"/>
        <w:jc w:val="center"/>
      </w:pPr>
      <w:r>
        <w:rPr>
          <w:rFonts w:hint="eastAsia"/>
        </w:rPr>
        <w:t>样方11</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03"/>
        <w:gridCol w:w="4678"/>
        <w:gridCol w:w="1559"/>
        <w:gridCol w:w="1395"/>
        <w:gridCol w:w="1418"/>
        <w:gridCol w:w="1335"/>
        <w:gridCol w:w="1730"/>
      </w:tblGrid>
      <w:tr w14:paraId="4859A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single" w:color="auto" w:sz="12" w:space="0"/>
              <w:bottom w:val="nil"/>
              <w:right w:val="nil"/>
            </w:tcBorders>
            <w:shd w:val="clear" w:color="auto" w:fill="auto"/>
            <w:vAlign w:val="center"/>
          </w:tcPr>
          <w:p w14:paraId="17CFA28F">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红砂+四合木群落</w:t>
            </w:r>
          </w:p>
        </w:tc>
        <w:tc>
          <w:tcPr>
            <w:tcW w:w="2954" w:type="dxa"/>
            <w:gridSpan w:val="2"/>
            <w:tcBorders>
              <w:top w:val="single" w:color="auto" w:sz="12" w:space="0"/>
              <w:left w:val="nil"/>
              <w:bottom w:val="nil"/>
              <w:right w:val="nil"/>
            </w:tcBorders>
            <w:shd w:val="clear" w:color="auto" w:fill="auto"/>
            <w:vAlign w:val="center"/>
          </w:tcPr>
          <w:p w14:paraId="7CBCC084">
            <w:pPr>
              <w:spacing w:line="240" w:lineRule="auto"/>
              <w:ind w:firstLine="420"/>
              <w:jc w:val="center"/>
              <w:rPr>
                <w:sz w:val="21"/>
                <w:szCs w:val="21"/>
              </w:rPr>
            </w:pPr>
            <w:r>
              <w:rPr>
                <w:sz w:val="21"/>
                <w:szCs w:val="21"/>
              </w:rPr>
              <w:t>样方号：12</w:t>
            </w:r>
          </w:p>
        </w:tc>
        <w:tc>
          <w:tcPr>
            <w:tcW w:w="4483" w:type="dxa"/>
            <w:gridSpan w:val="3"/>
            <w:tcBorders>
              <w:top w:val="single" w:color="auto" w:sz="12" w:space="0"/>
              <w:left w:val="nil"/>
              <w:bottom w:val="nil"/>
            </w:tcBorders>
            <w:shd w:val="clear" w:color="auto" w:fill="auto"/>
            <w:vAlign w:val="center"/>
          </w:tcPr>
          <w:p w14:paraId="5A2738A7">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4376E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nil"/>
              <w:bottom w:val="nil"/>
              <w:right w:val="nil"/>
            </w:tcBorders>
            <w:shd w:val="clear" w:color="auto" w:fill="auto"/>
            <w:vAlign w:val="center"/>
          </w:tcPr>
          <w:p w14:paraId="1ED5C554">
            <w:pPr>
              <w:spacing w:line="240" w:lineRule="auto"/>
              <w:ind w:firstLine="420"/>
              <w:jc w:val="center"/>
              <w:rPr>
                <w:sz w:val="21"/>
                <w:szCs w:val="21"/>
              </w:rPr>
            </w:pPr>
            <w:r>
              <w:rPr>
                <w:sz w:val="21"/>
                <w:szCs w:val="21"/>
              </w:rPr>
              <w:t>经度：106°48′38.38481″</w:t>
            </w:r>
          </w:p>
        </w:tc>
        <w:tc>
          <w:tcPr>
            <w:tcW w:w="2954" w:type="dxa"/>
            <w:gridSpan w:val="2"/>
            <w:tcBorders>
              <w:top w:val="nil"/>
              <w:left w:val="nil"/>
              <w:bottom w:val="nil"/>
              <w:right w:val="nil"/>
            </w:tcBorders>
            <w:shd w:val="clear" w:color="auto" w:fill="auto"/>
            <w:vAlign w:val="center"/>
          </w:tcPr>
          <w:p w14:paraId="66B83353">
            <w:pPr>
              <w:spacing w:line="240" w:lineRule="auto"/>
              <w:ind w:firstLine="420"/>
              <w:jc w:val="center"/>
              <w:rPr>
                <w:sz w:val="21"/>
                <w:szCs w:val="21"/>
              </w:rPr>
            </w:pPr>
            <w:r>
              <w:rPr>
                <w:sz w:val="21"/>
                <w:szCs w:val="21"/>
              </w:rPr>
              <w:t>40°1′29.86206″</w:t>
            </w:r>
          </w:p>
        </w:tc>
        <w:tc>
          <w:tcPr>
            <w:tcW w:w="4483" w:type="dxa"/>
            <w:gridSpan w:val="3"/>
            <w:tcBorders>
              <w:top w:val="nil"/>
              <w:left w:val="nil"/>
              <w:bottom w:val="nil"/>
            </w:tcBorders>
            <w:shd w:val="clear" w:color="auto" w:fill="auto"/>
            <w:vAlign w:val="center"/>
          </w:tcPr>
          <w:p w14:paraId="2661166D">
            <w:pPr>
              <w:spacing w:line="240" w:lineRule="auto"/>
              <w:ind w:firstLine="420"/>
              <w:jc w:val="center"/>
              <w:rPr>
                <w:sz w:val="21"/>
                <w:szCs w:val="21"/>
              </w:rPr>
            </w:pPr>
            <w:r>
              <w:rPr>
                <w:sz w:val="21"/>
                <w:szCs w:val="21"/>
              </w:rPr>
              <w:t>海拔：1139 m</w:t>
            </w:r>
          </w:p>
        </w:tc>
      </w:tr>
      <w:tr w14:paraId="3F362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80" w:type="dxa"/>
            <w:gridSpan w:val="4"/>
            <w:tcBorders>
              <w:top w:val="nil"/>
              <w:bottom w:val="single" w:color="auto" w:sz="4" w:space="0"/>
              <w:right w:val="nil"/>
            </w:tcBorders>
            <w:shd w:val="clear" w:color="auto" w:fill="auto"/>
            <w:vAlign w:val="center"/>
          </w:tcPr>
          <w:p w14:paraId="0B9DADF7">
            <w:pPr>
              <w:spacing w:line="240" w:lineRule="auto"/>
              <w:ind w:firstLine="420"/>
              <w:jc w:val="center"/>
              <w:rPr>
                <w:sz w:val="21"/>
                <w:szCs w:val="21"/>
              </w:rPr>
            </w:pPr>
            <w:r>
              <w:rPr>
                <w:sz w:val="21"/>
                <w:szCs w:val="21"/>
              </w:rPr>
              <w:t>调查人：苏斯图</w:t>
            </w:r>
          </w:p>
        </w:tc>
        <w:tc>
          <w:tcPr>
            <w:tcW w:w="1395" w:type="dxa"/>
            <w:tcBorders>
              <w:top w:val="nil"/>
              <w:left w:val="nil"/>
              <w:bottom w:val="single" w:color="auto" w:sz="4" w:space="0"/>
              <w:right w:val="nil"/>
            </w:tcBorders>
            <w:shd w:val="clear" w:color="auto" w:fill="auto"/>
            <w:vAlign w:val="center"/>
          </w:tcPr>
          <w:p w14:paraId="0B23CE99">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62A85DE2">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2F54FA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686A9557">
            <w:pPr>
              <w:spacing w:line="240" w:lineRule="auto"/>
              <w:ind w:firstLine="0" w:firstLineChars="0"/>
              <w:jc w:val="center"/>
              <w:rPr>
                <w:sz w:val="21"/>
                <w:szCs w:val="21"/>
              </w:rPr>
            </w:pPr>
            <w:r>
              <w:rPr>
                <w:sz w:val="21"/>
                <w:szCs w:val="21"/>
              </w:rPr>
              <w:t>种号</w:t>
            </w:r>
          </w:p>
        </w:tc>
        <w:tc>
          <w:tcPr>
            <w:tcW w:w="1203" w:type="dxa"/>
            <w:tcBorders>
              <w:top w:val="single" w:color="auto" w:sz="4" w:space="0"/>
            </w:tcBorders>
            <w:shd w:val="clear" w:color="auto" w:fill="auto"/>
            <w:vAlign w:val="center"/>
          </w:tcPr>
          <w:p w14:paraId="20BFCC34">
            <w:pPr>
              <w:spacing w:line="240" w:lineRule="auto"/>
              <w:ind w:firstLine="0" w:firstLineChars="0"/>
              <w:jc w:val="center"/>
              <w:rPr>
                <w:sz w:val="21"/>
                <w:szCs w:val="21"/>
              </w:rPr>
            </w:pPr>
            <w:r>
              <w:rPr>
                <w:sz w:val="21"/>
                <w:szCs w:val="21"/>
              </w:rPr>
              <w:t>中文名</w:t>
            </w:r>
          </w:p>
        </w:tc>
        <w:tc>
          <w:tcPr>
            <w:tcW w:w="4678" w:type="dxa"/>
            <w:tcBorders>
              <w:top w:val="single" w:color="auto" w:sz="4" w:space="0"/>
            </w:tcBorders>
            <w:shd w:val="clear" w:color="auto" w:fill="auto"/>
            <w:vAlign w:val="center"/>
          </w:tcPr>
          <w:p w14:paraId="241B9076">
            <w:pPr>
              <w:spacing w:line="240" w:lineRule="auto"/>
              <w:ind w:firstLine="0" w:firstLineChars="0"/>
              <w:jc w:val="center"/>
              <w:rPr>
                <w:sz w:val="21"/>
                <w:szCs w:val="21"/>
              </w:rPr>
            </w:pPr>
            <w:r>
              <w:rPr>
                <w:sz w:val="21"/>
                <w:szCs w:val="21"/>
              </w:rPr>
              <w:t>拉丁名</w:t>
            </w:r>
          </w:p>
        </w:tc>
        <w:tc>
          <w:tcPr>
            <w:tcW w:w="1559" w:type="dxa"/>
            <w:tcBorders>
              <w:top w:val="single" w:color="auto" w:sz="4" w:space="0"/>
            </w:tcBorders>
            <w:shd w:val="clear" w:color="auto" w:fill="auto"/>
            <w:vAlign w:val="center"/>
          </w:tcPr>
          <w:p w14:paraId="38C5B9D1">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14A10EE7">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353592EE">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2BEAA2F4">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276F4E39">
            <w:pPr>
              <w:spacing w:line="240" w:lineRule="auto"/>
              <w:ind w:firstLine="0" w:firstLineChars="0"/>
              <w:jc w:val="center"/>
              <w:rPr>
                <w:sz w:val="21"/>
                <w:szCs w:val="21"/>
              </w:rPr>
            </w:pPr>
            <w:r>
              <w:rPr>
                <w:rFonts w:hint="eastAsia"/>
                <w:sz w:val="21"/>
                <w:szCs w:val="21"/>
              </w:rPr>
              <w:t>总</w:t>
            </w:r>
            <w:r>
              <w:rPr>
                <w:sz w:val="21"/>
                <w:szCs w:val="21"/>
              </w:rPr>
              <w:t>盖度%</w:t>
            </w:r>
          </w:p>
        </w:tc>
      </w:tr>
      <w:tr w14:paraId="49DE1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6463E3F8">
            <w:pPr>
              <w:spacing w:line="240" w:lineRule="auto"/>
              <w:ind w:firstLine="210" w:firstLineChars="100"/>
              <w:jc w:val="center"/>
              <w:rPr>
                <w:sz w:val="21"/>
                <w:szCs w:val="21"/>
              </w:rPr>
            </w:pPr>
            <w:r>
              <w:rPr>
                <w:sz w:val="21"/>
                <w:szCs w:val="21"/>
              </w:rPr>
              <w:t>1</w:t>
            </w:r>
          </w:p>
        </w:tc>
        <w:tc>
          <w:tcPr>
            <w:tcW w:w="1203" w:type="dxa"/>
            <w:shd w:val="clear" w:color="auto" w:fill="auto"/>
            <w:vAlign w:val="center"/>
          </w:tcPr>
          <w:p w14:paraId="74749E54">
            <w:pPr>
              <w:spacing w:line="240" w:lineRule="auto"/>
              <w:ind w:firstLine="0" w:firstLineChars="0"/>
              <w:jc w:val="center"/>
              <w:rPr>
                <w:sz w:val="21"/>
                <w:szCs w:val="21"/>
              </w:rPr>
            </w:pPr>
            <w:r>
              <w:rPr>
                <w:rFonts w:hint="eastAsia"/>
                <w:sz w:val="21"/>
                <w:szCs w:val="21"/>
              </w:rPr>
              <w:t>红砂</w:t>
            </w:r>
          </w:p>
        </w:tc>
        <w:tc>
          <w:tcPr>
            <w:tcW w:w="4678" w:type="dxa"/>
            <w:shd w:val="clear" w:color="auto" w:fill="auto"/>
          </w:tcPr>
          <w:p w14:paraId="0EEC48AB">
            <w:pPr>
              <w:spacing w:line="240" w:lineRule="auto"/>
              <w:ind w:firstLine="0" w:firstLineChars="0"/>
              <w:jc w:val="center"/>
              <w:rPr>
                <w:i/>
                <w:sz w:val="21"/>
                <w:szCs w:val="21"/>
              </w:rPr>
            </w:pPr>
            <w:r>
              <w:rPr>
                <w:i/>
                <w:sz w:val="21"/>
                <w:szCs w:val="21"/>
              </w:rPr>
              <w:t xml:space="preserve">Reaumuria songarica </w:t>
            </w:r>
            <w:r>
              <w:rPr>
                <w:iCs/>
                <w:sz w:val="21"/>
                <w:szCs w:val="21"/>
              </w:rPr>
              <w:t>(Pall.) Maxim.</w:t>
            </w:r>
          </w:p>
        </w:tc>
        <w:tc>
          <w:tcPr>
            <w:tcW w:w="1559" w:type="dxa"/>
            <w:shd w:val="clear" w:color="auto" w:fill="auto"/>
            <w:vAlign w:val="center"/>
          </w:tcPr>
          <w:p w14:paraId="6DA4B28F">
            <w:pPr>
              <w:spacing w:line="240" w:lineRule="auto"/>
              <w:ind w:firstLine="0" w:firstLineChars="0"/>
              <w:jc w:val="center"/>
              <w:rPr>
                <w:sz w:val="21"/>
                <w:szCs w:val="21"/>
              </w:rPr>
            </w:pPr>
            <w:r>
              <w:rPr>
                <w:rFonts w:hint="eastAsia"/>
                <w:sz w:val="21"/>
                <w:szCs w:val="21"/>
              </w:rPr>
              <w:t>花果期</w:t>
            </w:r>
          </w:p>
        </w:tc>
        <w:tc>
          <w:tcPr>
            <w:tcW w:w="1395" w:type="dxa"/>
            <w:shd w:val="clear" w:color="auto" w:fill="auto"/>
            <w:vAlign w:val="center"/>
          </w:tcPr>
          <w:p w14:paraId="6858ACCA">
            <w:pPr>
              <w:spacing w:line="240" w:lineRule="auto"/>
              <w:ind w:firstLine="0" w:firstLineChars="0"/>
              <w:jc w:val="center"/>
              <w:rPr>
                <w:sz w:val="21"/>
                <w:szCs w:val="21"/>
              </w:rPr>
            </w:pPr>
            <w:r>
              <w:rPr>
                <w:rFonts w:hint="eastAsia"/>
                <w:sz w:val="21"/>
                <w:szCs w:val="21"/>
              </w:rPr>
              <w:t>23</w:t>
            </w:r>
          </w:p>
        </w:tc>
        <w:tc>
          <w:tcPr>
            <w:tcW w:w="1418" w:type="dxa"/>
            <w:shd w:val="clear" w:color="auto" w:fill="auto"/>
            <w:vAlign w:val="center"/>
          </w:tcPr>
          <w:p w14:paraId="0104747F">
            <w:pPr>
              <w:spacing w:line="240" w:lineRule="auto"/>
              <w:ind w:firstLine="0" w:firstLineChars="0"/>
              <w:jc w:val="center"/>
              <w:rPr>
                <w:sz w:val="21"/>
                <w:szCs w:val="21"/>
              </w:rPr>
            </w:pPr>
            <w:r>
              <w:rPr>
                <w:sz w:val="21"/>
                <w:szCs w:val="21"/>
              </w:rPr>
              <w:t>1</w:t>
            </w:r>
            <w:r>
              <w:rPr>
                <w:rFonts w:hint="eastAsia"/>
                <w:sz w:val="21"/>
                <w:szCs w:val="21"/>
              </w:rPr>
              <w:t>3</w:t>
            </w:r>
          </w:p>
        </w:tc>
        <w:tc>
          <w:tcPr>
            <w:tcW w:w="1335" w:type="dxa"/>
            <w:shd w:val="clear" w:color="auto" w:fill="auto"/>
            <w:vAlign w:val="center"/>
          </w:tcPr>
          <w:p w14:paraId="76DA1437">
            <w:pPr>
              <w:spacing w:line="240" w:lineRule="auto"/>
              <w:ind w:firstLine="0" w:firstLineChars="0"/>
              <w:jc w:val="center"/>
              <w:rPr>
                <w:sz w:val="21"/>
                <w:szCs w:val="21"/>
              </w:rPr>
            </w:pPr>
            <w:r>
              <w:rPr>
                <w:sz w:val="21"/>
                <w:szCs w:val="21"/>
              </w:rPr>
              <w:t>0.2</w:t>
            </w:r>
            <w:r>
              <w:rPr>
                <w:rFonts w:hint="eastAsia"/>
                <w:sz w:val="21"/>
                <w:szCs w:val="21"/>
              </w:rPr>
              <w:t>×0.2</w:t>
            </w:r>
          </w:p>
        </w:tc>
        <w:tc>
          <w:tcPr>
            <w:tcW w:w="1730" w:type="dxa"/>
            <w:vMerge w:val="restart"/>
            <w:shd w:val="clear" w:color="auto" w:fill="auto"/>
            <w:vAlign w:val="center"/>
          </w:tcPr>
          <w:p w14:paraId="22477319">
            <w:pPr>
              <w:spacing w:line="240" w:lineRule="auto"/>
              <w:ind w:firstLine="0" w:firstLineChars="0"/>
              <w:jc w:val="center"/>
              <w:rPr>
                <w:sz w:val="21"/>
                <w:szCs w:val="21"/>
              </w:rPr>
            </w:pPr>
            <w:r>
              <w:rPr>
                <w:rFonts w:hint="eastAsia"/>
                <w:sz w:val="21"/>
                <w:szCs w:val="21"/>
              </w:rPr>
              <w:t>10</w:t>
            </w:r>
          </w:p>
        </w:tc>
      </w:tr>
      <w:tr w14:paraId="097366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5F4D89F3">
            <w:pPr>
              <w:spacing w:line="240" w:lineRule="auto"/>
              <w:ind w:firstLine="210" w:firstLineChars="100"/>
              <w:jc w:val="center"/>
              <w:rPr>
                <w:sz w:val="21"/>
                <w:szCs w:val="21"/>
              </w:rPr>
            </w:pPr>
            <w:r>
              <w:rPr>
                <w:sz w:val="21"/>
                <w:szCs w:val="21"/>
              </w:rPr>
              <w:t>2</w:t>
            </w:r>
          </w:p>
        </w:tc>
        <w:tc>
          <w:tcPr>
            <w:tcW w:w="1203" w:type="dxa"/>
            <w:shd w:val="clear" w:color="auto" w:fill="auto"/>
            <w:vAlign w:val="center"/>
          </w:tcPr>
          <w:p w14:paraId="58BA6639">
            <w:pPr>
              <w:spacing w:line="240" w:lineRule="auto"/>
              <w:ind w:firstLine="0" w:firstLineChars="0"/>
              <w:jc w:val="center"/>
              <w:rPr>
                <w:sz w:val="21"/>
                <w:szCs w:val="21"/>
              </w:rPr>
            </w:pPr>
            <w:r>
              <w:rPr>
                <w:rFonts w:hint="eastAsia"/>
                <w:sz w:val="21"/>
                <w:szCs w:val="21"/>
              </w:rPr>
              <w:t>四合木</w:t>
            </w:r>
          </w:p>
        </w:tc>
        <w:tc>
          <w:tcPr>
            <w:tcW w:w="4678" w:type="dxa"/>
            <w:shd w:val="clear" w:color="auto" w:fill="auto"/>
          </w:tcPr>
          <w:p w14:paraId="0D3196CA">
            <w:pPr>
              <w:spacing w:line="240" w:lineRule="auto"/>
              <w:ind w:firstLine="0" w:firstLineChars="0"/>
              <w:jc w:val="center"/>
              <w:rPr>
                <w:i/>
                <w:sz w:val="21"/>
                <w:szCs w:val="21"/>
              </w:rPr>
            </w:pPr>
            <w:r>
              <w:rPr>
                <w:i/>
                <w:sz w:val="21"/>
                <w:szCs w:val="21"/>
              </w:rPr>
              <w:t xml:space="preserve">Ammopiptanthus mongolicus </w:t>
            </w:r>
            <w:r>
              <w:rPr>
                <w:iCs/>
                <w:sz w:val="21"/>
                <w:szCs w:val="21"/>
              </w:rPr>
              <w:t>(Maxim</w:t>
            </w:r>
            <w:r>
              <w:rPr>
                <w:rFonts w:hint="eastAsia"/>
                <w:iCs/>
                <w:sz w:val="21"/>
                <w:szCs w:val="21"/>
              </w:rPr>
              <w:t>.</w:t>
            </w:r>
            <w:r>
              <w:rPr>
                <w:iCs/>
                <w:sz w:val="21"/>
                <w:szCs w:val="21"/>
              </w:rPr>
              <w:t>)Cheng f</w:t>
            </w:r>
            <w:r>
              <w:rPr>
                <w:rFonts w:hint="eastAsia"/>
                <w:iCs/>
                <w:sz w:val="21"/>
                <w:szCs w:val="21"/>
              </w:rPr>
              <w:t>．</w:t>
            </w:r>
          </w:p>
        </w:tc>
        <w:tc>
          <w:tcPr>
            <w:tcW w:w="1559" w:type="dxa"/>
            <w:shd w:val="clear" w:color="auto" w:fill="auto"/>
            <w:vAlign w:val="center"/>
          </w:tcPr>
          <w:p w14:paraId="489B4F44">
            <w:pPr>
              <w:spacing w:line="240" w:lineRule="auto"/>
              <w:ind w:firstLine="0" w:firstLineChars="0"/>
              <w:jc w:val="center"/>
              <w:rPr>
                <w:sz w:val="21"/>
                <w:szCs w:val="21"/>
              </w:rPr>
            </w:pPr>
            <w:r>
              <w:rPr>
                <w:rFonts w:hint="eastAsia"/>
                <w:sz w:val="21"/>
                <w:szCs w:val="21"/>
              </w:rPr>
              <w:t>花果期</w:t>
            </w:r>
          </w:p>
        </w:tc>
        <w:tc>
          <w:tcPr>
            <w:tcW w:w="1395" w:type="dxa"/>
            <w:shd w:val="clear" w:color="auto" w:fill="auto"/>
            <w:vAlign w:val="center"/>
          </w:tcPr>
          <w:p w14:paraId="49344B28">
            <w:pPr>
              <w:spacing w:line="240" w:lineRule="auto"/>
              <w:ind w:firstLine="0" w:firstLineChars="0"/>
              <w:jc w:val="center"/>
              <w:rPr>
                <w:sz w:val="21"/>
                <w:szCs w:val="21"/>
              </w:rPr>
            </w:pPr>
            <w:r>
              <w:rPr>
                <w:rFonts w:hint="eastAsia"/>
                <w:sz w:val="21"/>
                <w:szCs w:val="21"/>
              </w:rPr>
              <w:t>21</w:t>
            </w:r>
          </w:p>
        </w:tc>
        <w:tc>
          <w:tcPr>
            <w:tcW w:w="1418" w:type="dxa"/>
            <w:shd w:val="clear" w:color="auto" w:fill="auto"/>
            <w:vAlign w:val="center"/>
          </w:tcPr>
          <w:p w14:paraId="481456AB">
            <w:pPr>
              <w:spacing w:line="240" w:lineRule="auto"/>
              <w:ind w:firstLine="0" w:firstLineChars="0"/>
              <w:jc w:val="center"/>
              <w:rPr>
                <w:sz w:val="21"/>
                <w:szCs w:val="21"/>
              </w:rPr>
            </w:pPr>
            <w:r>
              <w:rPr>
                <w:rFonts w:hint="eastAsia"/>
                <w:sz w:val="21"/>
                <w:szCs w:val="21"/>
              </w:rPr>
              <w:t>20</w:t>
            </w:r>
          </w:p>
        </w:tc>
        <w:tc>
          <w:tcPr>
            <w:tcW w:w="1335" w:type="dxa"/>
            <w:shd w:val="clear" w:color="auto" w:fill="auto"/>
            <w:vAlign w:val="center"/>
          </w:tcPr>
          <w:p w14:paraId="45647F72">
            <w:pPr>
              <w:spacing w:line="240" w:lineRule="auto"/>
              <w:ind w:firstLine="0" w:firstLineChars="0"/>
              <w:jc w:val="center"/>
              <w:rPr>
                <w:sz w:val="21"/>
                <w:szCs w:val="21"/>
              </w:rPr>
            </w:pPr>
            <w:r>
              <w:rPr>
                <w:sz w:val="21"/>
                <w:szCs w:val="21"/>
              </w:rPr>
              <w:t>0.3</w:t>
            </w:r>
            <w:r>
              <w:rPr>
                <w:rFonts w:hint="eastAsia"/>
                <w:sz w:val="21"/>
                <w:szCs w:val="21"/>
              </w:rPr>
              <w:t>×0.5</w:t>
            </w:r>
          </w:p>
        </w:tc>
        <w:tc>
          <w:tcPr>
            <w:tcW w:w="1730" w:type="dxa"/>
            <w:vMerge w:val="continue"/>
            <w:shd w:val="clear" w:color="auto" w:fill="auto"/>
            <w:vAlign w:val="center"/>
          </w:tcPr>
          <w:p w14:paraId="2C60135C">
            <w:pPr>
              <w:spacing w:line="240" w:lineRule="auto"/>
              <w:ind w:firstLine="0" w:firstLineChars="0"/>
              <w:jc w:val="center"/>
              <w:rPr>
                <w:sz w:val="21"/>
                <w:szCs w:val="21"/>
              </w:rPr>
            </w:pPr>
          </w:p>
        </w:tc>
      </w:tr>
    </w:tbl>
    <w:p w14:paraId="21E6A1F6">
      <w:pPr>
        <w:ind w:firstLine="0" w:firstLineChars="0"/>
        <w:jc w:val="center"/>
      </w:pPr>
      <w:r>
        <w:drawing>
          <wp:inline distT="0" distB="0" distL="0" distR="0">
            <wp:extent cx="5939790" cy="3959860"/>
            <wp:effectExtent l="0" t="0" r="3810" b="2540"/>
            <wp:docPr id="132715249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52493" name="图片 2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19E1F8E4">
      <w:pPr>
        <w:ind w:firstLine="0" w:firstLineChars="0"/>
        <w:jc w:val="center"/>
      </w:pPr>
      <w:r>
        <w:rPr>
          <w:rFonts w:hint="eastAsia"/>
        </w:rPr>
        <w:t>样方12</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03"/>
        <w:gridCol w:w="4678"/>
        <w:gridCol w:w="1559"/>
        <w:gridCol w:w="1395"/>
        <w:gridCol w:w="1418"/>
        <w:gridCol w:w="1335"/>
        <w:gridCol w:w="1730"/>
      </w:tblGrid>
      <w:tr w14:paraId="7F7FD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single" w:color="auto" w:sz="12" w:space="0"/>
              <w:bottom w:val="nil"/>
              <w:right w:val="nil"/>
            </w:tcBorders>
            <w:shd w:val="clear" w:color="auto" w:fill="auto"/>
            <w:vAlign w:val="center"/>
          </w:tcPr>
          <w:p w14:paraId="0F26E4FE">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红砂+四合木群落</w:t>
            </w:r>
          </w:p>
        </w:tc>
        <w:tc>
          <w:tcPr>
            <w:tcW w:w="2954" w:type="dxa"/>
            <w:gridSpan w:val="2"/>
            <w:tcBorders>
              <w:top w:val="single" w:color="auto" w:sz="12" w:space="0"/>
              <w:left w:val="nil"/>
              <w:bottom w:val="nil"/>
              <w:right w:val="nil"/>
            </w:tcBorders>
            <w:shd w:val="clear" w:color="auto" w:fill="auto"/>
            <w:vAlign w:val="center"/>
          </w:tcPr>
          <w:p w14:paraId="7A46961A">
            <w:pPr>
              <w:spacing w:line="240" w:lineRule="auto"/>
              <w:ind w:firstLine="420"/>
              <w:jc w:val="center"/>
              <w:rPr>
                <w:sz w:val="21"/>
                <w:szCs w:val="21"/>
              </w:rPr>
            </w:pPr>
            <w:r>
              <w:rPr>
                <w:sz w:val="21"/>
                <w:szCs w:val="21"/>
              </w:rPr>
              <w:t>样方号：13</w:t>
            </w:r>
          </w:p>
        </w:tc>
        <w:tc>
          <w:tcPr>
            <w:tcW w:w="4483" w:type="dxa"/>
            <w:gridSpan w:val="3"/>
            <w:tcBorders>
              <w:top w:val="single" w:color="auto" w:sz="12" w:space="0"/>
              <w:left w:val="nil"/>
              <w:bottom w:val="nil"/>
            </w:tcBorders>
            <w:shd w:val="clear" w:color="auto" w:fill="auto"/>
            <w:vAlign w:val="center"/>
          </w:tcPr>
          <w:p w14:paraId="35FC57A6">
            <w:pPr>
              <w:spacing w:line="240" w:lineRule="auto"/>
              <w:ind w:firstLine="420"/>
              <w:jc w:val="center"/>
              <w:rPr>
                <w:sz w:val="21"/>
                <w:szCs w:val="21"/>
              </w:rPr>
            </w:pPr>
            <w:r>
              <w:rPr>
                <w:sz w:val="21"/>
                <w:szCs w:val="21"/>
              </w:rPr>
              <w:t>样方面积：</w:t>
            </w:r>
            <w:r>
              <w:rPr>
                <w:rFonts w:hint="eastAsia"/>
                <w:sz w:val="21"/>
                <w:szCs w:val="21"/>
              </w:rPr>
              <w:t>10×10</w:t>
            </w:r>
            <w:r>
              <w:rPr>
                <w:sz w:val="21"/>
                <w:szCs w:val="21"/>
              </w:rPr>
              <w:t xml:space="preserve"> m</w:t>
            </w:r>
            <w:r>
              <w:rPr>
                <w:sz w:val="21"/>
                <w:szCs w:val="21"/>
                <w:vertAlign w:val="superscript"/>
              </w:rPr>
              <w:t>2</w:t>
            </w:r>
          </w:p>
        </w:tc>
      </w:tr>
      <w:tr w14:paraId="75678E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nil"/>
              <w:bottom w:val="nil"/>
              <w:right w:val="nil"/>
            </w:tcBorders>
            <w:shd w:val="clear" w:color="auto" w:fill="auto"/>
            <w:vAlign w:val="center"/>
          </w:tcPr>
          <w:p w14:paraId="215AE70A">
            <w:pPr>
              <w:spacing w:line="240" w:lineRule="auto"/>
              <w:ind w:firstLine="420"/>
              <w:jc w:val="center"/>
              <w:rPr>
                <w:sz w:val="21"/>
                <w:szCs w:val="21"/>
              </w:rPr>
            </w:pPr>
            <w:r>
              <w:rPr>
                <w:sz w:val="21"/>
                <w:szCs w:val="21"/>
              </w:rPr>
              <w:t>经度：106°48′47.58684″</w:t>
            </w:r>
          </w:p>
        </w:tc>
        <w:tc>
          <w:tcPr>
            <w:tcW w:w="2954" w:type="dxa"/>
            <w:gridSpan w:val="2"/>
            <w:tcBorders>
              <w:top w:val="nil"/>
              <w:left w:val="nil"/>
              <w:bottom w:val="nil"/>
              <w:right w:val="nil"/>
            </w:tcBorders>
            <w:shd w:val="clear" w:color="auto" w:fill="auto"/>
            <w:vAlign w:val="center"/>
          </w:tcPr>
          <w:p w14:paraId="14BA7EFD">
            <w:pPr>
              <w:spacing w:line="240" w:lineRule="auto"/>
              <w:ind w:firstLine="420"/>
              <w:jc w:val="center"/>
              <w:rPr>
                <w:sz w:val="21"/>
                <w:szCs w:val="21"/>
              </w:rPr>
            </w:pPr>
            <w:r>
              <w:rPr>
                <w:sz w:val="21"/>
                <w:szCs w:val="21"/>
              </w:rPr>
              <w:t>纬度：</w:t>
            </w:r>
            <w:r>
              <w:rPr>
                <w:rFonts w:eastAsia="等线"/>
                <w:kern w:val="0"/>
                <w:sz w:val="21"/>
                <w:szCs w:val="21"/>
                <w:lang w:bidi="ar"/>
              </w:rPr>
              <w:t>40°1′33.52507″</w:t>
            </w:r>
          </w:p>
        </w:tc>
        <w:tc>
          <w:tcPr>
            <w:tcW w:w="4483" w:type="dxa"/>
            <w:gridSpan w:val="3"/>
            <w:tcBorders>
              <w:top w:val="nil"/>
              <w:left w:val="nil"/>
              <w:bottom w:val="nil"/>
            </w:tcBorders>
            <w:shd w:val="clear" w:color="auto" w:fill="auto"/>
            <w:vAlign w:val="center"/>
          </w:tcPr>
          <w:p w14:paraId="2849FD54">
            <w:pPr>
              <w:spacing w:line="240" w:lineRule="auto"/>
              <w:ind w:firstLine="420"/>
              <w:jc w:val="center"/>
              <w:rPr>
                <w:sz w:val="21"/>
                <w:szCs w:val="21"/>
              </w:rPr>
            </w:pPr>
            <w:r>
              <w:rPr>
                <w:sz w:val="21"/>
                <w:szCs w:val="21"/>
              </w:rPr>
              <w:t>海拔：1138 m</w:t>
            </w:r>
          </w:p>
        </w:tc>
      </w:tr>
      <w:tr w14:paraId="6DCA0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80" w:type="dxa"/>
            <w:gridSpan w:val="4"/>
            <w:tcBorders>
              <w:top w:val="nil"/>
              <w:bottom w:val="single" w:color="auto" w:sz="4" w:space="0"/>
              <w:right w:val="nil"/>
            </w:tcBorders>
            <w:shd w:val="clear" w:color="auto" w:fill="auto"/>
            <w:vAlign w:val="center"/>
          </w:tcPr>
          <w:p w14:paraId="00E6DD11">
            <w:pPr>
              <w:spacing w:line="240" w:lineRule="auto"/>
              <w:ind w:firstLine="420"/>
              <w:jc w:val="center"/>
              <w:rPr>
                <w:sz w:val="21"/>
                <w:szCs w:val="21"/>
              </w:rPr>
            </w:pPr>
            <w:r>
              <w:rPr>
                <w:sz w:val="21"/>
                <w:szCs w:val="21"/>
              </w:rPr>
              <w:t>调查人：苏斯图</w:t>
            </w:r>
          </w:p>
        </w:tc>
        <w:tc>
          <w:tcPr>
            <w:tcW w:w="1395" w:type="dxa"/>
            <w:tcBorders>
              <w:top w:val="nil"/>
              <w:left w:val="nil"/>
              <w:bottom w:val="single" w:color="auto" w:sz="4" w:space="0"/>
              <w:right w:val="nil"/>
            </w:tcBorders>
            <w:shd w:val="clear" w:color="auto" w:fill="auto"/>
            <w:vAlign w:val="center"/>
          </w:tcPr>
          <w:p w14:paraId="541CD531">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2A2A94C1">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0D268D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65B8380D">
            <w:pPr>
              <w:spacing w:line="240" w:lineRule="auto"/>
              <w:ind w:firstLine="0" w:firstLineChars="0"/>
              <w:jc w:val="center"/>
              <w:rPr>
                <w:sz w:val="21"/>
                <w:szCs w:val="21"/>
              </w:rPr>
            </w:pPr>
            <w:r>
              <w:rPr>
                <w:sz w:val="21"/>
                <w:szCs w:val="21"/>
              </w:rPr>
              <w:t>种号</w:t>
            </w:r>
          </w:p>
        </w:tc>
        <w:tc>
          <w:tcPr>
            <w:tcW w:w="1203" w:type="dxa"/>
            <w:tcBorders>
              <w:top w:val="single" w:color="auto" w:sz="4" w:space="0"/>
            </w:tcBorders>
            <w:shd w:val="clear" w:color="auto" w:fill="auto"/>
            <w:vAlign w:val="center"/>
          </w:tcPr>
          <w:p w14:paraId="3D7727DB">
            <w:pPr>
              <w:spacing w:line="240" w:lineRule="auto"/>
              <w:ind w:firstLine="0" w:firstLineChars="0"/>
              <w:jc w:val="center"/>
              <w:rPr>
                <w:sz w:val="21"/>
                <w:szCs w:val="21"/>
              </w:rPr>
            </w:pPr>
            <w:r>
              <w:rPr>
                <w:sz w:val="21"/>
                <w:szCs w:val="21"/>
              </w:rPr>
              <w:t>中文名</w:t>
            </w:r>
          </w:p>
        </w:tc>
        <w:tc>
          <w:tcPr>
            <w:tcW w:w="4678" w:type="dxa"/>
            <w:tcBorders>
              <w:top w:val="single" w:color="auto" w:sz="4" w:space="0"/>
            </w:tcBorders>
            <w:shd w:val="clear" w:color="auto" w:fill="auto"/>
            <w:vAlign w:val="center"/>
          </w:tcPr>
          <w:p w14:paraId="666A182F">
            <w:pPr>
              <w:spacing w:line="240" w:lineRule="auto"/>
              <w:ind w:firstLine="0" w:firstLineChars="0"/>
              <w:jc w:val="center"/>
              <w:rPr>
                <w:sz w:val="21"/>
                <w:szCs w:val="21"/>
              </w:rPr>
            </w:pPr>
            <w:r>
              <w:rPr>
                <w:sz w:val="21"/>
                <w:szCs w:val="21"/>
              </w:rPr>
              <w:t>拉丁名</w:t>
            </w:r>
          </w:p>
        </w:tc>
        <w:tc>
          <w:tcPr>
            <w:tcW w:w="1559" w:type="dxa"/>
            <w:tcBorders>
              <w:top w:val="single" w:color="auto" w:sz="4" w:space="0"/>
            </w:tcBorders>
            <w:shd w:val="clear" w:color="auto" w:fill="auto"/>
            <w:vAlign w:val="center"/>
          </w:tcPr>
          <w:p w14:paraId="5B5D9ED1">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2815725A">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324676F0">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6AD95C9E">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5738A60B">
            <w:pPr>
              <w:spacing w:line="240" w:lineRule="auto"/>
              <w:ind w:firstLine="0" w:firstLineChars="0"/>
              <w:jc w:val="center"/>
              <w:rPr>
                <w:sz w:val="21"/>
                <w:szCs w:val="21"/>
              </w:rPr>
            </w:pPr>
            <w:r>
              <w:rPr>
                <w:rFonts w:hint="eastAsia"/>
                <w:sz w:val="21"/>
                <w:szCs w:val="21"/>
              </w:rPr>
              <w:t>总</w:t>
            </w:r>
            <w:r>
              <w:rPr>
                <w:sz w:val="21"/>
                <w:szCs w:val="21"/>
              </w:rPr>
              <w:t>盖度%</w:t>
            </w:r>
          </w:p>
        </w:tc>
      </w:tr>
      <w:tr w14:paraId="36F879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2F6009DB">
            <w:pPr>
              <w:spacing w:line="240" w:lineRule="auto"/>
              <w:ind w:firstLine="210" w:firstLineChars="100"/>
              <w:jc w:val="center"/>
              <w:rPr>
                <w:sz w:val="21"/>
                <w:szCs w:val="21"/>
              </w:rPr>
            </w:pPr>
            <w:r>
              <w:rPr>
                <w:sz w:val="21"/>
                <w:szCs w:val="21"/>
              </w:rPr>
              <w:t>1</w:t>
            </w:r>
          </w:p>
        </w:tc>
        <w:tc>
          <w:tcPr>
            <w:tcW w:w="1203" w:type="dxa"/>
            <w:shd w:val="clear" w:color="auto" w:fill="auto"/>
            <w:vAlign w:val="center"/>
          </w:tcPr>
          <w:p w14:paraId="68E59A4B">
            <w:pPr>
              <w:spacing w:line="240" w:lineRule="auto"/>
              <w:ind w:firstLine="0" w:firstLineChars="0"/>
              <w:jc w:val="center"/>
              <w:rPr>
                <w:sz w:val="21"/>
                <w:szCs w:val="21"/>
              </w:rPr>
            </w:pPr>
            <w:r>
              <w:rPr>
                <w:rFonts w:hint="eastAsia"/>
                <w:sz w:val="21"/>
                <w:szCs w:val="21"/>
              </w:rPr>
              <w:t>红砂</w:t>
            </w:r>
          </w:p>
        </w:tc>
        <w:tc>
          <w:tcPr>
            <w:tcW w:w="4678" w:type="dxa"/>
            <w:shd w:val="clear" w:color="auto" w:fill="auto"/>
          </w:tcPr>
          <w:p w14:paraId="02082ED3">
            <w:pPr>
              <w:spacing w:line="240" w:lineRule="auto"/>
              <w:ind w:firstLine="0" w:firstLineChars="0"/>
              <w:jc w:val="center"/>
              <w:rPr>
                <w:i/>
                <w:sz w:val="21"/>
                <w:szCs w:val="21"/>
              </w:rPr>
            </w:pPr>
            <w:r>
              <w:rPr>
                <w:i/>
                <w:sz w:val="21"/>
                <w:szCs w:val="21"/>
              </w:rPr>
              <w:t xml:space="preserve">Reaumuria songarica </w:t>
            </w:r>
            <w:r>
              <w:rPr>
                <w:iCs/>
                <w:sz w:val="21"/>
                <w:szCs w:val="21"/>
              </w:rPr>
              <w:t>(Pall.) Maxim.</w:t>
            </w:r>
          </w:p>
        </w:tc>
        <w:tc>
          <w:tcPr>
            <w:tcW w:w="1559" w:type="dxa"/>
            <w:shd w:val="clear" w:color="auto" w:fill="auto"/>
            <w:vAlign w:val="center"/>
          </w:tcPr>
          <w:p w14:paraId="1CC70039">
            <w:pPr>
              <w:spacing w:line="240" w:lineRule="auto"/>
              <w:ind w:firstLine="0" w:firstLineChars="0"/>
              <w:jc w:val="center"/>
              <w:rPr>
                <w:sz w:val="21"/>
                <w:szCs w:val="21"/>
              </w:rPr>
            </w:pPr>
            <w:r>
              <w:rPr>
                <w:rFonts w:hint="eastAsia"/>
                <w:sz w:val="21"/>
                <w:szCs w:val="21"/>
              </w:rPr>
              <w:t>花果期</w:t>
            </w:r>
          </w:p>
        </w:tc>
        <w:tc>
          <w:tcPr>
            <w:tcW w:w="1395" w:type="dxa"/>
            <w:shd w:val="clear" w:color="auto" w:fill="auto"/>
            <w:vAlign w:val="center"/>
          </w:tcPr>
          <w:p w14:paraId="51665BDE">
            <w:pPr>
              <w:spacing w:line="240" w:lineRule="auto"/>
              <w:ind w:firstLine="0" w:firstLineChars="0"/>
              <w:jc w:val="center"/>
              <w:rPr>
                <w:sz w:val="21"/>
                <w:szCs w:val="21"/>
              </w:rPr>
            </w:pPr>
            <w:r>
              <w:rPr>
                <w:rFonts w:hint="eastAsia"/>
                <w:sz w:val="21"/>
                <w:szCs w:val="21"/>
              </w:rPr>
              <w:t>19</w:t>
            </w:r>
          </w:p>
        </w:tc>
        <w:tc>
          <w:tcPr>
            <w:tcW w:w="1418" w:type="dxa"/>
            <w:shd w:val="clear" w:color="auto" w:fill="auto"/>
            <w:vAlign w:val="center"/>
          </w:tcPr>
          <w:p w14:paraId="617FD97A">
            <w:pPr>
              <w:spacing w:line="240" w:lineRule="auto"/>
              <w:ind w:firstLine="0" w:firstLineChars="0"/>
              <w:jc w:val="center"/>
              <w:rPr>
                <w:sz w:val="21"/>
                <w:szCs w:val="21"/>
              </w:rPr>
            </w:pPr>
            <w:r>
              <w:rPr>
                <w:sz w:val="21"/>
                <w:szCs w:val="21"/>
              </w:rPr>
              <w:t>12</w:t>
            </w:r>
          </w:p>
        </w:tc>
        <w:tc>
          <w:tcPr>
            <w:tcW w:w="1335" w:type="dxa"/>
            <w:shd w:val="clear" w:color="auto" w:fill="auto"/>
            <w:vAlign w:val="center"/>
          </w:tcPr>
          <w:p w14:paraId="70B2FDC5">
            <w:pPr>
              <w:spacing w:line="240" w:lineRule="auto"/>
              <w:ind w:firstLine="0" w:firstLineChars="0"/>
              <w:jc w:val="center"/>
              <w:rPr>
                <w:sz w:val="21"/>
                <w:szCs w:val="21"/>
              </w:rPr>
            </w:pPr>
            <w:r>
              <w:rPr>
                <w:sz w:val="21"/>
                <w:szCs w:val="21"/>
              </w:rPr>
              <w:t>0.2</w:t>
            </w:r>
            <w:r>
              <w:rPr>
                <w:rFonts w:hint="eastAsia"/>
                <w:sz w:val="21"/>
                <w:szCs w:val="21"/>
              </w:rPr>
              <w:t>×0.2</w:t>
            </w:r>
          </w:p>
        </w:tc>
        <w:tc>
          <w:tcPr>
            <w:tcW w:w="1730" w:type="dxa"/>
            <w:vMerge w:val="restart"/>
            <w:shd w:val="clear" w:color="auto" w:fill="auto"/>
            <w:vAlign w:val="center"/>
          </w:tcPr>
          <w:p w14:paraId="15B43D41">
            <w:pPr>
              <w:spacing w:line="240" w:lineRule="auto"/>
              <w:ind w:firstLine="0" w:firstLineChars="0"/>
              <w:jc w:val="center"/>
              <w:rPr>
                <w:sz w:val="21"/>
                <w:szCs w:val="21"/>
              </w:rPr>
            </w:pPr>
            <w:r>
              <w:rPr>
                <w:rFonts w:hint="eastAsia"/>
                <w:sz w:val="21"/>
                <w:szCs w:val="21"/>
              </w:rPr>
              <w:t>11</w:t>
            </w:r>
          </w:p>
        </w:tc>
      </w:tr>
      <w:tr w14:paraId="2EB04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209D523A">
            <w:pPr>
              <w:spacing w:line="240" w:lineRule="auto"/>
              <w:ind w:firstLine="210" w:firstLineChars="100"/>
              <w:jc w:val="center"/>
              <w:rPr>
                <w:sz w:val="21"/>
                <w:szCs w:val="21"/>
              </w:rPr>
            </w:pPr>
            <w:r>
              <w:rPr>
                <w:sz w:val="21"/>
                <w:szCs w:val="21"/>
              </w:rPr>
              <w:t>2</w:t>
            </w:r>
          </w:p>
        </w:tc>
        <w:tc>
          <w:tcPr>
            <w:tcW w:w="1203" w:type="dxa"/>
            <w:shd w:val="clear" w:color="auto" w:fill="auto"/>
            <w:vAlign w:val="center"/>
          </w:tcPr>
          <w:p w14:paraId="1CE25FF4">
            <w:pPr>
              <w:spacing w:line="240" w:lineRule="auto"/>
              <w:ind w:firstLine="0" w:firstLineChars="0"/>
              <w:jc w:val="center"/>
              <w:rPr>
                <w:sz w:val="21"/>
                <w:szCs w:val="21"/>
              </w:rPr>
            </w:pPr>
            <w:r>
              <w:rPr>
                <w:rFonts w:hint="eastAsia"/>
                <w:sz w:val="21"/>
                <w:szCs w:val="21"/>
              </w:rPr>
              <w:t>四合木</w:t>
            </w:r>
          </w:p>
        </w:tc>
        <w:tc>
          <w:tcPr>
            <w:tcW w:w="4678" w:type="dxa"/>
            <w:shd w:val="clear" w:color="auto" w:fill="auto"/>
          </w:tcPr>
          <w:p w14:paraId="0728F45E">
            <w:pPr>
              <w:spacing w:line="240" w:lineRule="auto"/>
              <w:ind w:firstLine="0" w:firstLineChars="0"/>
              <w:jc w:val="center"/>
              <w:rPr>
                <w:i/>
                <w:sz w:val="21"/>
                <w:szCs w:val="21"/>
              </w:rPr>
            </w:pPr>
            <w:r>
              <w:rPr>
                <w:i/>
                <w:sz w:val="21"/>
                <w:szCs w:val="21"/>
              </w:rPr>
              <w:t xml:space="preserve">Ammopiptanthus mongolicus </w:t>
            </w:r>
            <w:r>
              <w:rPr>
                <w:iCs/>
                <w:sz w:val="21"/>
                <w:szCs w:val="21"/>
              </w:rPr>
              <w:t>(Maxim</w:t>
            </w:r>
            <w:r>
              <w:rPr>
                <w:rFonts w:hint="eastAsia"/>
                <w:iCs/>
                <w:sz w:val="21"/>
                <w:szCs w:val="21"/>
              </w:rPr>
              <w:t>.</w:t>
            </w:r>
            <w:r>
              <w:rPr>
                <w:iCs/>
                <w:sz w:val="21"/>
                <w:szCs w:val="21"/>
              </w:rPr>
              <w:t>)Cheng f</w:t>
            </w:r>
            <w:r>
              <w:rPr>
                <w:rFonts w:hint="eastAsia"/>
                <w:iCs/>
                <w:sz w:val="21"/>
                <w:szCs w:val="21"/>
              </w:rPr>
              <w:t>．</w:t>
            </w:r>
          </w:p>
        </w:tc>
        <w:tc>
          <w:tcPr>
            <w:tcW w:w="1559" w:type="dxa"/>
            <w:shd w:val="clear" w:color="auto" w:fill="auto"/>
            <w:vAlign w:val="center"/>
          </w:tcPr>
          <w:p w14:paraId="77675B91">
            <w:pPr>
              <w:spacing w:line="240" w:lineRule="auto"/>
              <w:ind w:firstLine="0" w:firstLineChars="0"/>
              <w:jc w:val="center"/>
              <w:rPr>
                <w:sz w:val="21"/>
                <w:szCs w:val="21"/>
              </w:rPr>
            </w:pPr>
            <w:r>
              <w:rPr>
                <w:rFonts w:hint="eastAsia"/>
                <w:sz w:val="21"/>
                <w:szCs w:val="21"/>
              </w:rPr>
              <w:t>花果期</w:t>
            </w:r>
          </w:p>
        </w:tc>
        <w:tc>
          <w:tcPr>
            <w:tcW w:w="1395" w:type="dxa"/>
            <w:shd w:val="clear" w:color="auto" w:fill="auto"/>
            <w:vAlign w:val="center"/>
          </w:tcPr>
          <w:p w14:paraId="16718F37">
            <w:pPr>
              <w:spacing w:line="240" w:lineRule="auto"/>
              <w:ind w:firstLine="0" w:firstLineChars="0"/>
              <w:jc w:val="center"/>
              <w:rPr>
                <w:sz w:val="21"/>
                <w:szCs w:val="21"/>
              </w:rPr>
            </w:pPr>
            <w:r>
              <w:rPr>
                <w:rFonts w:hint="eastAsia"/>
                <w:sz w:val="21"/>
                <w:szCs w:val="21"/>
              </w:rPr>
              <w:t>22</w:t>
            </w:r>
          </w:p>
        </w:tc>
        <w:tc>
          <w:tcPr>
            <w:tcW w:w="1418" w:type="dxa"/>
            <w:shd w:val="clear" w:color="auto" w:fill="auto"/>
            <w:vAlign w:val="center"/>
          </w:tcPr>
          <w:p w14:paraId="6F8FB766">
            <w:pPr>
              <w:spacing w:line="240" w:lineRule="auto"/>
              <w:ind w:firstLine="0" w:firstLineChars="0"/>
              <w:jc w:val="center"/>
              <w:rPr>
                <w:sz w:val="21"/>
                <w:szCs w:val="21"/>
              </w:rPr>
            </w:pPr>
            <w:r>
              <w:rPr>
                <w:sz w:val="21"/>
                <w:szCs w:val="21"/>
              </w:rPr>
              <w:t>15</w:t>
            </w:r>
          </w:p>
        </w:tc>
        <w:tc>
          <w:tcPr>
            <w:tcW w:w="1335" w:type="dxa"/>
            <w:shd w:val="clear" w:color="auto" w:fill="auto"/>
            <w:vAlign w:val="center"/>
          </w:tcPr>
          <w:p w14:paraId="755BD45A">
            <w:pPr>
              <w:spacing w:line="240" w:lineRule="auto"/>
              <w:ind w:firstLine="0" w:firstLineChars="0"/>
              <w:jc w:val="center"/>
              <w:rPr>
                <w:sz w:val="21"/>
                <w:szCs w:val="21"/>
              </w:rPr>
            </w:pPr>
            <w:r>
              <w:rPr>
                <w:sz w:val="21"/>
                <w:szCs w:val="21"/>
              </w:rPr>
              <w:t>0.</w:t>
            </w:r>
            <w:r>
              <w:rPr>
                <w:rFonts w:hint="eastAsia"/>
                <w:sz w:val="21"/>
                <w:szCs w:val="21"/>
              </w:rPr>
              <w:t>3×0.4</w:t>
            </w:r>
          </w:p>
        </w:tc>
        <w:tc>
          <w:tcPr>
            <w:tcW w:w="1730" w:type="dxa"/>
            <w:vMerge w:val="continue"/>
            <w:shd w:val="clear" w:color="auto" w:fill="auto"/>
            <w:vAlign w:val="center"/>
          </w:tcPr>
          <w:p w14:paraId="2A160FDB">
            <w:pPr>
              <w:spacing w:line="240" w:lineRule="auto"/>
              <w:ind w:firstLine="0" w:firstLineChars="0"/>
              <w:jc w:val="center"/>
              <w:rPr>
                <w:sz w:val="21"/>
                <w:szCs w:val="21"/>
              </w:rPr>
            </w:pPr>
          </w:p>
        </w:tc>
      </w:tr>
    </w:tbl>
    <w:p w14:paraId="1B3F1D0C">
      <w:pPr>
        <w:ind w:firstLine="0" w:firstLineChars="0"/>
        <w:jc w:val="center"/>
      </w:pPr>
      <w:r>
        <w:drawing>
          <wp:inline distT="0" distB="0" distL="0" distR="0">
            <wp:extent cx="5939790" cy="3959860"/>
            <wp:effectExtent l="0" t="0" r="3810" b="2540"/>
            <wp:docPr id="1604420192" name="图片 26" descr="沙漠中的风景&#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20192" name="图片 26" descr="沙漠中的风景&#10;&#10;描述已自动生成"/>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02062035">
      <w:pPr>
        <w:ind w:firstLine="0" w:firstLineChars="0"/>
        <w:jc w:val="center"/>
      </w:pPr>
      <w:r>
        <w:rPr>
          <w:rFonts w:hint="eastAsia"/>
        </w:rPr>
        <w:t>样方13</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03"/>
        <w:gridCol w:w="4678"/>
        <w:gridCol w:w="1559"/>
        <w:gridCol w:w="1395"/>
        <w:gridCol w:w="1418"/>
        <w:gridCol w:w="1335"/>
        <w:gridCol w:w="1730"/>
      </w:tblGrid>
      <w:tr w14:paraId="7AAA1B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single" w:color="auto" w:sz="12" w:space="0"/>
              <w:bottom w:val="nil"/>
              <w:right w:val="nil"/>
            </w:tcBorders>
            <w:shd w:val="clear" w:color="auto" w:fill="auto"/>
            <w:vAlign w:val="center"/>
          </w:tcPr>
          <w:p w14:paraId="1F061A57">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红砂+四合木群落</w:t>
            </w:r>
          </w:p>
        </w:tc>
        <w:tc>
          <w:tcPr>
            <w:tcW w:w="2954" w:type="dxa"/>
            <w:gridSpan w:val="2"/>
            <w:tcBorders>
              <w:top w:val="single" w:color="auto" w:sz="12" w:space="0"/>
              <w:left w:val="nil"/>
              <w:bottom w:val="nil"/>
              <w:right w:val="nil"/>
            </w:tcBorders>
            <w:shd w:val="clear" w:color="auto" w:fill="auto"/>
            <w:vAlign w:val="center"/>
          </w:tcPr>
          <w:p w14:paraId="191DAE79">
            <w:pPr>
              <w:spacing w:line="240" w:lineRule="auto"/>
              <w:ind w:firstLine="420"/>
              <w:jc w:val="center"/>
              <w:rPr>
                <w:sz w:val="21"/>
                <w:szCs w:val="21"/>
              </w:rPr>
            </w:pPr>
            <w:r>
              <w:rPr>
                <w:sz w:val="21"/>
                <w:szCs w:val="21"/>
              </w:rPr>
              <w:t>样方号：14</w:t>
            </w:r>
          </w:p>
        </w:tc>
        <w:tc>
          <w:tcPr>
            <w:tcW w:w="4483" w:type="dxa"/>
            <w:gridSpan w:val="3"/>
            <w:tcBorders>
              <w:top w:val="single" w:color="auto" w:sz="12" w:space="0"/>
              <w:left w:val="nil"/>
              <w:bottom w:val="nil"/>
            </w:tcBorders>
            <w:shd w:val="clear" w:color="auto" w:fill="auto"/>
            <w:vAlign w:val="center"/>
          </w:tcPr>
          <w:p w14:paraId="28CBC9E3">
            <w:pPr>
              <w:spacing w:line="240" w:lineRule="auto"/>
              <w:ind w:firstLine="420"/>
              <w:jc w:val="center"/>
              <w:rPr>
                <w:sz w:val="21"/>
                <w:szCs w:val="21"/>
              </w:rPr>
            </w:pPr>
            <w:r>
              <w:rPr>
                <w:sz w:val="21"/>
                <w:szCs w:val="21"/>
              </w:rPr>
              <w:t>样方面积：</w:t>
            </w:r>
            <w:r>
              <w:rPr>
                <w:rFonts w:hint="eastAsia"/>
                <w:sz w:val="21"/>
                <w:szCs w:val="21"/>
              </w:rPr>
              <w:t>10×10</w:t>
            </w:r>
            <w:r>
              <w:rPr>
                <w:sz w:val="21"/>
                <w:szCs w:val="21"/>
              </w:rPr>
              <w:t>m</w:t>
            </w:r>
            <w:r>
              <w:rPr>
                <w:sz w:val="21"/>
                <w:szCs w:val="21"/>
                <w:vertAlign w:val="superscript"/>
              </w:rPr>
              <w:t>2</w:t>
            </w:r>
          </w:p>
        </w:tc>
      </w:tr>
      <w:tr w14:paraId="28B89B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521" w:type="dxa"/>
            <w:gridSpan w:val="3"/>
            <w:tcBorders>
              <w:top w:val="nil"/>
              <w:bottom w:val="nil"/>
              <w:right w:val="nil"/>
            </w:tcBorders>
            <w:shd w:val="clear" w:color="auto" w:fill="auto"/>
            <w:vAlign w:val="center"/>
          </w:tcPr>
          <w:p w14:paraId="7BC02DAF">
            <w:pPr>
              <w:spacing w:line="240" w:lineRule="auto"/>
              <w:ind w:firstLine="420"/>
              <w:jc w:val="center"/>
              <w:rPr>
                <w:sz w:val="21"/>
                <w:szCs w:val="21"/>
              </w:rPr>
            </w:pPr>
            <w:r>
              <w:rPr>
                <w:sz w:val="21"/>
                <w:szCs w:val="21"/>
              </w:rPr>
              <w:t>经度：</w:t>
            </w:r>
            <w:r>
              <w:rPr>
                <w:rFonts w:eastAsia="等线"/>
                <w:kern w:val="0"/>
                <w:sz w:val="21"/>
                <w:szCs w:val="21"/>
                <w:lang w:bidi="ar"/>
              </w:rPr>
              <w:t>106°48′50.32176″</w:t>
            </w:r>
          </w:p>
        </w:tc>
        <w:tc>
          <w:tcPr>
            <w:tcW w:w="2954" w:type="dxa"/>
            <w:gridSpan w:val="2"/>
            <w:tcBorders>
              <w:top w:val="nil"/>
              <w:left w:val="nil"/>
              <w:bottom w:val="nil"/>
              <w:right w:val="nil"/>
            </w:tcBorders>
            <w:shd w:val="clear" w:color="auto" w:fill="auto"/>
            <w:vAlign w:val="center"/>
          </w:tcPr>
          <w:p w14:paraId="588D8FAD">
            <w:pPr>
              <w:spacing w:line="240" w:lineRule="auto"/>
              <w:ind w:firstLine="420"/>
              <w:jc w:val="center"/>
              <w:rPr>
                <w:sz w:val="21"/>
                <w:szCs w:val="21"/>
              </w:rPr>
            </w:pPr>
            <w:r>
              <w:rPr>
                <w:sz w:val="21"/>
                <w:szCs w:val="21"/>
              </w:rPr>
              <w:t>纬度：</w:t>
            </w:r>
            <w:r>
              <w:rPr>
                <w:rFonts w:eastAsia="等线"/>
                <w:kern w:val="0"/>
                <w:sz w:val="21"/>
                <w:szCs w:val="21"/>
                <w:lang w:bidi="ar"/>
              </w:rPr>
              <w:t>40°1′16.16681″</w:t>
            </w:r>
          </w:p>
        </w:tc>
        <w:tc>
          <w:tcPr>
            <w:tcW w:w="4483" w:type="dxa"/>
            <w:gridSpan w:val="3"/>
            <w:tcBorders>
              <w:top w:val="nil"/>
              <w:left w:val="nil"/>
              <w:bottom w:val="nil"/>
            </w:tcBorders>
            <w:shd w:val="clear" w:color="auto" w:fill="auto"/>
            <w:vAlign w:val="center"/>
          </w:tcPr>
          <w:p w14:paraId="12079F07">
            <w:pPr>
              <w:spacing w:line="240" w:lineRule="auto"/>
              <w:ind w:firstLine="420"/>
              <w:jc w:val="center"/>
              <w:rPr>
                <w:sz w:val="21"/>
                <w:szCs w:val="21"/>
              </w:rPr>
            </w:pPr>
            <w:r>
              <w:rPr>
                <w:sz w:val="21"/>
                <w:szCs w:val="21"/>
              </w:rPr>
              <w:t>海拔：1135 m</w:t>
            </w:r>
          </w:p>
        </w:tc>
      </w:tr>
      <w:tr w14:paraId="5D9E9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8080" w:type="dxa"/>
            <w:gridSpan w:val="4"/>
            <w:tcBorders>
              <w:top w:val="nil"/>
              <w:bottom w:val="single" w:color="auto" w:sz="4" w:space="0"/>
              <w:right w:val="nil"/>
            </w:tcBorders>
            <w:shd w:val="clear" w:color="auto" w:fill="auto"/>
            <w:vAlign w:val="center"/>
          </w:tcPr>
          <w:p w14:paraId="3C038420">
            <w:pPr>
              <w:spacing w:line="240" w:lineRule="auto"/>
              <w:ind w:firstLine="420"/>
              <w:jc w:val="center"/>
              <w:rPr>
                <w:sz w:val="21"/>
                <w:szCs w:val="21"/>
              </w:rPr>
            </w:pPr>
            <w:r>
              <w:rPr>
                <w:sz w:val="21"/>
                <w:szCs w:val="21"/>
              </w:rPr>
              <w:t>调查人：苏斯图</w:t>
            </w:r>
          </w:p>
        </w:tc>
        <w:tc>
          <w:tcPr>
            <w:tcW w:w="1395" w:type="dxa"/>
            <w:tcBorders>
              <w:top w:val="nil"/>
              <w:left w:val="nil"/>
              <w:bottom w:val="single" w:color="auto" w:sz="4" w:space="0"/>
              <w:right w:val="nil"/>
            </w:tcBorders>
            <w:shd w:val="clear" w:color="auto" w:fill="auto"/>
            <w:vAlign w:val="center"/>
          </w:tcPr>
          <w:p w14:paraId="361F9D27">
            <w:pPr>
              <w:spacing w:line="240" w:lineRule="auto"/>
              <w:ind w:firstLine="420"/>
              <w:jc w:val="center"/>
              <w:rPr>
                <w:sz w:val="21"/>
                <w:szCs w:val="21"/>
              </w:rPr>
            </w:pPr>
          </w:p>
        </w:tc>
        <w:tc>
          <w:tcPr>
            <w:tcW w:w="4483" w:type="dxa"/>
            <w:gridSpan w:val="3"/>
            <w:tcBorders>
              <w:top w:val="nil"/>
              <w:left w:val="nil"/>
              <w:bottom w:val="single" w:color="auto" w:sz="4" w:space="0"/>
            </w:tcBorders>
            <w:shd w:val="clear" w:color="auto" w:fill="auto"/>
            <w:vAlign w:val="center"/>
          </w:tcPr>
          <w:p w14:paraId="03E22800">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6D814D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1D8330E4">
            <w:pPr>
              <w:spacing w:line="240" w:lineRule="auto"/>
              <w:ind w:firstLine="0" w:firstLineChars="0"/>
              <w:jc w:val="center"/>
              <w:rPr>
                <w:sz w:val="21"/>
                <w:szCs w:val="21"/>
              </w:rPr>
            </w:pPr>
            <w:r>
              <w:rPr>
                <w:sz w:val="21"/>
                <w:szCs w:val="21"/>
              </w:rPr>
              <w:t>种号</w:t>
            </w:r>
          </w:p>
        </w:tc>
        <w:tc>
          <w:tcPr>
            <w:tcW w:w="1203" w:type="dxa"/>
            <w:tcBorders>
              <w:top w:val="single" w:color="auto" w:sz="4" w:space="0"/>
            </w:tcBorders>
            <w:shd w:val="clear" w:color="auto" w:fill="auto"/>
            <w:vAlign w:val="center"/>
          </w:tcPr>
          <w:p w14:paraId="76A9DE75">
            <w:pPr>
              <w:spacing w:line="240" w:lineRule="auto"/>
              <w:ind w:firstLine="0" w:firstLineChars="0"/>
              <w:jc w:val="center"/>
              <w:rPr>
                <w:sz w:val="21"/>
                <w:szCs w:val="21"/>
              </w:rPr>
            </w:pPr>
            <w:r>
              <w:rPr>
                <w:sz w:val="21"/>
                <w:szCs w:val="21"/>
              </w:rPr>
              <w:t>中文名</w:t>
            </w:r>
          </w:p>
        </w:tc>
        <w:tc>
          <w:tcPr>
            <w:tcW w:w="4678" w:type="dxa"/>
            <w:tcBorders>
              <w:top w:val="single" w:color="auto" w:sz="4" w:space="0"/>
            </w:tcBorders>
            <w:shd w:val="clear" w:color="auto" w:fill="auto"/>
            <w:vAlign w:val="center"/>
          </w:tcPr>
          <w:p w14:paraId="06820133">
            <w:pPr>
              <w:spacing w:line="240" w:lineRule="auto"/>
              <w:ind w:firstLine="0" w:firstLineChars="0"/>
              <w:jc w:val="center"/>
              <w:rPr>
                <w:sz w:val="21"/>
                <w:szCs w:val="21"/>
              </w:rPr>
            </w:pPr>
            <w:r>
              <w:rPr>
                <w:sz w:val="21"/>
                <w:szCs w:val="21"/>
              </w:rPr>
              <w:t>拉丁名</w:t>
            </w:r>
          </w:p>
        </w:tc>
        <w:tc>
          <w:tcPr>
            <w:tcW w:w="1559" w:type="dxa"/>
            <w:tcBorders>
              <w:top w:val="single" w:color="auto" w:sz="4" w:space="0"/>
            </w:tcBorders>
            <w:shd w:val="clear" w:color="auto" w:fill="auto"/>
            <w:vAlign w:val="center"/>
          </w:tcPr>
          <w:p w14:paraId="2F922E77">
            <w:pPr>
              <w:spacing w:line="240" w:lineRule="auto"/>
              <w:ind w:firstLine="0" w:firstLineChars="0"/>
              <w:jc w:val="center"/>
              <w:rPr>
                <w:sz w:val="21"/>
                <w:szCs w:val="21"/>
              </w:rPr>
            </w:pPr>
            <w:r>
              <w:rPr>
                <w:sz w:val="21"/>
                <w:szCs w:val="21"/>
              </w:rPr>
              <w:t>物候期</w:t>
            </w:r>
          </w:p>
        </w:tc>
        <w:tc>
          <w:tcPr>
            <w:tcW w:w="1395" w:type="dxa"/>
            <w:tcBorders>
              <w:top w:val="single" w:color="auto" w:sz="4" w:space="0"/>
            </w:tcBorders>
            <w:shd w:val="clear" w:color="auto" w:fill="auto"/>
            <w:vAlign w:val="center"/>
          </w:tcPr>
          <w:p w14:paraId="197A0BF2">
            <w:pPr>
              <w:spacing w:line="240" w:lineRule="auto"/>
              <w:ind w:firstLine="0" w:firstLineChars="0"/>
              <w:jc w:val="center"/>
              <w:rPr>
                <w:sz w:val="21"/>
                <w:szCs w:val="21"/>
              </w:rPr>
            </w:pPr>
            <w:r>
              <w:rPr>
                <w:sz w:val="21"/>
                <w:szCs w:val="21"/>
              </w:rPr>
              <w:t>株（丛）数</w:t>
            </w:r>
          </w:p>
        </w:tc>
        <w:tc>
          <w:tcPr>
            <w:tcW w:w="1418" w:type="dxa"/>
            <w:tcBorders>
              <w:top w:val="single" w:color="auto" w:sz="4" w:space="0"/>
            </w:tcBorders>
            <w:shd w:val="clear" w:color="auto" w:fill="auto"/>
            <w:vAlign w:val="center"/>
          </w:tcPr>
          <w:p w14:paraId="5B1B74FA">
            <w:pPr>
              <w:spacing w:line="240" w:lineRule="auto"/>
              <w:ind w:firstLine="0" w:firstLineChars="0"/>
              <w:jc w:val="center"/>
              <w:rPr>
                <w:sz w:val="21"/>
                <w:szCs w:val="21"/>
              </w:rPr>
            </w:pPr>
            <w:r>
              <w:rPr>
                <w:sz w:val="21"/>
                <w:szCs w:val="21"/>
              </w:rPr>
              <w:t>平均高度/cm</w:t>
            </w:r>
          </w:p>
        </w:tc>
        <w:tc>
          <w:tcPr>
            <w:tcW w:w="1335" w:type="dxa"/>
            <w:tcBorders>
              <w:top w:val="single" w:color="auto" w:sz="4" w:space="0"/>
            </w:tcBorders>
            <w:shd w:val="clear" w:color="auto" w:fill="auto"/>
            <w:vAlign w:val="center"/>
          </w:tcPr>
          <w:p w14:paraId="20CE63A7">
            <w:pPr>
              <w:spacing w:line="240" w:lineRule="auto"/>
              <w:ind w:firstLine="0" w:firstLineChars="0"/>
              <w:jc w:val="center"/>
              <w:rPr>
                <w:sz w:val="21"/>
                <w:szCs w:val="21"/>
              </w:rPr>
            </w:pPr>
            <w:r>
              <w:rPr>
                <w:rFonts w:hint="eastAsia"/>
                <w:sz w:val="21"/>
                <w:szCs w:val="21"/>
              </w:rPr>
              <w:t>冠幅</w:t>
            </w:r>
            <w:r>
              <w:rPr>
                <w:sz w:val="21"/>
                <w:szCs w:val="21"/>
              </w:rPr>
              <w:t>/m</w:t>
            </w:r>
          </w:p>
        </w:tc>
        <w:tc>
          <w:tcPr>
            <w:tcW w:w="1730" w:type="dxa"/>
            <w:tcBorders>
              <w:top w:val="single" w:color="auto" w:sz="4" w:space="0"/>
            </w:tcBorders>
            <w:shd w:val="clear" w:color="auto" w:fill="auto"/>
            <w:vAlign w:val="center"/>
          </w:tcPr>
          <w:p w14:paraId="0A17E471">
            <w:pPr>
              <w:spacing w:line="240" w:lineRule="auto"/>
              <w:ind w:firstLine="0" w:firstLineChars="0"/>
              <w:jc w:val="center"/>
              <w:rPr>
                <w:sz w:val="21"/>
                <w:szCs w:val="21"/>
              </w:rPr>
            </w:pPr>
            <w:r>
              <w:rPr>
                <w:rFonts w:hint="eastAsia"/>
                <w:sz w:val="21"/>
                <w:szCs w:val="21"/>
              </w:rPr>
              <w:t>总</w:t>
            </w:r>
            <w:r>
              <w:rPr>
                <w:sz w:val="21"/>
                <w:szCs w:val="21"/>
              </w:rPr>
              <w:t>盖度%</w:t>
            </w:r>
          </w:p>
        </w:tc>
      </w:tr>
      <w:tr w14:paraId="60616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6A35EEDC">
            <w:pPr>
              <w:spacing w:line="240" w:lineRule="auto"/>
              <w:ind w:firstLine="210" w:firstLineChars="100"/>
              <w:jc w:val="center"/>
              <w:rPr>
                <w:sz w:val="21"/>
                <w:szCs w:val="21"/>
              </w:rPr>
            </w:pPr>
            <w:r>
              <w:rPr>
                <w:sz w:val="21"/>
                <w:szCs w:val="21"/>
              </w:rPr>
              <w:t>1</w:t>
            </w:r>
          </w:p>
        </w:tc>
        <w:tc>
          <w:tcPr>
            <w:tcW w:w="1203" w:type="dxa"/>
            <w:shd w:val="clear" w:color="auto" w:fill="auto"/>
            <w:vAlign w:val="center"/>
          </w:tcPr>
          <w:p w14:paraId="33EB9D06">
            <w:pPr>
              <w:spacing w:line="240" w:lineRule="auto"/>
              <w:ind w:firstLine="0" w:firstLineChars="0"/>
              <w:jc w:val="center"/>
              <w:rPr>
                <w:sz w:val="21"/>
                <w:szCs w:val="21"/>
              </w:rPr>
            </w:pPr>
            <w:r>
              <w:rPr>
                <w:rFonts w:hint="eastAsia"/>
                <w:sz w:val="21"/>
                <w:szCs w:val="21"/>
              </w:rPr>
              <w:t>红砂</w:t>
            </w:r>
          </w:p>
        </w:tc>
        <w:tc>
          <w:tcPr>
            <w:tcW w:w="4678" w:type="dxa"/>
            <w:shd w:val="clear" w:color="auto" w:fill="auto"/>
          </w:tcPr>
          <w:p w14:paraId="6FA65B1A">
            <w:pPr>
              <w:spacing w:line="240" w:lineRule="auto"/>
              <w:ind w:firstLine="0" w:firstLineChars="0"/>
              <w:jc w:val="center"/>
              <w:rPr>
                <w:i/>
                <w:sz w:val="21"/>
                <w:szCs w:val="21"/>
              </w:rPr>
            </w:pPr>
            <w:r>
              <w:rPr>
                <w:i/>
                <w:sz w:val="21"/>
                <w:szCs w:val="21"/>
              </w:rPr>
              <w:t xml:space="preserve">Reaumuria songarica </w:t>
            </w:r>
            <w:r>
              <w:rPr>
                <w:iCs/>
                <w:sz w:val="21"/>
                <w:szCs w:val="21"/>
              </w:rPr>
              <w:t>(Pall.) Maxim.</w:t>
            </w:r>
          </w:p>
        </w:tc>
        <w:tc>
          <w:tcPr>
            <w:tcW w:w="1559" w:type="dxa"/>
            <w:shd w:val="clear" w:color="auto" w:fill="auto"/>
            <w:vAlign w:val="center"/>
          </w:tcPr>
          <w:p w14:paraId="536534AC">
            <w:pPr>
              <w:spacing w:line="240" w:lineRule="auto"/>
              <w:ind w:firstLine="0" w:firstLineChars="0"/>
              <w:jc w:val="center"/>
              <w:rPr>
                <w:sz w:val="21"/>
                <w:szCs w:val="21"/>
              </w:rPr>
            </w:pPr>
            <w:r>
              <w:rPr>
                <w:rFonts w:hint="eastAsia"/>
                <w:sz w:val="21"/>
                <w:szCs w:val="21"/>
              </w:rPr>
              <w:t>果期</w:t>
            </w:r>
          </w:p>
        </w:tc>
        <w:tc>
          <w:tcPr>
            <w:tcW w:w="1395" w:type="dxa"/>
            <w:shd w:val="clear" w:color="auto" w:fill="auto"/>
            <w:vAlign w:val="center"/>
          </w:tcPr>
          <w:p w14:paraId="21EF4F53">
            <w:pPr>
              <w:spacing w:line="240" w:lineRule="auto"/>
              <w:ind w:firstLine="0" w:firstLineChars="0"/>
              <w:jc w:val="center"/>
              <w:rPr>
                <w:sz w:val="21"/>
                <w:szCs w:val="21"/>
              </w:rPr>
            </w:pPr>
            <w:r>
              <w:rPr>
                <w:sz w:val="21"/>
                <w:szCs w:val="21"/>
              </w:rPr>
              <w:t>1</w:t>
            </w:r>
            <w:r>
              <w:rPr>
                <w:rFonts w:hint="eastAsia"/>
                <w:sz w:val="21"/>
                <w:szCs w:val="21"/>
              </w:rPr>
              <w:t>1</w:t>
            </w:r>
          </w:p>
        </w:tc>
        <w:tc>
          <w:tcPr>
            <w:tcW w:w="1418" w:type="dxa"/>
            <w:shd w:val="clear" w:color="auto" w:fill="auto"/>
            <w:vAlign w:val="center"/>
          </w:tcPr>
          <w:p w14:paraId="77697018">
            <w:pPr>
              <w:spacing w:line="240" w:lineRule="auto"/>
              <w:ind w:firstLine="0" w:firstLineChars="0"/>
              <w:jc w:val="center"/>
              <w:rPr>
                <w:sz w:val="21"/>
                <w:szCs w:val="21"/>
              </w:rPr>
            </w:pPr>
            <w:r>
              <w:rPr>
                <w:sz w:val="21"/>
                <w:szCs w:val="21"/>
              </w:rPr>
              <w:t>1</w:t>
            </w:r>
            <w:r>
              <w:rPr>
                <w:rFonts w:hint="eastAsia"/>
                <w:sz w:val="21"/>
                <w:szCs w:val="21"/>
              </w:rPr>
              <w:t>2</w:t>
            </w:r>
          </w:p>
        </w:tc>
        <w:tc>
          <w:tcPr>
            <w:tcW w:w="1335" w:type="dxa"/>
            <w:shd w:val="clear" w:color="auto" w:fill="auto"/>
            <w:vAlign w:val="center"/>
          </w:tcPr>
          <w:p w14:paraId="2BC82E20">
            <w:pPr>
              <w:spacing w:line="240" w:lineRule="auto"/>
              <w:ind w:firstLine="0" w:firstLineChars="0"/>
              <w:jc w:val="center"/>
              <w:rPr>
                <w:sz w:val="21"/>
                <w:szCs w:val="21"/>
              </w:rPr>
            </w:pPr>
            <w:r>
              <w:rPr>
                <w:sz w:val="21"/>
                <w:szCs w:val="21"/>
              </w:rPr>
              <w:t>0.</w:t>
            </w:r>
            <w:r>
              <w:rPr>
                <w:rFonts w:hint="eastAsia"/>
                <w:sz w:val="21"/>
                <w:szCs w:val="21"/>
              </w:rPr>
              <w:t>2×0.2</w:t>
            </w:r>
          </w:p>
        </w:tc>
        <w:tc>
          <w:tcPr>
            <w:tcW w:w="1730" w:type="dxa"/>
            <w:vMerge w:val="restart"/>
            <w:shd w:val="clear" w:color="auto" w:fill="auto"/>
            <w:vAlign w:val="center"/>
          </w:tcPr>
          <w:p w14:paraId="2BA5C93C">
            <w:pPr>
              <w:spacing w:line="240" w:lineRule="auto"/>
              <w:ind w:firstLine="0" w:firstLineChars="0"/>
              <w:jc w:val="center"/>
              <w:rPr>
                <w:sz w:val="21"/>
                <w:szCs w:val="21"/>
              </w:rPr>
            </w:pPr>
            <w:r>
              <w:rPr>
                <w:rFonts w:hint="eastAsia"/>
                <w:sz w:val="21"/>
                <w:szCs w:val="21"/>
              </w:rPr>
              <w:t>13</w:t>
            </w:r>
          </w:p>
        </w:tc>
      </w:tr>
      <w:tr w14:paraId="12934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72B54E70">
            <w:pPr>
              <w:spacing w:line="240" w:lineRule="auto"/>
              <w:ind w:firstLine="210" w:firstLineChars="100"/>
              <w:jc w:val="center"/>
              <w:rPr>
                <w:sz w:val="21"/>
                <w:szCs w:val="21"/>
              </w:rPr>
            </w:pPr>
            <w:r>
              <w:rPr>
                <w:sz w:val="21"/>
                <w:szCs w:val="21"/>
              </w:rPr>
              <w:t>2</w:t>
            </w:r>
          </w:p>
        </w:tc>
        <w:tc>
          <w:tcPr>
            <w:tcW w:w="1203" w:type="dxa"/>
            <w:shd w:val="clear" w:color="auto" w:fill="auto"/>
            <w:vAlign w:val="center"/>
          </w:tcPr>
          <w:p w14:paraId="5CF00CE1">
            <w:pPr>
              <w:spacing w:line="240" w:lineRule="auto"/>
              <w:ind w:firstLine="0" w:firstLineChars="0"/>
              <w:jc w:val="center"/>
              <w:rPr>
                <w:sz w:val="21"/>
                <w:szCs w:val="21"/>
              </w:rPr>
            </w:pPr>
            <w:r>
              <w:rPr>
                <w:rFonts w:hint="eastAsia"/>
                <w:sz w:val="21"/>
                <w:szCs w:val="21"/>
              </w:rPr>
              <w:t>四合木</w:t>
            </w:r>
          </w:p>
        </w:tc>
        <w:tc>
          <w:tcPr>
            <w:tcW w:w="4678" w:type="dxa"/>
            <w:shd w:val="clear" w:color="auto" w:fill="auto"/>
          </w:tcPr>
          <w:p w14:paraId="4623DDDB">
            <w:pPr>
              <w:spacing w:line="240" w:lineRule="auto"/>
              <w:ind w:firstLine="0" w:firstLineChars="0"/>
              <w:jc w:val="center"/>
              <w:rPr>
                <w:i/>
                <w:sz w:val="21"/>
                <w:szCs w:val="21"/>
              </w:rPr>
            </w:pPr>
            <w:r>
              <w:rPr>
                <w:i/>
                <w:sz w:val="21"/>
                <w:szCs w:val="21"/>
              </w:rPr>
              <w:t xml:space="preserve">Ammopiptanthus mongolicus </w:t>
            </w:r>
            <w:r>
              <w:rPr>
                <w:iCs/>
                <w:sz w:val="21"/>
                <w:szCs w:val="21"/>
              </w:rPr>
              <w:t>(Maxim</w:t>
            </w:r>
            <w:r>
              <w:rPr>
                <w:rFonts w:hint="eastAsia"/>
                <w:iCs/>
                <w:sz w:val="21"/>
                <w:szCs w:val="21"/>
              </w:rPr>
              <w:t>.</w:t>
            </w:r>
            <w:r>
              <w:rPr>
                <w:iCs/>
                <w:sz w:val="21"/>
                <w:szCs w:val="21"/>
              </w:rPr>
              <w:t>)Cheng f</w:t>
            </w:r>
            <w:r>
              <w:rPr>
                <w:rFonts w:hint="eastAsia"/>
                <w:iCs/>
                <w:sz w:val="21"/>
                <w:szCs w:val="21"/>
              </w:rPr>
              <w:t>．</w:t>
            </w:r>
          </w:p>
        </w:tc>
        <w:tc>
          <w:tcPr>
            <w:tcW w:w="1559" w:type="dxa"/>
            <w:shd w:val="clear" w:color="auto" w:fill="auto"/>
            <w:vAlign w:val="center"/>
          </w:tcPr>
          <w:p w14:paraId="150F89AE">
            <w:pPr>
              <w:spacing w:line="240" w:lineRule="auto"/>
              <w:ind w:firstLine="0" w:firstLineChars="0"/>
              <w:jc w:val="center"/>
              <w:rPr>
                <w:sz w:val="21"/>
                <w:szCs w:val="21"/>
              </w:rPr>
            </w:pPr>
            <w:r>
              <w:rPr>
                <w:rFonts w:hint="eastAsia"/>
                <w:sz w:val="21"/>
                <w:szCs w:val="21"/>
              </w:rPr>
              <w:t>果期</w:t>
            </w:r>
          </w:p>
        </w:tc>
        <w:tc>
          <w:tcPr>
            <w:tcW w:w="1395" w:type="dxa"/>
            <w:shd w:val="clear" w:color="auto" w:fill="auto"/>
            <w:vAlign w:val="center"/>
          </w:tcPr>
          <w:p w14:paraId="7C23F8EB">
            <w:pPr>
              <w:spacing w:line="240" w:lineRule="auto"/>
              <w:ind w:firstLine="0" w:firstLineChars="0"/>
              <w:jc w:val="center"/>
              <w:rPr>
                <w:sz w:val="21"/>
                <w:szCs w:val="21"/>
              </w:rPr>
            </w:pPr>
            <w:r>
              <w:rPr>
                <w:sz w:val="21"/>
                <w:szCs w:val="21"/>
              </w:rPr>
              <w:t>2</w:t>
            </w:r>
            <w:r>
              <w:rPr>
                <w:rFonts w:hint="eastAsia"/>
                <w:sz w:val="21"/>
                <w:szCs w:val="21"/>
              </w:rPr>
              <w:t>2</w:t>
            </w:r>
          </w:p>
        </w:tc>
        <w:tc>
          <w:tcPr>
            <w:tcW w:w="1418" w:type="dxa"/>
            <w:shd w:val="clear" w:color="auto" w:fill="auto"/>
            <w:vAlign w:val="center"/>
          </w:tcPr>
          <w:p w14:paraId="02FBB657">
            <w:pPr>
              <w:spacing w:line="240" w:lineRule="auto"/>
              <w:ind w:firstLine="0" w:firstLineChars="0"/>
              <w:jc w:val="center"/>
              <w:rPr>
                <w:sz w:val="21"/>
                <w:szCs w:val="21"/>
              </w:rPr>
            </w:pPr>
            <w:r>
              <w:rPr>
                <w:sz w:val="21"/>
                <w:szCs w:val="21"/>
              </w:rPr>
              <w:t>2</w:t>
            </w:r>
            <w:r>
              <w:rPr>
                <w:rFonts w:hint="eastAsia"/>
                <w:sz w:val="21"/>
                <w:szCs w:val="21"/>
              </w:rPr>
              <w:t>1</w:t>
            </w:r>
          </w:p>
        </w:tc>
        <w:tc>
          <w:tcPr>
            <w:tcW w:w="1335" w:type="dxa"/>
            <w:shd w:val="clear" w:color="auto" w:fill="auto"/>
            <w:vAlign w:val="center"/>
          </w:tcPr>
          <w:p w14:paraId="53512D41">
            <w:pPr>
              <w:spacing w:line="240" w:lineRule="auto"/>
              <w:ind w:firstLine="0" w:firstLineChars="0"/>
              <w:jc w:val="center"/>
              <w:rPr>
                <w:sz w:val="21"/>
                <w:szCs w:val="21"/>
              </w:rPr>
            </w:pPr>
            <w:r>
              <w:rPr>
                <w:sz w:val="21"/>
                <w:szCs w:val="21"/>
              </w:rPr>
              <w:t>0</w:t>
            </w:r>
            <w:r>
              <w:rPr>
                <w:rFonts w:hint="eastAsia"/>
                <w:sz w:val="21"/>
                <w:szCs w:val="21"/>
              </w:rPr>
              <w:t>.3×0.4</w:t>
            </w:r>
          </w:p>
        </w:tc>
        <w:tc>
          <w:tcPr>
            <w:tcW w:w="1730" w:type="dxa"/>
            <w:vMerge w:val="continue"/>
            <w:shd w:val="clear" w:color="auto" w:fill="auto"/>
            <w:vAlign w:val="center"/>
          </w:tcPr>
          <w:p w14:paraId="7E0276C0">
            <w:pPr>
              <w:spacing w:line="240" w:lineRule="auto"/>
              <w:ind w:firstLine="0" w:firstLineChars="0"/>
              <w:jc w:val="center"/>
              <w:rPr>
                <w:sz w:val="21"/>
                <w:szCs w:val="21"/>
              </w:rPr>
            </w:pPr>
          </w:p>
        </w:tc>
      </w:tr>
    </w:tbl>
    <w:p w14:paraId="29196725">
      <w:pPr>
        <w:ind w:firstLine="0" w:firstLineChars="0"/>
        <w:jc w:val="center"/>
      </w:pPr>
      <w:r>
        <w:drawing>
          <wp:inline distT="0" distB="0" distL="0" distR="0">
            <wp:extent cx="7418705" cy="3959860"/>
            <wp:effectExtent l="0" t="0" r="10795" b="2540"/>
            <wp:docPr id="11613591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59123" name="图片 1"/>
                    <pic:cNvPicPr>
                      <a:picLocks noChangeAspect="1"/>
                    </pic:cNvPicPr>
                  </pic:nvPicPr>
                  <pic:blipFill>
                    <a:blip r:embed="rId70"/>
                    <a:stretch>
                      <a:fillRect/>
                    </a:stretch>
                  </pic:blipFill>
                  <pic:spPr>
                    <a:xfrm>
                      <a:off x="0" y="0"/>
                      <a:ext cx="7418841" cy="3960000"/>
                    </a:xfrm>
                    <a:prstGeom prst="rect">
                      <a:avLst/>
                    </a:prstGeom>
                  </pic:spPr>
                </pic:pic>
              </a:graphicData>
            </a:graphic>
          </wp:inline>
        </w:drawing>
      </w:r>
    </w:p>
    <w:p w14:paraId="77F6C959">
      <w:pPr>
        <w:ind w:firstLine="0" w:firstLineChars="0"/>
        <w:jc w:val="center"/>
      </w:pPr>
      <w:r>
        <w:rPr>
          <w:rFonts w:hint="eastAsia"/>
        </w:rPr>
        <w:t>样方14</w:t>
      </w:r>
    </w:p>
    <w:tbl>
      <w:tblPr>
        <w:tblStyle w:val="82"/>
        <w:tblW w:w="139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03"/>
        <w:gridCol w:w="4536"/>
        <w:gridCol w:w="1375"/>
        <w:gridCol w:w="1368"/>
        <w:gridCol w:w="1407"/>
        <w:gridCol w:w="1425"/>
        <w:gridCol w:w="2004"/>
      </w:tblGrid>
      <w:tr w14:paraId="51F03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379" w:type="dxa"/>
            <w:gridSpan w:val="3"/>
            <w:tcBorders>
              <w:top w:val="single" w:color="auto" w:sz="12" w:space="0"/>
              <w:bottom w:val="nil"/>
              <w:right w:val="nil"/>
            </w:tcBorders>
            <w:shd w:val="clear" w:color="auto" w:fill="auto"/>
            <w:vAlign w:val="center"/>
          </w:tcPr>
          <w:p w14:paraId="45B07978">
            <w:pPr>
              <w:spacing w:line="240" w:lineRule="auto"/>
              <w:ind w:firstLine="420"/>
              <w:jc w:val="center"/>
              <w:rPr>
                <w:sz w:val="21"/>
                <w:szCs w:val="21"/>
              </w:rPr>
            </w:pPr>
            <w:r>
              <w:rPr>
                <w:rFonts w:hint="eastAsia"/>
                <w:sz w:val="21"/>
                <w:szCs w:val="21"/>
              </w:rPr>
              <w:t>群落</w:t>
            </w:r>
            <w:r>
              <w:rPr>
                <w:sz w:val="21"/>
                <w:szCs w:val="21"/>
              </w:rPr>
              <w:t>名称：</w:t>
            </w:r>
            <w:r>
              <w:rPr>
                <w:rFonts w:hint="eastAsia"/>
                <w:sz w:val="21"/>
                <w:szCs w:val="21"/>
              </w:rPr>
              <w:t>红砂+四合木群落</w:t>
            </w:r>
          </w:p>
        </w:tc>
        <w:tc>
          <w:tcPr>
            <w:tcW w:w="2743" w:type="dxa"/>
            <w:gridSpan w:val="2"/>
            <w:tcBorders>
              <w:top w:val="single" w:color="auto" w:sz="12" w:space="0"/>
              <w:left w:val="nil"/>
              <w:bottom w:val="nil"/>
              <w:right w:val="nil"/>
            </w:tcBorders>
            <w:shd w:val="clear" w:color="auto" w:fill="auto"/>
            <w:vAlign w:val="center"/>
          </w:tcPr>
          <w:p w14:paraId="3413A92A">
            <w:pPr>
              <w:spacing w:line="240" w:lineRule="auto"/>
              <w:ind w:firstLine="420"/>
              <w:jc w:val="center"/>
              <w:rPr>
                <w:sz w:val="21"/>
                <w:szCs w:val="21"/>
              </w:rPr>
            </w:pPr>
            <w:r>
              <w:rPr>
                <w:sz w:val="21"/>
                <w:szCs w:val="21"/>
              </w:rPr>
              <w:t>样方号：15</w:t>
            </w:r>
          </w:p>
        </w:tc>
        <w:tc>
          <w:tcPr>
            <w:tcW w:w="4836" w:type="dxa"/>
            <w:gridSpan w:val="3"/>
            <w:tcBorders>
              <w:top w:val="single" w:color="auto" w:sz="12" w:space="0"/>
              <w:left w:val="nil"/>
              <w:bottom w:val="nil"/>
            </w:tcBorders>
            <w:shd w:val="clear" w:color="auto" w:fill="auto"/>
            <w:vAlign w:val="center"/>
          </w:tcPr>
          <w:p w14:paraId="285685F0">
            <w:pPr>
              <w:spacing w:line="240" w:lineRule="auto"/>
              <w:ind w:firstLine="420"/>
              <w:jc w:val="center"/>
              <w:rPr>
                <w:sz w:val="21"/>
                <w:szCs w:val="21"/>
              </w:rPr>
            </w:pPr>
            <w:r>
              <w:rPr>
                <w:sz w:val="21"/>
                <w:szCs w:val="21"/>
              </w:rPr>
              <w:t>样方面积：</w:t>
            </w:r>
            <w:r>
              <w:rPr>
                <w:rFonts w:hint="eastAsia"/>
                <w:sz w:val="21"/>
                <w:szCs w:val="21"/>
              </w:rPr>
              <w:t>10×10</w:t>
            </w:r>
            <w:r>
              <w:rPr>
                <w:sz w:val="21"/>
                <w:szCs w:val="21"/>
              </w:rPr>
              <w:t xml:space="preserve"> m</w:t>
            </w:r>
            <w:r>
              <w:rPr>
                <w:sz w:val="21"/>
                <w:szCs w:val="21"/>
                <w:vertAlign w:val="superscript"/>
              </w:rPr>
              <w:t>2</w:t>
            </w:r>
          </w:p>
        </w:tc>
      </w:tr>
      <w:tr w14:paraId="4C8D87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379" w:type="dxa"/>
            <w:gridSpan w:val="3"/>
            <w:tcBorders>
              <w:top w:val="nil"/>
              <w:bottom w:val="nil"/>
              <w:right w:val="nil"/>
            </w:tcBorders>
            <w:shd w:val="clear" w:color="auto" w:fill="auto"/>
            <w:vAlign w:val="center"/>
          </w:tcPr>
          <w:p w14:paraId="1A5A3765">
            <w:pPr>
              <w:spacing w:line="240" w:lineRule="auto"/>
              <w:ind w:firstLine="420"/>
              <w:jc w:val="center"/>
              <w:rPr>
                <w:sz w:val="21"/>
                <w:szCs w:val="21"/>
              </w:rPr>
            </w:pPr>
            <w:r>
              <w:rPr>
                <w:sz w:val="21"/>
                <w:szCs w:val="21"/>
              </w:rPr>
              <w:t>经度：</w:t>
            </w:r>
            <w:r>
              <w:rPr>
                <w:rFonts w:eastAsia="等线"/>
                <w:kern w:val="0"/>
                <w:sz w:val="21"/>
                <w:szCs w:val="21"/>
                <w:lang w:bidi="ar"/>
              </w:rPr>
              <w:t>106°49′17.19652″</w:t>
            </w:r>
          </w:p>
        </w:tc>
        <w:tc>
          <w:tcPr>
            <w:tcW w:w="2743" w:type="dxa"/>
            <w:gridSpan w:val="2"/>
            <w:tcBorders>
              <w:top w:val="nil"/>
              <w:left w:val="nil"/>
              <w:bottom w:val="nil"/>
              <w:right w:val="nil"/>
            </w:tcBorders>
            <w:shd w:val="clear" w:color="auto" w:fill="auto"/>
            <w:vAlign w:val="center"/>
          </w:tcPr>
          <w:p w14:paraId="5EE90F9F">
            <w:pPr>
              <w:spacing w:line="240" w:lineRule="auto"/>
              <w:ind w:firstLine="420"/>
              <w:jc w:val="center"/>
              <w:rPr>
                <w:sz w:val="21"/>
                <w:szCs w:val="21"/>
              </w:rPr>
            </w:pPr>
            <w:r>
              <w:rPr>
                <w:sz w:val="21"/>
                <w:szCs w:val="21"/>
              </w:rPr>
              <w:t>纬度：</w:t>
            </w:r>
            <w:r>
              <w:rPr>
                <w:rFonts w:eastAsia="等线"/>
                <w:kern w:val="0"/>
                <w:sz w:val="21"/>
                <w:szCs w:val="21"/>
                <w:lang w:bidi="ar"/>
              </w:rPr>
              <w:t>40°1′5.67516″</w:t>
            </w:r>
          </w:p>
        </w:tc>
        <w:tc>
          <w:tcPr>
            <w:tcW w:w="4836" w:type="dxa"/>
            <w:gridSpan w:val="3"/>
            <w:tcBorders>
              <w:top w:val="nil"/>
              <w:left w:val="nil"/>
              <w:bottom w:val="nil"/>
            </w:tcBorders>
            <w:shd w:val="clear" w:color="auto" w:fill="auto"/>
            <w:vAlign w:val="center"/>
          </w:tcPr>
          <w:p w14:paraId="438855D5">
            <w:pPr>
              <w:spacing w:line="240" w:lineRule="auto"/>
              <w:ind w:firstLine="420"/>
              <w:jc w:val="center"/>
              <w:rPr>
                <w:sz w:val="21"/>
                <w:szCs w:val="21"/>
              </w:rPr>
            </w:pPr>
            <w:r>
              <w:rPr>
                <w:sz w:val="21"/>
                <w:szCs w:val="21"/>
              </w:rPr>
              <w:t>海拔：1127 m</w:t>
            </w:r>
          </w:p>
        </w:tc>
      </w:tr>
      <w:tr w14:paraId="2DF998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54" w:type="dxa"/>
            <w:gridSpan w:val="4"/>
            <w:tcBorders>
              <w:top w:val="nil"/>
              <w:bottom w:val="single" w:color="auto" w:sz="4" w:space="0"/>
              <w:right w:val="nil"/>
            </w:tcBorders>
            <w:shd w:val="clear" w:color="auto" w:fill="auto"/>
            <w:vAlign w:val="center"/>
          </w:tcPr>
          <w:p w14:paraId="00F94367">
            <w:pPr>
              <w:spacing w:line="240" w:lineRule="auto"/>
              <w:ind w:firstLine="420"/>
              <w:jc w:val="center"/>
              <w:rPr>
                <w:sz w:val="21"/>
                <w:szCs w:val="21"/>
              </w:rPr>
            </w:pPr>
            <w:r>
              <w:rPr>
                <w:sz w:val="21"/>
                <w:szCs w:val="21"/>
              </w:rPr>
              <w:t>调查人：苏斯图</w:t>
            </w:r>
          </w:p>
        </w:tc>
        <w:tc>
          <w:tcPr>
            <w:tcW w:w="1368" w:type="dxa"/>
            <w:tcBorders>
              <w:top w:val="nil"/>
              <w:left w:val="nil"/>
              <w:bottom w:val="single" w:color="auto" w:sz="4" w:space="0"/>
              <w:right w:val="nil"/>
            </w:tcBorders>
            <w:shd w:val="clear" w:color="auto" w:fill="auto"/>
            <w:vAlign w:val="center"/>
          </w:tcPr>
          <w:p w14:paraId="23C7BF42">
            <w:pPr>
              <w:spacing w:line="240" w:lineRule="auto"/>
              <w:ind w:firstLine="420"/>
              <w:jc w:val="center"/>
              <w:rPr>
                <w:sz w:val="21"/>
                <w:szCs w:val="21"/>
              </w:rPr>
            </w:pPr>
          </w:p>
        </w:tc>
        <w:tc>
          <w:tcPr>
            <w:tcW w:w="4836" w:type="dxa"/>
            <w:gridSpan w:val="3"/>
            <w:tcBorders>
              <w:top w:val="nil"/>
              <w:left w:val="nil"/>
              <w:bottom w:val="single" w:color="auto" w:sz="4" w:space="0"/>
            </w:tcBorders>
            <w:shd w:val="clear" w:color="auto" w:fill="auto"/>
            <w:vAlign w:val="center"/>
          </w:tcPr>
          <w:p w14:paraId="5EFF37DF">
            <w:pPr>
              <w:spacing w:line="240" w:lineRule="auto"/>
              <w:ind w:firstLine="420"/>
              <w:jc w:val="center"/>
              <w:rPr>
                <w:sz w:val="21"/>
                <w:szCs w:val="21"/>
              </w:rPr>
            </w:pPr>
            <w:r>
              <w:rPr>
                <w:sz w:val="21"/>
                <w:szCs w:val="21"/>
              </w:rPr>
              <w:t>调查日期：202</w:t>
            </w:r>
            <w:r>
              <w:rPr>
                <w:rFonts w:hint="eastAsia"/>
                <w:sz w:val="21"/>
                <w:szCs w:val="21"/>
              </w:rPr>
              <w:t>4</w:t>
            </w:r>
            <w:r>
              <w:rPr>
                <w:sz w:val="21"/>
                <w:szCs w:val="21"/>
              </w:rPr>
              <w:t>.0</w:t>
            </w:r>
            <w:r>
              <w:rPr>
                <w:rFonts w:hint="eastAsia"/>
                <w:sz w:val="21"/>
                <w:szCs w:val="21"/>
              </w:rPr>
              <w:t>5</w:t>
            </w:r>
            <w:r>
              <w:rPr>
                <w:sz w:val="21"/>
                <w:szCs w:val="21"/>
              </w:rPr>
              <w:t>.1</w:t>
            </w:r>
            <w:r>
              <w:rPr>
                <w:rFonts w:hint="eastAsia"/>
                <w:sz w:val="21"/>
                <w:szCs w:val="21"/>
              </w:rPr>
              <w:t>1</w:t>
            </w:r>
          </w:p>
        </w:tc>
      </w:tr>
      <w:tr w14:paraId="79BCB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tcBorders>
              <w:top w:val="single" w:color="auto" w:sz="4" w:space="0"/>
            </w:tcBorders>
            <w:shd w:val="clear" w:color="auto" w:fill="auto"/>
            <w:vAlign w:val="center"/>
          </w:tcPr>
          <w:p w14:paraId="582583E7">
            <w:pPr>
              <w:spacing w:line="240" w:lineRule="auto"/>
              <w:ind w:firstLine="0" w:firstLineChars="0"/>
              <w:jc w:val="center"/>
              <w:rPr>
                <w:sz w:val="21"/>
                <w:szCs w:val="21"/>
              </w:rPr>
            </w:pPr>
            <w:r>
              <w:rPr>
                <w:sz w:val="21"/>
                <w:szCs w:val="21"/>
              </w:rPr>
              <w:t>种号</w:t>
            </w:r>
          </w:p>
        </w:tc>
        <w:tc>
          <w:tcPr>
            <w:tcW w:w="1203" w:type="dxa"/>
            <w:tcBorders>
              <w:top w:val="single" w:color="auto" w:sz="4" w:space="0"/>
            </w:tcBorders>
            <w:shd w:val="clear" w:color="auto" w:fill="auto"/>
            <w:vAlign w:val="center"/>
          </w:tcPr>
          <w:p w14:paraId="29356A5A">
            <w:pPr>
              <w:spacing w:line="240" w:lineRule="auto"/>
              <w:ind w:firstLine="0" w:firstLineChars="0"/>
              <w:jc w:val="center"/>
              <w:rPr>
                <w:sz w:val="21"/>
                <w:szCs w:val="21"/>
              </w:rPr>
            </w:pPr>
            <w:r>
              <w:rPr>
                <w:sz w:val="21"/>
                <w:szCs w:val="21"/>
              </w:rPr>
              <w:t>中文名</w:t>
            </w:r>
          </w:p>
        </w:tc>
        <w:tc>
          <w:tcPr>
            <w:tcW w:w="4536" w:type="dxa"/>
            <w:tcBorders>
              <w:top w:val="single" w:color="auto" w:sz="4" w:space="0"/>
            </w:tcBorders>
            <w:shd w:val="clear" w:color="auto" w:fill="auto"/>
            <w:vAlign w:val="center"/>
          </w:tcPr>
          <w:p w14:paraId="16CFB3B1">
            <w:pPr>
              <w:spacing w:line="240" w:lineRule="auto"/>
              <w:ind w:firstLine="0" w:firstLineChars="0"/>
              <w:jc w:val="center"/>
              <w:rPr>
                <w:sz w:val="21"/>
                <w:szCs w:val="21"/>
              </w:rPr>
            </w:pPr>
            <w:r>
              <w:rPr>
                <w:sz w:val="21"/>
                <w:szCs w:val="21"/>
              </w:rPr>
              <w:t>拉丁名</w:t>
            </w:r>
          </w:p>
        </w:tc>
        <w:tc>
          <w:tcPr>
            <w:tcW w:w="1375" w:type="dxa"/>
            <w:tcBorders>
              <w:top w:val="single" w:color="auto" w:sz="4" w:space="0"/>
            </w:tcBorders>
            <w:shd w:val="clear" w:color="auto" w:fill="auto"/>
            <w:vAlign w:val="center"/>
          </w:tcPr>
          <w:p w14:paraId="5AE508D8">
            <w:pPr>
              <w:spacing w:line="240" w:lineRule="auto"/>
              <w:ind w:firstLine="0" w:firstLineChars="0"/>
              <w:jc w:val="center"/>
              <w:rPr>
                <w:sz w:val="21"/>
                <w:szCs w:val="21"/>
              </w:rPr>
            </w:pPr>
            <w:r>
              <w:rPr>
                <w:sz w:val="21"/>
                <w:szCs w:val="21"/>
              </w:rPr>
              <w:t>物候期</w:t>
            </w:r>
          </w:p>
        </w:tc>
        <w:tc>
          <w:tcPr>
            <w:tcW w:w="1368" w:type="dxa"/>
            <w:tcBorders>
              <w:top w:val="single" w:color="auto" w:sz="4" w:space="0"/>
            </w:tcBorders>
            <w:shd w:val="clear" w:color="auto" w:fill="auto"/>
            <w:vAlign w:val="center"/>
          </w:tcPr>
          <w:p w14:paraId="279B9AC0">
            <w:pPr>
              <w:spacing w:line="240" w:lineRule="auto"/>
              <w:ind w:firstLine="0" w:firstLineChars="0"/>
              <w:jc w:val="center"/>
              <w:rPr>
                <w:sz w:val="21"/>
                <w:szCs w:val="21"/>
              </w:rPr>
            </w:pPr>
            <w:r>
              <w:rPr>
                <w:sz w:val="21"/>
                <w:szCs w:val="21"/>
              </w:rPr>
              <w:t>株（丛）数</w:t>
            </w:r>
          </w:p>
        </w:tc>
        <w:tc>
          <w:tcPr>
            <w:tcW w:w="1407" w:type="dxa"/>
            <w:tcBorders>
              <w:top w:val="single" w:color="auto" w:sz="4" w:space="0"/>
            </w:tcBorders>
            <w:shd w:val="clear" w:color="auto" w:fill="auto"/>
            <w:vAlign w:val="center"/>
          </w:tcPr>
          <w:p w14:paraId="71BE8232">
            <w:pPr>
              <w:spacing w:line="240" w:lineRule="auto"/>
              <w:ind w:firstLine="0" w:firstLineChars="0"/>
              <w:jc w:val="center"/>
              <w:rPr>
                <w:sz w:val="21"/>
                <w:szCs w:val="21"/>
              </w:rPr>
            </w:pPr>
            <w:r>
              <w:rPr>
                <w:sz w:val="21"/>
                <w:szCs w:val="21"/>
              </w:rPr>
              <w:t>平均高度/cm</w:t>
            </w:r>
          </w:p>
        </w:tc>
        <w:tc>
          <w:tcPr>
            <w:tcW w:w="1425" w:type="dxa"/>
            <w:tcBorders>
              <w:top w:val="single" w:color="auto" w:sz="4" w:space="0"/>
            </w:tcBorders>
            <w:shd w:val="clear" w:color="auto" w:fill="auto"/>
            <w:vAlign w:val="center"/>
          </w:tcPr>
          <w:p w14:paraId="60CD8ED2">
            <w:pPr>
              <w:spacing w:line="240" w:lineRule="auto"/>
              <w:ind w:firstLine="0" w:firstLineChars="0"/>
              <w:jc w:val="center"/>
              <w:rPr>
                <w:sz w:val="21"/>
                <w:szCs w:val="21"/>
              </w:rPr>
            </w:pPr>
            <w:r>
              <w:rPr>
                <w:rFonts w:hint="eastAsia"/>
                <w:sz w:val="21"/>
                <w:szCs w:val="21"/>
              </w:rPr>
              <w:t>冠幅</w:t>
            </w:r>
            <w:r>
              <w:rPr>
                <w:sz w:val="21"/>
                <w:szCs w:val="21"/>
              </w:rPr>
              <w:t>/m</w:t>
            </w:r>
          </w:p>
        </w:tc>
        <w:tc>
          <w:tcPr>
            <w:tcW w:w="2004" w:type="dxa"/>
            <w:tcBorders>
              <w:top w:val="single" w:color="auto" w:sz="4" w:space="0"/>
            </w:tcBorders>
            <w:shd w:val="clear" w:color="auto" w:fill="auto"/>
            <w:vAlign w:val="center"/>
          </w:tcPr>
          <w:p w14:paraId="29A74E82">
            <w:pPr>
              <w:spacing w:line="240" w:lineRule="auto"/>
              <w:ind w:firstLine="0" w:firstLineChars="0"/>
              <w:jc w:val="center"/>
              <w:rPr>
                <w:sz w:val="21"/>
                <w:szCs w:val="21"/>
              </w:rPr>
            </w:pPr>
            <w:r>
              <w:rPr>
                <w:rFonts w:hint="eastAsia"/>
                <w:sz w:val="21"/>
                <w:szCs w:val="21"/>
              </w:rPr>
              <w:t>总</w:t>
            </w:r>
            <w:r>
              <w:rPr>
                <w:sz w:val="21"/>
                <w:szCs w:val="21"/>
              </w:rPr>
              <w:t>盖度%</w:t>
            </w:r>
          </w:p>
        </w:tc>
      </w:tr>
      <w:tr w14:paraId="013C1D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40" w:type="dxa"/>
            <w:shd w:val="clear" w:color="auto" w:fill="auto"/>
            <w:vAlign w:val="center"/>
          </w:tcPr>
          <w:p w14:paraId="17D443C4">
            <w:pPr>
              <w:spacing w:line="240" w:lineRule="auto"/>
              <w:ind w:firstLine="210" w:firstLineChars="100"/>
              <w:jc w:val="center"/>
              <w:rPr>
                <w:sz w:val="21"/>
                <w:szCs w:val="21"/>
              </w:rPr>
            </w:pPr>
            <w:r>
              <w:rPr>
                <w:sz w:val="21"/>
                <w:szCs w:val="21"/>
              </w:rPr>
              <w:t>1</w:t>
            </w:r>
          </w:p>
        </w:tc>
        <w:tc>
          <w:tcPr>
            <w:tcW w:w="1203" w:type="dxa"/>
            <w:shd w:val="clear" w:color="auto" w:fill="auto"/>
            <w:vAlign w:val="center"/>
          </w:tcPr>
          <w:p w14:paraId="04D3562A">
            <w:pPr>
              <w:spacing w:line="240" w:lineRule="auto"/>
              <w:ind w:firstLine="0" w:firstLineChars="0"/>
              <w:jc w:val="center"/>
              <w:rPr>
                <w:sz w:val="21"/>
                <w:szCs w:val="21"/>
              </w:rPr>
            </w:pPr>
            <w:r>
              <w:rPr>
                <w:rFonts w:hint="eastAsia"/>
                <w:sz w:val="21"/>
                <w:szCs w:val="21"/>
              </w:rPr>
              <w:t>红砂</w:t>
            </w:r>
          </w:p>
        </w:tc>
        <w:tc>
          <w:tcPr>
            <w:tcW w:w="4536" w:type="dxa"/>
            <w:shd w:val="clear" w:color="auto" w:fill="auto"/>
          </w:tcPr>
          <w:p w14:paraId="59FE354D">
            <w:pPr>
              <w:spacing w:line="240" w:lineRule="auto"/>
              <w:ind w:firstLine="0" w:firstLineChars="0"/>
              <w:jc w:val="center"/>
              <w:rPr>
                <w:i/>
                <w:sz w:val="21"/>
                <w:szCs w:val="21"/>
              </w:rPr>
            </w:pPr>
            <w:r>
              <w:rPr>
                <w:i/>
                <w:sz w:val="21"/>
                <w:szCs w:val="21"/>
              </w:rPr>
              <w:t xml:space="preserve">Reaumuria songarica </w:t>
            </w:r>
            <w:r>
              <w:rPr>
                <w:iCs/>
                <w:sz w:val="21"/>
                <w:szCs w:val="21"/>
              </w:rPr>
              <w:t>(Pall.) Maxim.</w:t>
            </w:r>
          </w:p>
        </w:tc>
        <w:tc>
          <w:tcPr>
            <w:tcW w:w="1375" w:type="dxa"/>
            <w:shd w:val="clear" w:color="auto" w:fill="auto"/>
            <w:vAlign w:val="center"/>
          </w:tcPr>
          <w:p w14:paraId="60F1D19D">
            <w:pPr>
              <w:spacing w:line="240" w:lineRule="auto"/>
              <w:ind w:firstLine="0" w:firstLineChars="0"/>
              <w:jc w:val="center"/>
              <w:rPr>
                <w:sz w:val="21"/>
                <w:szCs w:val="21"/>
              </w:rPr>
            </w:pPr>
            <w:r>
              <w:rPr>
                <w:rFonts w:hint="eastAsia"/>
                <w:sz w:val="21"/>
                <w:szCs w:val="21"/>
              </w:rPr>
              <w:t>花果期</w:t>
            </w:r>
          </w:p>
        </w:tc>
        <w:tc>
          <w:tcPr>
            <w:tcW w:w="1368" w:type="dxa"/>
            <w:shd w:val="clear" w:color="auto" w:fill="auto"/>
            <w:vAlign w:val="center"/>
          </w:tcPr>
          <w:p w14:paraId="6A743A9B">
            <w:pPr>
              <w:spacing w:line="240" w:lineRule="auto"/>
              <w:ind w:firstLine="0" w:firstLineChars="0"/>
              <w:jc w:val="center"/>
              <w:rPr>
                <w:sz w:val="21"/>
                <w:szCs w:val="21"/>
              </w:rPr>
            </w:pPr>
            <w:r>
              <w:rPr>
                <w:sz w:val="21"/>
                <w:szCs w:val="21"/>
              </w:rPr>
              <w:t>14</w:t>
            </w:r>
          </w:p>
        </w:tc>
        <w:tc>
          <w:tcPr>
            <w:tcW w:w="1407" w:type="dxa"/>
            <w:shd w:val="clear" w:color="auto" w:fill="auto"/>
            <w:vAlign w:val="center"/>
          </w:tcPr>
          <w:p w14:paraId="7F1D75B5">
            <w:pPr>
              <w:spacing w:line="240" w:lineRule="auto"/>
              <w:ind w:firstLine="0" w:firstLineChars="0"/>
              <w:jc w:val="center"/>
              <w:rPr>
                <w:sz w:val="21"/>
                <w:szCs w:val="21"/>
              </w:rPr>
            </w:pPr>
            <w:r>
              <w:rPr>
                <w:sz w:val="21"/>
                <w:szCs w:val="21"/>
              </w:rPr>
              <w:t>1</w:t>
            </w:r>
            <w:r>
              <w:rPr>
                <w:rFonts w:hint="eastAsia"/>
                <w:sz w:val="21"/>
                <w:szCs w:val="21"/>
              </w:rPr>
              <w:t>0</w:t>
            </w:r>
          </w:p>
        </w:tc>
        <w:tc>
          <w:tcPr>
            <w:tcW w:w="1425" w:type="dxa"/>
            <w:shd w:val="clear" w:color="auto" w:fill="auto"/>
            <w:vAlign w:val="center"/>
          </w:tcPr>
          <w:p w14:paraId="4CCA73C5">
            <w:pPr>
              <w:spacing w:line="240" w:lineRule="auto"/>
              <w:ind w:firstLine="0" w:firstLineChars="0"/>
              <w:jc w:val="center"/>
              <w:rPr>
                <w:sz w:val="21"/>
                <w:szCs w:val="21"/>
              </w:rPr>
            </w:pPr>
            <w:r>
              <w:rPr>
                <w:sz w:val="21"/>
                <w:szCs w:val="21"/>
              </w:rPr>
              <w:t>0.3</w:t>
            </w:r>
            <w:r>
              <w:rPr>
                <w:rFonts w:hint="eastAsia"/>
                <w:sz w:val="21"/>
                <w:szCs w:val="21"/>
              </w:rPr>
              <w:t>×0.2</w:t>
            </w:r>
          </w:p>
        </w:tc>
        <w:tc>
          <w:tcPr>
            <w:tcW w:w="2004" w:type="dxa"/>
            <w:vMerge w:val="restart"/>
            <w:shd w:val="clear" w:color="auto" w:fill="auto"/>
            <w:vAlign w:val="center"/>
          </w:tcPr>
          <w:p w14:paraId="3A7731E8">
            <w:pPr>
              <w:spacing w:line="240" w:lineRule="auto"/>
              <w:ind w:firstLine="0" w:firstLineChars="0"/>
              <w:jc w:val="center"/>
              <w:rPr>
                <w:sz w:val="21"/>
                <w:szCs w:val="21"/>
              </w:rPr>
            </w:pPr>
            <w:r>
              <w:rPr>
                <w:rFonts w:hint="eastAsia"/>
                <w:sz w:val="21"/>
                <w:szCs w:val="21"/>
              </w:rPr>
              <w:t>12</w:t>
            </w:r>
          </w:p>
        </w:tc>
      </w:tr>
      <w:tr w14:paraId="1C8A65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40" w:type="dxa"/>
            <w:shd w:val="clear" w:color="auto" w:fill="auto"/>
            <w:vAlign w:val="center"/>
          </w:tcPr>
          <w:p w14:paraId="72B4F8B1">
            <w:pPr>
              <w:spacing w:line="240" w:lineRule="auto"/>
              <w:ind w:firstLine="210" w:firstLineChars="100"/>
              <w:jc w:val="center"/>
              <w:rPr>
                <w:sz w:val="21"/>
                <w:szCs w:val="21"/>
              </w:rPr>
            </w:pPr>
            <w:r>
              <w:rPr>
                <w:sz w:val="21"/>
                <w:szCs w:val="21"/>
              </w:rPr>
              <w:t>2</w:t>
            </w:r>
          </w:p>
        </w:tc>
        <w:tc>
          <w:tcPr>
            <w:tcW w:w="1203" w:type="dxa"/>
            <w:shd w:val="clear" w:color="auto" w:fill="auto"/>
            <w:vAlign w:val="center"/>
          </w:tcPr>
          <w:p w14:paraId="684318F4">
            <w:pPr>
              <w:spacing w:line="240" w:lineRule="auto"/>
              <w:ind w:firstLine="0" w:firstLineChars="0"/>
              <w:jc w:val="center"/>
              <w:rPr>
                <w:sz w:val="21"/>
                <w:szCs w:val="21"/>
              </w:rPr>
            </w:pPr>
            <w:r>
              <w:rPr>
                <w:rFonts w:hint="eastAsia"/>
                <w:sz w:val="21"/>
                <w:szCs w:val="21"/>
              </w:rPr>
              <w:t>四合木</w:t>
            </w:r>
          </w:p>
        </w:tc>
        <w:tc>
          <w:tcPr>
            <w:tcW w:w="4536" w:type="dxa"/>
            <w:shd w:val="clear" w:color="auto" w:fill="auto"/>
          </w:tcPr>
          <w:p w14:paraId="04E005C4">
            <w:pPr>
              <w:spacing w:line="240" w:lineRule="auto"/>
              <w:ind w:firstLine="0" w:firstLineChars="0"/>
              <w:jc w:val="center"/>
              <w:rPr>
                <w:i/>
                <w:sz w:val="21"/>
                <w:szCs w:val="21"/>
              </w:rPr>
            </w:pPr>
            <w:r>
              <w:rPr>
                <w:i/>
                <w:sz w:val="21"/>
                <w:szCs w:val="21"/>
              </w:rPr>
              <w:t xml:space="preserve">Ammopiptanthus mongolicus </w:t>
            </w:r>
            <w:r>
              <w:rPr>
                <w:iCs/>
                <w:sz w:val="21"/>
                <w:szCs w:val="21"/>
              </w:rPr>
              <w:t>(Maxim</w:t>
            </w:r>
            <w:r>
              <w:rPr>
                <w:rFonts w:hint="eastAsia"/>
                <w:iCs/>
                <w:sz w:val="21"/>
                <w:szCs w:val="21"/>
              </w:rPr>
              <w:t>.</w:t>
            </w:r>
            <w:r>
              <w:rPr>
                <w:iCs/>
                <w:sz w:val="21"/>
                <w:szCs w:val="21"/>
              </w:rPr>
              <w:t>)Cheng f</w:t>
            </w:r>
            <w:r>
              <w:rPr>
                <w:rFonts w:hint="eastAsia"/>
                <w:iCs/>
                <w:sz w:val="21"/>
                <w:szCs w:val="21"/>
              </w:rPr>
              <w:t>．</w:t>
            </w:r>
          </w:p>
        </w:tc>
        <w:tc>
          <w:tcPr>
            <w:tcW w:w="1375" w:type="dxa"/>
            <w:shd w:val="clear" w:color="auto" w:fill="auto"/>
            <w:vAlign w:val="center"/>
          </w:tcPr>
          <w:p w14:paraId="3BCC89FE">
            <w:pPr>
              <w:spacing w:line="240" w:lineRule="auto"/>
              <w:ind w:firstLine="0" w:firstLineChars="0"/>
              <w:jc w:val="center"/>
              <w:rPr>
                <w:sz w:val="21"/>
                <w:szCs w:val="21"/>
              </w:rPr>
            </w:pPr>
            <w:r>
              <w:rPr>
                <w:rFonts w:hint="eastAsia"/>
                <w:sz w:val="21"/>
                <w:szCs w:val="21"/>
              </w:rPr>
              <w:t>花果期</w:t>
            </w:r>
          </w:p>
        </w:tc>
        <w:tc>
          <w:tcPr>
            <w:tcW w:w="1368" w:type="dxa"/>
            <w:shd w:val="clear" w:color="auto" w:fill="auto"/>
            <w:vAlign w:val="center"/>
          </w:tcPr>
          <w:p w14:paraId="0979B1A3">
            <w:pPr>
              <w:spacing w:line="240" w:lineRule="auto"/>
              <w:ind w:firstLine="0" w:firstLineChars="0"/>
              <w:jc w:val="center"/>
              <w:rPr>
                <w:sz w:val="21"/>
                <w:szCs w:val="21"/>
              </w:rPr>
            </w:pPr>
            <w:r>
              <w:rPr>
                <w:sz w:val="21"/>
                <w:szCs w:val="21"/>
              </w:rPr>
              <w:t>2</w:t>
            </w:r>
            <w:r>
              <w:rPr>
                <w:rFonts w:hint="eastAsia"/>
                <w:sz w:val="21"/>
                <w:szCs w:val="21"/>
              </w:rPr>
              <w:t>3</w:t>
            </w:r>
          </w:p>
        </w:tc>
        <w:tc>
          <w:tcPr>
            <w:tcW w:w="1407" w:type="dxa"/>
            <w:shd w:val="clear" w:color="auto" w:fill="auto"/>
            <w:vAlign w:val="center"/>
          </w:tcPr>
          <w:p w14:paraId="18904D65">
            <w:pPr>
              <w:spacing w:line="240" w:lineRule="auto"/>
              <w:ind w:firstLine="0" w:firstLineChars="0"/>
              <w:jc w:val="center"/>
              <w:rPr>
                <w:sz w:val="21"/>
                <w:szCs w:val="21"/>
              </w:rPr>
            </w:pPr>
            <w:r>
              <w:rPr>
                <w:sz w:val="21"/>
                <w:szCs w:val="21"/>
              </w:rPr>
              <w:t>2</w:t>
            </w:r>
            <w:r>
              <w:rPr>
                <w:rFonts w:hint="eastAsia"/>
                <w:sz w:val="21"/>
                <w:szCs w:val="21"/>
              </w:rPr>
              <w:t>4</w:t>
            </w:r>
          </w:p>
        </w:tc>
        <w:tc>
          <w:tcPr>
            <w:tcW w:w="1425" w:type="dxa"/>
            <w:shd w:val="clear" w:color="auto" w:fill="auto"/>
            <w:vAlign w:val="center"/>
          </w:tcPr>
          <w:p w14:paraId="7FA373D0">
            <w:pPr>
              <w:spacing w:line="240" w:lineRule="auto"/>
              <w:ind w:firstLine="0" w:firstLineChars="0"/>
              <w:jc w:val="center"/>
              <w:rPr>
                <w:sz w:val="21"/>
                <w:szCs w:val="21"/>
              </w:rPr>
            </w:pPr>
            <w:r>
              <w:rPr>
                <w:sz w:val="21"/>
                <w:szCs w:val="21"/>
              </w:rPr>
              <w:t>0.</w:t>
            </w:r>
            <w:r>
              <w:rPr>
                <w:rFonts w:hint="eastAsia"/>
                <w:sz w:val="21"/>
                <w:szCs w:val="21"/>
              </w:rPr>
              <w:t>4×0.4</w:t>
            </w:r>
          </w:p>
        </w:tc>
        <w:tc>
          <w:tcPr>
            <w:tcW w:w="2004" w:type="dxa"/>
            <w:vMerge w:val="continue"/>
            <w:shd w:val="clear" w:color="auto" w:fill="auto"/>
            <w:vAlign w:val="center"/>
          </w:tcPr>
          <w:p w14:paraId="1D320117">
            <w:pPr>
              <w:spacing w:line="240" w:lineRule="auto"/>
              <w:ind w:firstLine="0" w:firstLineChars="0"/>
              <w:jc w:val="center"/>
              <w:rPr>
                <w:sz w:val="21"/>
                <w:szCs w:val="21"/>
              </w:rPr>
            </w:pPr>
          </w:p>
        </w:tc>
      </w:tr>
    </w:tbl>
    <w:p w14:paraId="6003B9FB">
      <w:pPr>
        <w:ind w:firstLine="0" w:firstLineChars="0"/>
        <w:jc w:val="center"/>
      </w:pPr>
      <w:r>
        <w:drawing>
          <wp:inline distT="0" distB="0" distL="0" distR="0">
            <wp:extent cx="5939790" cy="3959860"/>
            <wp:effectExtent l="0" t="0" r="3810" b="2540"/>
            <wp:docPr id="1542670736" name="图片 28" descr="雪地上&#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70736" name="图片 28" descr="雪地上&#10;&#10;中度可信度描述已自动生成"/>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5940218" cy="3960000"/>
                    </a:xfrm>
                    <a:prstGeom prst="rect">
                      <a:avLst/>
                    </a:prstGeom>
                    <a:noFill/>
                    <a:ln>
                      <a:noFill/>
                    </a:ln>
                  </pic:spPr>
                </pic:pic>
              </a:graphicData>
            </a:graphic>
          </wp:inline>
        </w:drawing>
      </w:r>
    </w:p>
    <w:p w14:paraId="1DE7EE6D">
      <w:pPr>
        <w:ind w:firstLine="0" w:firstLineChars="0"/>
        <w:jc w:val="center"/>
      </w:pPr>
      <w:r>
        <w:rPr>
          <w:rFonts w:hint="eastAsia"/>
        </w:rPr>
        <w:t>样方15</w:t>
      </w:r>
    </w:p>
    <w:p w14:paraId="65A64119">
      <w:pPr>
        <w:pStyle w:val="11"/>
        <w:sectPr>
          <w:pgSz w:w="16840" w:h="11907" w:orient="landscape"/>
          <w:pgMar w:top="1418" w:right="1418" w:bottom="1418" w:left="1418" w:header="964" w:footer="964" w:gutter="0"/>
          <w:cols w:space="720" w:num="1"/>
          <w:docGrid w:linePitch="312" w:charSpace="0"/>
        </w:sectPr>
      </w:pPr>
    </w:p>
    <w:p w14:paraId="33BE33D5">
      <w:pPr>
        <w:ind w:firstLine="480"/>
        <w:jc w:val="both"/>
        <w:rPr>
          <w:highlight w:val="yellow"/>
        </w:rPr>
      </w:pPr>
      <w:r>
        <w:rPr>
          <w:rFonts w:hint="eastAsia"/>
        </w:rPr>
        <w:t>根据样方调查结果，</w:t>
      </w:r>
      <w:r>
        <w:t>内蒙古华翔农林牧科技发展有限公司现代蛋鸡产业项目</w:t>
      </w:r>
      <w:r>
        <w:rPr>
          <w:rFonts w:hint="eastAsia"/>
        </w:rPr>
        <w:t>影响区内均为灌木植物，评价区灌木群落高度一般在10-</w:t>
      </w:r>
      <w:r>
        <w:t xml:space="preserve">60 </w:t>
      </w:r>
      <w:r>
        <w:rPr>
          <w:rFonts w:hint="eastAsia"/>
        </w:rPr>
        <w:t>cm。通过对评价区和项目区做的植被样方对比分析得知，项目区和评价区植被群落类型、植被类型、建群种、草群高度和植被盖度等无明显差异。</w:t>
      </w:r>
    </w:p>
    <w:p w14:paraId="14E2DE3A">
      <w:pPr>
        <w:pStyle w:val="11"/>
      </w:pPr>
      <w:bookmarkStart w:id="338" w:name="_Toc166572306"/>
      <w:bookmarkStart w:id="339" w:name="_Toc160612886"/>
      <w:r>
        <w:rPr>
          <w:rFonts w:hint="eastAsia"/>
        </w:rPr>
        <w:t>4.6.4</w:t>
      </w:r>
      <w:r>
        <w:t>遥感调查技术手段及信息来源</w:t>
      </w:r>
      <w:bookmarkEnd w:id="338"/>
      <w:bookmarkEnd w:id="339"/>
    </w:p>
    <w:p w14:paraId="3AA60B0C">
      <w:pPr>
        <w:pStyle w:val="81"/>
        <w:spacing w:after="0"/>
        <w:ind w:left="0" w:leftChars="0" w:firstLine="480"/>
        <w:rPr>
          <w:szCs w:val="24"/>
        </w:rPr>
      </w:pPr>
      <w:r>
        <w:rPr>
          <w:szCs w:val="24"/>
        </w:rPr>
        <w:t>本次主要对2022年遥感影像基础上制作专题数据，项目遥感影像来源：哨兵数据5-4-3波段合成，接收时间2022年7月。分辨率10 m。采用ArcG</w:t>
      </w:r>
      <w:r>
        <w:rPr>
          <w:rFonts w:hint="eastAsia"/>
          <w:szCs w:val="24"/>
        </w:rPr>
        <w:t>IS</w:t>
      </w:r>
      <w:r>
        <w:rPr>
          <w:szCs w:val="24"/>
        </w:rPr>
        <w:t xml:space="preserve"> 10.8 软件进行专题数据的制作，主要包含植被类型专题图、土地利用专题图、</w:t>
      </w:r>
      <w:r>
        <w:rPr>
          <w:rFonts w:hint="eastAsia"/>
          <w:szCs w:val="24"/>
        </w:rPr>
        <w:t>生态系统</w:t>
      </w:r>
      <w:r>
        <w:rPr>
          <w:szCs w:val="24"/>
        </w:rPr>
        <w:t>专题图、</w:t>
      </w:r>
      <w:r>
        <w:rPr>
          <w:rFonts w:hint="eastAsia"/>
          <w:szCs w:val="24"/>
        </w:rPr>
        <w:t>植被覆盖度</w:t>
      </w:r>
      <w:r>
        <w:rPr>
          <w:szCs w:val="24"/>
        </w:rPr>
        <w:t>专题图</w:t>
      </w:r>
      <w:r>
        <w:rPr>
          <w:rFonts w:hint="eastAsia"/>
          <w:szCs w:val="24"/>
        </w:rPr>
        <w:t>以及生物量反演图等</w:t>
      </w:r>
      <w:r>
        <w:rPr>
          <w:szCs w:val="24"/>
        </w:rPr>
        <w:t>，并统计各个专题的数据进行分析，遥感影像图见图</w:t>
      </w:r>
      <w:r>
        <w:rPr>
          <w:rFonts w:hint="eastAsia"/>
          <w:szCs w:val="24"/>
        </w:rPr>
        <w:t>4.6-4</w:t>
      </w:r>
      <w:r>
        <w:rPr>
          <w:szCs w:val="24"/>
        </w:rPr>
        <w:t>。</w:t>
      </w:r>
    </w:p>
    <w:p w14:paraId="30C6DDE4">
      <w:pPr>
        <w:pStyle w:val="81"/>
        <w:spacing w:after="0"/>
        <w:ind w:left="0" w:leftChars="0" w:firstLine="480"/>
        <w:rPr>
          <w:szCs w:val="24"/>
        </w:rPr>
      </w:pPr>
      <w:r>
        <w:rPr>
          <w:szCs w:val="24"/>
        </w:rPr>
        <w:t>（1）统计方法</w:t>
      </w:r>
    </w:p>
    <w:p w14:paraId="3BAA4C60">
      <w:pPr>
        <w:pStyle w:val="81"/>
        <w:spacing w:after="0"/>
        <w:ind w:left="0" w:leftChars="0" w:firstLine="480"/>
        <w:rPr>
          <w:szCs w:val="24"/>
        </w:rPr>
      </w:pPr>
      <w:r>
        <w:rPr>
          <w:szCs w:val="24"/>
        </w:rPr>
        <w:t>生态专题的分析方法主要为地理国情监测数据和专题数据统计分析。统计方法如下：</w:t>
      </w:r>
    </w:p>
    <w:p w14:paraId="2D8670CD">
      <w:pPr>
        <w:pStyle w:val="81"/>
        <w:spacing w:after="0"/>
        <w:ind w:left="0" w:leftChars="0" w:firstLine="480"/>
        <w:rPr>
          <w:szCs w:val="24"/>
        </w:rPr>
      </w:pPr>
      <w:r>
        <w:rPr>
          <w:szCs w:val="24"/>
        </w:rPr>
        <w:t>①在地理国情监测的基础上，利用ArcMap模块，以上一步输出的Shapefile文件为基础，添加 “LU”（土地利用）、“VEG”（植被类型）、“ERO”（土壤侵蚀类型）及“</w:t>
      </w:r>
      <w:r>
        <w:rPr>
          <w:rFonts w:hint="eastAsia"/>
          <w:szCs w:val="24"/>
        </w:rPr>
        <w:t>STXT</w:t>
      </w:r>
      <w:r>
        <w:rPr>
          <w:szCs w:val="24"/>
        </w:rPr>
        <w:t>”（</w:t>
      </w:r>
      <w:r>
        <w:rPr>
          <w:rFonts w:hint="eastAsia"/>
          <w:szCs w:val="24"/>
        </w:rPr>
        <w:t>生态系统</w:t>
      </w:r>
      <w:r>
        <w:rPr>
          <w:szCs w:val="24"/>
        </w:rPr>
        <w:t>类型）等字段。并叠加相应的遥感图像，参照野外调查所采集的样点描述，逐一确定各多边形的专题属性并进行属性转换。</w:t>
      </w:r>
    </w:p>
    <w:p w14:paraId="45A1F24F">
      <w:pPr>
        <w:pStyle w:val="81"/>
        <w:spacing w:after="0"/>
        <w:ind w:left="0" w:leftChars="0" w:firstLine="480"/>
        <w:rPr>
          <w:szCs w:val="24"/>
        </w:rPr>
      </w:pPr>
      <w:r>
        <w:rPr>
          <w:szCs w:val="24"/>
        </w:rPr>
        <w:t>②根据评价区的边界，挖取各单元的专题数据。利用ArcGIS提供的ArcMap模块，完成全部区域和各单元的专题数据统计及制图工作。</w:t>
      </w:r>
    </w:p>
    <w:p w14:paraId="22224543">
      <w:pPr>
        <w:pStyle w:val="81"/>
        <w:spacing w:after="0"/>
        <w:ind w:left="0" w:leftChars="0" w:firstLine="480"/>
        <w:rPr>
          <w:szCs w:val="24"/>
        </w:rPr>
      </w:pPr>
      <w:r>
        <w:rPr>
          <w:szCs w:val="24"/>
        </w:rPr>
        <w:t>（2）分类系统</w:t>
      </w:r>
    </w:p>
    <w:p w14:paraId="2D54D735">
      <w:pPr>
        <w:ind w:firstLine="480"/>
        <w:jc w:val="both"/>
      </w:pPr>
      <w:r>
        <w:rPr>
          <w:szCs w:val="24"/>
        </w:rPr>
        <w:t>本次评价区分类系统包括植被类型、土地利用、景观类型和土壤侵蚀类型等四个生态专题分类系统。四个生态专题分类系统的构建主要依据各生态专题类型的分类标准，土地利用现状分类采用国家标准《土地利用现状分类》（GB/T21010-2017），植被分类采用生态学植被分类系统，</w:t>
      </w:r>
      <w:r>
        <w:rPr>
          <w:rFonts w:hint="eastAsia"/>
          <w:szCs w:val="24"/>
        </w:rPr>
        <w:t>生态系统类型采用</w:t>
      </w:r>
      <w:r>
        <w:fldChar w:fldCharType="begin"/>
      </w:r>
      <w:r>
        <w:instrText xml:space="preserve"> HYPERLINK "https://www.mee.gov.cn/ywgz/fgbz/bz/bzwb/stzl/202106/W020210615504530900228.pdf" </w:instrText>
      </w:r>
      <w:r>
        <w:fldChar w:fldCharType="separate"/>
      </w:r>
      <w:r>
        <w:rPr>
          <w:rStyle w:val="97"/>
          <w:rFonts w:hint="eastAsia"/>
          <w:color w:val="auto"/>
          <w:szCs w:val="24"/>
        </w:rPr>
        <w:t>全国生态状况调查评估技术规范-生态系统遥感解译与野外核查（HJ 1166-2021）</w:t>
      </w:r>
      <w:r>
        <w:rPr>
          <w:rStyle w:val="97"/>
          <w:rFonts w:hint="eastAsia"/>
          <w:color w:val="auto"/>
          <w:szCs w:val="24"/>
        </w:rPr>
        <w:fldChar w:fldCharType="end"/>
      </w:r>
      <w:r>
        <w:rPr>
          <w:szCs w:val="24"/>
        </w:rPr>
        <w:t>。并依据地理国情监测数据的地表覆盖类型的内在特征，将已有的地理国情监测数据进行数据转换，转换成专题属性数据，并依据分类标准完成专题分类系统。然后根据转化属性后的专题数据进行统计分析；先统计二级类型，统计内容包括监测区内各专题类型的斑块数、面积（</w:t>
      </w:r>
      <w:r>
        <w:rPr>
          <w:rFonts w:hint="eastAsia"/>
          <w:szCs w:val="24"/>
        </w:rPr>
        <w:t>h</w:t>
      </w:r>
      <w:r>
        <w:rPr>
          <w:szCs w:val="24"/>
        </w:rPr>
        <w:t>m</w:t>
      </w:r>
      <w:r>
        <w:rPr>
          <w:szCs w:val="24"/>
          <w:vertAlign w:val="superscript"/>
        </w:rPr>
        <w:t>2</w:t>
      </w:r>
      <w:r>
        <w:rPr>
          <w:szCs w:val="24"/>
        </w:rPr>
        <w:t>）及占整个监测区面积的百分比；再根据二级类型数据统计一级类型的斑块数、面积和一级类型占监测区面积的百分比。最后对获得的专题数据进行分析。本监测区分类系统具体内容如表</w:t>
      </w:r>
      <w:r>
        <w:rPr>
          <w:rFonts w:hint="eastAsia"/>
          <w:szCs w:val="24"/>
        </w:rPr>
        <w:t>4.6-2~4.6-</w:t>
      </w:r>
      <w:r>
        <w:rPr>
          <w:szCs w:val="24"/>
        </w:rPr>
        <w:t>4</w:t>
      </w:r>
      <w:r>
        <w:rPr>
          <w:rFonts w:hint="eastAsia"/>
        </w:rPr>
        <w:t>。</w:t>
      </w:r>
    </w:p>
    <w:p w14:paraId="3EFED023">
      <w:pPr>
        <w:ind w:firstLine="482"/>
        <w:jc w:val="center"/>
        <w:rPr>
          <w:b/>
          <w:bCs/>
          <w:szCs w:val="21"/>
        </w:rPr>
      </w:pPr>
    </w:p>
    <w:p w14:paraId="78371A8A">
      <w:pPr>
        <w:ind w:firstLine="482"/>
        <w:jc w:val="center"/>
        <w:rPr>
          <w:b/>
          <w:bCs/>
          <w:szCs w:val="21"/>
        </w:rPr>
      </w:pPr>
      <w:r>
        <w:rPr>
          <w:b/>
          <w:bCs/>
          <w:szCs w:val="21"/>
        </w:rPr>
        <w:t>表</w:t>
      </w:r>
      <w:r>
        <w:rPr>
          <w:rFonts w:hint="eastAsia"/>
          <w:b/>
          <w:bCs/>
          <w:szCs w:val="21"/>
        </w:rPr>
        <w:t xml:space="preserve">4.6-2 </w:t>
      </w:r>
      <w:r>
        <w:rPr>
          <w:b/>
          <w:bCs/>
          <w:szCs w:val="21"/>
        </w:rPr>
        <w:t xml:space="preserve">  评价区植被分类系统</w:t>
      </w:r>
    </w:p>
    <w:tbl>
      <w:tblPr>
        <w:tblStyle w:val="82"/>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987"/>
        <w:gridCol w:w="2227"/>
        <w:gridCol w:w="5073"/>
      </w:tblGrid>
      <w:tr w14:paraId="37825A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3" w:hRule="atLeast"/>
          <w:jc w:val="center"/>
        </w:trPr>
        <w:tc>
          <w:tcPr>
            <w:tcW w:w="2269" w:type="pct"/>
            <w:gridSpan w:val="2"/>
            <w:vAlign w:val="center"/>
          </w:tcPr>
          <w:p w14:paraId="3BCEBBB5">
            <w:pPr>
              <w:spacing w:line="240" w:lineRule="auto"/>
              <w:ind w:firstLine="0" w:firstLineChars="0"/>
              <w:jc w:val="center"/>
              <w:rPr>
                <w:b/>
                <w:bCs/>
                <w:sz w:val="21"/>
                <w:szCs w:val="21"/>
              </w:rPr>
            </w:pPr>
            <w:r>
              <w:rPr>
                <w:b/>
                <w:bCs/>
                <w:sz w:val="21"/>
                <w:szCs w:val="21"/>
              </w:rPr>
              <w:t>植被类型</w:t>
            </w:r>
          </w:p>
        </w:tc>
        <w:tc>
          <w:tcPr>
            <w:tcW w:w="2731" w:type="pct"/>
            <w:vMerge w:val="restart"/>
            <w:vAlign w:val="center"/>
          </w:tcPr>
          <w:p w14:paraId="430AA7B9">
            <w:pPr>
              <w:spacing w:line="240" w:lineRule="auto"/>
              <w:ind w:firstLine="0" w:firstLineChars="0"/>
              <w:jc w:val="center"/>
              <w:rPr>
                <w:b/>
                <w:bCs/>
                <w:sz w:val="21"/>
                <w:szCs w:val="21"/>
              </w:rPr>
            </w:pPr>
            <w:r>
              <w:rPr>
                <w:b/>
                <w:bCs/>
                <w:sz w:val="21"/>
                <w:szCs w:val="21"/>
              </w:rPr>
              <w:t>特点</w:t>
            </w:r>
          </w:p>
        </w:tc>
      </w:tr>
      <w:tr w14:paraId="05A91E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3" w:hRule="atLeast"/>
          <w:jc w:val="center"/>
        </w:trPr>
        <w:tc>
          <w:tcPr>
            <w:tcW w:w="1070" w:type="pct"/>
            <w:vAlign w:val="center"/>
          </w:tcPr>
          <w:p w14:paraId="7A024581">
            <w:pPr>
              <w:spacing w:line="240" w:lineRule="auto"/>
              <w:ind w:firstLine="0" w:firstLineChars="0"/>
              <w:jc w:val="center"/>
              <w:rPr>
                <w:b/>
                <w:bCs/>
                <w:sz w:val="21"/>
                <w:szCs w:val="21"/>
              </w:rPr>
            </w:pPr>
            <w:r>
              <w:rPr>
                <w:b/>
                <w:bCs/>
                <w:sz w:val="21"/>
                <w:szCs w:val="21"/>
              </w:rPr>
              <w:t>植被类型一级类型</w:t>
            </w:r>
          </w:p>
        </w:tc>
        <w:tc>
          <w:tcPr>
            <w:tcW w:w="1199" w:type="pct"/>
            <w:vAlign w:val="center"/>
          </w:tcPr>
          <w:p w14:paraId="4F88D71C">
            <w:pPr>
              <w:spacing w:line="240" w:lineRule="auto"/>
              <w:ind w:firstLine="0" w:firstLineChars="0"/>
              <w:jc w:val="center"/>
              <w:rPr>
                <w:b/>
                <w:bCs/>
                <w:sz w:val="21"/>
                <w:szCs w:val="21"/>
              </w:rPr>
            </w:pPr>
            <w:r>
              <w:rPr>
                <w:b/>
                <w:bCs/>
                <w:sz w:val="21"/>
                <w:szCs w:val="21"/>
              </w:rPr>
              <w:t>植被类型二级类型</w:t>
            </w:r>
          </w:p>
        </w:tc>
        <w:tc>
          <w:tcPr>
            <w:tcW w:w="2731" w:type="pct"/>
            <w:vMerge w:val="continue"/>
            <w:vAlign w:val="center"/>
          </w:tcPr>
          <w:p w14:paraId="5597E282">
            <w:pPr>
              <w:spacing w:line="240" w:lineRule="auto"/>
              <w:ind w:firstLine="420"/>
              <w:jc w:val="center"/>
              <w:rPr>
                <w:sz w:val="21"/>
                <w:szCs w:val="21"/>
              </w:rPr>
            </w:pPr>
          </w:p>
        </w:tc>
      </w:tr>
      <w:tr w14:paraId="759FC3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70" w:type="pct"/>
            <w:vAlign w:val="center"/>
          </w:tcPr>
          <w:p w14:paraId="7073564C">
            <w:pPr>
              <w:spacing w:line="240" w:lineRule="auto"/>
              <w:ind w:firstLine="0" w:firstLineChars="0"/>
              <w:jc w:val="center"/>
              <w:rPr>
                <w:sz w:val="21"/>
                <w:szCs w:val="21"/>
              </w:rPr>
            </w:pPr>
            <w:r>
              <w:rPr>
                <w:sz w:val="21"/>
                <w:szCs w:val="21"/>
              </w:rPr>
              <w:t>1.森林植被</w:t>
            </w:r>
          </w:p>
        </w:tc>
        <w:tc>
          <w:tcPr>
            <w:tcW w:w="1199" w:type="pct"/>
            <w:vAlign w:val="center"/>
          </w:tcPr>
          <w:p w14:paraId="21D4E245">
            <w:pPr>
              <w:spacing w:line="240" w:lineRule="auto"/>
              <w:ind w:firstLine="0" w:firstLineChars="0"/>
              <w:jc w:val="center"/>
              <w:rPr>
                <w:sz w:val="21"/>
                <w:szCs w:val="21"/>
              </w:rPr>
            </w:pPr>
            <w:r>
              <w:rPr>
                <w:sz w:val="21"/>
                <w:szCs w:val="21"/>
              </w:rPr>
              <w:t>灌木林0321 0322</w:t>
            </w:r>
          </w:p>
        </w:tc>
        <w:tc>
          <w:tcPr>
            <w:tcW w:w="2731" w:type="pct"/>
            <w:vAlign w:val="center"/>
          </w:tcPr>
          <w:p w14:paraId="085524D8">
            <w:pPr>
              <w:spacing w:line="240" w:lineRule="auto"/>
              <w:ind w:firstLine="0" w:firstLineChars="0"/>
              <w:jc w:val="center"/>
              <w:rPr>
                <w:sz w:val="21"/>
                <w:szCs w:val="21"/>
              </w:rPr>
            </w:pPr>
            <w:r>
              <w:rPr>
                <w:sz w:val="21"/>
                <w:szCs w:val="21"/>
              </w:rPr>
              <w:t>灌木林以</w:t>
            </w:r>
            <w:r>
              <w:rPr>
                <w:rFonts w:hint="eastAsia"/>
                <w:sz w:val="21"/>
                <w:szCs w:val="21"/>
              </w:rPr>
              <w:t>霸王、绵刺、红砂、沙冬青、四合木</w:t>
            </w:r>
            <w:r>
              <w:rPr>
                <w:sz w:val="21"/>
                <w:szCs w:val="21"/>
              </w:rPr>
              <w:t>为主。</w:t>
            </w:r>
          </w:p>
        </w:tc>
      </w:tr>
      <w:tr w14:paraId="114555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70" w:type="pct"/>
            <w:vMerge w:val="restart"/>
            <w:vAlign w:val="center"/>
          </w:tcPr>
          <w:p w14:paraId="011DBC95">
            <w:pPr>
              <w:spacing w:line="240" w:lineRule="auto"/>
              <w:ind w:firstLine="420"/>
              <w:jc w:val="center"/>
              <w:rPr>
                <w:sz w:val="21"/>
                <w:szCs w:val="21"/>
              </w:rPr>
            </w:pPr>
            <w:r>
              <w:rPr>
                <w:sz w:val="21"/>
                <w:szCs w:val="21"/>
              </w:rPr>
              <w:t>2.其它</w:t>
            </w:r>
          </w:p>
        </w:tc>
        <w:tc>
          <w:tcPr>
            <w:tcW w:w="1199" w:type="pct"/>
            <w:vAlign w:val="center"/>
          </w:tcPr>
          <w:p w14:paraId="28CFE3F3">
            <w:pPr>
              <w:spacing w:line="240" w:lineRule="auto"/>
              <w:ind w:firstLine="0" w:firstLineChars="0"/>
              <w:jc w:val="center"/>
              <w:rPr>
                <w:sz w:val="21"/>
                <w:szCs w:val="21"/>
              </w:rPr>
            </w:pPr>
            <w:r>
              <w:rPr>
                <w:sz w:val="21"/>
                <w:szCs w:val="18"/>
              </w:rPr>
              <w:t>居民地</w:t>
            </w:r>
            <w:r>
              <w:rPr>
                <w:rFonts w:hint="eastAsia"/>
                <w:sz w:val="21"/>
                <w:szCs w:val="18"/>
              </w:rPr>
              <w:t>0</w:t>
            </w:r>
            <w:r>
              <w:rPr>
                <w:sz w:val="21"/>
                <w:szCs w:val="18"/>
              </w:rPr>
              <w:t>511</w:t>
            </w:r>
            <w:r>
              <w:rPr>
                <w:rFonts w:hint="eastAsia"/>
                <w:sz w:val="21"/>
                <w:szCs w:val="18"/>
              </w:rPr>
              <w:t>、</w:t>
            </w:r>
            <w:r>
              <w:rPr>
                <w:sz w:val="21"/>
                <w:szCs w:val="18"/>
              </w:rPr>
              <w:t>0521</w:t>
            </w:r>
          </w:p>
        </w:tc>
        <w:tc>
          <w:tcPr>
            <w:tcW w:w="2731" w:type="pct"/>
            <w:vAlign w:val="center"/>
          </w:tcPr>
          <w:p w14:paraId="4109783B">
            <w:pPr>
              <w:spacing w:line="240" w:lineRule="auto"/>
              <w:ind w:firstLine="0" w:firstLineChars="0"/>
              <w:jc w:val="center"/>
              <w:rPr>
                <w:sz w:val="21"/>
                <w:szCs w:val="21"/>
              </w:rPr>
            </w:pPr>
            <w:r>
              <w:rPr>
                <w:sz w:val="21"/>
                <w:szCs w:val="18"/>
              </w:rPr>
              <w:t>包括城镇和农村居民点</w:t>
            </w:r>
          </w:p>
        </w:tc>
      </w:tr>
      <w:tr w14:paraId="15A917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7" w:hRule="atLeast"/>
          <w:jc w:val="center"/>
        </w:trPr>
        <w:tc>
          <w:tcPr>
            <w:tcW w:w="1070" w:type="pct"/>
            <w:vMerge w:val="continue"/>
            <w:vAlign w:val="center"/>
          </w:tcPr>
          <w:p w14:paraId="65610DC8">
            <w:pPr>
              <w:spacing w:line="240" w:lineRule="auto"/>
              <w:ind w:firstLine="0" w:firstLineChars="0"/>
              <w:jc w:val="center"/>
              <w:rPr>
                <w:sz w:val="21"/>
                <w:szCs w:val="21"/>
              </w:rPr>
            </w:pPr>
          </w:p>
        </w:tc>
        <w:tc>
          <w:tcPr>
            <w:tcW w:w="1199" w:type="pct"/>
            <w:vAlign w:val="center"/>
          </w:tcPr>
          <w:p w14:paraId="4D4799FA">
            <w:pPr>
              <w:autoSpaceDE w:val="0"/>
              <w:autoSpaceDN w:val="0"/>
              <w:spacing w:line="240" w:lineRule="auto"/>
              <w:ind w:firstLine="0" w:firstLineChars="0"/>
              <w:jc w:val="center"/>
              <w:rPr>
                <w:sz w:val="21"/>
                <w:szCs w:val="21"/>
              </w:rPr>
            </w:pPr>
            <w:r>
              <w:rPr>
                <w:sz w:val="21"/>
                <w:szCs w:val="21"/>
              </w:rPr>
              <w:t>道路0601</w:t>
            </w:r>
          </w:p>
        </w:tc>
        <w:tc>
          <w:tcPr>
            <w:tcW w:w="2731" w:type="pct"/>
            <w:vAlign w:val="center"/>
          </w:tcPr>
          <w:p w14:paraId="76F75833">
            <w:pPr>
              <w:autoSpaceDE w:val="0"/>
              <w:autoSpaceDN w:val="0"/>
              <w:spacing w:line="240" w:lineRule="auto"/>
              <w:ind w:firstLine="0" w:firstLineChars="0"/>
              <w:jc w:val="center"/>
              <w:rPr>
                <w:sz w:val="21"/>
                <w:szCs w:val="21"/>
              </w:rPr>
            </w:pPr>
            <w:r>
              <w:rPr>
                <w:sz w:val="21"/>
                <w:szCs w:val="21"/>
              </w:rPr>
              <w:t>各级道路，乡道、省道、国道和铁路等</w:t>
            </w:r>
          </w:p>
        </w:tc>
      </w:tr>
      <w:tr w14:paraId="311BDF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1" w:hRule="atLeast"/>
          <w:jc w:val="center"/>
        </w:trPr>
        <w:tc>
          <w:tcPr>
            <w:tcW w:w="1070" w:type="pct"/>
            <w:vMerge w:val="continue"/>
            <w:vAlign w:val="center"/>
          </w:tcPr>
          <w:p w14:paraId="734A0D45">
            <w:pPr>
              <w:spacing w:line="240" w:lineRule="auto"/>
              <w:ind w:firstLine="420"/>
              <w:jc w:val="center"/>
              <w:rPr>
                <w:sz w:val="21"/>
                <w:szCs w:val="21"/>
              </w:rPr>
            </w:pPr>
          </w:p>
        </w:tc>
        <w:tc>
          <w:tcPr>
            <w:tcW w:w="1199" w:type="pct"/>
            <w:vAlign w:val="center"/>
          </w:tcPr>
          <w:p w14:paraId="06A3434A">
            <w:pPr>
              <w:autoSpaceDE w:val="0"/>
              <w:autoSpaceDN w:val="0"/>
              <w:spacing w:line="240" w:lineRule="auto"/>
              <w:ind w:firstLine="0" w:firstLineChars="0"/>
              <w:jc w:val="center"/>
              <w:rPr>
                <w:sz w:val="21"/>
                <w:szCs w:val="21"/>
              </w:rPr>
            </w:pPr>
            <w:r>
              <w:rPr>
                <w:rFonts w:hint="eastAsia"/>
                <w:sz w:val="21"/>
                <w:szCs w:val="21"/>
              </w:rPr>
              <w:t>干河床</w:t>
            </w:r>
            <w:r>
              <w:rPr>
                <w:sz w:val="21"/>
                <w:szCs w:val="21"/>
              </w:rPr>
              <w:t>1001</w:t>
            </w:r>
          </w:p>
        </w:tc>
        <w:tc>
          <w:tcPr>
            <w:tcW w:w="2731" w:type="pct"/>
            <w:vAlign w:val="center"/>
          </w:tcPr>
          <w:p w14:paraId="329ADF60">
            <w:pPr>
              <w:autoSpaceDE w:val="0"/>
              <w:autoSpaceDN w:val="0"/>
              <w:spacing w:line="240" w:lineRule="auto"/>
              <w:ind w:firstLine="0" w:firstLineChars="0"/>
              <w:jc w:val="center"/>
              <w:rPr>
                <w:sz w:val="21"/>
                <w:szCs w:val="21"/>
              </w:rPr>
            </w:pPr>
            <w:r>
              <w:rPr>
                <w:sz w:val="21"/>
                <w:szCs w:val="21"/>
              </w:rPr>
              <w:t>指</w:t>
            </w:r>
            <w:r>
              <w:rPr>
                <w:rFonts w:hint="eastAsia"/>
                <w:sz w:val="21"/>
                <w:szCs w:val="21"/>
              </w:rPr>
              <w:t>已经干枯的河谷底部被水流（河流）冲占的部分</w:t>
            </w:r>
          </w:p>
        </w:tc>
      </w:tr>
    </w:tbl>
    <w:p w14:paraId="06D9EB45">
      <w:pPr>
        <w:ind w:firstLine="482"/>
        <w:jc w:val="center"/>
        <w:rPr>
          <w:b/>
          <w:bCs/>
          <w:szCs w:val="21"/>
        </w:rPr>
      </w:pPr>
      <w:r>
        <w:rPr>
          <w:b/>
          <w:bCs/>
          <w:szCs w:val="21"/>
        </w:rPr>
        <w:t>表4</w:t>
      </w:r>
      <w:r>
        <w:rPr>
          <w:rFonts w:hint="eastAsia"/>
          <w:b/>
          <w:bCs/>
          <w:szCs w:val="21"/>
        </w:rPr>
        <w:t>.6-3</w:t>
      </w:r>
      <w:r>
        <w:rPr>
          <w:b/>
          <w:bCs/>
          <w:szCs w:val="21"/>
        </w:rPr>
        <w:t xml:space="preserve">   评价区土地利用分类系统</w:t>
      </w:r>
    </w:p>
    <w:tbl>
      <w:tblPr>
        <w:tblStyle w:val="82"/>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935"/>
        <w:gridCol w:w="1945"/>
        <w:gridCol w:w="5407"/>
      </w:tblGrid>
      <w:tr w14:paraId="3E959A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1" w:hRule="atLeast"/>
        </w:trPr>
        <w:tc>
          <w:tcPr>
            <w:tcW w:w="2089" w:type="pct"/>
            <w:gridSpan w:val="2"/>
            <w:vAlign w:val="center"/>
          </w:tcPr>
          <w:p w14:paraId="73FF0F64">
            <w:pPr>
              <w:spacing w:line="240" w:lineRule="auto"/>
              <w:ind w:firstLine="0" w:firstLineChars="0"/>
              <w:jc w:val="center"/>
              <w:rPr>
                <w:b/>
                <w:bCs/>
                <w:sz w:val="21"/>
                <w:szCs w:val="21"/>
              </w:rPr>
            </w:pPr>
            <w:r>
              <w:rPr>
                <w:b/>
                <w:bCs/>
                <w:sz w:val="21"/>
                <w:szCs w:val="21"/>
              </w:rPr>
              <w:t>土地利用类型</w:t>
            </w:r>
          </w:p>
        </w:tc>
        <w:tc>
          <w:tcPr>
            <w:tcW w:w="2911" w:type="pct"/>
            <w:vMerge w:val="restart"/>
            <w:vAlign w:val="center"/>
          </w:tcPr>
          <w:p w14:paraId="5512777F">
            <w:pPr>
              <w:spacing w:line="240" w:lineRule="auto"/>
              <w:ind w:firstLine="0" w:firstLineChars="0"/>
              <w:jc w:val="center"/>
              <w:rPr>
                <w:b/>
                <w:bCs/>
                <w:sz w:val="21"/>
                <w:szCs w:val="21"/>
              </w:rPr>
            </w:pPr>
            <w:r>
              <w:rPr>
                <w:b/>
                <w:bCs/>
                <w:sz w:val="21"/>
                <w:szCs w:val="21"/>
              </w:rPr>
              <w:t>特</w:t>
            </w:r>
            <w:r>
              <w:rPr>
                <w:rFonts w:hint="eastAsia"/>
                <w:b/>
                <w:bCs/>
                <w:sz w:val="21"/>
                <w:szCs w:val="21"/>
              </w:rPr>
              <w:t>点</w:t>
            </w:r>
          </w:p>
        </w:tc>
      </w:tr>
      <w:tr w14:paraId="779018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1" w:hRule="atLeast"/>
        </w:trPr>
        <w:tc>
          <w:tcPr>
            <w:tcW w:w="1042" w:type="pct"/>
            <w:vAlign w:val="center"/>
          </w:tcPr>
          <w:p w14:paraId="0B6DF26E">
            <w:pPr>
              <w:spacing w:line="240" w:lineRule="auto"/>
              <w:ind w:firstLine="0" w:firstLineChars="0"/>
              <w:jc w:val="center"/>
              <w:rPr>
                <w:b/>
                <w:bCs/>
                <w:sz w:val="21"/>
                <w:szCs w:val="21"/>
              </w:rPr>
            </w:pPr>
            <w:r>
              <w:rPr>
                <w:b/>
                <w:bCs/>
                <w:sz w:val="21"/>
                <w:szCs w:val="21"/>
              </w:rPr>
              <w:t>土地利用一级类型</w:t>
            </w:r>
          </w:p>
        </w:tc>
        <w:tc>
          <w:tcPr>
            <w:tcW w:w="1047" w:type="pct"/>
            <w:vAlign w:val="center"/>
          </w:tcPr>
          <w:p w14:paraId="427A18BA">
            <w:pPr>
              <w:spacing w:line="240" w:lineRule="auto"/>
              <w:ind w:firstLine="0" w:firstLineChars="0"/>
              <w:jc w:val="center"/>
              <w:rPr>
                <w:b/>
                <w:bCs/>
                <w:sz w:val="21"/>
                <w:szCs w:val="21"/>
              </w:rPr>
            </w:pPr>
            <w:r>
              <w:rPr>
                <w:b/>
                <w:bCs/>
                <w:sz w:val="21"/>
                <w:szCs w:val="21"/>
              </w:rPr>
              <w:t>土地利用二级类型</w:t>
            </w:r>
          </w:p>
        </w:tc>
        <w:tc>
          <w:tcPr>
            <w:tcW w:w="2911" w:type="pct"/>
            <w:vMerge w:val="continue"/>
            <w:vAlign w:val="bottom"/>
          </w:tcPr>
          <w:p w14:paraId="6F63E387">
            <w:pPr>
              <w:spacing w:line="240" w:lineRule="auto"/>
              <w:ind w:firstLine="420"/>
              <w:jc w:val="center"/>
              <w:rPr>
                <w:sz w:val="21"/>
                <w:szCs w:val="21"/>
              </w:rPr>
            </w:pPr>
          </w:p>
        </w:tc>
      </w:tr>
      <w:tr w14:paraId="6A78EB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1042" w:type="pct"/>
            <w:vAlign w:val="center"/>
          </w:tcPr>
          <w:p w14:paraId="389D0401">
            <w:pPr>
              <w:spacing w:line="240" w:lineRule="auto"/>
              <w:ind w:firstLine="0" w:firstLineChars="0"/>
              <w:jc w:val="center"/>
              <w:rPr>
                <w:sz w:val="21"/>
                <w:szCs w:val="21"/>
              </w:rPr>
            </w:pPr>
            <w:r>
              <w:rPr>
                <w:rFonts w:hint="eastAsia"/>
                <w:sz w:val="21"/>
                <w:szCs w:val="21"/>
              </w:rPr>
              <w:t>1</w:t>
            </w:r>
            <w:r>
              <w:rPr>
                <w:sz w:val="21"/>
                <w:szCs w:val="21"/>
              </w:rPr>
              <w:t>.林地</w:t>
            </w:r>
          </w:p>
        </w:tc>
        <w:tc>
          <w:tcPr>
            <w:tcW w:w="1047" w:type="pct"/>
            <w:vAlign w:val="center"/>
          </w:tcPr>
          <w:p w14:paraId="2DF554E0">
            <w:pPr>
              <w:spacing w:line="240" w:lineRule="auto"/>
              <w:ind w:firstLine="0" w:firstLineChars="0"/>
              <w:jc w:val="center"/>
              <w:rPr>
                <w:sz w:val="21"/>
                <w:szCs w:val="21"/>
              </w:rPr>
            </w:pPr>
            <w:r>
              <w:rPr>
                <w:sz w:val="21"/>
                <w:szCs w:val="21"/>
              </w:rPr>
              <w:t>灌木林地0320</w:t>
            </w:r>
          </w:p>
        </w:tc>
        <w:tc>
          <w:tcPr>
            <w:tcW w:w="2911" w:type="pct"/>
            <w:vAlign w:val="center"/>
          </w:tcPr>
          <w:p w14:paraId="2B243FC9">
            <w:pPr>
              <w:spacing w:line="240" w:lineRule="auto"/>
              <w:ind w:firstLine="0" w:firstLineChars="0"/>
              <w:jc w:val="center"/>
              <w:rPr>
                <w:sz w:val="21"/>
                <w:szCs w:val="21"/>
              </w:rPr>
            </w:pPr>
            <w:r>
              <w:rPr>
                <w:sz w:val="21"/>
                <w:szCs w:val="21"/>
              </w:rPr>
              <w:t>指灌木覆盖度≥40%的林地，本区为</w:t>
            </w:r>
            <w:r>
              <w:rPr>
                <w:rFonts w:hint="eastAsia"/>
                <w:sz w:val="21"/>
                <w:szCs w:val="21"/>
              </w:rPr>
              <w:t>霸王+四合木+红砂</w:t>
            </w:r>
            <w:r>
              <w:rPr>
                <w:sz w:val="21"/>
                <w:szCs w:val="21"/>
              </w:rPr>
              <w:t>灌丛及其他灌丛</w:t>
            </w:r>
          </w:p>
        </w:tc>
      </w:tr>
      <w:tr w14:paraId="2E51DD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5" w:hRule="atLeast"/>
        </w:trPr>
        <w:tc>
          <w:tcPr>
            <w:tcW w:w="1042" w:type="pct"/>
            <w:vAlign w:val="center"/>
          </w:tcPr>
          <w:p w14:paraId="44DBD620">
            <w:pPr>
              <w:spacing w:line="240" w:lineRule="auto"/>
              <w:ind w:firstLine="0" w:firstLineChars="0"/>
              <w:jc w:val="center"/>
              <w:rPr>
                <w:sz w:val="21"/>
                <w:szCs w:val="21"/>
              </w:rPr>
            </w:pPr>
            <w:r>
              <w:rPr>
                <w:rFonts w:hint="eastAsia"/>
                <w:sz w:val="21"/>
                <w:szCs w:val="21"/>
              </w:rPr>
              <w:t>2</w:t>
            </w:r>
            <w:r>
              <w:rPr>
                <w:sz w:val="21"/>
                <w:szCs w:val="21"/>
              </w:rPr>
              <w:t>.</w:t>
            </w:r>
            <w:r>
              <w:rPr>
                <w:rFonts w:hint="eastAsia"/>
                <w:sz w:val="21"/>
                <w:szCs w:val="21"/>
              </w:rPr>
              <w:t>住宅用地</w:t>
            </w:r>
          </w:p>
        </w:tc>
        <w:tc>
          <w:tcPr>
            <w:tcW w:w="1047" w:type="pct"/>
            <w:vAlign w:val="center"/>
          </w:tcPr>
          <w:p w14:paraId="720096A9">
            <w:pPr>
              <w:spacing w:line="240" w:lineRule="auto"/>
              <w:ind w:firstLine="0" w:firstLineChars="0"/>
              <w:jc w:val="center"/>
              <w:rPr>
                <w:sz w:val="21"/>
                <w:szCs w:val="18"/>
              </w:rPr>
            </w:pPr>
            <w:r>
              <w:rPr>
                <w:sz w:val="21"/>
                <w:szCs w:val="18"/>
              </w:rPr>
              <w:t>农村宅基地</w:t>
            </w:r>
          </w:p>
          <w:p w14:paraId="714F6498">
            <w:pPr>
              <w:spacing w:line="240" w:lineRule="auto"/>
              <w:ind w:firstLine="0" w:firstLineChars="0"/>
              <w:jc w:val="center"/>
              <w:rPr>
                <w:sz w:val="21"/>
                <w:szCs w:val="21"/>
              </w:rPr>
            </w:pPr>
            <w:r>
              <w:rPr>
                <w:sz w:val="21"/>
                <w:szCs w:val="18"/>
              </w:rPr>
              <w:t>0521、0522、0550</w:t>
            </w:r>
          </w:p>
        </w:tc>
        <w:tc>
          <w:tcPr>
            <w:tcW w:w="2911" w:type="pct"/>
            <w:vAlign w:val="center"/>
          </w:tcPr>
          <w:p w14:paraId="2FEC1EF2">
            <w:pPr>
              <w:spacing w:line="240" w:lineRule="auto"/>
              <w:ind w:firstLine="0" w:firstLineChars="0"/>
              <w:jc w:val="center"/>
              <w:rPr>
                <w:sz w:val="21"/>
                <w:szCs w:val="21"/>
              </w:rPr>
            </w:pPr>
            <w:r>
              <w:rPr>
                <w:sz w:val="21"/>
                <w:szCs w:val="18"/>
              </w:rPr>
              <w:t xml:space="preserve">指农村用于生活居住的宅基地 </w:t>
            </w:r>
          </w:p>
        </w:tc>
      </w:tr>
      <w:tr w14:paraId="4B6B15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1" w:hRule="atLeast"/>
        </w:trPr>
        <w:tc>
          <w:tcPr>
            <w:tcW w:w="1042" w:type="pct"/>
            <w:vAlign w:val="center"/>
          </w:tcPr>
          <w:p w14:paraId="45D7C443">
            <w:pPr>
              <w:spacing w:line="240" w:lineRule="auto"/>
              <w:ind w:firstLine="0" w:firstLineChars="0"/>
              <w:jc w:val="center"/>
              <w:rPr>
                <w:sz w:val="21"/>
                <w:szCs w:val="21"/>
              </w:rPr>
            </w:pPr>
            <w:r>
              <w:rPr>
                <w:rFonts w:hint="eastAsia"/>
                <w:sz w:val="21"/>
                <w:szCs w:val="21"/>
              </w:rPr>
              <w:t>3.</w:t>
            </w:r>
            <w:r>
              <w:rPr>
                <w:sz w:val="21"/>
                <w:szCs w:val="21"/>
              </w:rPr>
              <w:t>交通运输用地</w:t>
            </w:r>
          </w:p>
        </w:tc>
        <w:tc>
          <w:tcPr>
            <w:tcW w:w="1047" w:type="pct"/>
            <w:vAlign w:val="center"/>
          </w:tcPr>
          <w:p w14:paraId="56DF5252">
            <w:pPr>
              <w:spacing w:line="240" w:lineRule="auto"/>
              <w:ind w:firstLine="0" w:firstLineChars="0"/>
              <w:jc w:val="center"/>
              <w:rPr>
                <w:sz w:val="21"/>
                <w:szCs w:val="21"/>
              </w:rPr>
            </w:pPr>
            <w:r>
              <w:rPr>
                <w:sz w:val="21"/>
                <w:szCs w:val="21"/>
              </w:rPr>
              <w:t>公路用地0601</w:t>
            </w:r>
          </w:p>
        </w:tc>
        <w:tc>
          <w:tcPr>
            <w:tcW w:w="2911" w:type="pct"/>
            <w:vAlign w:val="center"/>
          </w:tcPr>
          <w:p w14:paraId="23A74BD4">
            <w:pPr>
              <w:spacing w:line="240" w:lineRule="auto"/>
              <w:ind w:firstLine="0" w:firstLineChars="0"/>
              <w:jc w:val="center"/>
              <w:rPr>
                <w:sz w:val="21"/>
                <w:szCs w:val="21"/>
              </w:rPr>
            </w:pPr>
            <w:r>
              <w:rPr>
                <w:sz w:val="21"/>
                <w:szCs w:val="21"/>
              </w:rPr>
              <w:t>指各级道路，包括乡道、省道、国道等</w:t>
            </w:r>
          </w:p>
        </w:tc>
      </w:tr>
      <w:tr w14:paraId="7BF111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3" w:hRule="atLeast"/>
        </w:trPr>
        <w:tc>
          <w:tcPr>
            <w:tcW w:w="1042" w:type="pct"/>
            <w:vAlign w:val="center"/>
          </w:tcPr>
          <w:p w14:paraId="318C78C4">
            <w:pPr>
              <w:spacing w:line="240" w:lineRule="auto"/>
              <w:ind w:firstLine="0" w:firstLineChars="0"/>
              <w:jc w:val="center"/>
              <w:rPr>
                <w:sz w:val="21"/>
                <w:szCs w:val="21"/>
              </w:rPr>
            </w:pPr>
            <w:r>
              <w:rPr>
                <w:rFonts w:hint="eastAsia"/>
                <w:sz w:val="21"/>
                <w:szCs w:val="21"/>
              </w:rPr>
              <w:t>4.</w:t>
            </w:r>
            <w:r>
              <w:rPr>
                <w:sz w:val="21"/>
                <w:szCs w:val="21"/>
              </w:rPr>
              <w:t>其它土地</w:t>
            </w:r>
          </w:p>
        </w:tc>
        <w:tc>
          <w:tcPr>
            <w:tcW w:w="1047" w:type="pct"/>
            <w:vAlign w:val="center"/>
          </w:tcPr>
          <w:p w14:paraId="2B9070B6">
            <w:pPr>
              <w:spacing w:line="240" w:lineRule="auto"/>
              <w:ind w:firstLine="0" w:firstLineChars="0"/>
              <w:jc w:val="center"/>
              <w:rPr>
                <w:sz w:val="21"/>
                <w:szCs w:val="21"/>
              </w:rPr>
            </w:pPr>
            <w:r>
              <w:rPr>
                <w:rFonts w:hint="eastAsia"/>
                <w:sz w:val="21"/>
                <w:szCs w:val="21"/>
              </w:rPr>
              <w:t>干河床</w:t>
            </w:r>
            <w:r>
              <w:rPr>
                <w:sz w:val="21"/>
                <w:szCs w:val="21"/>
              </w:rPr>
              <w:t>0450</w:t>
            </w:r>
          </w:p>
        </w:tc>
        <w:tc>
          <w:tcPr>
            <w:tcW w:w="2911" w:type="pct"/>
            <w:vAlign w:val="center"/>
          </w:tcPr>
          <w:p w14:paraId="0AFBED78">
            <w:pPr>
              <w:spacing w:line="240" w:lineRule="auto"/>
              <w:ind w:firstLine="0" w:firstLineChars="0"/>
              <w:jc w:val="center"/>
              <w:rPr>
                <w:sz w:val="21"/>
                <w:szCs w:val="21"/>
              </w:rPr>
            </w:pPr>
            <w:r>
              <w:rPr>
                <w:sz w:val="21"/>
                <w:szCs w:val="21"/>
              </w:rPr>
              <w:t>指</w:t>
            </w:r>
            <w:r>
              <w:rPr>
                <w:rFonts w:hint="eastAsia"/>
                <w:sz w:val="21"/>
                <w:szCs w:val="21"/>
              </w:rPr>
              <w:t>已经干枯的河谷底部被水流（河流）冲占的部分</w:t>
            </w:r>
          </w:p>
        </w:tc>
      </w:tr>
    </w:tbl>
    <w:p w14:paraId="428D3A70">
      <w:pPr>
        <w:pStyle w:val="26"/>
        <w:spacing w:before="120" w:line="240" w:lineRule="auto"/>
        <w:ind w:firstLine="482"/>
        <w:jc w:val="center"/>
        <w:rPr>
          <w:rFonts w:ascii="Times New Roman" w:hAnsi="Times New Roman" w:eastAsia="宋体"/>
          <w:b/>
          <w:bCs/>
          <w:kern w:val="2"/>
          <w:sz w:val="24"/>
          <w:szCs w:val="21"/>
        </w:rPr>
      </w:pPr>
      <w:r>
        <w:rPr>
          <w:rFonts w:hint="eastAsia" w:ascii="Times New Roman" w:hAnsi="Times New Roman" w:eastAsia="宋体"/>
          <w:b/>
          <w:bCs/>
          <w:kern w:val="2"/>
          <w:sz w:val="24"/>
          <w:szCs w:val="21"/>
        </w:rPr>
        <w:t xml:space="preserve">表4.6-4 </w:t>
      </w:r>
      <w:r>
        <w:rPr>
          <w:rFonts w:ascii="Times New Roman" w:hAnsi="Times New Roman" w:eastAsia="宋体"/>
          <w:b/>
          <w:bCs/>
          <w:kern w:val="2"/>
          <w:sz w:val="24"/>
          <w:szCs w:val="21"/>
        </w:rPr>
        <w:t xml:space="preserve"> </w:t>
      </w:r>
      <w:r>
        <w:rPr>
          <w:rFonts w:hint="eastAsia" w:ascii="Times New Roman" w:hAnsi="Times New Roman" w:eastAsia="宋体"/>
          <w:b/>
          <w:bCs/>
          <w:kern w:val="2"/>
          <w:sz w:val="24"/>
          <w:szCs w:val="21"/>
        </w:rPr>
        <w:t>评价区生态系统分类体系表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2203"/>
        <w:gridCol w:w="4879"/>
      </w:tblGrid>
      <w:tr w14:paraId="25B8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3" w:type="pct"/>
            <w:gridSpan w:val="2"/>
            <w:noWrap/>
            <w:vAlign w:val="center"/>
          </w:tcPr>
          <w:p w14:paraId="47E95675">
            <w:pPr>
              <w:spacing w:line="240" w:lineRule="auto"/>
              <w:ind w:firstLine="0" w:firstLineChars="0"/>
              <w:jc w:val="center"/>
              <w:rPr>
                <w:b/>
                <w:bCs/>
                <w:sz w:val="21"/>
                <w:szCs w:val="18"/>
              </w:rPr>
            </w:pPr>
            <w:r>
              <w:rPr>
                <w:rFonts w:hint="eastAsia"/>
                <w:b/>
                <w:bCs/>
                <w:sz w:val="21"/>
                <w:szCs w:val="18"/>
              </w:rPr>
              <w:t>生态系统</w:t>
            </w:r>
            <w:r>
              <w:rPr>
                <w:b/>
                <w:bCs/>
                <w:sz w:val="21"/>
                <w:szCs w:val="18"/>
              </w:rPr>
              <w:t>类型</w:t>
            </w:r>
          </w:p>
        </w:tc>
        <w:tc>
          <w:tcPr>
            <w:tcW w:w="2626" w:type="pct"/>
            <w:vMerge w:val="restart"/>
            <w:noWrap/>
            <w:vAlign w:val="center"/>
          </w:tcPr>
          <w:p w14:paraId="24095C68">
            <w:pPr>
              <w:spacing w:line="240" w:lineRule="auto"/>
              <w:ind w:firstLine="0" w:firstLineChars="0"/>
              <w:jc w:val="center"/>
              <w:rPr>
                <w:b/>
                <w:bCs/>
                <w:sz w:val="21"/>
                <w:szCs w:val="18"/>
              </w:rPr>
            </w:pPr>
            <w:r>
              <w:rPr>
                <w:rFonts w:hint="eastAsia"/>
                <w:b/>
                <w:bCs/>
                <w:sz w:val="21"/>
                <w:szCs w:val="18"/>
              </w:rPr>
              <w:t>分类依据</w:t>
            </w:r>
          </w:p>
        </w:tc>
      </w:tr>
      <w:tr w14:paraId="069A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pct"/>
            <w:noWrap/>
            <w:vAlign w:val="center"/>
          </w:tcPr>
          <w:p w14:paraId="73C7B0DE">
            <w:pPr>
              <w:spacing w:line="240" w:lineRule="auto"/>
              <w:ind w:firstLine="0" w:firstLineChars="0"/>
              <w:jc w:val="center"/>
              <w:rPr>
                <w:b/>
                <w:bCs/>
                <w:sz w:val="21"/>
                <w:szCs w:val="18"/>
              </w:rPr>
            </w:pPr>
            <w:r>
              <w:rPr>
                <w:rFonts w:hint="eastAsia"/>
                <w:b/>
                <w:bCs/>
                <w:sz w:val="21"/>
                <w:szCs w:val="18"/>
              </w:rPr>
              <w:t>生态系统</w:t>
            </w:r>
            <w:r>
              <w:rPr>
                <w:b/>
                <w:bCs/>
                <w:sz w:val="21"/>
                <w:szCs w:val="18"/>
              </w:rPr>
              <w:t>一级类型</w:t>
            </w:r>
          </w:p>
        </w:tc>
        <w:tc>
          <w:tcPr>
            <w:tcW w:w="1186" w:type="pct"/>
            <w:noWrap/>
            <w:vAlign w:val="center"/>
          </w:tcPr>
          <w:p w14:paraId="1C469E7D">
            <w:pPr>
              <w:spacing w:line="240" w:lineRule="auto"/>
              <w:ind w:firstLine="0" w:firstLineChars="0"/>
              <w:jc w:val="center"/>
              <w:rPr>
                <w:b/>
                <w:bCs/>
                <w:sz w:val="21"/>
                <w:szCs w:val="18"/>
              </w:rPr>
            </w:pPr>
            <w:r>
              <w:rPr>
                <w:rFonts w:hint="eastAsia"/>
                <w:b/>
                <w:bCs/>
                <w:sz w:val="21"/>
                <w:szCs w:val="18"/>
              </w:rPr>
              <w:t>生态系统</w:t>
            </w:r>
            <w:r>
              <w:rPr>
                <w:b/>
                <w:bCs/>
                <w:sz w:val="21"/>
                <w:szCs w:val="18"/>
              </w:rPr>
              <w:t>二级类型</w:t>
            </w:r>
          </w:p>
        </w:tc>
        <w:tc>
          <w:tcPr>
            <w:tcW w:w="2626" w:type="pct"/>
            <w:vMerge w:val="continue"/>
            <w:vAlign w:val="center"/>
          </w:tcPr>
          <w:p w14:paraId="7210516D">
            <w:pPr>
              <w:spacing w:line="240" w:lineRule="auto"/>
              <w:ind w:firstLine="0" w:firstLineChars="0"/>
              <w:rPr>
                <w:sz w:val="21"/>
                <w:szCs w:val="18"/>
              </w:rPr>
            </w:pPr>
          </w:p>
        </w:tc>
      </w:tr>
      <w:tr w14:paraId="0D94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pct"/>
            <w:vMerge w:val="restart"/>
            <w:noWrap/>
            <w:vAlign w:val="center"/>
          </w:tcPr>
          <w:p w14:paraId="04752078">
            <w:pPr>
              <w:spacing w:line="240" w:lineRule="auto"/>
              <w:ind w:firstLine="0" w:firstLineChars="0"/>
              <w:jc w:val="center"/>
              <w:rPr>
                <w:sz w:val="21"/>
                <w:szCs w:val="18"/>
              </w:rPr>
            </w:pPr>
            <w:r>
              <w:rPr>
                <w:rFonts w:hint="eastAsia"/>
                <w:sz w:val="21"/>
                <w:szCs w:val="18"/>
              </w:rPr>
              <w:t>灌丛生态系统</w:t>
            </w:r>
          </w:p>
        </w:tc>
        <w:tc>
          <w:tcPr>
            <w:tcW w:w="1186" w:type="pct"/>
            <w:noWrap/>
            <w:vAlign w:val="center"/>
          </w:tcPr>
          <w:p w14:paraId="3F7043A2">
            <w:pPr>
              <w:spacing w:line="240" w:lineRule="auto"/>
              <w:ind w:firstLine="0" w:firstLineChars="0"/>
              <w:jc w:val="center"/>
              <w:rPr>
                <w:sz w:val="21"/>
                <w:szCs w:val="18"/>
              </w:rPr>
            </w:pPr>
            <w:r>
              <w:rPr>
                <w:rFonts w:hint="eastAsia"/>
                <w:sz w:val="21"/>
                <w:szCs w:val="18"/>
              </w:rPr>
              <w:t>阔叶灌丛</w:t>
            </w:r>
          </w:p>
        </w:tc>
        <w:tc>
          <w:tcPr>
            <w:tcW w:w="2626" w:type="pct"/>
            <w:vAlign w:val="center"/>
          </w:tcPr>
          <w:p w14:paraId="75053CB0">
            <w:pPr>
              <w:spacing w:line="240" w:lineRule="auto"/>
              <w:ind w:firstLine="0" w:firstLineChars="0"/>
              <w:rPr>
                <w:sz w:val="21"/>
                <w:szCs w:val="18"/>
              </w:rPr>
            </w:pPr>
            <w:r>
              <w:rPr>
                <w:rFonts w:hint="eastAsia"/>
                <w:sz w:val="21"/>
                <w:szCs w:val="18"/>
              </w:rPr>
              <w:t>H</w:t>
            </w:r>
            <w:r>
              <w:rPr>
                <w:sz w:val="21"/>
                <w:szCs w:val="18"/>
              </w:rPr>
              <w:t xml:space="preserve">=0.3~5 </w:t>
            </w:r>
            <w:r>
              <w:rPr>
                <w:rFonts w:hint="eastAsia"/>
                <w:sz w:val="21"/>
                <w:szCs w:val="18"/>
              </w:rPr>
              <w:t>m，C≥0</w:t>
            </w:r>
            <w:r>
              <w:rPr>
                <w:sz w:val="21"/>
                <w:szCs w:val="18"/>
              </w:rPr>
              <w:t>.2</w:t>
            </w:r>
            <w:r>
              <w:rPr>
                <w:rFonts w:hint="eastAsia"/>
                <w:sz w:val="21"/>
                <w:szCs w:val="18"/>
              </w:rPr>
              <w:t>，阔叶</w:t>
            </w:r>
          </w:p>
        </w:tc>
      </w:tr>
      <w:tr w14:paraId="1893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pct"/>
            <w:vMerge w:val="continue"/>
            <w:noWrap/>
            <w:vAlign w:val="center"/>
          </w:tcPr>
          <w:p w14:paraId="360B530C">
            <w:pPr>
              <w:spacing w:line="240" w:lineRule="auto"/>
              <w:ind w:firstLine="0" w:firstLineChars="0"/>
              <w:jc w:val="center"/>
              <w:rPr>
                <w:sz w:val="21"/>
                <w:szCs w:val="18"/>
              </w:rPr>
            </w:pPr>
          </w:p>
        </w:tc>
        <w:tc>
          <w:tcPr>
            <w:tcW w:w="1186" w:type="pct"/>
            <w:noWrap/>
            <w:vAlign w:val="center"/>
          </w:tcPr>
          <w:p w14:paraId="22CE2006">
            <w:pPr>
              <w:spacing w:line="240" w:lineRule="auto"/>
              <w:ind w:firstLine="0" w:firstLineChars="0"/>
              <w:jc w:val="center"/>
              <w:rPr>
                <w:sz w:val="21"/>
                <w:szCs w:val="18"/>
              </w:rPr>
            </w:pPr>
            <w:r>
              <w:rPr>
                <w:rFonts w:hint="eastAsia"/>
                <w:sz w:val="21"/>
                <w:szCs w:val="18"/>
              </w:rPr>
              <w:t>针叶灌丛</w:t>
            </w:r>
          </w:p>
        </w:tc>
        <w:tc>
          <w:tcPr>
            <w:tcW w:w="2626" w:type="pct"/>
            <w:vAlign w:val="center"/>
          </w:tcPr>
          <w:p w14:paraId="484F4E8B">
            <w:pPr>
              <w:spacing w:line="240" w:lineRule="auto"/>
              <w:ind w:firstLine="0" w:firstLineChars="0"/>
              <w:rPr>
                <w:sz w:val="21"/>
                <w:szCs w:val="18"/>
              </w:rPr>
            </w:pPr>
            <w:r>
              <w:rPr>
                <w:rFonts w:hint="eastAsia"/>
                <w:sz w:val="21"/>
                <w:szCs w:val="18"/>
              </w:rPr>
              <w:t>H</w:t>
            </w:r>
            <w:r>
              <w:rPr>
                <w:sz w:val="21"/>
                <w:szCs w:val="18"/>
              </w:rPr>
              <w:t xml:space="preserve">=0.3~5 </w:t>
            </w:r>
            <w:r>
              <w:rPr>
                <w:rFonts w:hint="eastAsia"/>
                <w:sz w:val="21"/>
                <w:szCs w:val="18"/>
              </w:rPr>
              <w:t>m，C≥0</w:t>
            </w:r>
            <w:r>
              <w:rPr>
                <w:sz w:val="21"/>
                <w:szCs w:val="18"/>
              </w:rPr>
              <w:t>.2</w:t>
            </w:r>
            <w:r>
              <w:rPr>
                <w:rFonts w:hint="eastAsia"/>
                <w:sz w:val="21"/>
                <w:szCs w:val="18"/>
              </w:rPr>
              <w:t>，针叶</w:t>
            </w:r>
          </w:p>
        </w:tc>
      </w:tr>
      <w:tr w14:paraId="2B82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pct"/>
            <w:vMerge w:val="continue"/>
            <w:noWrap/>
            <w:vAlign w:val="center"/>
          </w:tcPr>
          <w:p w14:paraId="48521BD9">
            <w:pPr>
              <w:spacing w:line="240" w:lineRule="auto"/>
              <w:ind w:firstLine="0" w:firstLineChars="0"/>
              <w:jc w:val="center"/>
              <w:rPr>
                <w:sz w:val="21"/>
                <w:szCs w:val="18"/>
              </w:rPr>
            </w:pPr>
          </w:p>
        </w:tc>
        <w:tc>
          <w:tcPr>
            <w:tcW w:w="1186" w:type="pct"/>
            <w:noWrap/>
            <w:vAlign w:val="center"/>
          </w:tcPr>
          <w:p w14:paraId="5CFB76FE">
            <w:pPr>
              <w:spacing w:line="240" w:lineRule="auto"/>
              <w:ind w:firstLine="0" w:firstLineChars="0"/>
              <w:jc w:val="center"/>
              <w:rPr>
                <w:sz w:val="21"/>
                <w:szCs w:val="18"/>
              </w:rPr>
            </w:pPr>
            <w:r>
              <w:rPr>
                <w:rFonts w:hint="eastAsia"/>
                <w:sz w:val="21"/>
                <w:szCs w:val="18"/>
              </w:rPr>
              <w:t>稀疏灌丛</w:t>
            </w:r>
          </w:p>
        </w:tc>
        <w:tc>
          <w:tcPr>
            <w:tcW w:w="2626" w:type="pct"/>
            <w:vAlign w:val="center"/>
          </w:tcPr>
          <w:p w14:paraId="1E33980A">
            <w:pPr>
              <w:spacing w:line="240" w:lineRule="auto"/>
              <w:ind w:firstLine="0" w:firstLineChars="0"/>
              <w:rPr>
                <w:sz w:val="21"/>
                <w:szCs w:val="18"/>
              </w:rPr>
            </w:pPr>
            <w:r>
              <w:rPr>
                <w:rFonts w:hint="eastAsia"/>
                <w:sz w:val="21"/>
                <w:szCs w:val="18"/>
              </w:rPr>
              <w:t>H</w:t>
            </w:r>
            <w:r>
              <w:rPr>
                <w:sz w:val="21"/>
                <w:szCs w:val="18"/>
              </w:rPr>
              <w:t xml:space="preserve">=0.3~5 </w:t>
            </w:r>
            <w:r>
              <w:rPr>
                <w:rFonts w:hint="eastAsia"/>
                <w:sz w:val="21"/>
                <w:szCs w:val="18"/>
              </w:rPr>
              <w:t>m，C=</w:t>
            </w:r>
            <w:r>
              <w:rPr>
                <w:sz w:val="21"/>
                <w:szCs w:val="18"/>
              </w:rPr>
              <w:t>0.04~0.2</w:t>
            </w:r>
          </w:p>
        </w:tc>
      </w:tr>
      <w:tr w14:paraId="371B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noWrap/>
            <w:vAlign w:val="center"/>
          </w:tcPr>
          <w:p w14:paraId="034D1EF4">
            <w:pPr>
              <w:spacing w:line="240" w:lineRule="auto"/>
              <w:ind w:firstLine="0" w:firstLineChars="0"/>
              <w:rPr>
                <w:sz w:val="21"/>
                <w:szCs w:val="18"/>
              </w:rPr>
            </w:pPr>
            <w:r>
              <w:rPr>
                <w:rFonts w:hint="eastAsia"/>
                <w:sz w:val="21"/>
                <w:szCs w:val="18"/>
              </w:rPr>
              <w:t>注：C：覆盖度/郁闭度；H：植被高度（m）；F：针叶树与阔叶树的比例；K：湿润指数。</w:t>
            </w:r>
          </w:p>
        </w:tc>
      </w:tr>
    </w:tbl>
    <w:p w14:paraId="7417DCCA">
      <w:pPr>
        <w:ind w:firstLine="0" w:firstLineChars="0"/>
        <w:jc w:val="center"/>
        <w:sectPr>
          <w:pgSz w:w="11907" w:h="16840"/>
          <w:pgMar w:top="1418" w:right="1418" w:bottom="1418" w:left="1418" w:header="964" w:footer="964" w:gutter="0"/>
          <w:cols w:space="720" w:num="1"/>
          <w:docGrid w:linePitch="312" w:charSpace="0"/>
        </w:sectPr>
      </w:pPr>
    </w:p>
    <w:p w14:paraId="50F25278">
      <w:pPr>
        <w:ind w:firstLine="0" w:firstLineChars="0"/>
        <w:jc w:val="center"/>
        <w:rPr>
          <w:b/>
          <w:bCs/>
        </w:rPr>
      </w:pPr>
      <w:r>
        <w:rPr>
          <w:b/>
          <w:bCs/>
        </w:rPr>
        <w:drawing>
          <wp:inline distT="0" distB="0" distL="0" distR="0">
            <wp:extent cx="7637145" cy="5399405"/>
            <wp:effectExtent l="0" t="0" r="8255" b="10795"/>
            <wp:docPr id="1216790628" name="图片 3" descr="C:/Users/lianglong/Desktop/遥感影像图.png遥感影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90628" name="图片 3" descr="C:/Users/lianglong/Desktop/遥感影像图.png遥感影像图"/>
                    <pic:cNvPicPr>
                      <a:picLocks noChangeAspect="1"/>
                    </pic:cNvPicPr>
                  </pic:nvPicPr>
                  <pic:blipFill>
                    <a:blip r:embed="rId72"/>
                    <a:srcRect l="6" r="6"/>
                    <a:stretch>
                      <a:fillRect/>
                    </a:stretch>
                  </pic:blipFill>
                  <pic:spPr>
                    <a:xfrm>
                      <a:off x="0" y="0"/>
                      <a:ext cx="7637747" cy="5399405"/>
                    </a:xfrm>
                    <a:prstGeom prst="rect">
                      <a:avLst/>
                    </a:prstGeom>
                  </pic:spPr>
                </pic:pic>
              </a:graphicData>
            </a:graphic>
          </wp:inline>
        </w:drawing>
      </w:r>
    </w:p>
    <w:p w14:paraId="0D16AF32">
      <w:pPr>
        <w:ind w:firstLine="0" w:firstLineChars="0"/>
        <w:jc w:val="center"/>
        <w:rPr>
          <w:b/>
          <w:bCs/>
        </w:rPr>
      </w:pPr>
      <w:r>
        <w:rPr>
          <w:b/>
          <w:bCs/>
        </w:rPr>
        <w:t>图4.6-4</w:t>
      </w:r>
      <w:r>
        <w:rPr>
          <w:rFonts w:hint="eastAsia"/>
          <w:b/>
          <w:bCs/>
        </w:rPr>
        <w:t xml:space="preserve">   项目生态评价范围遥感影像</w:t>
      </w:r>
    </w:p>
    <w:p w14:paraId="08C179D8">
      <w:pPr>
        <w:ind w:firstLine="480"/>
        <w:sectPr>
          <w:pgSz w:w="16840" w:h="11907" w:orient="landscape"/>
          <w:pgMar w:top="1418" w:right="1418" w:bottom="1418" w:left="1418" w:header="964" w:footer="964" w:gutter="0"/>
          <w:cols w:space="720" w:num="1"/>
          <w:docGrid w:linePitch="312" w:charSpace="0"/>
        </w:sectPr>
      </w:pPr>
    </w:p>
    <w:p w14:paraId="55FF8B53">
      <w:pPr>
        <w:pStyle w:val="11"/>
      </w:pPr>
      <w:bookmarkStart w:id="340" w:name="_Toc160612887"/>
      <w:bookmarkStart w:id="341" w:name="_Toc166572307"/>
      <w:r>
        <w:rPr>
          <w:rFonts w:hint="eastAsia"/>
        </w:rPr>
        <w:t>4.6.5土地利用现状评价</w:t>
      </w:r>
      <w:bookmarkEnd w:id="340"/>
      <w:bookmarkEnd w:id="341"/>
    </w:p>
    <w:p w14:paraId="1A2ADE69">
      <w:pPr>
        <w:ind w:firstLine="480"/>
        <w:jc w:val="both"/>
      </w:pPr>
      <w:r>
        <w:rPr>
          <w:rFonts w:hint="eastAsia"/>
        </w:rPr>
        <w:t>参照全国土地利用现状调查技术规程和第二次全国土地调查所用分类系统-《土地利用现状分类》（GBT21010-2017），根据实地调查和遥感卫星影像，本工程评价区土地利用情况划分为4个一级类型和5个二级类型，具体的一级土地利用类型为：林地、住宅用地、交通运输用地、水域及水利设施用地等4类。</w:t>
      </w:r>
    </w:p>
    <w:p w14:paraId="76ACF73C">
      <w:pPr>
        <w:ind w:firstLine="480"/>
        <w:jc w:val="both"/>
      </w:pPr>
      <w:r>
        <w:rPr>
          <w:rFonts w:hint="eastAsia"/>
        </w:rPr>
        <w:t>评价区域所占比例最高为林地，占比为</w:t>
      </w:r>
      <w:r>
        <w:t>86.</w:t>
      </w:r>
      <w:r>
        <w:rPr>
          <w:rFonts w:hint="eastAsia"/>
        </w:rPr>
        <w:t>13%。其他占地比例分别为住宅用地</w:t>
      </w:r>
      <w:r>
        <w:t>0.0</w:t>
      </w:r>
      <w:r>
        <w:rPr>
          <w:rFonts w:hint="eastAsia"/>
        </w:rPr>
        <w:t>6%、水域及水利设施用地13%和交通运输用地0.81%。评价区域土地利用现状见表4.6-5和图4.6-7，土地利用类型图见4.6-9。</w:t>
      </w:r>
    </w:p>
    <w:p w14:paraId="7E0957E6">
      <w:pPr>
        <w:ind w:firstLine="480"/>
        <w:jc w:val="both"/>
      </w:pPr>
      <w:r>
        <w:rPr>
          <w:rFonts w:hint="eastAsia"/>
        </w:rPr>
        <w:t>本项目占地面积范围内土地利用类型全部为灌木林地（除林下草本植被）</w:t>
      </w:r>
      <w:r>
        <w:t>，占比</w:t>
      </w:r>
      <w:r>
        <w:rPr>
          <w:rFonts w:hint="eastAsia"/>
        </w:rPr>
        <w:t>100</w:t>
      </w:r>
      <w:r>
        <w:t>%。项目区域土地利用现状见表</w:t>
      </w:r>
      <w:r>
        <w:rPr>
          <w:rFonts w:hint="eastAsia"/>
        </w:rPr>
        <w:t>4.6-8。</w:t>
      </w:r>
    </w:p>
    <w:p w14:paraId="4319F1B7">
      <w:pPr>
        <w:ind w:firstLine="482"/>
        <w:jc w:val="center"/>
        <w:rPr>
          <w:b/>
          <w:bCs/>
        </w:rPr>
      </w:pPr>
      <w:r>
        <w:rPr>
          <w:rFonts w:hint="eastAsia"/>
          <w:b/>
          <w:bCs/>
        </w:rPr>
        <w:t>表4.6-5</w:t>
      </w:r>
      <w:r>
        <w:rPr>
          <w:b/>
          <w:bCs/>
        </w:rPr>
        <w:t xml:space="preserve">  评价区土地利用现状统计</w:t>
      </w:r>
    </w:p>
    <w:tbl>
      <w:tblPr>
        <w:tblStyle w:val="8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0"/>
        <w:gridCol w:w="2274"/>
        <w:gridCol w:w="1450"/>
        <w:gridCol w:w="1775"/>
        <w:gridCol w:w="1424"/>
      </w:tblGrid>
      <w:tr w14:paraId="4E4E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pct"/>
            <w:tcBorders>
              <w:tl2br w:val="nil"/>
              <w:tr2bl w:val="nil"/>
            </w:tcBorders>
            <w:noWrap/>
            <w:vAlign w:val="center"/>
          </w:tcPr>
          <w:p w14:paraId="3EB34D97">
            <w:pPr>
              <w:spacing w:line="240" w:lineRule="auto"/>
              <w:ind w:firstLine="0" w:firstLineChars="0"/>
              <w:jc w:val="center"/>
              <w:rPr>
                <w:b/>
                <w:bCs/>
                <w:sz w:val="21"/>
                <w:szCs w:val="21"/>
              </w:rPr>
            </w:pPr>
            <w:r>
              <w:rPr>
                <w:b/>
                <w:bCs/>
                <w:sz w:val="21"/>
                <w:szCs w:val="21"/>
              </w:rPr>
              <w:t>土地利用一级类型</w:t>
            </w:r>
          </w:p>
        </w:tc>
        <w:tc>
          <w:tcPr>
            <w:tcW w:w="1225" w:type="pct"/>
            <w:tcBorders>
              <w:tl2br w:val="nil"/>
              <w:tr2bl w:val="nil"/>
            </w:tcBorders>
            <w:noWrap/>
            <w:vAlign w:val="center"/>
          </w:tcPr>
          <w:p w14:paraId="406B4B3D">
            <w:pPr>
              <w:spacing w:line="240" w:lineRule="auto"/>
              <w:ind w:firstLine="0" w:firstLineChars="0"/>
              <w:jc w:val="center"/>
              <w:rPr>
                <w:b/>
                <w:bCs/>
                <w:sz w:val="21"/>
                <w:szCs w:val="21"/>
              </w:rPr>
            </w:pPr>
            <w:r>
              <w:rPr>
                <w:b/>
                <w:bCs/>
                <w:sz w:val="21"/>
                <w:szCs w:val="21"/>
              </w:rPr>
              <w:t>土地利用二级类型</w:t>
            </w:r>
          </w:p>
        </w:tc>
        <w:tc>
          <w:tcPr>
            <w:tcW w:w="781" w:type="pct"/>
            <w:tcBorders>
              <w:tl2br w:val="nil"/>
              <w:tr2bl w:val="nil"/>
            </w:tcBorders>
            <w:noWrap/>
            <w:vAlign w:val="center"/>
          </w:tcPr>
          <w:p w14:paraId="57ABA6F2">
            <w:pPr>
              <w:spacing w:line="240" w:lineRule="auto"/>
              <w:ind w:firstLine="0" w:firstLineChars="0"/>
              <w:jc w:val="center"/>
              <w:rPr>
                <w:b/>
                <w:bCs/>
                <w:sz w:val="21"/>
                <w:szCs w:val="21"/>
              </w:rPr>
            </w:pPr>
            <w:r>
              <w:rPr>
                <w:b/>
                <w:bCs/>
                <w:sz w:val="21"/>
                <w:szCs w:val="21"/>
              </w:rPr>
              <w:t>斑块数</w:t>
            </w:r>
          </w:p>
        </w:tc>
        <w:tc>
          <w:tcPr>
            <w:tcW w:w="956" w:type="pct"/>
            <w:tcBorders>
              <w:tl2br w:val="nil"/>
              <w:tr2bl w:val="nil"/>
            </w:tcBorders>
            <w:noWrap/>
            <w:vAlign w:val="center"/>
          </w:tcPr>
          <w:p w14:paraId="26EFB951">
            <w:pPr>
              <w:spacing w:line="240" w:lineRule="auto"/>
              <w:ind w:firstLine="0" w:firstLineChars="0"/>
              <w:jc w:val="center"/>
              <w:rPr>
                <w:b/>
                <w:bCs/>
                <w:sz w:val="21"/>
                <w:szCs w:val="21"/>
              </w:rPr>
            </w:pPr>
            <w:r>
              <w:rPr>
                <w:b/>
                <w:bCs/>
                <w:sz w:val="21"/>
                <w:szCs w:val="21"/>
              </w:rPr>
              <w:t>面积（公顷）</w:t>
            </w:r>
          </w:p>
        </w:tc>
        <w:tc>
          <w:tcPr>
            <w:tcW w:w="767" w:type="pct"/>
            <w:tcBorders>
              <w:tl2br w:val="nil"/>
              <w:tr2bl w:val="nil"/>
            </w:tcBorders>
            <w:vAlign w:val="center"/>
          </w:tcPr>
          <w:p w14:paraId="39593DF0">
            <w:pPr>
              <w:spacing w:line="240" w:lineRule="auto"/>
              <w:ind w:firstLine="0" w:firstLineChars="0"/>
              <w:jc w:val="center"/>
              <w:rPr>
                <w:b/>
                <w:bCs/>
                <w:sz w:val="21"/>
                <w:szCs w:val="21"/>
              </w:rPr>
            </w:pPr>
            <w:r>
              <w:rPr>
                <w:b/>
                <w:bCs/>
                <w:sz w:val="21"/>
                <w:szCs w:val="21"/>
              </w:rPr>
              <w:t>百分比</w:t>
            </w:r>
          </w:p>
        </w:tc>
      </w:tr>
      <w:tr w14:paraId="6A1C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pct"/>
            <w:tcBorders>
              <w:tl2br w:val="nil"/>
              <w:tr2bl w:val="nil"/>
            </w:tcBorders>
            <w:noWrap/>
            <w:vAlign w:val="center"/>
          </w:tcPr>
          <w:p w14:paraId="509753F7">
            <w:pPr>
              <w:spacing w:line="240" w:lineRule="auto"/>
              <w:ind w:firstLine="0" w:firstLineChars="0"/>
              <w:jc w:val="center"/>
              <w:rPr>
                <w:sz w:val="21"/>
                <w:szCs w:val="21"/>
              </w:rPr>
            </w:pPr>
            <w:r>
              <w:rPr>
                <w:sz w:val="21"/>
                <w:szCs w:val="21"/>
              </w:rPr>
              <w:t>一、林地</w:t>
            </w:r>
          </w:p>
        </w:tc>
        <w:tc>
          <w:tcPr>
            <w:tcW w:w="1225" w:type="pct"/>
            <w:tcBorders>
              <w:tl2br w:val="nil"/>
              <w:tr2bl w:val="nil"/>
            </w:tcBorders>
            <w:noWrap/>
            <w:vAlign w:val="center"/>
          </w:tcPr>
          <w:p w14:paraId="54E37337">
            <w:pPr>
              <w:spacing w:line="240" w:lineRule="auto"/>
              <w:ind w:firstLine="0" w:firstLineChars="0"/>
              <w:jc w:val="center"/>
              <w:rPr>
                <w:sz w:val="21"/>
                <w:szCs w:val="21"/>
              </w:rPr>
            </w:pPr>
            <w:r>
              <w:rPr>
                <w:sz w:val="21"/>
                <w:szCs w:val="21"/>
              </w:rPr>
              <w:t>灌木林地</w:t>
            </w:r>
          </w:p>
        </w:tc>
        <w:tc>
          <w:tcPr>
            <w:tcW w:w="1450" w:type="dxa"/>
            <w:tcBorders>
              <w:tl2br w:val="nil"/>
              <w:tr2bl w:val="nil"/>
            </w:tcBorders>
            <w:noWrap/>
            <w:vAlign w:val="center"/>
          </w:tcPr>
          <w:p w14:paraId="220381A2">
            <w:pPr>
              <w:spacing w:line="240" w:lineRule="auto"/>
              <w:ind w:firstLine="0" w:firstLineChars="0"/>
              <w:jc w:val="center"/>
              <w:textAlignment w:val="center"/>
              <w:rPr>
                <w:kern w:val="0"/>
                <w:sz w:val="21"/>
                <w:szCs w:val="21"/>
                <w:lang w:bidi="ar"/>
              </w:rPr>
            </w:pPr>
            <w:r>
              <w:rPr>
                <w:rFonts w:hint="eastAsia"/>
                <w:kern w:val="0"/>
                <w:sz w:val="21"/>
                <w:szCs w:val="21"/>
                <w:lang w:bidi="ar"/>
              </w:rPr>
              <w:t>100</w:t>
            </w:r>
          </w:p>
        </w:tc>
        <w:tc>
          <w:tcPr>
            <w:tcW w:w="1775" w:type="dxa"/>
            <w:tcBorders>
              <w:tl2br w:val="nil"/>
              <w:tr2bl w:val="nil"/>
            </w:tcBorders>
            <w:noWrap/>
            <w:vAlign w:val="center"/>
          </w:tcPr>
          <w:p w14:paraId="7EF925B1">
            <w:pPr>
              <w:spacing w:line="240" w:lineRule="auto"/>
              <w:ind w:firstLine="0" w:firstLineChars="0"/>
              <w:jc w:val="center"/>
              <w:textAlignment w:val="center"/>
              <w:rPr>
                <w:kern w:val="0"/>
                <w:sz w:val="21"/>
                <w:szCs w:val="21"/>
                <w:lang w:bidi="ar"/>
              </w:rPr>
            </w:pPr>
            <w:r>
              <w:rPr>
                <w:kern w:val="0"/>
                <w:sz w:val="21"/>
                <w:szCs w:val="21"/>
                <w:lang w:bidi="ar"/>
              </w:rPr>
              <w:t xml:space="preserve">525.18 </w:t>
            </w:r>
          </w:p>
        </w:tc>
        <w:tc>
          <w:tcPr>
            <w:tcW w:w="1424" w:type="dxa"/>
            <w:tcBorders>
              <w:tl2br w:val="nil"/>
              <w:tr2bl w:val="nil"/>
            </w:tcBorders>
            <w:noWrap/>
            <w:vAlign w:val="center"/>
          </w:tcPr>
          <w:p w14:paraId="7A96D860">
            <w:pPr>
              <w:spacing w:line="240" w:lineRule="auto"/>
              <w:ind w:firstLine="0" w:firstLineChars="0"/>
              <w:jc w:val="center"/>
              <w:textAlignment w:val="center"/>
              <w:rPr>
                <w:kern w:val="0"/>
                <w:sz w:val="21"/>
                <w:szCs w:val="21"/>
                <w:lang w:bidi="ar"/>
              </w:rPr>
            </w:pPr>
            <w:r>
              <w:rPr>
                <w:kern w:val="0"/>
                <w:sz w:val="21"/>
                <w:szCs w:val="21"/>
                <w:lang w:bidi="ar"/>
              </w:rPr>
              <w:t>86.13%</w:t>
            </w:r>
          </w:p>
        </w:tc>
      </w:tr>
      <w:tr w14:paraId="6A7F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pct"/>
            <w:tcBorders>
              <w:tl2br w:val="nil"/>
              <w:tr2bl w:val="nil"/>
            </w:tcBorders>
            <w:noWrap/>
            <w:vAlign w:val="center"/>
          </w:tcPr>
          <w:p w14:paraId="23579400">
            <w:pPr>
              <w:spacing w:line="240" w:lineRule="auto"/>
              <w:ind w:firstLine="0" w:firstLineChars="0"/>
              <w:jc w:val="center"/>
              <w:rPr>
                <w:sz w:val="21"/>
                <w:szCs w:val="21"/>
              </w:rPr>
            </w:pPr>
            <w:r>
              <w:rPr>
                <w:sz w:val="21"/>
                <w:szCs w:val="21"/>
              </w:rPr>
              <w:t>二、</w:t>
            </w:r>
            <w:r>
              <w:rPr>
                <w:rFonts w:hint="eastAsia"/>
                <w:sz w:val="21"/>
                <w:szCs w:val="21"/>
              </w:rPr>
              <w:t>住宅用地</w:t>
            </w:r>
          </w:p>
        </w:tc>
        <w:tc>
          <w:tcPr>
            <w:tcW w:w="1225" w:type="pct"/>
            <w:tcBorders>
              <w:tl2br w:val="nil"/>
              <w:tr2bl w:val="nil"/>
            </w:tcBorders>
            <w:noWrap/>
            <w:vAlign w:val="center"/>
          </w:tcPr>
          <w:p w14:paraId="64F9DEB7">
            <w:pPr>
              <w:spacing w:line="240" w:lineRule="auto"/>
              <w:ind w:firstLine="0" w:firstLineChars="0"/>
              <w:jc w:val="center"/>
              <w:rPr>
                <w:sz w:val="21"/>
                <w:szCs w:val="21"/>
              </w:rPr>
            </w:pPr>
            <w:r>
              <w:rPr>
                <w:rFonts w:hint="eastAsia"/>
                <w:sz w:val="21"/>
                <w:szCs w:val="21"/>
              </w:rPr>
              <w:t>农村宅基地</w:t>
            </w:r>
          </w:p>
        </w:tc>
        <w:tc>
          <w:tcPr>
            <w:tcW w:w="1450" w:type="dxa"/>
            <w:tcBorders>
              <w:tl2br w:val="nil"/>
              <w:tr2bl w:val="nil"/>
            </w:tcBorders>
            <w:noWrap/>
            <w:vAlign w:val="center"/>
          </w:tcPr>
          <w:p w14:paraId="12A87C82">
            <w:pPr>
              <w:spacing w:line="240" w:lineRule="auto"/>
              <w:ind w:firstLine="0" w:firstLineChars="0"/>
              <w:jc w:val="center"/>
              <w:textAlignment w:val="center"/>
              <w:rPr>
                <w:kern w:val="0"/>
                <w:sz w:val="21"/>
                <w:szCs w:val="21"/>
                <w:lang w:bidi="ar"/>
              </w:rPr>
            </w:pPr>
            <w:r>
              <w:rPr>
                <w:kern w:val="0"/>
                <w:sz w:val="21"/>
                <w:szCs w:val="21"/>
                <w:lang w:bidi="ar"/>
              </w:rPr>
              <w:t>2</w:t>
            </w:r>
          </w:p>
        </w:tc>
        <w:tc>
          <w:tcPr>
            <w:tcW w:w="1775" w:type="dxa"/>
            <w:tcBorders>
              <w:tl2br w:val="nil"/>
              <w:tr2bl w:val="nil"/>
            </w:tcBorders>
            <w:noWrap/>
            <w:vAlign w:val="center"/>
          </w:tcPr>
          <w:p w14:paraId="719493BF">
            <w:pPr>
              <w:spacing w:line="240" w:lineRule="auto"/>
              <w:ind w:firstLine="0" w:firstLineChars="0"/>
              <w:jc w:val="center"/>
              <w:textAlignment w:val="center"/>
              <w:rPr>
                <w:kern w:val="0"/>
                <w:sz w:val="21"/>
                <w:szCs w:val="21"/>
                <w:lang w:bidi="ar"/>
              </w:rPr>
            </w:pPr>
            <w:r>
              <w:rPr>
                <w:kern w:val="0"/>
                <w:sz w:val="21"/>
                <w:szCs w:val="21"/>
                <w:lang w:bidi="ar"/>
              </w:rPr>
              <w:t xml:space="preserve">0.35 </w:t>
            </w:r>
          </w:p>
        </w:tc>
        <w:tc>
          <w:tcPr>
            <w:tcW w:w="1424" w:type="dxa"/>
            <w:tcBorders>
              <w:tl2br w:val="nil"/>
              <w:tr2bl w:val="nil"/>
            </w:tcBorders>
            <w:noWrap/>
            <w:vAlign w:val="center"/>
          </w:tcPr>
          <w:p w14:paraId="7613D90A">
            <w:pPr>
              <w:spacing w:line="240" w:lineRule="auto"/>
              <w:ind w:firstLine="0" w:firstLineChars="0"/>
              <w:jc w:val="center"/>
              <w:textAlignment w:val="center"/>
              <w:rPr>
                <w:kern w:val="0"/>
                <w:sz w:val="21"/>
                <w:szCs w:val="21"/>
                <w:lang w:bidi="ar"/>
              </w:rPr>
            </w:pPr>
            <w:r>
              <w:rPr>
                <w:kern w:val="0"/>
                <w:sz w:val="21"/>
                <w:szCs w:val="21"/>
                <w:lang w:bidi="ar"/>
              </w:rPr>
              <w:t>0.06%</w:t>
            </w:r>
          </w:p>
        </w:tc>
      </w:tr>
      <w:tr w14:paraId="65B9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pct"/>
            <w:vMerge w:val="restart"/>
            <w:tcBorders>
              <w:tl2br w:val="nil"/>
              <w:tr2bl w:val="nil"/>
            </w:tcBorders>
            <w:noWrap/>
            <w:vAlign w:val="center"/>
          </w:tcPr>
          <w:p w14:paraId="7AEB623C">
            <w:pPr>
              <w:spacing w:line="240" w:lineRule="auto"/>
              <w:ind w:firstLine="0" w:firstLineChars="0"/>
              <w:jc w:val="center"/>
              <w:rPr>
                <w:sz w:val="21"/>
                <w:szCs w:val="21"/>
              </w:rPr>
            </w:pPr>
            <w:r>
              <w:rPr>
                <w:sz w:val="21"/>
                <w:szCs w:val="21"/>
              </w:rPr>
              <w:t>三、交通</w:t>
            </w:r>
            <w:r>
              <w:rPr>
                <w:rFonts w:hint="eastAsia"/>
                <w:sz w:val="21"/>
                <w:szCs w:val="21"/>
              </w:rPr>
              <w:t>运输</w:t>
            </w:r>
            <w:r>
              <w:rPr>
                <w:sz w:val="21"/>
                <w:szCs w:val="21"/>
              </w:rPr>
              <w:t>用地</w:t>
            </w:r>
          </w:p>
        </w:tc>
        <w:tc>
          <w:tcPr>
            <w:tcW w:w="1225" w:type="pct"/>
            <w:tcBorders>
              <w:tl2br w:val="nil"/>
              <w:tr2bl w:val="nil"/>
            </w:tcBorders>
            <w:noWrap/>
            <w:vAlign w:val="center"/>
          </w:tcPr>
          <w:p w14:paraId="215542C6">
            <w:pPr>
              <w:spacing w:line="240" w:lineRule="auto"/>
              <w:ind w:firstLine="0" w:firstLineChars="0"/>
              <w:jc w:val="center"/>
              <w:rPr>
                <w:sz w:val="21"/>
                <w:szCs w:val="21"/>
              </w:rPr>
            </w:pPr>
            <w:r>
              <w:rPr>
                <w:sz w:val="21"/>
                <w:szCs w:val="21"/>
              </w:rPr>
              <w:t>公路用地</w:t>
            </w:r>
          </w:p>
        </w:tc>
        <w:tc>
          <w:tcPr>
            <w:tcW w:w="1450" w:type="dxa"/>
            <w:tcBorders>
              <w:tl2br w:val="nil"/>
              <w:tr2bl w:val="nil"/>
            </w:tcBorders>
            <w:noWrap/>
            <w:vAlign w:val="center"/>
          </w:tcPr>
          <w:p w14:paraId="5CE66E7F">
            <w:pPr>
              <w:spacing w:line="240" w:lineRule="auto"/>
              <w:ind w:firstLine="0" w:firstLineChars="0"/>
              <w:jc w:val="center"/>
              <w:textAlignment w:val="center"/>
              <w:rPr>
                <w:kern w:val="0"/>
                <w:sz w:val="21"/>
                <w:szCs w:val="21"/>
                <w:lang w:bidi="ar"/>
              </w:rPr>
            </w:pPr>
            <w:r>
              <w:rPr>
                <w:kern w:val="0"/>
                <w:sz w:val="21"/>
                <w:szCs w:val="21"/>
                <w:lang w:bidi="ar"/>
              </w:rPr>
              <w:t>2</w:t>
            </w:r>
          </w:p>
        </w:tc>
        <w:tc>
          <w:tcPr>
            <w:tcW w:w="1775" w:type="dxa"/>
            <w:tcBorders>
              <w:tl2br w:val="nil"/>
              <w:tr2bl w:val="nil"/>
            </w:tcBorders>
            <w:noWrap/>
            <w:vAlign w:val="center"/>
          </w:tcPr>
          <w:p w14:paraId="3FD12D17">
            <w:pPr>
              <w:spacing w:line="240" w:lineRule="auto"/>
              <w:ind w:firstLine="0" w:firstLineChars="0"/>
              <w:jc w:val="center"/>
              <w:textAlignment w:val="center"/>
              <w:rPr>
                <w:kern w:val="0"/>
                <w:sz w:val="21"/>
                <w:szCs w:val="21"/>
                <w:lang w:bidi="ar"/>
              </w:rPr>
            </w:pPr>
            <w:r>
              <w:rPr>
                <w:kern w:val="0"/>
                <w:sz w:val="21"/>
                <w:szCs w:val="21"/>
                <w:lang w:bidi="ar"/>
              </w:rPr>
              <w:t xml:space="preserve">4.02 </w:t>
            </w:r>
          </w:p>
        </w:tc>
        <w:tc>
          <w:tcPr>
            <w:tcW w:w="1424" w:type="dxa"/>
            <w:tcBorders>
              <w:tl2br w:val="nil"/>
              <w:tr2bl w:val="nil"/>
            </w:tcBorders>
            <w:noWrap/>
            <w:vAlign w:val="center"/>
          </w:tcPr>
          <w:p w14:paraId="10C0C93F">
            <w:pPr>
              <w:spacing w:line="240" w:lineRule="auto"/>
              <w:ind w:firstLine="0" w:firstLineChars="0"/>
              <w:jc w:val="center"/>
              <w:textAlignment w:val="center"/>
              <w:rPr>
                <w:kern w:val="0"/>
                <w:sz w:val="21"/>
                <w:szCs w:val="21"/>
                <w:lang w:bidi="ar"/>
              </w:rPr>
            </w:pPr>
            <w:r>
              <w:rPr>
                <w:kern w:val="0"/>
                <w:sz w:val="21"/>
                <w:szCs w:val="21"/>
                <w:lang w:bidi="ar"/>
              </w:rPr>
              <w:t>0.66%</w:t>
            </w:r>
          </w:p>
        </w:tc>
      </w:tr>
      <w:tr w14:paraId="0AE1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pct"/>
            <w:vMerge w:val="continue"/>
            <w:tcBorders>
              <w:tl2br w:val="nil"/>
              <w:tr2bl w:val="nil"/>
            </w:tcBorders>
            <w:noWrap/>
            <w:vAlign w:val="center"/>
          </w:tcPr>
          <w:p w14:paraId="645B38BC">
            <w:pPr>
              <w:spacing w:line="240" w:lineRule="auto"/>
              <w:ind w:firstLine="0" w:firstLineChars="0"/>
              <w:jc w:val="center"/>
              <w:rPr>
                <w:sz w:val="21"/>
                <w:szCs w:val="21"/>
              </w:rPr>
            </w:pPr>
          </w:p>
        </w:tc>
        <w:tc>
          <w:tcPr>
            <w:tcW w:w="1225" w:type="pct"/>
            <w:tcBorders>
              <w:tl2br w:val="nil"/>
              <w:tr2bl w:val="nil"/>
            </w:tcBorders>
            <w:noWrap/>
            <w:vAlign w:val="center"/>
          </w:tcPr>
          <w:p w14:paraId="25696331">
            <w:pPr>
              <w:spacing w:line="240" w:lineRule="auto"/>
              <w:ind w:firstLine="0" w:firstLineChars="0"/>
              <w:jc w:val="center"/>
              <w:rPr>
                <w:sz w:val="21"/>
                <w:szCs w:val="21"/>
              </w:rPr>
            </w:pPr>
            <w:r>
              <w:rPr>
                <w:rFonts w:hint="eastAsia"/>
                <w:sz w:val="21"/>
                <w:szCs w:val="21"/>
              </w:rPr>
              <w:t>农村道路</w:t>
            </w:r>
          </w:p>
        </w:tc>
        <w:tc>
          <w:tcPr>
            <w:tcW w:w="1450" w:type="dxa"/>
            <w:tcBorders>
              <w:tl2br w:val="nil"/>
              <w:tr2bl w:val="nil"/>
            </w:tcBorders>
            <w:noWrap/>
            <w:vAlign w:val="center"/>
          </w:tcPr>
          <w:p w14:paraId="57781BFF">
            <w:pPr>
              <w:spacing w:line="240" w:lineRule="auto"/>
              <w:ind w:firstLine="0" w:firstLineChars="0"/>
              <w:jc w:val="center"/>
              <w:textAlignment w:val="center"/>
              <w:rPr>
                <w:kern w:val="0"/>
                <w:sz w:val="21"/>
                <w:szCs w:val="21"/>
                <w:lang w:bidi="ar"/>
              </w:rPr>
            </w:pPr>
            <w:r>
              <w:rPr>
                <w:kern w:val="0"/>
                <w:sz w:val="21"/>
                <w:szCs w:val="21"/>
                <w:lang w:bidi="ar"/>
              </w:rPr>
              <w:t>1</w:t>
            </w:r>
          </w:p>
        </w:tc>
        <w:tc>
          <w:tcPr>
            <w:tcW w:w="1775" w:type="dxa"/>
            <w:tcBorders>
              <w:tl2br w:val="nil"/>
              <w:tr2bl w:val="nil"/>
            </w:tcBorders>
            <w:noWrap/>
            <w:vAlign w:val="center"/>
          </w:tcPr>
          <w:p w14:paraId="5E1DFF8C">
            <w:pPr>
              <w:spacing w:line="240" w:lineRule="auto"/>
              <w:ind w:firstLine="0" w:firstLineChars="0"/>
              <w:jc w:val="center"/>
              <w:textAlignment w:val="center"/>
              <w:rPr>
                <w:kern w:val="0"/>
                <w:sz w:val="21"/>
                <w:szCs w:val="21"/>
                <w:lang w:bidi="ar"/>
              </w:rPr>
            </w:pPr>
            <w:r>
              <w:rPr>
                <w:kern w:val="0"/>
                <w:sz w:val="21"/>
                <w:szCs w:val="21"/>
                <w:lang w:bidi="ar"/>
              </w:rPr>
              <w:t xml:space="preserve">0.91 </w:t>
            </w:r>
          </w:p>
        </w:tc>
        <w:tc>
          <w:tcPr>
            <w:tcW w:w="1424" w:type="dxa"/>
            <w:tcBorders>
              <w:tl2br w:val="nil"/>
              <w:tr2bl w:val="nil"/>
            </w:tcBorders>
            <w:noWrap/>
            <w:vAlign w:val="center"/>
          </w:tcPr>
          <w:p w14:paraId="201A2F43">
            <w:pPr>
              <w:spacing w:line="240" w:lineRule="auto"/>
              <w:ind w:firstLine="0" w:firstLineChars="0"/>
              <w:jc w:val="center"/>
              <w:textAlignment w:val="center"/>
              <w:rPr>
                <w:kern w:val="0"/>
                <w:sz w:val="21"/>
                <w:szCs w:val="21"/>
                <w:lang w:bidi="ar"/>
              </w:rPr>
            </w:pPr>
            <w:r>
              <w:rPr>
                <w:kern w:val="0"/>
                <w:sz w:val="21"/>
                <w:szCs w:val="21"/>
                <w:lang w:bidi="ar"/>
              </w:rPr>
              <w:t>0.15%</w:t>
            </w:r>
          </w:p>
        </w:tc>
      </w:tr>
      <w:tr w14:paraId="10F9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pct"/>
            <w:tcBorders>
              <w:tl2br w:val="nil"/>
              <w:tr2bl w:val="nil"/>
            </w:tcBorders>
            <w:noWrap/>
            <w:vAlign w:val="center"/>
          </w:tcPr>
          <w:p w14:paraId="06BC91F4">
            <w:pPr>
              <w:spacing w:line="240" w:lineRule="auto"/>
              <w:ind w:firstLine="0" w:firstLineChars="0"/>
              <w:jc w:val="center"/>
              <w:rPr>
                <w:sz w:val="21"/>
                <w:szCs w:val="21"/>
              </w:rPr>
            </w:pPr>
            <w:r>
              <w:rPr>
                <w:sz w:val="21"/>
                <w:szCs w:val="21"/>
              </w:rPr>
              <w:t>四、</w:t>
            </w:r>
            <w:r>
              <w:rPr>
                <w:rFonts w:hint="eastAsia"/>
                <w:sz w:val="21"/>
                <w:szCs w:val="21"/>
              </w:rPr>
              <w:t>其他</w:t>
            </w:r>
          </w:p>
        </w:tc>
        <w:tc>
          <w:tcPr>
            <w:tcW w:w="1225" w:type="pct"/>
            <w:tcBorders>
              <w:tl2br w:val="nil"/>
              <w:tr2bl w:val="nil"/>
            </w:tcBorders>
            <w:noWrap/>
            <w:vAlign w:val="center"/>
          </w:tcPr>
          <w:p w14:paraId="735FA0A1">
            <w:pPr>
              <w:spacing w:line="240" w:lineRule="auto"/>
              <w:ind w:firstLine="0" w:firstLineChars="0"/>
              <w:jc w:val="center"/>
              <w:rPr>
                <w:sz w:val="21"/>
                <w:szCs w:val="21"/>
              </w:rPr>
            </w:pPr>
            <w:r>
              <w:rPr>
                <w:rFonts w:hint="eastAsia"/>
                <w:sz w:val="21"/>
                <w:szCs w:val="21"/>
              </w:rPr>
              <w:t>干河床</w:t>
            </w:r>
          </w:p>
        </w:tc>
        <w:tc>
          <w:tcPr>
            <w:tcW w:w="1450" w:type="dxa"/>
            <w:tcBorders>
              <w:tl2br w:val="nil"/>
              <w:tr2bl w:val="nil"/>
            </w:tcBorders>
            <w:noWrap/>
            <w:vAlign w:val="center"/>
          </w:tcPr>
          <w:p w14:paraId="7486EFE6">
            <w:pPr>
              <w:spacing w:line="240" w:lineRule="auto"/>
              <w:ind w:firstLine="0" w:firstLineChars="0"/>
              <w:jc w:val="center"/>
              <w:textAlignment w:val="center"/>
              <w:rPr>
                <w:kern w:val="0"/>
                <w:sz w:val="21"/>
                <w:szCs w:val="21"/>
                <w:lang w:bidi="ar"/>
              </w:rPr>
            </w:pPr>
            <w:r>
              <w:rPr>
                <w:kern w:val="0"/>
                <w:sz w:val="21"/>
                <w:szCs w:val="21"/>
                <w:lang w:bidi="ar"/>
              </w:rPr>
              <w:t>39</w:t>
            </w:r>
          </w:p>
        </w:tc>
        <w:tc>
          <w:tcPr>
            <w:tcW w:w="1775" w:type="dxa"/>
            <w:tcBorders>
              <w:tl2br w:val="nil"/>
              <w:tr2bl w:val="nil"/>
            </w:tcBorders>
            <w:noWrap/>
            <w:vAlign w:val="center"/>
          </w:tcPr>
          <w:p w14:paraId="228C727D">
            <w:pPr>
              <w:spacing w:line="240" w:lineRule="auto"/>
              <w:ind w:firstLine="0" w:firstLineChars="0"/>
              <w:jc w:val="center"/>
              <w:textAlignment w:val="center"/>
              <w:rPr>
                <w:kern w:val="0"/>
                <w:sz w:val="21"/>
                <w:szCs w:val="21"/>
                <w:lang w:bidi="ar"/>
              </w:rPr>
            </w:pPr>
            <w:r>
              <w:rPr>
                <w:kern w:val="0"/>
                <w:sz w:val="21"/>
                <w:szCs w:val="21"/>
                <w:lang w:bidi="ar"/>
              </w:rPr>
              <w:t xml:space="preserve">79.29 </w:t>
            </w:r>
          </w:p>
        </w:tc>
        <w:tc>
          <w:tcPr>
            <w:tcW w:w="1424" w:type="dxa"/>
            <w:tcBorders>
              <w:tl2br w:val="nil"/>
              <w:tr2bl w:val="nil"/>
            </w:tcBorders>
            <w:noWrap/>
            <w:vAlign w:val="center"/>
          </w:tcPr>
          <w:p w14:paraId="1ABC9798">
            <w:pPr>
              <w:spacing w:line="240" w:lineRule="auto"/>
              <w:ind w:firstLine="0" w:firstLineChars="0"/>
              <w:jc w:val="center"/>
              <w:textAlignment w:val="center"/>
              <w:rPr>
                <w:kern w:val="0"/>
                <w:sz w:val="21"/>
                <w:szCs w:val="21"/>
                <w:lang w:bidi="ar"/>
              </w:rPr>
            </w:pPr>
            <w:r>
              <w:rPr>
                <w:kern w:val="0"/>
                <w:sz w:val="21"/>
                <w:szCs w:val="21"/>
                <w:lang w:bidi="ar"/>
              </w:rPr>
              <w:t>13.00%</w:t>
            </w:r>
          </w:p>
        </w:tc>
      </w:tr>
      <w:tr w14:paraId="7C5E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pct"/>
            <w:gridSpan w:val="2"/>
            <w:tcBorders>
              <w:tl2br w:val="nil"/>
              <w:tr2bl w:val="nil"/>
            </w:tcBorders>
            <w:noWrap/>
            <w:vAlign w:val="center"/>
          </w:tcPr>
          <w:p w14:paraId="7199917B">
            <w:pPr>
              <w:spacing w:line="240" w:lineRule="auto"/>
              <w:ind w:firstLine="0" w:firstLineChars="0"/>
              <w:jc w:val="center"/>
              <w:rPr>
                <w:sz w:val="21"/>
                <w:szCs w:val="21"/>
              </w:rPr>
            </w:pPr>
            <w:r>
              <w:rPr>
                <w:sz w:val="21"/>
                <w:szCs w:val="21"/>
              </w:rPr>
              <w:t>合计</w:t>
            </w:r>
          </w:p>
        </w:tc>
        <w:tc>
          <w:tcPr>
            <w:tcW w:w="781" w:type="pct"/>
            <w:tcBorders>
              <w:tl2br w:val="nil"/>
              <w:tr2bl w:val="nil"/>
            </w:tcBorders>
            <w:noWrap/>
            <w:vAlign w:val="center"/>
          </w:tcPr>
          <w:p w14:paraId="3B9493E4">
            <w:pPr>
              <w:spacing w:line="240" w:lineRule="auto"/>
              <w:ind w:firstLine="0" w:firstLineChars="0"/>
              <w:jc w:val="center"/>
              <w:textAlignment w:val="center"/>
              <w:rPr>
                <w:sz w:val="21"/>
                <w:szCs w:val="21"/>
              </w:rPr>
            </w:pPr>
            <w:r>
              <w:rPr>
                <w:rFonts w:hint="eastAsia"/>
                <w:kern w:val="0"/>
                <w:sz w:val="21"/>
                <w:szCs w:val="21"/>
                <w:lang w:bidi="ar"/>
              </w:rPr>
              <w:t>144</w:t>
            </w:r>
          </w:p>
        </w:tc>
        <w:tc>
          <w:tcPr>
            <w:tcW w:w="956" w:type="pct"/>
            <w:tcBorders>
              <w:tl2br w:val="nil"/>
              <w:tr2bl w:val="nil"/>
            </w:tcBorders>
            <w:noWrap/>
            <w:vAlign w:val="center"/>
          </w:tcPr>
          <w:p w14:paraId="338A415C">
            <w:pPr>
              <w:spacing w:line="240" w:lineRule="auto"/>
              <w:ind w:firstLine="0" w:firstLineChars="0"/>
              <w:jc w:val="center"/>
              <w:textAlignment w:val="center"/>
              <w:rPr>
                <w:sz w:val="21"/>
                <w:szCs w:val="21"/>
              </w:rPr>
            </w:pPr>
            <w:r>
              <w:rPr>
                <w:rFonts w:hint="eastAsia"/>
                <w:sz w:val="21"/>
                <w:szCs w:val="21"/>
              </w:rPr>
              <w:t>609.76</w:t>
            </w:r>
          </w:p>
        </w:tc>
        <w:tc>
          <w:tcPr>
            <w:tcW w:w="767" w:type="pct"/>
            <w:tcBorders>
              <w:tl2br w:val="nil"/>
              <w:tr2bl w:val="nil"/>
            </w:tcBorders>
            <w:noWrap/>
            <w:vAlign w:val="center"/>
          </w:tcPr>
          <w:p w14:paraId="764131FB">
            <w:pPr>
              <w:spacing w:line="240" w:lineRule="auto"/>
              <w:ind w:firstLine="0" w:firstLineChars="0"/>
              <w:jc w:val="center"/>
              <w:textAlignment w:val="center"/>
              <w:rPr>
                <w:sz w:val="21"/>
                <w:szCs w:val="21"/>
              </w:rPr>
            </w:pPr>
            <w:r>
              <w:rPr>
                <w:kern w:val="0"/>
                <w:sz w:val="21"/>
                <w:szCs w:val="21"/>
                <w:lang w:bidi="ar"/>
              </w:rPr>
              <w:t>100.00%</w:t>
            </w:r>
          </w:p>
        </w:tc>
      </w:tr>
    </w:tbl>
    <w:p w14:paraId="6D367286">
      <w:pPr>
        <w:ind w:firstLine="480"/>
      </w:pPr>
    </w:p>
    <w:p w14:paraId="293427E8">
      <w:pPr>
        <w:pStyle w:val="80"/>
        <w:ind w:firstLine="200"/>
        <w:jc w:val="center"/>
        <w:rPr>
          <w:highlight w:val="green"/>
        </w:rPr>
      </w:pPr>
      <w:r>
        <w:drawing>
          <wp:inline distT="0" distB="0" distL="0" distR="0">
            <wp:extent cx="4572000" cy="2743200"/>
            <wp:effectExtent l="0" t="0" r="0" b="0"/>
            <wp:docPr id="88153171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5187C2A">
      <w:pPr>
        <w:ind w:firstLine="0" w:firstLineChars="0"/>
        <w:jc w:val="center"/>
        <w:rPr>
          <w:b/>
          <w:bCs/>
        </w:rPr>
      </w:pPr>
      <w:r>
        <w:rPr>
          <w:rFonts w:hint="eastAsia"/>
          <w:b/>
          <w:bCs/>
        </w:rPr>
        <w:t xml:space="preserve">图4.6.7   </w:t>
      </w:r>
      <w:r>
        <w:rPr>
          <w:b/>
          <w:bCs/>
        </w:rPr>
        <w:t>评</w:t>
      </w:r>
      <w:r>
        <w:rPr>
          <w:rFonts w:hint="eastAsia"/>
          <w:b/>
          <w:bCs/>
        </w:rPr>
        <w:t>价</w:t>
      </w:r>
      <w:r>
        <w:rPr>
          <w:b/>
          <w:bCs/>
        </w:rPr>
        <w:t>区土地利用现状饼图</w:t>
      </w:r>
    </w:p>
    <w:p w14:paraId="61ACFEB9">
      <w:pPr>
        <w:ind w:firstLine="480"/>
      </w:pPr>
    </w:p>
    <w:p w14:paraId="6DCEC8FC">
      <w:pPr>
        <w:pStyle w:val="81"/>
        <w:ind w:left="480" w:firstLine="480"/>
      </w:pPr>
    </w:p>
    <w:p w14:paraId="04739A7C">
      <w:pPr>
        <w:ind w:firstLine="480"/>
      </w:pPr>
    </w:p>
    <w:p w14:paraId="7023D3A3">
      <w:pPr>
        <w:ind w:firstLine="482"/>
        <w:jc w:val="center"/>
        <w:rPr>
          <w:b/>
          <w:bCs/>
        </w:rPr>
      </w:pPr>
      <w:r>
        <w:rPr>
          <w:rFonts w:hint="eastAsia"/>
          <w:b/>
          <w:bCs/>
        </w:rPr>
        <w:t xml:space="preserve">表4.6-6 </w:t>
      </w:r>
      <w:r>
        <w:rPr>
          <w:b/>
          <w:bCs/>
        </w:rPr>
        <w:t xml:space="preserve">  </w:t>
      </w:r>
      <w:r>
        <w:rPr>
          <w:rFonts w:hint="eastAsia"/>
          <w:b/>
          <w:bCs/>
        </w:rPr>
        <w:t>项目区</w:t>
      </w:r>
      <w:r>
        <w:rPr>
          <w:b/>
          <w:bCs/>
        </w:rPr>
        <w:t>土地利用现状统计</w:t>
      </w:r>
    </w:p>
    <w:tbl>
      <w:tblPr>
        <w:tblStyle w:val="8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4"/>
        <w:gridCol w:w="2413"/>
        <w:gridCol w:w="1439"/>
        <w:gridCol w:w="1775"/>
        <w:gridCol w:w="1129"/>
      </w:tblGrid>
      <w:tr w14:paraId="00A8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0" w:type="pct"/>
            <w:tcBorders>
              <w:tl2br w:val="nil"/>
              <w:tr2bl w:val="nil"/>
            </w:tcBorders>
            <w:noWrap/>
            <w:vAlign w:val="center"/>
          </w:tcPr>
          <w:p w14:paraId="71E2DD9D">
            <w:pPr>
              <w:spacing w:line="360" w:lineRule="exact"/>
              <w:ind w:firstLine="0" w:firstLineChars="0"/>
              <w:jc w:val="center"/>
              <w:rPr>
                <w:b/>
                <w:bCs/>
                <w:sz w:val="21"/>
                <w:szCs w:val="21"/>
              </w:rPr>
            </w:pPr>
            <w:r>
              <w:rPr>
                <w:b/>
                <w:bCs/>
                <w:sz w:val="21"/>
                <w:szCs w:val="21"/>
              </w:rPr>
              <w:t>土地利用一级类型</w:t>
            </w:r>
          </w:p>
        </w:tc>
        <w:tc>
          <w:tcPr>
            <w:tcW w:w="1299" w:type="pct"/>
            <w:tcBorders>
              <w:tl2br w:val="nil"/>
              <w:tr2bl w:val="nil"/>
            </w:tcBorders>
            <w:noWrap/>
            <w:vAlign w:val="center"/>
          </w:tcPr>
          <w:p w14:paraId="1690A0A8">
            <w:pPr>
              <w:spacing w:line="360" w:lineRule="exact"/>
              <w:ind w:firstLine="0" w:firstLineChars="0"/>
              <w:jc w:val="center"/>
              <w:rPr>
                <w:b/>
                <w:bCs/>
                <w:sz w:val="21"/>
                <w:szCs w:val="21"/>
              </w:rPr>
            </w:pPr>
            <w:r>
              <w:rPr>
                <w:b/>
                <w:bCs/>
                <w:sz w:val="21"/>
                <w:szCs w:val="21"/>
              </w:rPr>
              <w:t>土地利用二级类型</w:t>
            </w:r>
          </w:p>
        </w:tc>
        <w:tc>
          <w:tcPr>
            <w:tcW w:w="775" w:type="pct"/>
            <w:tcBorders>
              <w:tl2br w:val="nil"/>
              <w:tr2bl w:val="nil"/>
            </w:tcBorders>
            <w:noWrap/>
            <w:vAlign w:val="center"/>
          </w:tcPr>
          <w:p w14:paraId="4A340A45">
            <w:pPr>
              <w:spacing w:line="360" w:lineRule="exact"/>
              <w:ind w:firstLine="0" w:firstLineChars="0"/>
              <w:jc w:val="center"/>
              <w:rPr>
                <w:b/>
                <w:bCs/>
                <w:sz w:val="21"/>
                <w:szCs w:val="21"/>
              </w:rPr>
            </w:pPr>
            <w:r>
              <w:rPr>
                <w:b/>
                <w:bCs/>
                <w:sz w:val="21"/>
                <w:szCs w:val="21"/>
              </w:rPr>
              <w:t>斑块数</w:t>
            </w:r>
          </w:p>
        </w:tc>
        <w:tc>
          <w:tcPr>
            <w:tcW w:w="956" w:type="pct"/>
            <w:tcBorders>
              <w:tl2br w:val="nil"/>
              <w:tr2bl w:val="nil"/>
            </w:tcBorders>
            <w:noWrap/>
            <w:vAlign w:val="center"/>
          </w:tcPr>
          <w:p w14:paraId="3475C24E">
            <w:pPr>
              <w:spacing w:line="360" w:lineRule="exact"/>
              <w:ind w:firstLine="0" w:firstLineChars="0"/>
              <w:jc w:val="center"/>
              <w:rPr>
                <w:b/>
                <w:bCs/>
                <w:sz w:val="21"/>
                <w:szCs w:val="21"/>
              </w:rPr>
            </w:pPr>
            <w:r>
              <w:rPr>
                <w:b/>
                <w:bCs/>
                <w:sz w:val="21"/>
                <w:szCs w:val="21"/>
              </w:rPr>
              <w:t>面积（公顷）</w:t>
            </w:r>
          </w:p>
        </w:tc>
        <w:tc>
          <w:tcPr>
            <w:tcW w:w="608" w:type="pct"/>
            <w:tcBorders>
              <w:tl2br w:val="nil"/>
              <w:tr2bl w:val="nil"/>
            </w:tcBorders>
            <w:vAlign w:val="center"/>
          </w:tcPr>
          <w:p w14:paraId="2C76E4E5">
            <w:pPr>
              <w:spacing w:line="360" w:lineRule="exact"/>
              <w:ind w:firstLine="0" w:firstLineChars="0"/>
              <w:jc w:val="center"/>
              <w:rPr>
                <w:b/>
                <w:bCs/>
                <w:sz w:val="21"/>
                <w:szCs w:val="21"/>
              </w:rPr>
            </w:pPr>
            <w:r>
              <w:rPr>
                <w:b/>
                <w:bCs/>
                <w:sz w:val="21"/>
                <w:szCs w:val="21"/>
              </w:rPr>
              <w:t>百分比</w:t>
            </w:r>
          </w:p>
        </w:tc>
      </w:tr>
      <w:tr w14:paraId="45AD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0" w:type="pct"/>
            <w:tcBorders>
              <w:tl2br w:val="nil"/>
              <w:tr2bl w:val="nil"/>
            </w:tcBorders>
            <w:noWrap/>
            <w:vAlign w:val="center"/>
          </w:tcPr>
          <w:p w14:paraId="682D2F3E">
            <w:pPr>
              <w:spacing w:line="360" w:lineRule="exact"/>
              <w:ind w:firstLine="0" w:firstLineChars="0"/>
              <w:jc w:val="center"/>
              <w:rPr>
                <w:sz w:val="21"/>
                <w:szCs w:val="21"/>
              </w:rPr>
            </w:pPr>
            <w:r>
              <w:rPr>
                <w:sz w:val="21"/>
                <w:szCs w:val="21"/>
              </w:rPr>
              <w:t>一、林地</w:t>
            </w:r>
          </w:p>
        </w:tc>
        <w:tc>
          <w:tcPr>
            <w:tcW w:w="1299" w:type="pct"/>
            <w:tcBorders>
              <w:tl2br w:val="nil"/>
              <w:tr2bl w:val="nil"/>
            </w:tcBorders>
            <w:noWrap/>
            <w:vAlign w:val="center"/>
          </w:tcPr>
          <w:p w14:paraId="0BFB9DB1">
            <w:pPr>
              <w:spacing w:line="360" w:lineRule="exact"/>
              <w:ind w:firstLine="0" w:firstLineChars="0"/>
              <w:jc w:val="center"/>
              <w:rPr>
                <w:sz w:val="21"/>
                <w:szCs w:val="21"/>
              </w:rPr>
            </w:pPr>
            <w:r>
              <w:rPr>
                <w:sz w:val="21"/>
                <w:szCs w:val="21"/>
              </w:rPr>
              <w:t>灌木林地</w:t>
            </w:r>
          </w:p>
        </w:tc>
        <w:tc>
          <w:tcPr>
            <w:tcW w:w="775" w:type="pct"/>
            <w:tcBorders>
              <w:tl2br w:val="nil"/>
              <w:tr2bl w:val="nil"/>
            </w:tcBorders>
            <w:noWrap/>
            <w:vAlign w:val="center"/>
          </w:tcPr>
          <w:p w14:paraId="2E913CA0">
            <w:pPr>
              <w:spacing w:line="360" w:lineRule="exact"/>
              <w:ind w:firstLine="0" w:firstLineChars="0"/>
              <w:jc w:val="center"/>
              <w:rPr>
                <w:sz w:val="21"/>
                <w:szCs w:val="21"/>
              </w:rPr>
            </w:pPr>
            <w:r>
              <w:rPr>
                <w:rFonts w:hint="eastAsia"/>
                <w:sz w:val="21"/>
                <w:szCs w:val="21"/>
              </w:rPr>
              <w:t>11</w:t>
            </w:r>
          </w:p>
        </w:tc>
        <w:tc>
          <w:tcPr>
            <w:tcW w:w="956" w:type="pct"/>
            <w:tcBorders>
              <w:tl2br w:val="nil"/>
              <w:tr2bl w:val="nil"/>
            </w:tcBorders>
            <w:noWrap/>
            <w:vAlign w:val="center"/>
          </w:tcPr>
          <w:p w14:paraId="3C7E0495">
            <w:pPr>
              <w:spacing w:line="360" w:lineRule="exact"/>
              <w:ind w:firstLine="0" w:firstLineChars="0"/>
              <w:jc w:val="center"/>
              <w:rPr>
                <w:sz w:val="21"/>
                <w:szCs w:val="21"/>
              </w:rPr>
            </w:pPr>
            <w:r>
              <w:rPr>
                <w:sz w:val="21"/>
                <w:szCs w:val="21"/>
              </w:rPr>
              <w:t xml:space="preserve">28.02 </w:t>
            </w:r>
          </w:p>
        </w:tc>
        <w:tc>
          <w:tcPr>
            <w:tcW w:w="608" w:type="pct"/>
            <w:tcBorders>
              <w:tl2br w:val="nil"/>
              <w:tr2bl w:val="nil"/>
            </w:tcBorders>
            <w:noWrap/>
            <w:vAlign w:val="center"/>
          </w:tcPr>
          <w:p w14:paraId="4F7B7F68">
            <w:pPr>
              <w:spacing w:line="360" w:lineRule="exact"/>
              <w:ind w:firstLine="0" w:firstLineChars="0"/>
              <w:jc w:val="center"/>
              <w:rPr>
                <w:sz w:val="21"/>
                <w:szCs w:val="21"/>
              </w:rPr>
            </w:pPr>
            <w:r>
              <w:rPr>
                <w:rFonts w:hint="eastAsia"/>
                <w:sz w:val="21"/>
                <w:szCs w:val="21"/>
              </w:rPr>
              <w:t>100%</w:t>
            </w:r>
          </w:p>
        </w:tc>
      </w:tr>
      <w:tr w14:paraId="5F34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2660" w:type="pct"/>
            <w:gridSpan w:val="2"/>
            <w:tcBorders>
              <w:tl2br w:val="nil"/>
              <w:tr2bl w:val="nil"/>
            </w:tcBorders>
            <w:noWrap/>
            <w:vAlign w:val="center"/>
          </w:tcPr>
          <w:p w14:paraId="392B5919">
            <w:pPr>
              <w:spacing w:line="360" w:lineRule="exact"/>
              <w:ind w:firstLine="0" w:firstLineChars="0"/>
              <w:jc w:val="center"/>
              <w:rPr>
                <w:sz w:val="21"/>
                <w:szCs w:val="21"/>
              </w:rPr>
            </w:pPr>
            <w:r>
              <w:rPr>
                <w:sz w:val="21"/>
                <w:szCs w:val="21"/>
              </w:rPr>
              <w:t>合计</w:t>
            </w:r>
          </w:p>
        </w:tc>
        <w:tc>
          <w:tcPr>
            <w:tcW w:w="775" w:type="pct"/>
            <w:tcBorders>
              <w:tl2br w:val="nil"/>
              <w:tr2bl w:val="nil"/>
            </w:tcBorders>
            <w:noWrap/>
            <w:vAlign w:val="center"/>
          </w:tcPr>
          <w:p w14:paraId="57E0346F">
            <w:pPr>
              <w:spacing w:line="360" w:lineRule="exact"/>
              <w:ind w:firstLine="0" w:firstLineChars="0"/>
              <w:jc w:val="center"/>
              <w:rPr>
                <w:sz w:val="21"/>
                <w:szCs w:val="21"/>
              </w:rPr>
            </w:pPr>
            <w:r>
              <w:rPr>
                <w:rFonts w:hint="eastAsia"/>
                <w:sz w:val="21"/>
                <w:szCs w:val="21"/>
              </w:rPr>
              <w:t>11</w:t>
            </w:r>
          </w:p>
        </w:tc>
        <w:tc>
          <w:tcPr>
            <w:tcW w:w="956" w:type="pct"/>
            <w:tcBorders>
              <w:tl2br w:val="nil"/>
              <w:tr2bl w:val="nil"/>
            </w:tcBorders>
            <w:noWrap/>
            <w:vAlign w:val="center"/>
          </w:tcPr>
          <w:p w14:paraId="52E68F7D">
            <w:pPr>
              <w:spacing w:line="360" w:lineRule="exact"/>
              <w:ind w:firstLine="0" w:firstLineChars="0"/>
              <w:jc w:val="center"/>
              <w:rPr>
                <w:sz w:val="21"/>
                <w:szCs w:val="21"/>
              </w:rPr>
            </w:pPr>
            <w:r>
              <w:rPr>
                <w:sz w:val="21"/>
                <w:szCs w:val="21"/>
              </w:rPr>
              <w:t xml:space="preserve">28.02 </w:t>
            </w:r>
          </w:p>
        </w:tc>
        <w:tc>
          <w:tcPr>
            <w:tcW w:w="608" w:type="pct"/>
            <w:tcBorders>
              <w:tl2br w:val="nil"/>
              <w:tr2bl w:val="nil"/>
            </w:tcBorders>
            <w:noWrap/>
            <w:vAlign w:val="center"/>
          </w:tcPr>
          <w:p w14:paraId="04AEAA96">
            <w:pPr>
              <w:spacing w:line="360" w:lineRule="exact"/>
              <w:ind w:firstLine="0" w:firstLineChars="0"/>
              <w:jc w:val="center"/>
              <w:rPr>
                <w:sz w:val="21"/>
                <w:szCs w:val="21"/>
              </w:rPr>
            </w:pPr>
            <w:r>
              <w:rPr>
                <w:rFonts w:hint="eastAsia"/>
                <w:sz w:val="21"/>
                <w:szCs w:val="21"/>
              </w:rPr>
              <w:t>100.00%</w:t>
            </w:r>
          </w:p>
        </w:tc>
      </w:tr>
    </w:tbl>
    <w:p w14:paraId="6440CFEF">
      <w:pPr>
        <w:pStyle w:val="80"/>
        <w:ind w:firstLine="0" w:firstLineChars="0"/>
        <w:jc w:val="center"/>
      </w:pPr>
      <w:r>
        <w:drawing>
          <wp:inline distT="0" distB="0" distL="114300" distR="114300">
            <wp:extent cx="4572000" cy="2743200"/>
            <wp:effectExtent l="0" t="0" r="0" b="0"/>
            <wp:docPr id="5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3D06425">
      <w:pPr>
        <w:ind w:firstLine="0" w:firstLineChars="0"/>
        <w:jc w:val="center"/>
        <w:rPr>
          <w:b/>
          <w:bCs/>
        </w:rPr>
      </w:pPr>
      <w:r>
        <w:rPr>
          <w:rFonts w:hint="eastAsia"/>
          <w:b/>
          <w:bCs/>
        </w:rPr>
        <w:t>图4.6.8   项目区</w:t>
      </w:r>
      <w:r>
        <w:rPr>
          <w:b/>
          <w:bCs/>
        </w:rPr>
        <w:t>土地利用现状饼图</w:t>
      </w:r>
    </w:p>
    <w:p w14:paraId="571B6B33">
      <w:pPr>
        <w:ind w:firstLine="480"/>
        <w:sectPr>
          <w:pgSz w:w="11907" w:h="16840"/>
          <w:pgMar w:top="1418" w:right="1418" w:bottom="1418" w:left="1418" w:header="964" w:footer="964" w:gutter="0"/>
          <w:cols w:space="720" w:num="1"/>
          <w:docGrid w:linePitch="312" w:charSpace="0"/>
        </w:sectPr>
      </w:pPr>
    </w:p>
    <w:p w14:paraId="37144555">
      <w:pPr>
        <w:pStyle w:val="81"/>
        <w:ind w:left="0" w:leftChars="0" w:firstLine="0" w:firstLineChars="0"/>
        <w:jc w:val="center"/>
      </w:pPr>
      <w:r>
        <w:drawing>
          <wp:inline distT="0" distB="0" distL="0" distR="0">
            <wp:extent cx="8227060" cy="5327650"/>
            <wp:effectExtent l="0" t="0" r="2540" b="6350"/>
            <wp:docPr id="625543678"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43678" name="图片 2" descr="图示&#10;&#10;描述已自动生成"/>
                    <pic:cNvPicPr>
                      <a:picLocks noChangeAspect="1"/>
                    </pic:cNvPicPr>
                  </pic:nvPicPr>
                  <pic:blipFill>
                    <a:blip r:embed="rId75" cstate="print">
                      <a:extLst>
                        <a:ext uri="{28A0092B-C50C-407E-A947-70E740481C1C}">
                          <a14:useLocalDpi xmlns:a14="http://schemas.microsoft.com/office/drawing/2010/main" val="0"/>
                        </a:ext>
                      </a:extLst>
                    </a:blip>
                    <a:srcRect t="8403"/>
                    <a:stretch>
                      <a:fillRect/>
                    </a:stretch>
                  </pic:blipFill>
                  <pic:spPr>
                    <a:xfrm>
                      <a:off x="0" y="0"/>
                      <a:ext cx="8227060" cy="5327650"/>
                    </a:xfrm>
                    <a:prstGeom prst="rect">
                      <a:avLst/>
                    </a:prstGeom>
                  </pic:spPr>
                </pic:pic>
              </a:graphicData>
            </a:graphic>
          </wp:inline>
        </w:drawing>
      </w:r>
    </w:p>
    <w:p w14:paraId="0E990D09">
      <w:pPr>
        <w:ind w:firstLine="0" w:firstLineChars="0"/>
        <w:jc w:val="center"/>
        <w:rPr>
          <w:b/>
          <w:bCs/>
        </w:rPr>
      </w:pPr>
      <w:r>
        <w:rPr>
          <w:rFonts w:hint="eastAsia"/>
          <w:b/>
          <w:bCs/>
        </w:rPr>
        <w:t xml:space="preserve">图4.6-9   </w:t>
      </w:r>
      <w:r>
        <w:rPr>
          <w:b/>
          <w:bCs/>
        </w:rPr>
        <w:t>土地利用类型图</w:t>
      </w:r>
    </w:p>
    <w:p w14:paraId="10FE5143">
      <w:pPr>
        <w:ind w:firstLine="480"/>
        <w:sectPr>
          <w:pgSz w:w="16840" w:h="11907" w:orient="landscape"/>
          <w:pgMar w:top="1418" w:right="1418" w:bottom="1418" w:left="1418" w:header="964" w:footer="964" w:gutter="0"/>
          <w:cols w:space="720" w:num="1"/>
          <w:docGrid w:linePitch="312" w:charSpace="0"/>
        </w:sectPr>
      </w:pPr>
    </w:p>
    <w:p w14:paraId="1D9C2817">
      <w:pPr>
        <w:pStyle w:val="11"/>
      </w:pPr>
      <w:bookmarkStart w:id="342" w:name="_Toc160612888"/>
      <w:bookmarkStart w:id="343" w:name="_Toc166572308"/>
      <w:r>
        <w:rPr>
          <w:rFonts w:hint="eastAsia"/>
        </w:rPr>
        <w:t>4.6.6</w:t>
      </w:r>
      <w:r>
        <w:t>植被现状调查与评价</w:t>
      </w:r>
      <w:bookmarkEnd w:id="342"/>
      <w:bookmarkEnd w:id="343"/>
    </w:p>
    <w:p w14:paraId="2D144724">
      <w:pPr>
        <w:ind w:firstLine="480"/>
      </w:pPr>
      <w:r>
        <w:rPr>
          <w:rFonts w:hint="eastAsia"/>
        </w:rPr>
        <w:t>（1）</w:t>
      </w:r>
      <w:r>
        <w:t>植被区划</w:t>
      </w:r>
    </w:p>
    <w:p w14:paraId="4EA1ABC8">
      <w:pPr>
        <w:ind w:firstLine="480"/>
      </w:pPr>
      <w:r>
        <w:rPr>
          <w:rFonts w:hint="eastAsia"/>
        </w:rPr>
        <w:t>鄂托克旗属于</w:t>
      </w:r>
      <w:r>
        <w:t>温带温暖型干旱、半干旱大陆性气候区</w:t>
      </w:r>
      <w:r>
        <w:rPr>
          <w:rFonts w:hint="eastAsia"/>
        </w:rPr>
        <w:t>，气候干旱少雨，风大沙多，春迟秋旱，多长夏短，日照充足。</w:t>
      </w:r>
    </w:p>
    <w:p w14:paraId="0B2BF918">
      <w:pPr>
        <w:ind w:firstLine="480"/>
      </w:pPr>
      <w:r>
        <w:t>植物区域为内蒙古植物区系划分图中阿拉善荒漠植物省-东阿拉善州，详图</w:t>
      </w:r>
      <w:r>
        <w:rPr>
          <w:rFonts w:hint="eastAsia"/>
        </w:rPr>
        <w:t>4.6-8</w:t>
      </w:r>
      <w:r>
        <w:t>。在内蒙古植被地带划分图中属于欧亚草原植物区-暖温型草原带-荒漠草原亚带，详见图</w:t>
      </w:r>
      <w:r>
        <w:rPr>
          <w:rFonts w:hint="eastAsia"/>
        </w:rPr>
        <w:t>4.6-9</w:t>
      </w:r>
      <w:r>
        <w:t>，总属于泛北植物区域，东部与欧亚草原植物区为邻，西与阿拉善荒漠区相接。</w:t>
      </w:r>
    </w:p>
    <w:p w14:paraId="07171A69">
      <w:pPr>
        <w:ind w:firstLine="480"/>
      </w:pPr>
      <w:r>
        <w:rPr>
          <w:rFonts w:hint="eastAsia"/>
        </w:rPr>
        <w:t>鄂托克旗属荒漠化草原向草原化荒漠过渡地带，生态脆弱，植被类型简单。从黄河至东、西岸的桌子山、甘德尔山、五虎山麓的植被盖度都是由大到小递减，具有明显的地带性分布特征。特别是由于本地区的复杂地形和干旱的气候条件，使植被群落分布主要以荒漠草原植被型和草原化荒漠植被型为主。</w:t>
      </w:r>
    </w:p>
    <w:p w14:paraId="0F8913D2">
      <w:pPr>
        <w:pStyle w:val="2"/>
        <w:sectPr>
          <w:pgSz w:w="11907" w:h="16840"/>
          <w:pgMar w:top="1418" w:right="1418" w:bottom="1418" w:left="1418" w:header="964" w:footer="964" w:gutter="0"/>
          <w:cols w:space="720" w:num="1"/>
          <w:docGrid w:linePitch="312" w:charSpace="0"/>
        </w:sectPr>
      </w:pPr>
    </w:p>
    <w:p w14:paraId="2DACF4DF">
      <w:pPr>
        <w:pStyle w:val="25"/>
        <w:spacing w:line="360" w:lineRule="auto"/>
        <w:ind w:firstLine="0" w:firstLineChars="0"/>
        <w:rPr>
          <w:color w:val="auto"/>
        </w:rPr>
      </w:pPr>
      <w:r>
        <w:rPr>
          <w:color w:val="auto"/>
        </w:rPr>
        <mc:AlternateContent>
          <mc:Choice Requires="wpg">
            <w:drawing>
              <wp:anchor distT="0" distB="0" distL="114300" distR="114300" simplePos="0" relativeHeight="251670528" behindDoc="0" locked="0" layoutInCell="1" allowOverlap="1">
                <wp:simplePos x="0" y="0"/>
                <wp:positionH relativeFrom="column">
                  <wp:posOffset>2003425</wp:posOffset>
                </wp:positionH>
                <wp:positionV relativeFrom="paragraph">
                  <wp:posOffset>3282950</wp:posOffset>
                </wp:positionV>
                <wp:extent cx="1421130" cy="1005840"/>
                <wp:effectExtent l="7620" t="7620" r="44450" b="40640"/>
                <wp:wrapNone/>
                <wp:docPr id="59" name="组合 59"/>
                <wp:cNvGraphicFramePr/>
                <a:graphic xmlns:a="http://schemas.openxmlformats.org/drawingml/2006/main">
                  <a:graphicData uri="http://schemas.microsoft.com/office/word/2010/wordprocessingGroup">
                    <wpg:wgp>
                      <wpg:cNvGrpSpPr/>
                      <wpg:grpSpPr>
                        <a:xfrm>
                          <a:off x="0" y="0"/>
                          <a:ext cx="1421130" cy="1005840"/>
                          <a:chOff x="2748" y="4627"/>
                          <a:chExt cx="2238" cy="1584"/>
                        </a:xfrm>
                      </wpg:grpSpPr>
                      <wps:wsp>
                        <wps:cNvPr id="610358079" name="圆角矩形标注 219"/>
                        <wps:cNvSpPr/>
                        <wps:spPr>
                          <a:xfrm>
                            <a:off x="2748" y="4627"/>
                            <a:ext cx="1636" cy="617"/>
                          </a:xfrm>
                          <a:prstGeom prst="wedgeRoundRectCallout">
                            <a:avLst>
                              <a:gd name="adj1" fmla="val 75551"/>
                              <a:gd name="adj2" fmla="val 172852"/>
                              <a:gd name="adj3" fmla="val 16667"/>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5B22BB32">
                              <w:pPr>
                                <w:ind w:firstLine="0" w:firstLineChars="0"/>
                                <w:rPr>
                                  <w:sz w:val="28"/>
                                  <w:szCs w:val="28"/>
                                </w:rPr>
                              </w:pPr>
                              <w:r>
                                <w:rPr>
                                  <w:sz w:val="28"/>
                                  <w:szCs w:val="28"/>
                                </w:rPr>
                                <w:t>项目位置</w:t>
                              </w:r>
                            </w:p>
                          </w:txbxContent>
                        </wps:txbx>
                        <wps:bodyPr upright="1"/>
                      </wps:wsp>
                      <wps:wsp>
                        <wps:cNvPr id="672277067" name="十字星 220"/>
                        <wps:cNvSpPr/>
                        <wps:spPr>
                          <a:xfrm>
                            <a:off x="4772" y="6007"/>
                            <a:ext cx="214" cy="204"/>
                          </a:xfrm>
                          <a:prstGeom prst="star4">
                            <a:avLst>
                              <a:gd name="adj" fmla="val 12500"/>
                            </a:avLst>
                          </a:prstGeom>
                          <a:solidFill>
                            <a:srgbClr val="FF0000"/>
                          </a:solidFill>
                          <a:ln w="15875" cap="flat" cmpd="sng">
                            <a:solidFill>
                              <a:srgbClr val="FF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157.75pt;margin-top:258.5pt;height:79.2pt;width:111.9pt;z-index:251670528;mso-width-relative:page;mso-height-relative:page;" coordorigin="2748,4627" coordsize="2238,1584" o:gfxdata="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">
                <o:lock v:ext="edit" aspectratio="f"/>
                <v:shape id="圆角矩形标注 219" o:spid="_x0000_s1026" o:spt="62" type="#_x0000_t62" style="position:absolute;left:2748;top:4627;height:617;width:1636;" fillcolor="#FFFFFF" filled="t" stroked="t" coordsize="21600,21600" o:gfxdata="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10;XNWowwAAAOIAAAAPAAAAAAAAAAEAIAAAACIAAABkcnMvZG93bnJldi54bWxQSwECFAAUAAAACACH&#10;TuJAMy8FnjsAAAA5AAAAEAAAAAAAAAABACAAAAASAQAAZHJzL3NoYXBleG1sLnhtbFBLBQYAAAAA&#10;BgAGAFsBAAC8AwAAAAA=&#10;" adj="27119,48136,14400">
                  <v:fill type="gradient" on="t" color2="#FFFFFF" angle="90" focus="100%" focussize="0,0">
                    <o:fill type="gradientUnscaled" v:ext="backwardCompatible"/>
                  </v:fill>
                  <v:stroke weight="1.25pt" color="#739CC3" joinstyle="miter"/>
                  <v:imagedata o:title=""/>
                  <o:lock v:ext="edit" aspectratio="f"/>
                  <v:textbox>
                    <w:txbxContent>
                      <w:p w14:paraId="5B22BB32">
                        <w:pPr>
                          <w:ind w:firstLine="0" w:firstLineChars="0"/>
                          <w:rPr>
                            <w:sz w:val="28"/>
                            <w:szCs w:val="28"/>
                          </w:rPr>
                        </w:pPr>
                        <w:r>
                          <w:rPr>
                            <w:sz w:val="28"/>
                            <w:szCs w:val="28"/>
                          </w:rPr>
                          <w:t>项目位置</w:t>
                        </w:r>
                      </w:p>
                    </w:txbxContent>
                  </v:textbox>
                </v:shape>
                <v:shape id="十字星 220" o:spid="_x0000_s1026" o:spt="187" type="#_x0000_t187" style="position:absolute;left:4772;top:6007;height:204;width:214;" fillcolor="#FF0000" filled="t" stroked="t" coordsize="21600,21600" o:gfxdata="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9YHRacQAAADiAAAADwAAAAAAAAABACAAAAAiAAAAZHJzL2Rvd25yZXYueG1sUEsBAhQAFAAAAAgA&#10;h07iQDMvBZ47AAAAOQAAABAAAAAAAAAAAQAgAAAAEwEAAGRycy9zaGFwZXhtbC54bWxQSwUGAAAA&#10;AAYABgBbAQAAvQMAAAAA&#10;" adj="8100">
                  <v:fill on="t" focussize="0,0"/>
                  <v:stroke weight="1.25pt" color="#FF0000" joinstyle="miter"/>
                  <v:imagedata o:title=""/>
                  <o:lock v:ext="edit" aspectratio="f"/>
                </v:shape>
              </v:group>
            </w:pict>
          </mc:Fallback>
        </mc:AlternateContent>
      </w:r>
      <w:r>
        <w:rPr>
          <w:b/>
          <w:color w:val="auto"/>
        </w:rPr>
        <w:drawing>
          <wp:inline distT="0" distB="0" distL="114300" distR="114300">
            <wp:extent cx="8674100" cy="5219065"/>
            <wp:effectExtent l="0" t="0" r="12700" b="635"/>
            <wp:docPr id="1652264159" name="图片 1652264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64159" name="图片 1652264159"/>
                    <pic:cNvPicPr>
                      <a:picLocks noChangeAspect="1"/>
                    </pic:cNvPicPr>
                  </pic:nvPicPr>
                  <pic:blipFill>
                    <a:blip r:embed="rId76"/>
                    <a:stretch>
                      <a:fillRect/>
                    </a:stretch>
                  </pic:blipFill>
                  <pic:spPr>
                    <a:xfrm>
                      <a:off x="0" y="0"/>
                      <a:ext cx="8674100" cy="5219065"/>
                    </a:xfrm>
                    <a:prstGeom prst="rect">
                      <a:avLst/>
                    </a:prstGeom>
                    <a:noFill/>
                    <a:ln>
                      <a:noFill/>
                    </a:ln>
                  </pic:spPr>
                </pic:pic>
              </a:graphicData>
            </a:graphic>
          </wp:inline>
        </w:drawing>
      </w:r>
    </w:p>
    <w:p w14:paraId="27FF1795">
      <w:pPr>
        <w:pStyle w:val="25"/>
        <w:spacing w:line="360" w:lineRule="auto"/>
        <w:ind w:firstLine="0" w:firstLineChars="0"/>
        <w:jc w:val="center"/>
        <w:rPr>
          <w:b/>
          <w:bCs/>
          <w:color w:val="auto"/>
        </w:rPr>
        <w:sectPr>
          <w:pgSz w:w="16840" w:h="11907" w:orient="landscape"/>
          <w:pgMar w:top="1418" w:right="1418" w:bottom="1418" w:left="1418" w:header="964" w:footer="964" w:gutter="0"/>
          <w:cols w:space="720" w:num="1"/>
          <w:docGrid w:linePitch="312" w:charSpace="0"/>
        </w:sectPr>
      </w:pPr>
      <w:r>
        <w:rPr>
          <w:b/>
          <w:bCs/>
          <w:color w:val="auto"/>
        </w:rPr>
        <w:t>图</w:t>
      </w:r>
      <w:r>
        <w:rPr>
          <w:rFonts w:hint="eastAsia"/>
          <w:b/>
          <w:bCs/>
          <w:color w:val="auto"/>
        </w:rPr>
        <w:t>4.6-8</w:t>
      </w:r>
      <w:r>
        <w:rPr>
          <w:b/>
          <w:bCs/>
          <w:color w:val="auto"/>
        </w:rPr>
        <w:t xml:space="preserve">   内蒙古植被区系分区图</w:t>
      </w:r>
    </w:p>
    <w:p w14:paraId="4D29015E">
      <w:pPr>
        <w:pStyle w:val="25"/>
        <w:spacing w:line="360" w:lineRule="auto"/>
        <w:ind w:firstLine="0" w:firstLineChars="0"/>
        <w:jc w:val="center"/>
        <w:rPr>
          <w:color w:val="auto"/>
        </w:rPr>
      </w:pPr>
      <w:r>
        <w:rPr>
          <w:color w:val="auto"/>
        </w:rPr>
        <w:drawing>
          <wp:inline distT="0" distB="0" distL="114300" distR="114300">
            <wp:extent cx="7579995" cy="5333365"/>
            <wp:effectExtent l="0" t="0" r="1905" b="635"/>
            <wp:docPr id="828804489" name="图片 828804489"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04489" name="图片 828804489" descr="333"/>
                    <pic:cNvPicPr>
                      <a:picLocks noChangeAspect="1"/>
                    </pic:cNvPicPr>
                  </pic:nvPicPr>
                  <pic:blipFill>
                    <a:blip r:embed="rId77"/>
                    <a:stretch>
                      <a:fillRect/>
                    </a:stretch>
                  </pic:blipFill>
                  <pic:spPr>
                    <a:xfrm>
                      <a:off x="0" y="0"/>
                      <a:ext cx="7579995" cy="5333365"/>
                    </a:xfrm>
                    <a:prstGeom prst="rect">
                      <a:avLst/>
                    </a:prstGeom>
                    <a:noFill/>
                    <a:ln>
                      <a:noFill/>
                    </a:ln>
                  </pic:spPr>
                </pic:pic>
              </a:graphicData>
            </a:graphic>
          </wp:inline>
        </w:drawing>
      </w:r>
      <w:r>
        <w:rPr>
          <w:color w:val="auto"/>
          <w:szCs w:val="24"/>
        </w:rPr>
        <mc:AlternateContent>
          <mc:Choice Requires="wpg">
            <w:drawing>
              <wp:anchor distT="0" distB="0" distL="114300" distR="114300" simplePos="0" relativeHeight="251671552" behindDoc="0" locked="0" layoutInCell="1" allowOverlap="1">
                <wp:simplePos x="0" y="0"/>
                <wp:positionH relativeFrom="column">
                  <wp:posOffset>2302510</wp:posOffset>
                </wp:positionH>
                <wp:positionV relativeFrom="paragraph">
                  <wp:posOffset>3341370</wp:posOffset>
                </wp:positionV>
                <wp:extent cx="1421130" cy="1005840"/>
                <wp:effectExtent l="7620" t="7620" r="44450" b="40640"/>
                <wp:wrapNone/>
                <wp:docPr id="60" name="组合 60"/>
                <wp:cNvGraphicFramePr/>
                <a:graphic xmlns:a="http://schemas.openxmlformats.org/drawingml/2006/main">
                  <a:graphicData uri="http://schemas.microsoft.com/office/word/2010/wordprocessingGroup">
                    <wpg:wgp>
                      <wpg:cNvGrpSpPr/>
                      <wpg:grpSpPr>
                        <a:xfrm>
                          <a:off x="0" y="0"/>
                          <a:ext cx="1421130" cy="1005840"/>
                          <a:chOff x="2748" y="4627"/>
                          <a:chExt cx="2238" cy="1584"/>
                        </a:xfrm>
                      </wpg:grpSpPr>
                      <wps:wsp>
                        <wps:cNvPr id="900621250" name="圆角矩形标注 202"/>
                        <wps:cNvSpPr/>
                        <wps:spPr>
                          <a:xfrm>
                            <a:off x="2748" y="4627"/>
                            <a:ext cx="1636" cy="617"/>
                          </a:xfrm>
                          <a:prstGeom prst="wedgeRoundRectCallout">
                            <a:avLst>
                              <a:gd name="adj1" fmla="val 75551"/>
                              <a:gd name="adj2" fmla="val 172852"/>
                              <a:gd name="adj3" fmla="val 16667"/>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60178F27">
                              <w:pPr>
                                <w:ind w:firstLine="0" w:firstLineChars="0"/>
                                <w:rPr>
                                  <w:sz w:val="28"/>
                                  <w:szCs w:val="28"/>
                                </w:rPr>
                              </w:pPr>
                              <w:r>
                                <w:rPr>
                                  <w:sz w:val="28"/>
                                  <w:szCs w:val="28"/>
                                </w:rPr>
                                <w:t>项目位置</w:t>
                              </w:r>
                            </w:p>
                          </w:txbxContent>
                        </wps:txbx>
                        <wps:bodyPr upright="1"/>
                      </wps:wsp>
                      <wps:wsp>
                        <wps:cNvPr id="313148432" name="十字星 216"/>
                        <wps:cNvSpPr/>
                        <wps:spPr>
                          <a:xfrm>
                            <a:off x="4772" y="6007"/>
                            <a:ext cx="214" cy="204"/>
                          </a:xfrm>
                          <a:prstGeom prst="star4">
                            <a:avLst>
                              <a:gd name="adj" fmla="val 12500"/>
                            </a:avLst>
                          </a:prstGeom>
                          <a:solidFill>
                            <a:srgbClr val="FF0000"/>
                          </a:solidFill>
                          <a:ln w="15875" cap="flat" cmpd="sng">
                            <a:solidFill>
                              <a:srgbClr val="FF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181.3pt;margin-top:263.1pt;height:79.2pt;width:111.9pt;z-index:251671552;mso-width-relative:page;mso-height-relative:page;" coordorigin="2748,4627" coordsize="2238,1584" o:gfxdata="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">
                <o:lock v:ext="edit" aspectratio="f"/>
                <v:shape id="圆角矩形标注 202" o:spid="_x0000_s1026" o:spt="62" type="#_x0000_t62" style="position:absolute;left:2748;top:4627;height:617;width:1636;" fillcolor="#FFFFFF" filled="t" stroked="t" coordsize="21600,21600" o:gfxdata="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fk&#10;FmDCAAAA4gAAAA8AAAAAAAAAAQAgAAAAIgAAAGRycy9kb3ducmV2LnhtbFBLAQIUABQAAAAIAIdO&#10;4kAzLwWeOwAAADkAAAAQAAAAAAAAAAEAIAAAABEBAABkcnMvc2hhcGV4bWwueG1sUEsFBgAAAAAG&#10;AAYAWwEAALsDAAAAAA==&#10;" adj="27119,48136,14400">
                  <v:fill type="gradient" on="t" color2="#FFFFFF" angle="90" focus="100%" focussize="0,0">
                    <o:fill type="gradientUnscaled" v:ext="backwardCompatible"/>
                  </v:fill>
                  <v:stroke weight="1.25pt" color="#739CC3" joinstyle="miter"/>
                  <v:imagedata o:title=""/>
                  <o:lock v:ext="edit" aspectratio="f"/>
                  <v:textbox>
                    <w:txbxContent>
                      <w:p w14:paraId="60178F27">
                        <w:pPr>
                          <w:ind w:firstLine="0" w:firstLineChars="0"/>
                          <w:rPr>
                            <w:sz w:val="28"/>
                            <w:szCs w:val="28"/>
                          </w:rPr>
                        </w:pPr>
                        <w:r>
                          <w:rPr>
                            <w:sz w:val="28"/>
                            <w:szCs w:val="28"/>
                          </w:rPr>
                          <w:t>项目位置</w:t>
                        </w:r>
                      </w:p>
                    </w:txbxContent>
                  </v:textbox>
                </v:shape>
                <v:shape id="十字星 216" o:spid="_x0000_s1026" o:spt="187" type="#_x0000_t187" style="position:absolute;left:4772;top:6007;height:204;width:214;" fillcolor="#FF0000" filled="t" stroked="t" coordsize="21600,21600" o:gfxdata="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OuLL4LFAAAA4gAAAA8AAAAAAAAAAQAgAAAAIgAAAGRycy9kb3ducmV2LnhtbFBLAQIUABQAAAAI&#10;AIdO4kAzLwWeOwAAADkAAAAQAAAAAAAAAAEAIAAAABQBAABkcnMvc2hhcGV4bWwueG1sUEsFBgAA&#10;AAAGAAYAWwEAAL4DAAAAAA==&#10;" adj="8100">
                  <v:fill on="t" focussize="0,0"/>
                  <v:stroke weight="1.25pt" color="#FF0000" joinstyle="miter"/>
                  <v:imagedata o:title=""/>
                  <o:lock v:ext="edit" aspectratio="f"/>
                </v:shape>
              </v:group>
            </w:pict>
          </mc:Fallback>
        </mc:AlternateContent>
      </w:r>
    </w:p>
    <w:p w14:paraId="33E2F610">
      <w:pPr>
        <w:pStyle w:val="25"/>
        <w:ind w:left="3360" w:firstLine="482"/>
        <w:jc w:val="center"/>
        <w:rPr>
          <w:b/>
          <w:bCs/>
          <w:color w:val="auto"/>
        </w:rPr>
        <w:sectPr>
          <w:pgSz w:w="16840" w:h="11907" w:orient="landscape"/>
          <w:pgMar w:top="1418" w:right="1418" w:bottom="1418" w:left="1418" w:header="964" w:footer="964" w:gutter="0"/>
          <w:cols w:space="720" w:num="1"/>
          <w:docGrid w:linePitch="312" w:charSpace="0"/>
        </w:sectPr>
      </w:pPr>
      <w:r>
        <w:rPr>
          <w:b/>
          <w:bCs/>
          <w:color w:val="auto"/>
        </w:rPr>
        <w:t>图</w:t>
      </w:r>
      <w:r>
        <w:rPr>
          <w:rFonts w:hint="eastAsia"/>
          <w:b/>
          <w:bCs/>
          <w:color w:val="auto"/>
        </w:rPr>
        <w:t>4.6-9</w:t>
      </w:r>
      <w:r>
        <w:rPr>
          <w:b/>
          <w:bCs/>
          <w:color w:val="auto"/>
        </w:rPr>
        <w:t xml:space="preserve">   内蒙古植被地带图</w:t>
      </w:r>
    </w:p>
    <w:p w14:paraId="2A4D466F">
      <w:pPr>
        <w:ind w:firstLine="480"/>
      </w:pPr>
      <w:r>
        <w:rPr>
          <w:rFonts w:hint="eastAsia"/>
        </w:rPr>
        <w:t>（2）植物资源种类</w:t>
      </w:r>
    </w:p>
    <w:p w14:paraId="2DDEBFBC">
      <w:pPr>
        <w:ind w:firstLine="480"/>
      </w:pPr>
      <w:r>
        <w:t>根据实地调查与历史资料，项目</w:t>
      </w:r>
      <w:r>
        <w:rPr>
          <w:rFonts w:hint="eastAsia"/>
        </w:rPr>
        <w:t>占地范围</w:t>
      </w:r>
      <w:r>
        <w:t>最为常见的植物有</w:t>
      </w:r>
      <w:r>
        <w:rPr>
          <w:rFonts w:hint="eastAsia"/>
        </w:rPr>
        <w:t>3</w:t>
      </w:r>
      <w:r>
        <w:t>科</w:t>
      </w:r>
      <w:r>
        <w:rPr>
          <w:rFonts w:hint="eastAsia"/>
        </w:rPr>
        <w:t>4</w:t>
      </w:r>
      <w:r>
        <w:t>种。</w:t>
      </w:r>
      <w:r>
        <w:rPr>
          <w:rFonts w:hint="eastAsia"/>
        </w:rPr>
        <w:t>项目区域植被</w:t>
      </w:r>
      <w:r>
        <w:t>组成</w:t>
      </w:r>
      <w:r>
        <w:rPr>
          <w:rFonts w:hint="eastAsia"/>
        </w:rPr>
        <w:t>极为</w:t>
      </w:r>
      <w:r>
        <w:t>简单。</w:t>
      </w:r>
      <w:r>
        <w:rPr>
          <w:rFonts w:hint="eastAsia"/>
        </w:rPr>
        <w:t>区域常见植被名录见表4.6-8。</w:t>
      </w:r>
    </w:p>
    <w:p w14:paraId="6E55C383">
      <w:pPr>
        <w:spacing w:line="240" w:lineRule="auto"/>
        <w:ind w:firstLine="0" w:firstLineChars="0"/>
        <w:jc w:val="center"/>
      </w:pPr>
      <w:r>
        <w:rPr>
          <w:rFonts w:hint="eastAsia"/>
          <w:b/>
          <w:bCs/>
        </w:rPr>
        <w:t xml:space="preserve">表4.6-8  </w:t>
      </w:r>
      <w:r>
        <w:rPr>
          <w:b/>
          <w:bCs/>
        </w:rPr>
        <w:t xml:space="preserve">  </w:t>
      </w:r>
      <w:r>
        <w:rPr>
          <w:rFonts w:hint="eastAsia"/>
          <w:b/>
          <w:bCs/>
        </w:rPr>
        <w:t>项目评价区</w:t>
      </w:r>
      <w:r>
        <w:rPr>
          <w:b/>
          <w:bCs/>
        </w:rPr>
        <w:t>常见植物名录</w:t>
      </w:r>
    </w:p>
    <w:tbl>
      <w:tblPr>
        <w:tblStyle w:val="82"/>
        <w:tblW w:w="491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774"/>
        <w:gridCol w:w="2180"/>
        <w:gridCol w:w="5988"/>
      </w:tblGrid>
      <w:tr w14:paraId="59470F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433" w:type="pct"/>
            <w:vAlign w:val="center"/>
          </w:tcPr>
          <w:p w14:paraId="483E8C0F">
            <w:pPr>
              <w:spacing w:line="240" w:lineRule="auto"/>
              <w:ind w:firstLine="0" w:firstLineChars="0"/>
              <w:jc w:val="center"/>
            </w:pPr>
            <w:r>
              <w:t>序号</w:t>
            </w:r>
          </w:p>
        </w:tc>
        <w:tc>
          <w:tcPr>
            <w:tcW w:w="1219" w:type="pct"/>
            <w:vAlign w:val="center"/>
          </w:tcPr>
          <w:p w14:paraId="55F49A76">
            <w:pPr>
              <w:pStyle w:val="768"/>
              <w:adjustRightInd w:val="0"/>
              <w:snapToGrid w:val="0"/>
              <w:spacing w:line="240" w:lineRule="auto"/>
              <w:ind w:firstLine="0" w:firstLineChars="0"/>
            </w:pPr>
            <w:r>
              <w:t>名</w:t>
            </w:r>
            <w:r>
              <w:tab/>
            </w:r>
            <w:r>
              <w:t>称</w:t>
            </w:r>
          </w:p>
        </w:tc>
        <w:tc>
          <w:tcPr>
            <w:tcW w:w="3348" w:type="pct"/>
            <w:vAlign w:val="center"/>
          </w:tcPr>
          <w:p w14:paraId="3B807EC3">
            <w:pPr>
              <w:pStyle w:val="768"/>
              <w:adjustRightInd w:val="0"/>
              <w:snapToGrid w:val="0"/>
              <w:spacing w:line="240" w:lineRule="auto"/>
              <w:ind w:firstLine="0" w:firstLineChars="0"/>
            </w:pPr>
            <w:r>
              <w:t>拉</w:t>
            </w:r>
            <w:r>
              <w:tab/>
            </w:r>
            <w:r>
              <w:t>丁</w:t>
            </w:r>
            <w:r>
              <w:tab/>
            </w:r>
            <w:r>
              <w:t>名</w:t>
            </w:r>
          </w:p>
        </w:tc>
      </w:tr>
      <w:tr w14:paraId="0DB916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5000" w:type="pct"/>
            <w:gridSpan w:val="3"/>
            <w:vAlign w:val="center"/>
          </w:tcPr>
          <w:p w14:paraId="0D3A2D7F">
            <w:pPr>
              <w:pStyle w:val="768"/>
              <w:adjustRightInd w:val="0"/>
              <w:snapToGrid w:val="0"/>
              <w:spacing w:line="240" w:lineRule="auto"/>
              <w:ind w:firstLine="0" w:firstLineChars="0"/>
              <w:rPr>
                <w:rFonts w:cs="Times New Roman"/>
              </w:rPr>
            </w:pPr>
            <w:r>
              <w:rPr>
                <w:rFonts w:hint="eastAsia"/>
              </w:rPr>
              <w:t>一</w:t>
            </w:r>
            <w:r>
              <w:t>、蔷薇科 Rosaceae</w:t>
            </w:r>
          </w:p>
          <w:p w14:paraId="185A8F24">
            <w:pPr>
              <w:pStyle w:val="768"/>
              <w:adjustRightInd w:val="0"/>
              <w:snapToGrid w:val="0"/>
              <w:spacing w:line="240" w:lineRule="auto"/>
              <w:ind w:firstLine="0" w:firstLineChars="0"/>
            </w:pPr>
          </w:p>
        </w:tc>
      </w:tr>
      <w:tr w14:paraId="624220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433" w:type="pct"/>
            <w:vAlign w:val="center"/>
          </w:tcPr>
          <w:p w14:paraId="3042EBAA">
            <w:pPr>
              <w:pStyle w:val="768"/>
              <w:adjustRightInd w:val="0"/>
              <w:snapToGrid w:val="0"/>
              <w:spacing w:line="240" w:lineRule="auto"/>
              <w:ind w:firstLine="0" w:firstLineChars="0"/>
            </w:pPr>
            <w:r>
              <w:rPr>
                <w:rFonts w:hint="eastAsia"/>
              </w:rPr>
              <w:t>1</w:t>
            </w:r>
          </w:p>
        </w:tc>
        <w:tc>
          <w:tcPr>
            <w:tcW w:w="1219" w:type="pct"/>
            <w:vAlign w:val="bottom"/>
          </w:tcPr>
          <w:p w14:paraId="5185A55A">
            <w:pPr>
              <w:pStyle w:val="768"/>
              <w:adjustRightInd w:val="0"/>
              <w:snapToGrid w:val="0"/>
              <w:spacing w:line="240" w:lineRule="auto"/>
              <w:ind w:firstLine="0" w:firstLineChars="0"/>
            </w:pPr>
            <w:r>
              <w:t>绵刺</w:t>
            </w:r>
          </w:p>
        </w:tc>
        <w:tc>
          <w:tcPr>
            <w:tcW w:w="3348" w:type="pct"/>
            <w:vAlign w:val="center"/>
          </w:tcPr>
          <w:p w14:paraId="6CB6B546">
            <w:pPr>
              <w:adjustRightInd w:val="0"/>
              <w:snapToGrid w:val="0"/>
              <w:spacing w:line="240" w:lineRule="auto"/>
              <w:ind w:firstLine="0" w:firstLineChars="0"/>
              <w:jc w:val="center"/>
              <w:rPr>
                <w:i/>
                <w:kern w:val="0"/>
                <w:sz w:val="21"/>
                <w:szCs w:val="21"/>
                <w:lang w:bidi="ar"/>
              </w:rPr>
            </w:pPr>
            <w:r>
              <w:rPr>
                <w:i/>
                <w:iCs/>
                <w:sz w:val="21"/>
                <w:szCs w:val="21"/>
              </w:rPr>
              <w:t>Potaninia mongolica Maxim.</w:t>
            </w:r>
          </w:p>
        </w:tc>
      </w:tr>
      <w:tr w14:paraId="4F09FE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5000" w:type="pct"/>
            <w:gridSpan w:val="3"/>
            <w:tcBorders>
              <w:bottom w:val="single" w:color="auto" w:sz="8" w:space="0"/>
            </w:tcBorders>
            <w:vAlign w:val="center"/>
          </w:tcPr>
          <w:p w14:paraId="04884459">
            <w:pPr>
              <w:adjustRightInd w:val="0"/>
              <w:snapToGrid w:val="0"/>
              <w:spacing w:line="240" w:lineRule="auto"/>
              <w:ind w:firstLine="0" w:firstLineChars="0"/>
              <w:jc w:val="center"/>
              <w:rPr>
                <w:bCs/>
              </w:rPr>
            </w:pPr>
            <w:r>
              <w:rPr>
                <w:bCs/>
                <w:sz w:val="21"/>
                <w:szCs w:val="21"/>
                <w:lang w:bidi="ar"/>
              </w:rPr>
              <w:t>二、蒺藜科 Zygophyllaceae</w:t>
            </w:r>
          </w:p>
          <w:p w14:paraId="05540A49">
            <w:pPr>
              <w:pStyle w:val="768"/>
              <w:adjustRightInd w:val="0"/>
              <w:snapToGrid w:val="0"/>
              <w:spacing w:line="240" w:lineRule="auto"/>
              <w:ind w:firstLine="0" w:firstLineChars="0"/>
            </w:pPr>
          </w:p>
        </w:tc>
      </w:tr>
      <w:tr w14:paraId="2FC11A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433" w:type="pct"/>
            <w:tcBorders>
              <w:bottom w:val="single" w:color="auto" w:sz="4" w:space="0"/>
            </w:tcBorders>
            <w:vAlign w:val="center"/>
          </w:tcPr>
          <w:p w14:paraId="6788722E">
            <w:pPr>
              <w:pStyle w:val="768"/>
              <w:adjustRightInd w:val="0"/>
              <w:snapToGrid w:val="0"/>
              <w:spacing w:line="240" w:lineRule="auto"/>
              <w:ind w:firstLine="0" w:firstLineChars="0"/>
            </w:pPr>
            <w:r>
              <w:rPr>
                <w:rFonts w:hint="eastAsia"/>
              </w:rPr>
              <w:t>2</w:t>
            </w:r>
          </w:p>
        </w:tc>
        <w:tc>
          <w:tcPr>
            <w:tcW w:w="1219" w:type="pct"/>
            <w:tcBorders>
              <w:bottom w:val="single" w:color="auto" w:sz="4" w:space="0"/>
            </w:tcBorders>
            <w:vAlign w:val="bottom"/>
          </w:tcPr>
          <w:p w14:paraId="59EAF3CB">
            <w:pPr>
              <w:pStyle w:val="768"/>
              <w:adjustRightInd w:val="0"/>
              <w:snapToGrid w:val="0"/>
              <w:spacing w:line="240" w:lineRule="auto"/>
              <w:ind w:firstLine="0" w:firstLineChars="0"/>
            </w:pPr>
            <w:r>
              <w:rPr>
                <w:rFonts w:hint="eastAsia"/>
              </w:rPr>
              <w:t>霸王</w:t>
            </w:r>
          </w:p>
        </w:tc>
        <w:tc>
          <w:tcPr>
            <w:tcW w:w="3348" w:type="pct"/>
            <w:tcBorders>
              <w:bottom w:val="single" w:color="auto" w:sz="4" w:space="0"/>
            </w:tcBorders>
            <w:vAlign w:val="center"/>
          </w:tcPr>
          <w:p w14:paraId="632F6990">
            <w:pPr>
              <w:pStyle w:val="768"/>
              <w:adjustRightInd w:val="0"/>
              <w:snapToGrid w:val="0"/>
              <w:spacing w:line="240" w:lineRule="auto"/>
              <w:ind w:firstLine="0" w:firstLineChars="0"/>
              <w:rPr>
                <w:lang w:val="en-US"/>
              </w:rPr>
            </w:pPr>
            <w:r>
              <w:rPr>
                <w:i/>
                <w:iCs/>
                <w:lang w:val="en-US"/>
              </w:rPr>
              <w:t>Zygophyllum xanthoxylon (Bunge) Maxim．</w:t>
            </w:r>
          </w:p>
        </w:tc>
      </w:tr>
      <w:tr w14:paraId="488D80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433" w:type="pct"/>
            <w:tcBorders>
              <w:bottom w:val="single" w:color="auto" w:sz="4" w:space="0"/>
            </w:tcBorders>
            <w:vAlign w:val="center"/>
          </w:tcPr>
          <w:p w14:paraId="65864FBF">
            <w:pPr>
              <w:pStyle w:val="768"/>
              <w:adjustRightInd w:val="0"/>
              <w:snapToGrid w:val="0"/>
              <w:spacing w:line="240" w:lineRule="auto"/>
              <w:ind w:firstLine="0" w:firstLineChars="0"/>
              <w:rPr>
                <w:lang w:val="en-US"/>
              </w:rPr>
            </w:pPr>
            <w:r>
              <w:rPr>
                <w:rFonts w:hint="eastAsia"/>
                <w:lang w:val="en-US"/>
              </w:rPr>
              <w:t>3</w:t>
            </w:r>
          </w:p>
        </w:tc>
        <w:tc>
          <w:tcPr>
            <w:tcW w:w="1219" w:type="pct"/>
            <w:tcBorders>
              <w:bottom w:val="single" w:color="auto" w:sz="4" w:space="0"/>
            </w:tcBorders>
            <w:vAlign w:val="bottom"/>
          </w:tcPr>
          <w:p w14:paraId="07052644">
            <w:pPr>
              <w:pStyle w:val="768"/>
              <w:adjustRightInd w:val="0"/>
              <w:snapToGrid w:val="0"/>
              <w:spacing w:line="240" w:lineRule="auto"/>
              <w:ind w:firstLine="0" w:firstLineChars="0"/>
              <w:rPr>
                <w:lang w:val="en-US"/>
              </w:rPr>
            </w:pPr>
            <w:r>
              <w:rPr>
                <w:rFonts w:hint="eastAsia"/>
                <w:lang w:val="en-US"/>
              </w:rPr>
              <w:t>四合木</w:t>
            </w:r>
          </w:p>
        </w:tc>
        <w:tc>
          <w:tcPr>
            <w:tcW w:w="3348" w:type="pct"/>
            <w:tcBorders>
              <w:bottom w:val="single" w:color="auto" w:sz="4" w:space="0"/>
            </w:tcBorders>
            <w:vAlign w:val="center"/>
          </w:tcPr>
          <w:p w14:paraId="4AA47CB6">
            <w:pPr>
              <w:pStyle w:val="768"/>
              <w:adjustRightInd w:val="0"/>
              <w:snapToGrid w:val="0"/>
              <w:spacing w:line="240" w:lineRule="auto"/>
              <w:ind w:firstLine="0" w:firstLineChars="0"/>
              <w:rPr>
                <w:i/>
                <w:iCs/>
                <w:lang w:val="en-US"/>
              </w:rPr>
            </w:pPr>
            <w:r>
              <w:rPr>
                <w:rFonts w:hint="eastAsia"/>
                <w:i/>
                <w:iCs/>
                <w:lang w:val="en-US"/>
              </w:rPr>
              <w:t>Tetraena mongolica Maxim</w:t>
            </w:r>
          </w:p>
        </w:tc>
      </w:tr>
      <w:tr w14:paraId="7AADE5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5000" w:type="pct"/>
            <w:gridSpan w:val="3"/>
            <w:tcBorders>
              <w:top w:val="single" w:color="auto" w:sz="4" w:space="0"/>
            </w:tcBorders>
            <w:vAlign w:val="center"/>
          </w:tcPr>
          <w:p w14:paraId="0B8AD99D">
            <w:pPr>
              <w:pStyle w:val="768"/>
              <w:adjustRightInd w:val="0"/>
              <w:snapToGrid w:val="0"/>
              <w:spacing w:line="240" w:lineRule="auto"/>
              <w:ind w:firstLine="0" w:firstLineChars="0"/>
              <w:rPr>
                <w:iCs/>
              </w:rPr>
            </w:pPr>
            <w:r>
              <w:rPr>
                <w:rFonts w:hint="eastAsia"/>
                <w:iCs/>
              </w:rPr>
              <w:t>三、豆科</w:t>
            </w:r>
            <w:r>
              <w:rPr>
                <w:iCs/>
              </w:rPr>
              <w:t>Leguminosae</w:t>
            </w:r>
          </w:p>
        </w:tc>
      </w:tr>
      <w:tr w14:paraId="29EEFC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433" w:type="pct"/>
            <w:tcBorders>
              <w:top w:val="single" w:color="auto" w:sz="4" w:space="0"/>
            </w:tcBorders>
            <w:vAlign w:val="center"/>
          </w:tcPr>
          <w:p w14:paraId="6D90CA06">
            <w:pPr>
              <w:pStyle w:val="768"/>
              <w:adjustRightInd w:val="0"/>
              <w:snapToGrid w:val="0"/>
              <w:spacing w:line="240" w:lineRule="auto"/>
              <w:ind w:firstLine="0" w:firstLineChars="0"/>
            </w:pPr>
            <w:r>
              <w:rPr>
                <w:rFonts w:hint="eastAsia"/>
                <w:lang w:val="en-US"/>
              </w:rPr>
              <w:t>4</w:t>
            </w:r>
          </w:p>
        </w:tc>
        <w:tc>
          <w:tcPr>
            <w:tcW w:w="1219" w:type="pct"/>
            <w:tcBorders>
              <w:top w:val="single" w:color="auto" w:sz="4" w:space="0"/>
            </w:tcBorders>
            <w:vAlign w:val="bottom"/>
          </w:tcPr>
          <w:p w14:paraId="42848B2D">
            <w:pPr>
              <w:pStyle w:val="768"/>
              <w:adjustRightInd w:val="0"/>
              <w:snapToGrid w:val="0"/>
              <w:spacing w:line="240" w:lineRule="auto"/>
              <w:ind w:firstLine="0" w:firstLineChars="0"/>
            </w:pPr>
            <w:r>
              <w:rPr>
                <w:rFonts w:hint="eastAsia"/>
              </w:rPr>
              <w:t>沙冬青</w:t>
            </w:r>
          </w:p>
        </w:tc>
        <w:tc>
          <w:tcPr>
            <w:tcW w:w="3348" w:type="pct"/>
            <w:tcBorders>
              <w:top w:val="single" w:color="auto" w:sz="4" w:space="0"/>
            </w:tcBorders>
            <w:vAlign w:val="center"/>
          </w:tcPr>
          <w:p w14:paraId="7FFA2AF2">
            <w:pPr>
              <w:pStyle w:val="768"/>
              <w:adjustRightInd w:val="0"/>
              <w:snapToGrid w:val="0"/>
              <w:spacing w:line="240" w:lineRule="auto"/>
              <w:ind w:firstLine="0" w:firstLineChars="0"/>
              <w:rPr>
                <w:i/>
                <w:iCs/>
              </w:rPr>
            </w:pPr>
            <w:r>
              <w:rPr>
                <w:i/>
                <w:lang w:val="en-GB"/>
              </w:rPr>
              <w:t xml:space="preserve">Ammopiptanthus mongolicus (Maxim. ex Kom.) </w:t>
            </w:r>
            <w:r>
              <w:rPr>
                <w:i/>
              </w:rPr>
              <w:t>Cheng f</w:t>
            </w:r>
            <w:r>
              <w:t>.</w:t>
            </w:r>
          </w:p>
        </w:tc>
      </w:tr>
      <w:tr w14:paraId="4167BC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5000" w:type="pct"/>
            <w:gridSpan w:val="3"/>
            <w:vAlign w:val="center"/>
          </w:tcPr>
          <w:p w14:paraId="65F01A74">
            <w:pPr>
              <w:pStyle w:val="768"/>
              <w:adjustRightInd w:val="0"/>
              <w:snapToGrid w:val="0"/>
              <w:spacing w:line="240" w:lineRule="auto"/>
              <w:ind w:firstLine="0" w:firstLineChars="0"/>
            </w:pPr>
            <w:r>
              <w:rPr>
                <w:rFonts w:hint="eastAsia"/>
                <w:lang w:val="en-US"/>
              </w:rPr>
              <w:t>四</w:t>
            </w:r>
            <w:r>
              <w:t>、</w:t>
            </w:r>
            <w:r>
              <w:rPr>
                <w:rFonts w:hint="eastAsia"/>
              </w:rPr>
              <w:t>柽柳科</w:t>
            </w:r>
            <w:r>
              <w:t>Tamaricaceae</w:t>
            </w:r>
          </w:p>
        </w:tc>
      </w:tr>
      <w:tr w14:paraId="6BC32D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 w:hRule="exact"/>
        </w:trPr>
        <w:tc>
          <w:tcPr>
            <w:tcW w:w="433" w:type="pct"/>
            <w:vAlign w:val="center"/>
          </w:tcPr>
          <w:p w14:paraId="72CD56AD">
            <w:pPr>
              <w:pStyle w:val="768"/>
              <w:adjustRightInd w:val="0"/>
              <w:snapToGrid w:val="0"/>
              <w:spacing w:line="240" w:lineRule="auto"/>
              <w:ind w:firstLine="0" w:firstLineChars="0"/>
            </w:pPr>
            <w:r>
              <w:rPr>
                <w:rFonts w:hint="eastAsia"/>
                <w:lang w:val="en-US"/>
              </w:rPr>
              <w:t>5</w:t>
            </w:r>
          </w:p>
        </w:tc>
        <w:tc>
          <w:tcPr>
            <w:tcW w:w="1219" w:type="pct"/>
            <w:vAlign w:val="bottom"/>
          </w:tcPr>
          <w:p w14:paraId="4C094175">
            <w:pPr>
              <w:pStyle w:val="768"/>
              <w:adjustRightInd w:val="0"/>
              <w:snapToGrid w:val="0"/>
              <w:spacing w:line="240" w:lineRule="auto"/>
              <w:ind w:firstLine="0" w:firstLineChars="0"/>
            </w:pPr>
            <w:r>
              <w:rPr>
                <w:rFonts w:hint="eastAsia"/>
              </w:rPr>
              <w:t>红砂</w:t>
            </w:r>
          </w:p>
        </w:tc>
        <w:tc>
          <w:tcPr>
            <w:tcW w:w="3348" w:type="pct"/>
            <w:vAlign w:val="center"/>
          </w:tcPr>
          <w:p w14:paraId="1C6F7C04">
            <w:pPr>
              <w:pStyle w:val="768"/>
              <w:adjustRightInd w:val="0"/>
              <w:snapToGrid w:val="0"/>
              <w:spacing w:line="240" w:lineRule="auto"/>
              <w:ind w:firstLine="0" w:firstLineChars="0"/>
            </w:pPr>
            <w:r>
              <w:rPr>
                <w:i/>
                <w:iCs/>
              </w:rPr>
              <w:t>Reaumuria soongorica (Pall.) Maxim</w:t>
            </w:r>
          </w:p>
        </w:tc>
      </w:tr>
    </w:tbl>
    <w:p w14:paraId="5499AAFE">
      <w:pPr>
        <w:widowControl w:val="0"/>
        <w:ind w:firstLine="480"/>
      </w:pPr>
      <w:r>
        <w:rPr>
          <w:lang w:val="pt-BR"/>
        </w:rPr>
        <w:t>（</w:t>
      </w:r>
      <w:r>
        <w:t>3</w:t>
      </w:r>
      <w:r>
        <w:rPr>
          <w:lang w:val="pt-BR"/>
        </w:rPr>
        <w:t>）</w:t>
      </w:r>
      <w:r>
        <w:rPr>
          <w:rFonts w:hint="eastAsia"/>
        </w:rPr>
        <w:t>评价区植物群落</w:t>
      </w:r>
    </w:p>
    <w:p w14:paraId="1DFFBD99">
      <w:pPr>
        <w:ind w:firstLine="480"/>
        <w:rPr>
          <w:highlight w:val="green"/>
        </w:rPr>
      </w:pPr>
      <w:r>
        <w:rPr>
          <w:lang w:val="pt-BR"/>
        </w:rPr>
        <w:t>根据实地调查，本项目评价区内主要以灌木植被群落为主，</w:t>
      </w:r>
      <w:r>
        <w:t>在评价区范围内未发现存活或存活可鉴别的草本植物。</w:t>
      </w:r>
      <w:r>
        <w:rPr>
          <w:rFonts w:hint="eastAsia"/>
        </w:rPr>
        <w:t>项目评价范围内</w:t>
      </w:r>
      <w:r>
        <w:rPr>
          <w:lang w:val="pt-BR"/>
        </w:rPr>
        <w:t>灌木</w:t>
      </w:r>
      <w:r>
        <w:t>群落</w:t>
      </w:r>
      <w:r>
        <w:rPr>
          <w:lang w:val="pt-BR"/>
        </w:rPr>
        <w:t>主要</w:t>
      </w:r>
      <w:r>
        <w:t>生长有沙冬青、</w:t>
      </w:r>
      <w:r>
        <w:rPr>
          <w:lang w:val="pt-BR"/>
        </w:rPr>
        <w:t>四合木、红砂、绵刺</w:t>
      </w:r>
      <w:r>
        <w:t>和</w:t>
      </w:r>
      <w:r>
        <w:rPr>
          <w:lang w:val="pt-BR"/>
        </w:rPr>
        <w:t>霸王</w:t>
      </w:r>
      <w:r>
        <w:rPr>
          <w:rFonts w:hint="eastAsia" w:ascii="宋体" w:hAnsi="宋体" w:cs="宋体"/>
          <w:kern w:val="0"/>
          <w:szCs w:val="24"/>
          <w:lang w:bidi="ar"/>
        </w:rPr>
        <w:t>。</w:t>
      </w:r>
      <w:r>
        <w:rPr>
          <w:lang w:val="pt-BR"/>
        </w:rPr>
        <w:t>2023年5月22日内蒙古自治区林业</w:t>
      </w:r>
      <w:r>
        <w:rPr>
          <w:rFonts w:hint="eastAsia"/>
          <w:lang w:val="en-US" w:eastAsia="zh-CN"/>
        </w:rPr>
        <w:t>和</w:t>
      </w:r>
      <w:r>
        <w:rPr>
          <w:lang w:val="pt-BR"/>
        </w:rPr>
        <w:t>草原局出具《内蒙古自治区林业</w:t>
      </w:r>
      <w:r>
        <w:rPr>
          <w:rFonts w:hint="eastAsia"/>
          <w:lang w:val="en-US" w:eastAsia="zh-CN"/>
        </w:rPr>
        <w:t>和</w:t>
      </w:r>
      <w:r>
        <w:rPr>
          <w:lang w:val="pt-BR"/>
        </w:rPr>
        <w:t>草原局关于同意内蒙古华翔农林牧科技发展有限公司120万只蛋鸡养殖项目采集国家二级重点保护野生植物的行政许可决定》内林草护许准[2023]43号文件，同意采集国家二级重点野生植物沙冬青</w:t>
      </w:r>
      <w:r>
        <w:rPr>
          <w:rFonts w:hint="eastAsia"/>
          <w:lang w:val="pt-BR"/>
        </w:rPr>
        <w:t>（</w:t>
      </w:r>
      <w:r>
        <w:rPr>
          <w:rFonts w:hint="eastAsia"/>
        </w:rPr>
        <w:t>1279株</w:t>
      </w:r>
      <w:r>
        <w:rPr>
          <w:rFonts w:hint="eastAsia"/>
          <w:lang w:val="pt-BR"/>
        </w:rPr>
        <w:t>）</w:t>
      </w:r>
      <w:r>
        <w:rPr>
          <w:lang w:val="pt-BR"/>
        </w:rPr>
        <w:t>和绵刺</w:t>
      </w:r>
      <w:r>
        <w:rPr>
          <w:rFonts w:hint="eastAsia"/>
          <w:lang w:val="pt-BR"/>
        </w:rPr>
        <w:t>（</w:t>
      </w:r>
      <w:r>
        <w:rPr>
          <w:rFonts w:hint="eastAsia"/>
        </w:rPr>
        <w:t>7023株</w:t>
      </w:r>
      <w:r>
        <w:rPr>
          <w:rFonts w:hint="eastAsia"/>
          <w:lang w:val="pt-BR"/>
        </w:rPr>
        <w:t>），</w:t>
      </w:r>
      <w:r>
        <w:rPr>
          <w:rFonts w:hint="eastAsia"/>
        </w:rPr>
        <w:t>现场采摘过程严格控制施工范围、地点，不得超范围采摘，采摘后进行扦插育苗和种子育苗，然后进行地块选择种植，并在种植区周边设置围挡防护</w:t>
      </w:r>
      <w:r>
        <w:rPr>
          <w:lang w:val="pt-BR"/>
        </w:rPr>
        <w:t>；现场实地查时间为2023年9月，因此在现场调查时已将项目区内的沙冬青全部采集，在实地调查过程中未发现沙冬青，只发现采集时留下的坑，详见下图4.6-12。</w:t>
      </w:r>
    </w:p>
    <w:p w14:paraId="7B6E622A">
      <w:pPr>
        <w:spacing w:line="240" w:lineRule="auto"/>
        <w:ind w:firstLine="0" w:firstLineChars="0"/>
        <w:jc w:val="center"/>
      </w:pPr>
    </w:p>
    <w:tbl>
      <w:tblPr>
        <w:tblStyle w:val="82"/>
        <w:tblW w:w="8386" w:type="dxa"/>
        <w:jc w:val="center"/>
        <w:tblLayout w:type="fixed"/>
        <w:tblCellMar>
          <w:top w:w="0" w:type="dxa"/>
          <w:left w:w="108" w:type="dxa"/>
          <w:bottom w:w="0" w:type="dxa"/>
          <w:right w:w="108" w:type="dxa"/>
        </w:tblCellMar>
      </w:tblPr>
      <w:tblGrid>
        <w:gridCol w:w="4245"/>
        <w:gridCol w:w="4141"/>
      </w:tblGrid>
      <w:tr w14:paraId="1E8D51C9">
        <w:tblPrEx>
          <w:tblCellMar>
            <w:top w:w="0" w:type="dxa"/>
            <w:left w:w="108" w:type="dxa"/>
            <w:bottom w:w="0" w:type="dxa"/>
            <w:right w:w="108" w:type="dxa"/>
          </w:tblCellMar>
        </w:tblPrEx>
        <w:trPr>
          <w:trHeight w:val="2544" w:hRule="atLeast"/>
          <w:jc w:val="center"/>
        </w:trPr>
        <w:tc>
          <w:tcPr>
            <w:tcW w:w="4245" w:type="dxa"/>
          </w:tcPr>
          <w:p w14:paraId="507AC1B9">
            <w:pPr>
              <w:pStyle w:val="1800"/>
              <w:spacing w:line="360" w:lineRule="auto"/>
            </w:pPr>
            <w:r>
              <w:drawing>
                <wp:inline distT="0" distB="0" distL="0" distR="0">
                  <wp:extent cx="3373120" cy="2566670"/>
                  <wp:effectExtent l="0" t="0" r="5080" b="17780"/>
                  <wp:docPr id="1305145734" name="图片 3" descr="雪地上&#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45734" name="图片 3" descr="雪地上&#10;&#10;中度可信度描述已自动生成"/>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rot="5400000">
                            <a:off x="0" y="0"/>
                            <a:ext cx="3373120" cy="2566670"/>
                          </a:xfrm>
                          <a:prstGeom prst="rect">
                            <a:avLst/>
                          </a:prstGeom>
                          <a:noFill/>
                          <a:ln>
                            <a:noFill/>
                          </a:ln>
                        </pic:spPr>
                      </pic:pic>
                    </a:graphicData>
                  </a:graphic>
                </wp:inline>
              </w:drawing>
            </w:r>
          </w:p>
        </w:tc>
        <w:tc>
          <w:tcPr>
            <w:tcW w:w="4141" w:type="dxa"/>
          </w:tcPr>
          <w:p w14:paraId="7E706782">
            <w:pPr>
              <w:pStyle w:val="1800"/>
              <w:spacing w:line="360" w:lineRule="auto"/>
              <w:jc w:val="both"/>
            </w:pPr>
            <w:r>
              <w:drawing>
                <wp:inline distT="0" distB="0" distL="0" distR="0">
                  <wp:extent cx="3368675" cy="2527300"/>
                  <wp:effectExtent l="0" t="0" r="6350" b="3175"/>
                  <wp:docPr id="157766465" name="图片 4" descr="站在沙滩上&#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6465" name="图片 4" descr="站在沙滩上&#10;&#10;中度可信度描述已自动生成"/>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rot="5400000">
                            <a:off x="0" y="0"/>
                            <a:ext cx="3368675" cy="2527300"/>
                          </a:xfrm>
                          <a:prstGeom prst="rect">
                            <a:avLst/>
                          </a:prstGeom>
                          <a:noFill/>
                          <a:ln>
                            <a:noFill/>
                          </a:ln>
                        </pic:spPr>
                      </pic:pic>
                    </a:graphicData>
                  </a:graphic>
                </wp:inline>
              </w:drawing>
            </w:r>
          </w:p>
        </w:tc>
      </w:tr>
      <w:tr w14:paraId="7D67E5D8">
        <w:tblPrEx>
          <w:tblCellMar>
            <w:top w:w="0" w:type="dxa"/>
            <w:left w:w="108" w:type="dxa"/>
            <w:bottom w:w="0" w:type="dxa"/>
            <w:right w:w="108" w:type="dxa"/>
          </w:tblCellMar>
        </w:tblPrEx>
        <w:trPr>
          <w:trHeight w:val="2544" w:hRule="atLeast"/>
          <w:jc w:val="center"/>
        </w:trPr>
        <w:tc>
          <w:tcPr>
            <w:tcW w:w="4245" w:type="dxa"/>
          </w:tcPr>
          <w:p w14:paraId="6C3D962A">
            <w:pPr>
              <w:pStyle w:val="1800"/>
              <w:spacing w:line="360" w:lineRule="auto"/>
            </w:pPr>
            <w:r>
              <w:drawing>
                <wp:inline distT="0" distB="0" distL="0" distR="0">
                  <wp:extent cx="2558415" cy="4914265"/>
                  <wp:effectExtent l="0" t="0" r="13335" b="635"/>
                  <wp:docPr id="1704965059" name="图片 5" descr="砖墙边&#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65059" name="图片 5" descr="砖墙边&#10;&#10;低可信度描述已自动生成"/>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2558415" cy="4914265"/>
                          </a:xfrm>
                          <a:prstGeom prst="rect">
                            <a:avLst/>
                          </a:prstGeom>
                          <a:noFill/>
                          <a:ln>
                            <a:noFill/>
                          </a:ln>
                        </pic:spPr>
                      </pic:pic>
                    </a:graphicData>
                  </a:graphic>
                </wp:inline>
              </w:drawing>
            </w:r>
          </w:p>
        </w:tc>
        <w:tc>
          <w:tcPr>
            <w:tcW w:w="4141" w:type="dxa"/>
          </w:tcPr>
          <w:p w14:paraId="18AB8AD1">
            <w:pPr>
              <w:pStyle w:val="1800"/>
              <w:spacing w:line="360" w:lineRule="auto"/>
              <w:jc w:val="both"/>
            </w:pPr>
            <w:r>
              <w:drawing>
                <wp:inline distT="0" distB="0" distL="0" distR="0">
                  <wp:extent cx="2492375" cy="4943475"/>
                  <wp:effectExtent l="0" t="0" r="3175" b="9525"/>
                  <wp:docPr id="53828495" name="图片 6" descr="砖地上&#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8495" name="图片 6" descr="砖地上&#10;&#10;描述已自动生成"/>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2492375" cy="4943475"/>
                          </a:xfrm>
                          <a:prstGeom prst="rect">
                            <a:avLst/>
                          </a:prstGeom>
                          <a:noFill/>
                          <a:ln>
                            <a:noFill/>
                          </a:ln>
                        </pic:spPr>
                      </pic:pic>
                    </a:graphicData>
                  </a:graphic>
                </wp:inline>
              </w:drawing>
            </w:r>
          </w:p>
        </w:tc>
      </w:tr>
    </w:tbl>
    <w:p w14:paraId="6BC26AC6">
      <w:pPr>
        <w:widowControl w:val="0"/>
        <w:ind w:firstLine="0" w:firstLineChars="0"/>
        <w:jc w:val="center"/>
        <w:rPr>
          <w:b/>
          <w:bCs/>
        </w:rPr>
      </w:pPr>
      <w:r>
        <w:rPr>
          <w:rFonts w:hint="eastAsia"/>
          <w:b/>
          <w:bCs/>
        </w:rPr>
        <w:t>图4.6-12  现场照片</w:t>
      </w:r>
    </w:p>
    <w:tbl>
      <w:tblPr>
        <w:tblStyle w:val="82"/>
        <w:tblW w:w="8386" w:type="dxa"/>
        <w:jc w:val="center"/>
        <w:tblLayout w:type="fixed"/>
        <w:tblCellMar>
          <w:top w:w="0" w:type="dxa"/>
          <w:left w:w="108" w:type="dxa"/>
          <w:bottom w:w="0" w:type="dxa"/>
          <w:right w:w="108" w:type="dxa"/>
        </w:tblCellMar>
      </w:tblPr>
      <w:tblGrid>
        <w:gridCol w:w="4245"/>
        <w:gridCol w:w="4141"/>
      </w:tblGrid>
      <w:tr w14:paraId="5E052DB9">
        <w:tblPrEx>
          <w:tblCellMar>
            <w:top w:w="0" w:type="dxa"/>
            <w:left w:w="108" w:type="dxa"/>
            <w:bottom w:w="0" w:type="dxa"/>
            <w:right w:w="108" w:type="dxa"/>
          </w:tblCellMar>
        </w:tblPrEx>
        <w:trPr>
          <w:trHeight w:val="396" w:hRule="atLeast"/>
          <w:jc w:val="center"/>
        </w:trPr>
        <w:tc>
          <w:tcPr>
            <w:tcW w:w="4245" w:type="dxa"/>
          </w:tcPr>
          <w:p w14:paraId="4D7AFC3D">
            <w:pPr>
              <w:pStyle w:val="1800"/>
              <w:jc w:val="both"/>
            </w:pPr>
            <w:r>
              <w:drawing>
                <wp:inline distT="0" distB="0" distL="0" distR="0">
                  <wp:extent cx="2558415" cy="3411220"/>
                  <wp:effectExtent l="0" t="0" r="6985" b="5080"/>
                  <wp:docPr id="196196007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60078" name="图片 3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2558415" cy="3411220"/>
                          </a:xfrm>
                          <a:prstGeom prst="rect">
                            <a:avLst/>
                          </a:prstGeom>
                          <a:noFill/>
                          <a:ln>
                            <a:noFill/>
                          </a:ln>
                        </pic:spPr>
                      </pic:pic>
                    </a:graphicData>
                  </a:graphic>
                </wp:inline>
              </w:drawing>
            </w:r>
          </w:p>
          <w:p w14:paraId="32E14DD8">
            <w:pPr>
              <w:pStyle w:val="1800"/>
              <w:ind w:firstLine="480"/>
              <w:rPr>
                <w:lang w:val="pt-BR"/>
              </w:rPr>
            </w:pPr>
            <w:r>
              <w:rPr>
                <w:rFonts w:hint="eastAsia"/>
              </w:rPr>
              <w:t>霸王</w:t>
            </w:r>
          </w:p>
        </w:tc>
        <w:tc>
          <w:tcPr>
            <w:tcW w:w="4141" w:type="dxa"/>
          </w:tcPr>
          <w:p w14:paraId="710C40E0">
            <w:pPr>
              <w:pStyle w:val="1800"/>
              <w:jc w:val="both"/>
            </w:pPr>
            <w:r>
              <w:drawing>
                <wp:inline distT="0" distB="0" distL="0" distR="0">
                  <wp:extent cx="2492375" cy="3377565"/>
                  <wp:effectExtent l="0" t="0" r="9525" b="635"/>
                  <wp:docPr id="81557378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73781" name="图片 3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2492375" cy="3377565"/>
                          </a:xfrm>
                          <a:prstGeom prst="rect">
                            <a:avLst/>
                          </a:prstGeom>
                          <a:noFill/>
                          <a:ln>
                            <a:noFill/>
                          </a:ln>
                        </pic:spPr>
                      </pic:pic>
                    </a:graphicData>
                  </a:graphic>
                </wp:inline>
              </w:drawing>
            </w:r>
          </w:p>
          <w:p w14:paraId="7D90A7E4">
            <w:pPr>
              <w:pStyle w:val="1800"/>
              <w:rPr>
                <w:lang w:val="pt-BR"/>
              </w:rPr>
            </w:pPr>
            <w:r>
              <w:rPr>
                <w:rFonts w:hint="eastAsia"/>
              </w:rPr>
              <w:t>沙冬青</w:t>
            </w:r>
          </w:p>
        </w:tc>
      </w:tr>
      <w:tr w14:paraId="0C1386EF">
        <w:tblPrEx>
          <w:tblCellMar>
            <w:top w:w="0" w:type="dxa"/>
            <w:left w:w="108" w:type="dxa"/>
            <w:bottom w:w="0" w:type="dxa"/>
            <w:right w:w="108" w:type="dxa"/>
          </w:tblCellMar>
        </w:tblPrEx>
        <w:trPr>
          <w:trHeight w:val="2544" w:hRule="atLeast"/>
          <w:jc w:val="center"/>
        </w:trPr>
        <w:tc>
          <w:tcPr>
            <w:tcW w:w="4245" w:type="dxa"/>
          </w:tcPr>
          <w:p w14:paraId="166B8FEB">
            <w:pPr>
              <w:pStyle w:val="1800"/>
            </w:pPr>
            <w:r>
              <w:drawing>
                <wp:inline distT="0" distB="0" distL="0" distR="0">
                  <wp:extent cx="2558415" cy="3411220"/>
                  <wp:effectExtent l="0" t="0" r="6985" b="5080"/>
                  <wp:docPr id="97777828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78281" name="图片 3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2558415" cy="3411220"/>
                          </a:xfrm>
                          <a:prstGeom prst="rect">
                            <a:avLst/>
                          </a:prstGeom>
                          <a:noFill/>
                          <a:ln>
                            <a:noFill/>
                          </a:ln>
                        </pic:spPr>
                      </pic:pic>
                    </a:graphicData>
                  </a:graphic>
                </wp:inline>
              </w:drawing>
            </w:r>
            <w:r>
              <w:rPr>
                <w:rFonts w:hint="eastAsia"/>
              </w:rPr>
              <w:t>霸王+沙冬青</w:t>
            </w:r>
            <w:r>
              <w:t>群落</w:t>
            </w:r>
          </w:p>
        </w:tc>
        <w:tc>
          <w:tcPr>
            <w:tcW w:w="4141" w:type="dxa"/>
          </w:tcPr>
          <w:p w14:paraId="4A98C891">
            <w:pPr>
              <w:pStyle w:val="1800"/>
              <w:jc w:val="both"/>
            </w:pPr>
            <w:r>
              <w:drawing>
                <wp:inline distT="0" distB="0" distL="0" distR="0">
                  <wp:extent cx="2492375" cy="3404870"/>
                  <wp:effectExtent l="0" t="0" r="9525" b="11430"/>
                  <wp:docPr id="186532746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27464" name="图片 4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2492375" cy="3404870"/>
                          </a:xfrm>
                          <a:prstGeom prst="rect">
                            <a:avLst/>
                          </a:prstGeom>
                          <a:noFill/>
                          <a:ln>
                            <a:noFill/>
                          </a:ln>
                        </pic:spPr>
                      </pic:pic>
                    </a:graphicData>
                  </a:graphic>
                </wp:inline>
              </w:drawing>
            </w:r>
          </w:p>
          <w:p w14:paraId="31A28F5F">
            <w:pPr>
              <w:pStyle w:val="1800"/>
            </w:pPr>
            <w:r>
              <w:rPr>
                <w:rFonts w:hint="eastAsia"/>
              </w:rPr>
              <w:t>霸王+沙冬青</w:t>
            </w:r>
            <w:r>
              <w:t>群落</w:t>
            </w:r>
          </w:p>
        </w:tc>
      </w:tr>
    </w:tbl>
    <w:p w14:paraId="3B176D3E">
      <w:pPr>
        <w:widowControl w:val="0"/>
        <w:ind w:firstLine="482"/>
        <w:jc w:val="center"/>
      </w:pPr>
      <w:r>
        <w:rPr>
          <w:rFonts w:hint="eastAsia"/>
          <w:b/>
          <w:bCs/>
          <w:lang w:val="pt-BR"/>
        </w:rPr>
        <w:t xml:space="preserve">图4.6-13  </w:t>
      </w:r>
      <w:r>
        <w:rPr>
          <w:rFonts w:hint="eastAsia"/>
          <w:b/>
          <w:bCs/>
        </w:rPr>
        <w:t>现场照片</w:t>
      </w:r>
    </w:p>
    <w:p w14:paraId="2C08E15F">
      <w:pPr>
        <w:widowControl w:val="0"/>
        <w:ind w:firstLine="480"/>
      </w:pPr>
      <w:r>
        <w:rPr>
          <w:lang w:val="pt-BR"/>
        </w:rPr>
        <w:t>（</w:t>
      </w:r>
      <w:r>
        <w:rPr>
          <w:rFonts w:hint="eastAsia"/>
        </w:rPr>
        <w:t>4</w:t>
      </w:r>
      <w:r>
        <w:rPr>
          <w:lang w:val="pt-BR"/>
        </w:rPr>
        <w:t>）国家重点保护野生植物和古树名木</w:t>
      </w:r>
    </w:p>
    <w:p w14:paraId="28D2C89E">
      <w:pPr>
        <w:pStyle w:val="2"/>
        <w:rPr>
          <w:highlight w:val="green"/>
        </w:rPr>
      </w:pPr>
      <w:r>
        <w:t>根据现场调查</w:t>
      </w:r>
      <w:r>
        <w:rPr>
          <w:rFonts w:hint="eastAsia"/>
        </w:rPr>
        <w:t>并结合《国家重点保护野生植物名录》得出</w:t>
      </w:r>
      <w:r>
        <w:t>，</w:t>
      </w:r>
      <w:r>
        <w:rPr>
          <w:rFonts w:hint="eastAsia"/>
        </w:rPr>
        <w:t>评价范围</w:t>
      </w:r>
      <w:r>
        <w:t>内</w:t>
      </w:r>
      <w:r>
        <w:rPr>
          <w:rFonts w:hint="eastAsia"/>
        </w:rPr>
        <w:t>共有国家重点保护野生植物2</w:t>
      </w:r>
      <w:r>
        <w:t>种，</w:t>
      </w:r>
      <w:r>
        <w:rPr>
          <w:rFonts w:hint="eastAsia"/>
        </w:rPr>
        <w:t>分别是四合木（国家二级重点保护野生植物）、沙冬青（国家二级重点保护野生植物）和绵刺（国家二级重点保护野生植物），未发现古树名木分布，详情如下表。</w:t>
      </w:r>
    </w:p>
    <w:p w14:paraId="5B5BD18F">
      <w:pPr>
        <w:pStyle w:val="4"/>
        <w:widowControl w:val="0"/>
        <w:wordWrap w:val="0"/>
        <w:topLinePunct/>
        <w:adjustRightInd w:val="0"/>
        <w:snapToGrid w:val="0"/>
        <w:spacing w:after="0" w:line="240" w:lineRule="auto"/>
        <w:ind w:firstLine="0" w:firstLineChars="0"/>
        <w:rPr>
          <w:rFonts w:ascii="Times New Roman" w:hAnsi="Times New Roman"/>
          <w:b/>
          <w:bCs/>
          <w:kern w:val="2"/>
          <w:sz w:val="24"/>
          <w:szCs w:val="20"/>
        </w:rPr>
      </w:pPr>
      <w:r>
        <w:rPr>
          <w:rFonts w:hint="eastAsia" w:ascii="Times New Roman" w:hAnsi="Times New Roman"/>
          <w:b/>
          <w:bCs/>
          <w:kern w:val="2"/>
          <w:sz w:val="24"/>
          <w:szCs w:val="20"/>
        </w:rPr>
        <w:t>表4.6-10  重要野生植物调查结果统计表</w:t>
      </w:r>
    </w:p>
    <w:tbl>
      <w:tblPr>
        <w:tblStyle w:val="83"/>
        <w:tblW w:w="0" w:type="auto"/>
        <w:tblInd w:w="-2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
        <w:gridCol w:w="700"/>
        <w:gridCol w:w="650"/>
        <w:gridCol w:w="700"/>
        <w:gridCol w:w="1073"/>
        <w:gridCol w:w="1500"/>
        <w:gridCol w:w="1200"/>
        <w:gridCol w:w="3274"/>
      </w:tblGrid>
      <w:tr w14:paraId="7392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dxa"/>
            <w:vAlign w:val="center"/>
          </w:tcPr>
          <w:p w14:paraId="64F28E79">
            <w:pPr>
              <w:widowControl w:val="0"/>
              <w:wordWrap w:val="0"/>
              <w:topLinePunct/>
              <w:adjustRightInd w:val="0"/>
              <w:snapToGrid w:val="0"/>
              <w:spacing w:line="240" w:lineRule="auto"/>
              <w:ind w:firstLine="0" w:firstLineChars="0"/>
              <w:jc w:val="center"/>
              <w:rPr>
                <w:sz w:val="21"/>
              </w:rPr>
            </w:pPr>
            <w:r>
              <w:rPr>
                <w:rFonts w:hint="eastAsia"/>
                <w:sz w:val="21"/>
              </w:rPr>
              <w:t>序号</w:t>
            </w:r>
          </w:p>
        </w:tc>
        <w:tc>
          <w:tcPr>
            <w:tcW w:w="700" w:type="dxa"/>
            <w:vAlign w:val="center"/>
          </w:tcPr>
          <w:p w14:paraId="4E828DC9">
            <w:pPr>
              <w:widowControl w:val="0"/>
              <w:wordWrap w:val="0"/>
              <w:topLinePunct/>
              <w:adjustRightInd w:val="0"/>
              <w:snapToGrid w:val="0"/>
              <w:spacing w:line="240" w:lineRule="auto"/>
              <w:ind w:firstLine="0" w:firstLineChars="0"/>
              <w:jc w:val="center"/>
              <w:rPr>
                <w:sz w:val="21"/>
              </w:rPr>
            </w:pPr>
            <w:r>
              <w:rPr>
                <w:rFonts w:hint="eastAsia"/>
                <w:sz w:val="21"/>
              </w:rPr>
              <w:t>物种名称</w:t>
            </w:r>
          </w:p>
        </w:tc>
        <w:tc>
          <w:tcPr>
            <w:tcW w:w="650" w:type="dxa"/>
            <w:vAlign w:val="center"/>
          </w:tcPr>
          <w:p w14:paraId="563D8860">
            <w:pPr>
              <w:widowControl w:val="0"/>
              <w:wordWrap w:val="0"/>
              <w:topLinePunct/>
              <w:adjustRightInd w:val="0"/>
              <w:snapToGrid w:val="0"/>
              <w:spacing w:line="240" w:lineRule="auto"/>
              <w:ind w:firstLine="0" w:firstLineChars="0"/>
              <w:jc w:val="center"/>
              <w:rPr>
                <w:sz w:val="21"/>
              </w:rPr>
            </w:pPr>
            <w:r>
              <w:rPr>
                <w:rFonts w:hint="eastAsia"/>
                <w:sz w:val="21"/>
              </w:rPr>
              <w:t>保护级别</w:t>
            </w:r>
          </w:p>
        </w:tc>
        <w:tc>
          <w:tcPr>
            <w:tcW w:w="700" w:type="dxa"/>
            <w:vAlign w:val="center"/>
          </w:tcPr>
          <w:p w14:paraId="340661E1">
            <w:pPr>
              <w:widowControl w:val="0"/>
              <w:wordWrap w:val="0"/>
              <w:topLinePunct/>
              <w:adjustRightInd w:val="0"/>
              <w:snapToGrid w:val="0"/>
              <w:spacing w:line="240" w:lineRule="auto"/>
              <w:ind w:firstLine="0" w:firstLineChars="0"/>
              <w:jc w:val="center"/>
              <w:rPr>
                <w:sz w:val="21"/>
              </w:rPr>
            </w:pPr>
            <w:r>
              <w:rPr>
                <w:rFonts w:hint="eastAsia"/>
                <w:sz w:val="21"/>
              </w:rPr>
              <w:t>濒危等级</w:t>
            </w:r>
          </w:p>
        </w:tc>
        <w:tc>
          <w:tcPr>
            <w:tcW w:w="1073" w:type="dxa"/>
            <w:vAlign w:val="center"/>
          </w:tcPr>
          <w:p w14:paraId="1BA79E05">
            <w:pPr>
              <w:widowControl w:val="0"/>
              <w:wordWrap w:val="0"/>
              <w:topLinePunct/>
              <w:adjustRightInd w:val="0"/>
              <w:snapToGrid w:val="0"/>
              <w:spacing w:line="240" w:lineRule="auto"/>
              <w:ind w:firstLine="0" w:firstLineChars="0"/>
              <w:jc w:val="center"/>
              <w:rPr>
                <w:sz w:val="21"/>
              </w:rPr>
            </w:pPr>
            <w:r>
              <w:rPr>
                <w:rFonts w:hint="eastAsia"/>
                <w:sz w:val="21"/>
              </w:rPr>
              <w:t>特有种（是/否）</w:t>
            </w:r>
          </w:p>
        </w:tc>
        <w:tc>
          <w:tcPr>
            <w:tcW w:w="1500" w:type="dxa"/>
            <w:vAlign w:val="center"/>
          </w:tcPr>
          <w:p w14:paraId="4ABDBC30">
            <w:pPr>
              <w:widowControl w:val="0"/>
              <w:wordWrap w:val="0"/>
              <w:topLinePunct/>
              <w:adjustRightInd w:val="0"/>
              <w:snapToGrid w:val="0"/>
              <w:spacing w:line="240" w:lineRule="auto"/>
              <w:ind w:firstLine="0" w:firstLineChars="0"/>
              <w:jc w:val="center"/>
              <w:rPr>
                <w:sz w:val="21"/>
              </w:rPr>
            </w:pPr>
            <w:r>
              <w:rPr>
                <w:rFonts w:hint="eastAsia"/>
                <w:sz w:val="21"/>
              </w:rPr>
              <w:t>极小种群野生植物（是/否）</w:t>
            </w:r>
          </w:p>
        </w:tc>
        <w:tc>
          <w:tcPr>
            <w:tcW w:w="1200" w:type="dxa"/>
            <w:vAlign w:val="center"/>
          </w:tcPr>
          <w:p w14:paraId="69D9D79B">
            <w:pPr>
              <w:widowControl w:val="0"/>
              <w:wordWrap w:val="0"/>
              <w:topLinePunct/>
              <w:adjustRightInd w:val="0"/>
              <w:snapToGrid w:val="0"/>
              <w:spacing w:line="240" w:lineRule="auto"/>
              <w:ind w:firstLine="0" w:firstLineChars="0"/>
              <w:jc w:val="center"/>
              <w:rPr>
                <w:sz w:val="21"/>
              </w:rPr>
            </w:pPr>
            <w:r>
              <w:rPr>
                <w:rFonts w:hint="eastAsia"/>
                <w:sz w:val="21"/>
              </w:rPr>
              <w:t>资料来源</w:t>
            </w:r>
          </w:p>
        </w:tc>
        <w:tc>
          <w:tcPr>
            <w:tcW w:w="3274" w:type="dxa"/>
            <w:vAlign w:val="center"/>
          </w:tcPr>
          <w:p w14:paraId="75CDDA21">
            <w:pPr>
              <w:widowControl w:val="0"/>
              <w:wordWrap w:val="0"/>
              <w:topLinePunct/>
              <w:adjustRightInd w:val="0"/>
              <w:snapToGrid w:val="0"/>
              <w:spacing w:line="240" w:lineRule="auto"/>
              <w:ind w:firstLine="0" w:firstLineChars="0"/>
              <w:jc w:val="center"/>
              <w:rPr>
                <w:sz w:val="21"/>
              </w:rPr>
            </w:pPr>
            <w:r>
              <w:rPr>
                <w:rFonts w:hint="eastAsia"/>
                <w:sz w:val="21"/>
              </w:rPr>
              <w:t>工程占用情况</w:t>
            </w:r>
          </w:p>
        </w:tc>
      </w:tr>
      <w:tr w14:paraId="1A00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dxa"/>
            <w:vAlign w:val="center"/>
          </w:tcPr>
          <w:p w14:paraId="610F9590">
            <w:pPr>
              <w:widowControl w:val="0"/>
              <w:wordWrap w:val="0"/>
              <w:topLinePunct/>
              <w:adjustRightInd w:val="0"/>
              <w:snapToGrid w:val="0"/>
              <w:spacing w:line="240" w:lineRule="auto"/>
              <w:ind w:firstLine="0" w:firstLineChars="0"/>
              <w:jc w:val="center"/>
              <w:rPr>
                <w:sz w:val="21"/>
              </w:rPr>
            </w:pPr>
            <w:r>
              <w:rPr>
                <w:rFonts w:hint="eastAsia"/>
                <w:sz w:val="21"/>
              </w:rPr>
              <w:t>1</w:t>
            </w:r>
          </w:p>
        </w:tc>
        <w:tc>
          <w:tcPr>
            <w:tcW w:w="700" w:type="dxa"/>
            <w:vAlign w:val="center"/>
          </w:tcPr>
          <w:p w14:paraId="23422FB0">
            <w:pPr>
              <w:widowControl w:val="0"/>
              <w:wordWrap w:val="0"/>
              <w:topLinePunct/>
              <w:adjustRightInd w:val="0"/>
              <w:snapToGrid w:val="0"/>
              <w:spacing w:line="240" w:lineRule="auto"/>
              <w:ind w:firstLine="0" w:firstLineChars="0"/>
              <w:jc w:val="center"/>
              <w:rPr>
                <w:sz w:val="21"/>
              </w:rPr>
            </w:pPr>
            <w:r>
              <w:rPr>
                <w:rFonts w:hint="eastAsia"/>
                <w:sz w:val="21"/>
              </w:rPr>
              <w:t>沙冬青</w:t>
            </w:r>
          </w:p>
        </w:tc>
        <w:tc>
          <w:tcPr>
            <w:tcW w:w="650" w:type="dxa"/>
            <w:vAlign w:val="center"/>
          </w:tcPr>
          <w:p w14:paraId="2E2C5E8D">
            <w:pPr>
              <w:widowControl w:val="0"/>
              <w:wordWrap w:val="0"/>
              <w:topLinePunct/>
              <w:adjustRightInd w:val="0"/>
              <w:snapToGrid w:val="0"/>
              <w:spacing w:line="240" w:lineRule="auto"/>
              <w:ind w:firstLine="0" w:firstLineChars="0"/>
              <w:jc w:val="center"/>
              <w:rPr>
                <w:sz w:val="21"/>
              </w:rPr>
            </w:pPr>
            <w:r>
              <w:rPr>
                <w:rFonts w:hint="eastAsia"/>
                <w:sz w:val="21"/>
              </w:rPr>
              <w:t>二级</w:t>
            </w:r>
          </w:p>
        </w:tc>
        <w:tc>
          <w:tcPr>
            <w:tcW w:w="700" w:type="dxa"/>
            <w:vAlign w:val="center"/>
          </w:tcPr>
          <w:p w14:paraId="72711948">
            <w:pPr>
              <w:widowControl w:val="0"/>
              <w:wordWrap w:val="0"/>
              <w:topLinePunct/>
              <w:adjustRightInd w:val="0"/>
              <w:snapToGrid w:val="0"/>
              <w:spacing w:line="240" w:lineRule="auto"/>
              <w:ind w:firstLine="0" w:firstLineChars="0"/>
              <w:jc w:val="center"/>
              <w:rPr>
                <w:sz w:val="21"/>
              </w:rPr>
            </w:pPr>
            <w:r>
              <w:rPr>
                <w:rFonts w:ascii="Helvetica" w:hAnsi="Helvetica" w:eastAsia="Helvetica" w:cs="Helvetica"/>
                <w:sz w:val="21"/>
                <w:szCs w:val="21"/>
                <w:shd w:val="clear" w:color="auto" w:fill="FFFFFF"/>
              </w:rPr>
              <w:t>易危</w:t>
            </w:r>
          </w:p>
        </w:tc>
        <w:tc>
          <w:tcPr>
            <w:tcW w:w="1073" w:type="dxa"/>
            <w:vAlign w:val="center"/>
          </w:tcPr>
          <w:p w14:paraId="1FF13ECD">
            <w:pPr>
              <w:widowControl w:val="0"/>
              <w:wordWrap w:val="0"/>
              <w:topLinePunct/>
              <w:adjustRightInd w:val="0"/>
              <w:snapToGrid w:val="0"/>
              <w:spacing w:line="240" w:lineRule="auto"/>
              <w:ind w:firstLine="0" w:firstLineChars="0"/>
              <w:jc w:val="center"/>
              <w:rPr>
                <w:sz w:val="21"/>
              </w:rPr>
            </w:pPr>
            <w:r>
              <w:rPr>
                <w:rFonts w:hint="eastAsia"/>
                <w:sz w:val="21"/>
              </w:rPr>
              <w:t>否</w:t>
            </w:r>
          </w:p>
        </w:tc>
        <w:tc>
          <w:tcPr>
            <w:tcW w:w="1500" w:type="dxa"/>
            <w:vAlign w:val="center"/>
          </w:tcPr>
          <w:p w14:paraId="123EED10">
            <w:pPr>
              <w:widowControl w:val="0"/>
              <w:wordWrap w:val="0"/>
              <w:topLinePunct/>
              <w:adjustRightInd w:val="0"/>
              <w:snapToGrid w:val="0"/>
              <w:spacing w:line="240" w:lineRule="auto"/>
              <w:ind w:firstLine="0" w:firstLineChars="0"/>
              <w:jc w:val="center"/>
              <w:rPr>
                <w:sz w:val="21"/>
              </w:rPr>
            </w:pPr>
            <w:r>
              <w:rPr>
                <w:rFonts w:hint="eastAsia"/>
                <w:sz w:val="21"/>
              </w:rPr>
              <w:t>否</w:t>
            </w:r>
          </w:p>
        </w:tc>
        <w:tc>
          <w:tcPr>
            <w:tcW w:w="1200" w:type="dxa"/>
            <w:vAlign w:val="center"/>
          </w:tcPr>
          <w:p w14:paraId="39F11718">
            <w:pPr>
              <w:widowControl w:val="0"/>
              <w:wordWrap w:val="0"/>
              <w:topLinePunct/>
              <w:adjustRightInd w:val="0"/>
              <w:snapToGrid w:val="0"/>
              <w:spacing w:line="240" w:lineRule="auto"/>
              <w:ind w:firstLine="0" w:firstLineChars="0"/>
              <w:jc w:val="center"/>
              <w:rPr>
                <w:sz w:val="21"/>
              </w:rPr>
            </w:pPr>
            <w:r>
              <w:rPr>
                <w:rFonts w:hint="eastAsia"/>
                <w:sz w:val="21"/>
              </w:rPr>
              <w:t>现场调查</w:t>
            </w:r>
          </w:p>
        </w:tc>
        <w:tc>
          <w:tcPr>
            <w:tcW w:w="3274" w:type="dxa"/>
            <w:vMerge w:val="restart"/>
            <w:vAlign w:val="center"/>
          </w:tcPr>
          <w:p w14:paraId="671B90C0">
            <w:pPr>
              <w:widowControl w:val="0"/>
              <w:wordWrap w:val="0"/>
              <w:topLinePunct/>
              <w:adjustRightInd w:val="0"/>
              <w:snapToGrid w:val="0"/>
              <w:spacing w:line="240" w:lineRule="auto"/>
              <w:ind w:firstLine="0" w:firstLineChars="0"/>
              <w:jc w:val="both"/>
              <w:rPr>
                <w:sz w:val="21"/>
              </w:rPr>
            </w:pPr>
            <w:r>
              <w:rPr>
                <w:rFonts w:hint="eastAsia"/>
                <w:sz w:val="21"/>
              </w:rPr>
              <w:t>项目占地范围内仅涉及沙冬青和绵刺，不涉及四合木，四合木主要分布在项目占地范围外的东北和西南方向</w:t>
            </w:r>
          </w:p>
        </w:tc>
      </w:tr>
      <w:tr w14:paraId="22EC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dxa"/>
            <w:vAlign w:val="center"/>
          </w:tcPr>
          <w:p w14:paraId="13D8C089">
            <w:pPr>
              <w:widowControl w:val="0"/>
              <w:wordWrap w:val="0"/>
              <w:topLinePunct/>
              <w:adjustRightInd w:val="0"/>
              <w:snapToGrid w:val="0"/>
              <w:spacing w:line="240" w:lineRule="auto"/>
              <w:ind w:firstLine="0" w:firstLineChars="0"/>
              <w:jc w:val="center"/>
              <w:rPr>
                <w:sz w:val="21"/>
              </w:rPr>
            </w:pPr>
            <w:r>
              <w:rPr>
                <w:rFonts w:hint="eastAsia"/>
                <w:sz w:val="21"/>
              </w:rPr>
              <w:t>2</w:t>
            </w:r>
          </w:p>
        </w:tc>
        <w:tc>
          <w:tcPr>
            <w:tcW w:w="700" w:type="dxa"/>
            <w:vAlign w:val="center"/>
          </w:tcPr>
          <w:p w14:paraId="0A96840E">
            <w:pPr>
              <w:widowControl w:val="0"/>
              <w:wordWrap w:val="0"/>
              <w:topLinePunct/>
              <w:adjustRightInd w:val="0"/>
              <w:snapToGrid w:val="0"/>
              <w:spacing w:line="240" w:lineRule="auto"/>
              <w:ind w:firstLine="0" w:firstLineChars="0"/>
              <w:jc w:val="center"/>
              <w:rPr>
                <w:sz w:val="21"/>
              </w:rPr>
            </w:pPr>
            <w:r>
              <w:rPr>
                <w:rFonts w:hint="eastAsia"/>
                <w:sz w:val="21"/>
              </w:rPr>
              <w:t>绵刺</w:t>
            </w:r>
          </w:p>
        </w:tc>
        <w:tc>
          <w:tcPr>
            <w:tcW w:w="650" w:type="dxa"/>
            <w:vAlign w:val="center"/>
          </w:tcPr>
          <w:p w14:paraId="2C6589F3">
            <w:pPr>
              <w:widowControl w:val="0"/>
              <w:wordWrap w:val="0"/>
              <w:topLinePunct/>
              <w:adjustRightInd w:val="0"/>
              <w:snapToGrid w:val="0"/>
              <w:spacing w:line="240" w:lineRule="auto"/>
              <w:ind w:firstLine="0" w:firstLineChars="0"/>
              <w:jc w:val="center"/>
              <w:rPr>
                <w:sz w:val="21"/>
              </w:rPr>
            </w:pPr>
            <w:r>
              <w:rPr>
                <w:rFonts w:hint="eastAsia"/>
                <w:sz w:val="21"/>
              </w:rPr>
              <w:t>二级</w:t>
            </w:r>
          </w:p>
        </w:tc>
        <w:tc>
          <w:tcPr>
            <w:tcW w:w="700" w:type="dxa"/>
            <w:vAlign w:val="center"/>
          </w:tcPr>
          <w:p w14:paraId="289A5E14">
            <w:pPr>
              <w:widowControl w:val="0"/>
              <w:wordWrap w:val="0"/>
              <w:topLinePunct/>
              <w:adjustRightInd w:val="0"/>
              <w:snapToGrid w:val="0"/>
              <w:spacing w:line="240" w:lineRule="auto"/>
              <w:ind w:firstLine="0" w:firstLineChars="0"/>
              <w:jc w:val="center"/>
              <w:rPr>
                <w:sz w:val="21"/>
              </w:rPr>
            </w:pPr>
            <w:r>
              <w:rPr>
                <w:rFonts w:ascii="Helvetica" w:hAnsi="Helvetica" w:eastAsia="Helvetica" w:cs="Helvetica"/>
                <w:sz w:val="21"/>
                <w:szCs w:val="21"/>
                <w:shd w:val="clear" w:color="auto" w:fill="FFFFFF"/>
              </w:rPr>
              <w:t>易危</w:t>
            </w:r>
          </w:p>
        </w:tc>
        <w:tc>
          <w:tcPr>
            <w:tcW w:w="1073" w:type="dxa"/>
            <w:vAlign w:val="center"/>
          </w:tcPr>
          <w:p w14:paraId="28632569">
            <w:pPr>
              <w:widowControl w:val="0"/>
              <w:wordWrap w:val="0"/>
              <w:topLinePunct/>
              <w:adjustRightInd w:val="0"/>
              <w:snapToGrid w:val="0"/>
              <w:spacing w:line="240" w:lineRule="auto"/>
              <w:ind w:firstLine="0" w:firstLineChars="0"/>
              <w:jc w:val="center"/>
              <w:rPr>
                <w:sz w:val="21"/>
              </w:rPr>
            </w:pPr>
            <w:r>
              <w:rPr>
                <w:rFonts w:hint="eastAsia"/>
                <w:sz w:val="21"/>
              </w:rPr>
              <w:t>否</w:t>
            </w:r>
          </w:p>
        </w:tc>
        <w:tc>
          <w:tcPr>
            <w:tcW w:w="1500" w:type="dxa"/>
            <w:vAlign w:val="center"/>
          </w:tcPr>
          <w:p w14:paraId="152BE745">
            <w:pPr>
              <w:widowControl w:val="0"/>
              <w:wordWrap w:val="0"/>
              <w:topLinePunct/>
              <w:adjustRightInd w:val="0"/>
              <w:snapToGrid w:val="0"/>
              <w:spacing w:line="240" w:lineRule="auto"/>
              <w:ind w:firstLine="0" w:firstLineChars="0"/>
              <w:jc w:val="center"/>
              <w:rPr>
                <w:sz w:val="21"/>
              </w:rPr>
            </w:pPr>
            <w:r>
              <w:rPr>
                <w:rFonts w:hint="eastAsia"/>
                <w:sz w:val="21"/>
              </w:rPr>
              <w:t>否</w:t>
            </w:r>
          </w:p>
        </w:tc>
        <w:tc>
          <w:tcPr>
            <w:tcW w:w="1200" w:type="dxa"/>
            <w:vAlign w:val="center"/>
          </w:tcPr>
          <w:p w14:paraId="0C845165">
            <w:pPr>
              <w:widowControl w:val="0"/>
              <w:wordWrap w:val="0"/>
              <w:topLinePunct/>
              <w:adjustRightInd w:val="0"/>
              <w:snapToGrid w:val="0"/>
              <w:spacing w:line="240" w:lineRule="auto"/>
              <w:ind w:firstLine="0" w:firstLineChars="0"/>
              <w:jc w:val="center"/>
              <w:rPr>
                <w:sz w:val="21"/>
              </w:rPr>
            </w:pPr>
            <w:r>
              <w:rPr>
                <w:rFonts w:hint="eastAsia"/>
                <w:sz w:val="21"/>
              </w:rPr>
              <w:t>现场调查</w:t>
            </w:r>
          </w:p>
        </w:tc>
        <w:tc>
          <w:tcPr>
            <w:tcW w:w="3274" w:type="dxa"/>
            <w:vMerge w:val="continue"/>
          </w:tcPr>
          <w:p w14:paraId="04D7195B">
            <w:pPr>
              <w:widowControl w:val="0"/>
              <w:wordWrap w:val="0"/>
              <w:topLinePunct/>
              <w:adjustRightInd w:val="0"/>
              <w:snapToGrid w:val="0"/>
              <w:spacing w:line="240" w:lineRule="auto"/>
              <w:ind w:firstLine="0" w:firstLineChars="0"/>
              <w:jc w:val="center"/>
              <w:rPr>
                <w:sz w:val="21"/>
              </w:rPr>
            </w:pPr>
          </w:p>
        </w:tc>
      </w:tr>
      <w:tr w14:paraId="6C3C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dxa"/>
            <w:vAlign w:val="center"/>
          </w:tcPr>
          <w:p w14:paraId="27C2CBCA">
            <w:pPr>
              <w:widowControl w:val="0"/>
              <w:wordWrap w:val="0"/>
              <w:topLinePunct/>
              <w:adjustRightInd w:val="0"/>
              <w:snapToGrid w:val="0"/>
              <w:spacing w:line="240" w:lineRule="auto"/>
              <w:ind w:firstLine="0" w:firstLineChars="0"/>
              <w:jc w:val="center"/>
              <w:rPr>
                <w:sz w:val="21"/>
              </w:rPr>
            </w:pPr>
            <w:r>
              <w:rPr>
                <w:rFonts w:hint="eastAsia"/>
                <w:sz w:val="21"/>
              </w:rPr>
              <w:t>3</w:t>
            </w:r>
          </w:p>
        </w:tc>
        <w:tc>
          <w:tcPr>
            <w:tcW w:w="700" w:type="dxa"/>
            <w:vAlign w:val="center"/>
          </w:tcPr>
          <w:p w14:paraId="23FC28D3">
            <w:pPr>
              <w:widowControl w:val="0"/>
              <w:wordWrap w:val="0"/>
              <w:topLinePunct/>
              <w:adjustRightInd w:val="0"/>
              <w:snapToGrid w:val="0"/>
              <w:spacing w:line="240" w:lineRule="auto"/>
              <w:ind w:firstLine="0" w:firstLineChars="0"/>
              <w:jc w:val="center"/>
              <w:rPr>
                <w:sz w:val="21"/>
              </w:rPr>
            </w:pPr>
            <w:r>
              <w:rPr>
                <w:rFonts w:hint="eastAsia"/>
                <w:sz w:val="21"/>
              </w:rPr>
              <w:t>四合木</w:t>
            </w:r>
          </w:p>
        </w:tc>
        <w:tc>
          <w:tcPr>
            <w:tcW w:w="650" w:type="dxa"/>
            <w:vAlign w:val="center"/>
          </w:tcPr>
          <w:p w14:paraId="0ED842DB">
            <w:pPr>
              <w:widowControl w:val="0"/>
              <w:wordWrap w:val="0"/>
              <w:topLinePunct/>
              <w:adjustRightInd w:val="0"/>
              <w:snapToGrid w:val="0"/>
              <w:spacing w:line="240" w:lineRule="auto"/>
              <w:ind w:firstLine="0" w:firstLineChars="0"/>
              <w:jc w:val="center"/>
              <w:rPr>
                <w:sz w:val="21"/>
              </w:rPr>
            </w:pPr>
            <w:r>
              <w:rPr>
                <w:rFonts w:hint="eastAsia"/>
                <w:sz w:val="21"/>
              </w:rPr>
              <w:t>二级</w:t>
            </w:r>
          </w:p>
        </w:tc>
        <w:tc>
          <w:tcPr>
            <w:tcW w:w="700" w:type="dxa"/>
            <w:vAlign w:val="center"/>
          </w:tcPr>
          <w:p w14:paraId="693BF981">
            <w:pPr>
              <w:widowControl w:val="0"/>
              <w:wordWrap w:val="0"/>
              <w:topLinePunct/>
              <w:adjustRightInd w:val="0"/>
              <w:snapToGrid w:val="0"/>
              <w:spacing w:line="240" w:lineRule="auto"/>
              <w:ind w:firstLine="0" w:firstLineChars="0"/>
              <w:jc w:val="center"/>
              <w:rPr>
                <w:rFonts w:ascii="Helvetica" w:hAnsi="Helvetica" w:eastAsia="Helvetica" w:cs="Helvetica"/>
                <w:sz w:val="21"/>
                <w:szCs w:val="21"/>
                <w:shd w:val="clear" w:color="auto" w:fill="FFFFFF"/>
              </w:rPr>
            </w:pPr>
            <w:r>
              <w:rPr>
                <w:rFonts w:ascii="Helvetica" w:hAnsi="Helvetica" w:eastAsia="Helvetica" w:cs="Helvetica"/>
                <w:sz w:val="21"/>
                <w:szCs w:val="21"/>
                <w:shd w:val="clear" w:color="auto" w:fill="FFFFFF"/>
              </w:rPr>
              <w:t>易危</w:t>
            </w:r>
          </w:p>
        </w:tc>
        <w:tc>
          <w:tcPr>
            <w:tcW w:w="1073" w:type="dxa"/>
            <w:vAlign w:val="center"/>
          </w:tcPr>
          <w:p w14:paraId="41AB1B50">
            <w:pPr>
              <w:widowControl w:val="0"/>
              <w:wordWrap w:val="0"/>
              <w:topLinePunct/>
              <w:adjustRightInd w:val="0"/>
              <w:snapToGrid w:val="0"/>
              <w:spacing w:line="240" w:lineRule="auto"/>
              <w:ind w:firstLine="0" w:firstLineChars="0"/>
              <w:jc w:val="center"/>
              <w:rPr>
                <w:sz w:val="21"/>
              </w:rPr>
            </w:pPr>
            <w:r>
              <w:rPr>
                <w:rFonts w:hint="eastAsia"/>
                <w:sz w:val="21"/>
              </w:rPr>
              <w:t>否</w:t>
            </w:r>
          </w:p>
        </w:tc>
        <w:tc>
          <w:tcPr>
            <w:tcW w:w="1500" w:type="dxa"/>
            <w:vAlign w:val="center"/>
          </w:tcPr>
          <w:p w14:paraId="78D1A8FB">
            <w:pPr>
              <w:widowControl w:val="0"/>
              <w:wordWrap w:val="0"/>
              <w:topLinePunct/>
              <w:adjustRightInd w:val="0"/>
              <w:snapToGrid w:val="0"/>
              <w:spacing w:line="240" w:lineRule="auto"/>
              <w:ind w:firstLine="0" w:firstLineChars="0"/>
              <w:jc w:val="center"/>
              <w:rPr>
                <w:sz w:val="21"/>
              </w:rPr>
            </w:pPr>
            <w:r>
              <w:rPr>
                <w:rFonts w:hint="eastAsia"/>
                <w:sz w:val="21"/>
              </w:rPr>
              <w:t>否</w:t>
            </w:r>
          </w:p>
        </w:tc>
        <w:tc>
          <w:tcPr>
            <w:tcW w:w="1200" w:type="dxa"/>
            <w:vAlign w:val="center"/>
          </w:tcPr>
          <w:p w14:paraId="15B3D155">
            <w:pPr>
              <w:widowControl w:val="0"/>
              <w:wordWrap w:val="0"/>
              <w:topLinePunct/>
              <w:adjustRightInd w:val="0"/>
              <w:snapToGrid w:val="0"/>
              <w:spacing w:line="240" w:lineRule="auto"/>
              <w:ind w:firstLine="0" w:firstLineChars="0"/>
              <w:jc w:val="center"/>
              <w:rPr>
                <w:sz w:val="21"/>
              </w:rPr>
            </w:pPr>
            <w:r>
              <w:rPr>
                <w:rFonts w:hint="eastAsia"/>
                <w:sz w:val="21"/>
              </w:rPr>
              <w:t>现场调查</w:t>
            </w:r>
          </w:p>
        </w:tc>
        <w:tc>
          <w:tcPr>
            <w:tcW w:w="3274" w:type="dxa"/>
            <w:vMerge w:val="continue"/>
          </w:tcPr>
          <w:p w14:paraId="6079C949">
            <w:pPr>
              <w:widowControl w:val="0"/>
              <w:wordWrap w:val="0"/>
              <w:topLinePunct/>
              <w:adjustRightInd w:val="0"/>
              <w:snapToGrid w:val="0"/>
              <w:spacing w:line="240" w:lineRule="auto"/>
              <w:ind w:firstLine="0" w:firstLineChars="0"/>
              <w:jc w:val="center"/>
              <w:rPr>
                <w:sz w:val="21"/>
              </w:rPr>
            </w:pPr>
          </w:p>
        </w:tc>
      </w:tr>
      <w:tr w14:paraId="2666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7" w:type="dxa"/>
            <w:gridSpan w:val="8"/>
          </w:tcPr>
          <w:p w14:paraId="0EF06547">
            <w:pPr>
              <w:widowControl w:val="0"/>
              <w:wordWrap w:val="0"/>
              <w:topLinePunct/>
              <w:adjustRightInd w:val="0"/>
              <w:snapToGrid w:val="0"/>
              <w:spacing w:line="240" w:lineRule="auto"/>
              <w:ind w:firstLine="0" w:firstLineChars="0"/>
              <w:jc w:val="both"/>
              <w:rPr>
                <w:sz w:val="21"/>
              </w:rPr>
            </w:pPr>
            <w:r>
              <w:rPr>
                <w:rFonts w:hint="eastAsia"/>
                <w:sz w:val="21"/>
              </w:rPr>
              <w:t>注1：保护级别根据国家及地方正式发布的重点保护野生植物名录确定。</w:t>
            </w:r>
          </w:p>
          <w:p w14:paraId="48BED296">
            <w:pPr>
              <w:pStyle w:val="4"/>
              <w:widowControl w:val="0"/>
              <w:wordWrap w:val="0"/>
              <w:topLinePunct/>
              <w:adjustRightInd w:val="0"/>
              <w:snapToGrid w:val="0"/>
              <w:spacing w:after="0" w:line="240" w:lineRule="auto"/>
              <w:ind w:firstLine="0" w:firstLineChars="0"/>
              <w:jc w:val="both"/>
              <w:rPr>
                <w:rFonts w:ascii="Times New Roman" w:hAnsi="Times New Roman"/>
                <w:sz w:val="21"/>
              </w:rPr>
            </w:pPr>
            <w:r>
              <w:rPr>
                <w:rFonts w:hint="eastAsia" w:ascii="Times New Roman" w:hAnsi="Times New Roman"/>
                <w:sz w:val="21"/>
              </w:rPr>
              <w:t>注2：濒危等级、特有种根据《中国生物多样性红色名录》确定。</w:t>
            </w:r>
          </w:p>
          <w:p w14:paraId="3F13D3A9">
            <w:pPr>
              <w:pStyle w:val="4"/>
              <w:widowControl w:val="0"/>
              <w:wordWrap w:val="0"/>
              <w:topLinePunct/>
              <w:adjustRightInd w:val="0"/>
              <w:snapToGrid w:val="0"/>
              <w:spacing w:after="0" w:line="240" w:lineRule="auto"/>
              <w:ind w:firstLine="0" w:firstLineChars="0"/>
              <w:jc w:val="both"/>
              <w:rPr>
                <w:rFonts w:ascii="Times New Roman" w:hAnsi="Times New Roman"/>
                <w:sz w:val="21"/>
              </w:rPr>
            </w:pPr>
            <w:r>
              <w:rPr>
                <w:rFonts w:hint="eastAsia" w:ascii="Times New Roman" w:hAnsi="Times New Roman"/>
                <w:sz w:val="21"/>
              </w:rPr>
              <w:t>注3：资料来源包括环评现场调查、文献记录、历史调查资料及科考报告。</w:t>
            </w:r>
          </w:p>
          <w:p w14:paraId="5D19C5B4">
            <w:pPr>
              <w:widowControl w:val="0"/>
              <w:wordWrap w:val="0"/>
              <w:topLinePunct/>
              <w:adjustRightInd w:val="0"/>
              <w:snapToGrid w:val="0"/>
              <w:spacing w:line="240" w:lineRule="auto"/>
              <w:ind w:firstLine="0" w:firstLineChars="0"/>
              <w:jc w:val="both"/>
            </w:pPr>
            <w:r>
              <w:rPr>
                <w:rFonts w:hint="eastAsia"/>
                <w:sz w:val="21"/>
              </w:rPr>
              <w:t>注4：涉及占用的应说明具体工程内容和占用情况（如株数等），不直接占用的应说明与工程的位置关系。</w:t>
            </w:r>
          </w:p>
        </w:tc>
      </w:tr>
    </w:tbl>
    <w:p w14:paraId="66842E33">
      <w:pPr>
        <w:pStyle w:val="2"/>
        <w:rPr>
          <w:color w:val="auto"/>
          <w:lang w:val="pt-BR"/>
        </w:rPr>
      </w:pPr>
      <w:r>
        <w:t>上述重点保护野生植物主要分布在西鄂尔多斯国家级自然保护区四合木黄河阶地核心区、四合木山地核心区、四合木核心区。</w:t>
      </w:r>
      <w:r>
        <w:rPr>
          <w:rFonts w:hint="eastAsia"/>
        </w:rPr>
        <w:t>项目</w:t>
      </w:r>
      <w:r>
        <w:rPr>
          <w:lang w:bidi="ar"/>
        </w:rPr>
        <w:t>区范围内</w:t>
      </w:r>
      <w:r>
        <w:rPr>
          <w:rFonts w:hint="eastAsia"/>
          <w:lang w:bidi="ar"/>
        </w:rPr>
        <w:t>分布有沙冬青和绵刺</w:t>
      </w:r>
      <w:r>
        <w:rPr>
          <w:rFonts w:hint="eastAsia"/>
        </w:rPr>
        <w:t>，内蒙古自治区林业</w:t>
      </w:r>
      <w:r>
        <w:rPr>
          <w:rFonts w:hint="eastAsia"/>
          <w:lang w:val="en-US" w:eastAsia="zh-CN"/>
        </w:rPr>
        <w:t>和</w:t>
      </w:r>
      <w:r>
        <w:rPr>
          <w:rFonts w:hint="eastAsia"/>
        </w:rPr>
        <w:t>草原局出具《内蒙古自治区林业</w:t>
      </w:r>
      <w:r>
        <w:rPr>
          <w:rFonts w:hint="eastAsia"/>
          <w:lang w:val="en-US" w:eastAsia="zh-CN"/>
        </w:rPr>
        <w:t>和</w:t>
      </w:r>
      <w:r>
        <w:rPr>
          <w:rFonts w:hint="eastAsia"/>
        </w:rPr>
        <w:t>草原局关于同意内蒙古华翔农林牧科技发展有限公司120万只蛋鸡养殖项目采集国家二级重点保护野生植物的行政许可决定》内林草护许准[2023]43号文件，对占地范围内的沙冬青及绵刺进行异地移栽保护，</w:t>
      </w:r>
      <w:r>
        <w:rPr>
          <w:rFonts w:hint="eastAsia"/>
          <w:lang w:bidi="ar"/>
        </w:rPr>
        <w:t>使工程建设最大限度的减少对保护植物的影响及破坏。本项目的工程占地位于保护区实验区外，不会占用保护区，且项目建设期和运营期，教育厂区人员提高对保护区的保护意识，禁止厂区人员在保护区范围内活动，故本项目的建设对西鄂尔多斯国家级自然保护区及其保护植物影响较小。</w:t>
      </w:r>
    </w:p>
    <w:p w14:paraId="5FA95EA0">
      <w:pPr>
        <w:widowControl w:val="0"/>
        <w:ind w:firstLine="480"/>
        <w:rPr>
          <w:lang w:val="pt-BR"/>
        </w:rPr>
      </w:pPr>
      <w:r>
        <w:rPr>
          <w:lang w:val="pt-BR"/>
        </w:rPr>
        <w:t>（5）植被类型</w:t>
      </w:r>
    </w:p>
    <w:p w14:paraId="3ABD9417">
      <w:pPr>
        <w:widowControl w:val="0"/>
        <w:wordWrap w:val="0"/>
        <w:topLinePunct/>
        <w:adjustRightInd w:val="0"/>
        <w:snapToGrid w:val="0"/>
        <w:ind w:firstLine="480"/>
        <w:rPr>
          <w:szCs w:val="32"/>
          <w:lang w:val="pt-BR"/>
        </w:rPr>
      </w:pPr>
      <w:r>
        <w:rPr>
          <w:szCs w:val="32"/>
          <w:lang w:val="pt-BR"/>
        </w:rPr>
        <w:t>评价区植被类型为</w:t>
      </w:r>
      <w:r>
        <w:rPr>
          <w:rFonts w:hint="eastAsia"/>
          <w:szCs w:val="32"/>
        </w:rPr>
        <w:t>灌木</w:t>
      </w:r>
      <w:r>
        <w:rPr>
          <w:szCs w:val="32"/>
          <w:lang w:val="pt-BR"/>
        </w:rPr>
        <w:t>植被和其它等</w:t>
      </w:r>
      <w:r>
        <w:rPr>
          <w:szCs w:val="32"/>
        </w:rPr>
        <w:t>2种</w:t>
      </w:r>
      <w:r>
        <w:rPr>
          <w:szCs w:val="32"/>
          <w:lang w:val="pt-BR"/>
        </w:rPr>
        <w:t>，分别占评价区面积</w:t>
      </w:r>
      <w:r>
        <w:rPr>
          <w:szCs w:val="32"/>
        </w:rPr>
        <w:t>8</w:t>
      </w:r>
      <w:r>
        <w:rPr>
          <w:rFonts w:hint="eastAsia"/>
          <w:szCs w:val="32"/>
        </w:rPr>
        <w:t>5.19</w:t>
      </w:r>
      <w:r>
        <w:rPr>
          <w:szCs w:val="32"/>
        </w:rPr>
        <w:t>%</w:t>
      </w:r>
      <w:r>
        <w:rPr>
          <w:rFonts w:hint="eastAsia"/>
          <w:szCs w:val="32"/>
        </w:rPr>
        <w:t>和14.82</w:t>
      </w:r>
      <w:r>
        <w:rPr>
          <w:szCs w:val="32"/>
        </w:rPr>
        <w:t>%</w:t>
      </w:r>
      <w:r>
        <w:rPr>
          <w:rFonts w:hint="eastAsia"/>
          <w:szCs w:val="32"/>
        </w:rPr>
        <w:t>，其中植被主要包括</w:t>
      </w:r>
      <w:r>
        <w:rPr>
          <w:rFonts w:hint="eastAsia"/>
          <w:szCs w:val="32"/>
          <w:lang w:val="pt-BR"/>
        </w:rPr>
        <w:t>四合木+红砂、霸王</w:t>
      </w:r>
      <w:r>
        <w:rPr>
          <w:rFonts w:hint="eastAsia"/>
          <w:szCs w:val="32"/>
        </w:rPr>
        <w:t>和霸王+沙冬青群落</w:t>
      </w:r>
      <w:r>
        <w:rPr>
          <w:szCs w:val="32"/>
          <w:lang w:val="pt-BR"/>
        </w:rPr>
        <w:t>。</w:t>
      </w:r>
    </w:p>
    <w:p w14:paraId="76776E6D">
      <w:pPr>
        <w:widowControl w:val="0"/>
        <w:wordWrap w:val="0"/>
        <w:topLinePunct/>
        <w:adjustRightInd w:val="0"/>
        <w:snapToGrid w:val="0"/>
        <w:ind w:firstLine="480"/>
        <w:rPr>
          <w:szCs w:val="32"/>
          <w:lang w:val="pt-BR"/>
        </w:rPr>
      </w:pPr>
      <w:r>
        <w:rPr>
          <w:szCs w:val="32"/>
          <w:lang w:val="pt-BR"/>
        </w:rPr>
        <w:t>项目区植被类型</w:t>
      </w:r>
      <w:r>
        <w:rPr>
          <w:rFonts w:hint="eastAsia"/>
          <w:szCs w:val="32"/>
        </w:rPr>
        <w:t>全部为灌木</w:t>
      </w:r>
      <w:r>
        <w:rPr>
          <w:szCs w:val="32"/>
          <w:lang w:val="pt-BR"/>
        </w:rPr>
        <w:t>植被，占评价区面积</w:t>
      </w:r>
      <w:r>
        <w:rPr>
          <w:rFonts w:hint="eastAsia"/>
          <w:szCs w:val="32"/>
        </w:rPr>
        <w:t>100</w:t>
      </w:r>
      <w:r>
        <w:rPr>
          <w:szCs w:val="32"/>
        </w:rPr>
        <w:t>%</w:t>
      </w:r>
      <w:r>
        <w:rPr>
          <w:rFonts w:hint="eastAsia"/>
          <w:szCs w:val="32"/>
        </w:rPr>
        <w:t>，全部为霸王+沙冬青群落。森林植被类型与评价区相同</w:t>
      </w:r>
      <w:r>
        <w:rPr>
          <w:szCs w:val="32"/>
          <w:lang w:val="pt-BR"/>
        </w:rPr>
        <w:t>。</w:t>
      </w:r>
    </w:p>
    <w:p w14:paraId="7D3B09C3">
      <w:pPr>
        <w:pStyle w:val="25"/>
        <w:widowControl w:val="0"/>
        <w:wordWrap w:val="0"/>
        <w:topLinePunct/>
        <w:adjustRightInd w:val="0"/>
        <w:snapToGrid w:val="0"/>
        <w:spacing w:line="240" w:lineRule="auto"/>
        <w:ind w:firstLine="0" w:firstLineChars="0"/>
        <w:jc w:val="center"/>
        <w:rPr>
          <w:b/>
          <w:bCs/>
          <w:color w:val="auto"/>
          <w:szCs w:val="21"/>
        </w:rPr>
      </w:pPr>
      <w:r>
        <w:rPr>
          <w:b/>
          <w:bCs/>
          <w:color w:val="auto"/>
          <w:szCs w:val="21"/>
        </w:rPr>
        <w:t>表</w:t>
      </w:r>
      <w:r>
        <w:rPr>
          <w:rFonts w:hint="eastAsia"/>
          <w:b/>
          <w:bCs/>
          <w:color w:val="auto"/>
          <w:szCs w:val="21"/>
        </w:rPr>
        <w:t>4.6-11</w:t>
      </w:r>
      <w:r>
        <w:rPr>
          <w:b/>
          <w:bCs/>
          <w:color w:val="auto"/>
          <w:szCs w:val="21"/>
        </w:rPr>
        <w:t xml:space="preserve">  评价区植被类型现状统计表</w:t>
      </w:r>
    </w:p>
    <w:tbl>
      <w:tblPr>
        <w:tblStyle w:val="82"/>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0"/>
        <w:gridCol w:w="2437"/>
        <w:gridCol w:w="1318"/>
        <w:gridCol w:w="1947"/>
        <w:gridCol w:w="1318"/>
      </w:tblGrid>
      <w:tr w14:paraId="72E67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 w:hRule="atLeast"/>
          <w:jc w:val="center"/>
        </w:trPr>
        <w:tc>
          <w:tcPr>
            <w:tcW w:w="2530" w:type="pct"/>
            <w:gridSpan w:val="2"/>
            <w:tcBorders>
              <w:tl2br w:val="nil"/>
              <w:tr2bl w:val="nil"/>
            </w:tcBorders>
            <w:shd w:val="clear" w:color="auto" w:fill="auto"/>
            <w:vAlign w:val="center"/>
          </w:tcPr>
          <w:p w14:paraId="51A14E66">
            <w:pPr>
              <w:spacing w:line="240" w:lineRule="auto"/>
              <w:ind w:firstLine="0" w:firstLineChars="0"/>
              <w:jc w:val="center"/>
              <w:rPr>
                <w:b/>
                <w:bCs/>
                <w:sz w:val="21"/>
                <w:szCs w:val="21"/>
              </w:rPr>
            </w:pPr>
            <w:r>
              <w:rPr>
                <w:b/>
                <w:bCs/>
                <w:sz w:val="21"/>
                <w:szCs w:val="21"/>
              </w:rPr>
              <w:t>植被类型</w:t>
            </w:r>
          </w:p>
        </w:tc>
        <w:tc>
          <w:tcPr>
            <w:tcW w:w="710" w:type="pct"/>
            <w:tcBorders>
              <w:tl2br w:val="nil"/>
              <w:tr2bl w:val="nil"/>
            </w:tcBorders>
            <w:shd w:val="clear" w:color="auto" w:fill="auto"/>
            <w:noWrap/>
            <w:vAlign w:val="center"/>
          </w:tcPr>
          <w:p w14:paraId="7E82FD95">
            <w:pPr>
              <w:spacing w:line="240" w:lineRule="auto"/>
              <w:ind w:firstLine="0" w:firstLineChars="0"/>
              <w:jc w:val="center"/>
              <w:rPr>
                <w:b/>
                <w:bCs/>
                <w:sz w:val="21"/>
                <w:szCs w:val="21"/>
              </w:rPr>
            </w:pPr>
            <w:r>
              <w:rPr>
                <w:b/>
                <w:bCs/>
                <w:sz w:val="21"/>
                <w:szCs w:val="21"/>
              </w:rPr>
              <w:t>斑块数</w:t>
            </w:r>
          </w:p>
        </w:tc>
        <w:tc>
          <w:tcPr>
            <w:tcW w:w="1049" w:type="pct"/>
            <w:tcBorders>
              <w:tl2br w:val="nil"/>
              <w:tr2bl w:val="nil"/>
            </w:tcBorders>
            <w:shd w:val="clear" w:color="auto" w:fill="auto"/>
            <w:noWrap/>
            <w:vAlign w:val="center"/>
          </w:tcPr>
          <w:p w14:paraId="7313A560">
            <w:pPr>
              <w:spacing w:line="240" w:lineRule="auto"/>
              <w:ind w:firstLine="0" w:firstLineChars="0"/>
              <w:jc w:val="center"/>
              <w:rPr>
                <w:b/>
                <w:bCs/>
                <w:sz w:val="21"/>
                <w:szCs w:val="21"/>
              </w:rPr>
            </w:pPr>
            <w:r>
              <w:rPr>
                <w:b/>
                <w:bCs/>
                <w:sz w:val="21"/>
                <w:szCs w:val="21"/>
              </w:rPr>
              <w:t>面积（公顷）</w:t>
            </w:r>
          </w:p>
        </w:tc>
        <w:tc>
          <w:tcPr>
            <w:tcW w:w="710" w:type="pct"/>
            <w:tcBorders>
              <w:tl2br w:val="nil"/>
              <w:tr2bl w:val="nil"/>
            </w:tcBorders>
            <w:shd w:val="clear" w:color="auto" w:fill="auto"/>
            <w:noWrap/>
            <w:vAlign w:val="center"/>
          </w:tcPr>
          <w:p w14:paraId="7092B5DF">
            <w:pPr>
              <w:spacing w:line="240" w:lineRule="auto"/>
              <w:ind w:firstLine="0" w:firstLineChars="0"/>
              <w:jc w:val="center"/>
              <w:rPr>
                <w:b/>
                <w:bCs/>
                <w:sz w:val="21"/>
                <w:szCs w:val="21"/>
              </w:rPr>
            </w:pPr>
            <w:r>
              <w:rPr>
                <w:b/>
                <w:bCs/>
                <w:sz w:val="21"/>
                <w:szCs w:val="21"/>
              </w:rPr>
              <w:t>百分比</w:t>
            </w:r>
          </w:p>
        </w:tc>
      </w:tr>
      <w:tr w14:paraId="76DC8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218" w:type="pct"/>
            <w:vMerge w:val="restart"/>
            <w:tcBorders>
              <w:tl2br w:val="nil"/>
              <w:tr2bl w:val="nil"/>
            </w:tcBorders>
            <w:shd w:val="clear" w:color="auto" w:fill="auto"/>
            <w:vAlign w:val="center"/>
          </w:tcPr>
          <w:p w14:paraId="7F490708">
            <w:pPr>
              <w:spacing w:line="240" w:lineRule="auto"/>
              <w:ind w:firstLine="0" w:firstLineChars="0"/>
              <w:jc w:val="center"/>
              <w:rPr>
                <w:sz w:val="21"/>
                <w:szCs w:val="21"/>
              </w:rPr>
            </w:pPr>
            <w:r>
              <w:rPr>
                <w:rFonts w:hint="eastAsia"/>
                <w:sz w:val="21"/>
                <w:szCs w:val="21"/>
              </w:rPr>
              <w:t>一、</w:t>
            </w:r>
            <w:r>
              <w:rPr>
                <w:sz w:val="21"/>
                <w:szCs w:val="21"/>
              </w:rPr>
              <w:t>森林植被</w:t>
            </w:r>
          </w:p>
        </w:tc>
        <w:tc>
          <w:tcPr>
            <w:tcW w:w="1313" w:type="pct"/>
            <w:tcBorders>
              <w:tl2br w:val="nil"/>
              <w:tr2bl w:val="nil"/>
            </w:tcBorders>
            <w:shd w:val="clear" w:color="auto" w:fill="auto"/>
            <w:noWrap/>
            <w:vAlign w:val="center"/>
          </w:tcPr>
          <w:p w14:paraId="36134613">
            <w:pPr>
              <w:spacing w:line="240" w:lineRule="auto"/>
              <w:ind w:firstLine="0" w:firstLineChars="0"/>
              <w:jc w:val="center"/>
              <w:rPr>
                <w:sz w:val="21"/>
                <w:szCs w:val="21"/>
              </w:rPr>
            </w:pPr>
            <w:r>
              <w:rPr>
                <w:rFonts w:hint="eastAsia"/>
                <w:sz w:val="21"/>
                <w:szCs w:val="21"/>
              </w:rPr>
              <w:t>四合木+红砂</w:t>
            </w:r>
          </w:p>
        </w:tc>
        <w:tc>
          <w:tcPr>
            <w:tcW w:w="710" w:type="pct"/>
            <w:tcBorders>
              <w:tl2br w:val="nil"/>
              <w:tr2bl w:val="nil"/>
            </w:tcBorders>
            <w:shd w:val="clear" w:color="auto" w:fill="auto"/>
            <w:noWrap/>
            <w:vAlign w:val="center"/>
          </w:tcPr>
          <w:p w14:paraId="1939ED8B">
            <w:pPr>
              <w:spacing w:line="240" w:lineRule="auto"/>
              <w:ind w:firstLine="0" w:firstLineChars="0"/>
              <w:jc w:val="center"/>
              <w:rPr>
                <w:sz w:val="21"/>
                <w:szCs w:val="21"/>
              </w:rPr>
            </w:pPr>
            <w:r>
              <w:rPr>
                <w:sz w:val="21"/>
                <w:szCs w:val="21"/>
              </w:rPr>
              <w:t>32</w:t>
            </w:r>
          </w:p>
        </w:tc>
        <w:tc>
          <w:tcPr>
            <w:tcW w:w="1049" w:type="pct"/>
            <w:tcBorders>
              <w:tl2br w:val="nil"/>
              <w:tr2bl w:val="nil"/>
            </w:tcBorders>
            <w:shd w:val="clear" w:color="auto" w:fill="auto"/>
            <w:noWrap/>
            <w:vAlign w:val="center"/>
          </w:tcPr>
          <w:p w14:paraId="0D5745BD">
            <w:pPr>
              <w:spacing w:line="240" w:lineRule="auto"/>
              <w:ind w:firstLine="0" w:firstLineChars="0"/>
              <w:jc w:val="center"/>
              <w:rPr>
                <w:sz w:val="21"/>
                <w:szCs w:val="21"/>
              </w:rPr>
            </w:pPr>
            <w:r>
              <w:rPr>
                <w:rFonts w:hint="eastAsia"/>
                <w:color w:val="000000"/>
                <w:sz w:val="22"/>
                <w:szCs w:val="22"/>
              </w:rPr>
              <w:t>204.62</w:t>
            </w:r>
          </w:p>
        </w:tc>
        <w:tc>
          <w:tcPr>
            <w:tcW w:w="710" w:type="pct"/>
            <w:tcBorders>
              <w:tl2br w:val="nil"/>
              <w:tr2bl w:val="nil"/>
            </w:tcBorders>
            <w:shd w:val="clear" w:color="auto" w:fill="auto"/>
            <w:noWrap/>
            <w:vAlign w:val="center"/>
          </w:tcPr>
          <w:p w14:paraId="3074DD74">
            <w:pPr>
              <w:spacing w:line="240" w:lineRule="auto"/>
              <w:ind w:firstLine="0" w:firstLineChars="0"/>
              <w:jc w:val="center"/>
              <w:rPr>
                <w:sz w:val="21"/>
                <w:szCs w:val="21"/>
              </w:rPr>
            </w:pPr>
            <w:r>
              <w:rPr>
                <w:rFonts w:hint="eastAsia"/>
                <w:color w:val="000000"/>
                <w:sz w:val="22"/>
                <w:szCs w:val="22"/>
              </w:rPr>
              <w:t>33.56%</w:t>
            </w:r>
          </w:p>
        </w:tc>
      </w:tr>
      <w:tr w14:paraId="5336B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 w:hRule="atLeast"/>
          <w:jc w:val="center"/>
        </w:trPr>
        <w:tc>
          <w:tcPr>
            <w:tcW w:w="1218" w:type="pct"/>
            <w:vMerge w:val="continue"/>
            <w:tcBorders>
              <w:tl2br w:val="nil"/>
              <w:tr2bl w:val="nil"/>
            </w:tcBorders>
            <w:shd w:val="clear" w:color="auto" w:fill="auto"/>
            <w:vAlign w:val="center"/>
          </w:tcPr>
          <w:p w14:paraId="38E9F5C7">
            <w:pPr>
              <w:spacing w:line="240" w:lineRule="auto"/>
              <w:ind w:firstLine="0" w:firstLineChars="0"/>
              <w:jc w:val="center"/>
              <w:rPr>
                <w:sz w:val="21"/>
                <w:szCs w:val="21"/>
              </w:rPr>
            </w:pPr>
          </w:p>
        </w:tc>
        <w:tc>
          <w:tcPr>
            <w:tcW w:w="1313" w:type="pct"/>
            <w:tcBorders>
              <w:tl2br w:val="nil"/>
              <w:tr2bl w:val="nil"/>
            </w:tcBorders>
            <w:shd w:val="clear" w:color="auto" w:fill="auto"/>
            <w:noWrap/>
            <w:vAlign w:val="center"/>
          </w:tcPr>
          <w:p w14:paraId="474466F2">
            <w:pPr>
              <w:spacing w:line="240" w:lineRule="auto"/>
              <w:ind w:firstLine="0" w:firstLineChars="0"/>
              <w:jc w:val="center"/>
              <w:rPr>
                <w:sz w:val="21"/>
                <w:szCs w:val="21"/>
              </w:rPr>
            </w:pPr>
            <w:r>
              <w:rPr>
                <w:rFonts w:hint="eastAsia"/>
                <w:sz w:val="21"/>
                <w:szCs w:val="21"/>
              </w:rPr>
              <w:t>霸王</w:t>
            </w:r>
          </w:p>
        </w:tc>
        <w:tc>
          <w:tcPr>
            <w:tcW w:w="710" w:type="pct"/>
            <w:tcBorders>
              <w:tl2br w:val="nil"/>
              <w:tr2bl w:val="nil"/>
            </w:tcBorders>
            <w:shd w:val="clear" w:color="auto" w:fill="auto"/>
            <w:noWrap/>
            <w:vAlign w:val="center"/>
          </w:tcPr>
          <w:p w14:paraId="6C7116FC">
            <w:pPr>
              <w:spacing w:line="240" w:lineRule="auto"/>
              <w:ind w:firstLine="0" w:firstLineChars="0"/>
              <w:jc w:val="center"/>
              <w:rPr>
                <w:sz w:val="21"/>
                <w:szCs w:val="21"/>
              </w:rPr>
            </w:pPr>
            <w:r>
              <w:rPr>
                <w:sz w:val="21"/>
                <w:szCs w:val="21"/>
              </w:rPr>
              <w:t>34</w:t>
            </w:r>
          </w:p>
        </w:tc>
        <w:tc>
          <w:tcPr>
            <w:tcW w:w="1049" w:type="pct"/>
            <w:tcBorders>
              <w:tl2br w:val="nil"/>
              <w:tr2bl w:val="nil"/>
            </w:tcBorders>
            <w:shd w:val="clear" w:color="auto" w:fill="auto"/>
            <w:noWrap/>
            <w:vAlign w:val="center"/>
          </w:tcPr>
          <w:p w14:paraId="4782BB78">
            <w:pPr>
              <w:spacing w:line="240" w:lineRule="auto"/>
              <w:ind w:firstLine="0" w:firstLineChars="0"/>
              <w:jc w:val="center"/>
              <w:rPr>
                <w:sz w:val="21"/>
                <w:szCs w:val="21"/>
              </w:rPr>
            </w:pPr>
            <w:r>
              <w:rPr>
                <w:rFonts w:hint="eastAsia"/>
                <w:color w:val="000000"/>
                <w:sz w:val="22"/>
                <w:szCs w:val="22"/>
              </w:rPr>
              <w:t>205.32</w:t>
            </w:r>
          </w:p>
        </w:tc>
        <w:tc>
          <w:tcPr>
            <w:tcW w:w="710" w:type="pct"/>
            <w:tcBorders>
              <w:tl2br w:val="nil"/>
              <w:tr2bl w:val="nil"/>
            </w:tcBorders>
            <w:shd w:val="clear" w:color="auto" w:fill="auto"/>
            <w:noWrap/>
            <w:vAlign w:val="center"/>
          </w:tcPr>
          <w:p w14:paraId="1D65E1AB">
            <w:pPr>
              <w:spacing w:line="240" w:lineRule="auto"/>
              <w:ind w:firstLine="0" w:firstLineChars="0"/>
              <w:jc w:val="center"/>
              <w:rPr>
                <w:sz w:val="21"/>
                <w:szCs w:val="21"/>
              </w:rPr>
            </w:pPr>
            <w:r>
              <w:rPr>
                <w:rFonts w:hint="eastAsia"/>
                <w:color w:val="000000"/>
                <w:sz w:val="22"/>
                <w:szCs w:val="22"/>
              </w:rPr>
              <w:t>33.67%</w:t>
            </w:r>
          </w:p>
        </w:tc>
      </w:tr>
      <w:tr w14:paraId="6D3EA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1218" w:type="pct"/>
            <w:vMerge w:val="continue"/>
            <w:tcBorders>
              <w:tl2br w:val="nil"/>
              <w:tr2bl w:val="nil"/>
            </w:tcBorders>
            <w:shd w:val="clear" w:color="auto" w:fill="auto"/>
            <w:vAlign w:val="center"/>
          </w:tcPr>
          <w:p w14:paraId="69CD20B9">
            <w:pPr>
              <w:spacing w:line="240" w:lineRule="auto"/>
              <w:ind w:firstLine="0" w:firstLineChars="0"/>
              <w:jc w:val="center"/>
              <w:rPr>
                <w:sz w:val="21"/>
                <w:szCs w:val="21"/>
              </w:rPr>
            </w:pPr>
          </w:p>
        </w:tc>
        <w:tc>
          <w:tcPr>
            <w:tcW w:w="1313" w:type="pct"/>
            <w:tcBorders>
              <w:top w:val="single" w:color="auto" w:sz="4" w:space="0"/>
              <w:tl2br w:val="nil"/>
              <w:tr2bl w:val="nil"/>
            </w:tcBorders>
            <w:shd w:val="clear" w:color="auto" w:fill="auto"/>
            <w:noWrap/>
            <w:vAlign w:val="center"/>
          </w:tcPr>
          <w:p w14:paraId="373410A1">
            <w:pPr>
              <w:spacing w:line="240" w:lineRule="auto"/>
              <w:ind w:firstLine="0" w:firstLineChars="0"/>
              <w:jc w:val="center"/>
              <w:rPr>
                <w:sz w:val="21"/>
                <w:szCs w:val="21"/>
              </w:rPr>
            </w:pPr>
            <w:r>
              <w:rPr>
                <w:rFonts w:hint="eastAsia"/>
                <w:sz w:val="21"/>
                <w:szCs w:val="21"/>
              </w:rPr>
              <w:t>霸王+沙冬青</w:t>
            </w:r>
          </w:p>
        </w:tc>
        <w:tc>
          <w:tcPr>
            <w:tcW w:w="710" w:type="pct"/>
            <w:tcBorders>
              <w:top w:val="single" w:color="auto" w:sz="4" w:space="0"/>
              <w:tl2br w:val="nil"/>
              <w:tr2bl w:val="nil"/>
            </w:tcBorders>
            <w:shd w:val="clear" w:color="auto" w:fill="auto"/>
            <w:noWrap/>
            <w:vAlign w:val="center"/>
          </w:tcPr>
          <w:p w14:paraId="703A6627">
            <w:pPr>
              <w:spacing w:line="240" w:lineRule="auto"/>
              <w:ind w:firstLine="0" w:firstLineChars="0"/>
              <w:jc w:val="center"/>
              <w:rPr>
                <w:sz w:val="21"/>
                <w:szCs w:val="21"/>
              </w:rPr>
            </w:pPr>
            <w:r>
              <w:rPr>
                <w:sz w:val="21"/>
                <w:szCs w:val="21"/>
              </w:rPr>
              <w:t>2</w:t>
            </w:r>
          </w:p>
        </w:tc>
        <w:tc>
          <w:tcPr>
            <w:tcW w:w="1049" w:type="pct"/>
            <w:tcBorders>
              <w:top w:val="single" w:color="auto" w:sz="4" w:space="0"/>
              <w:tl2br w:val="nil"/>
              <w:tr2bl w:val="nil"/>
            </w:tcBorders>
            <w:shd w:val="clear" w:color="auto" w:fill="auto"/>
            <w:noWrap/>
            <w:vAlign w:val="center"/>
          </w:tcPr>
          <w:p w14:paraId="0312741D">
            <w:pPr>
              <w:spacing w:line="240" w:lineRule="auto"/>
              <w:ind w:firstLine="0" w:firstLineChars="0"/>
              <w:jc w:val="center"/>
              <w:rPr>
                <w:sz w:val="21"/>
                <w:szCs w:val="21"/>
              </w:rPr>
            </w:pPr>
            <w:r>
              <w:rPr>
                <w:rFonts w:hint="eastAsia"/>
                <w:color w:val="000000"/>
                <w:sz w:val="22"/>
                <w:szCs w:val="22"/>
              </w:rPr>
              <w:t>0.35</w:t>
            </w:r>
          </w:p>
        </w:tc>
        <w:tc>
          <w:tcPr>
            <w:tcW w:w="710" w:type="pct"/>
            <w:tcBorders>
              <w:top w:val="single" w:color="auto" w:sz="4" w:space="0"/>
              <w:tl2br w:val="nil"/>
              <w:tr2bl w:val="nil"/>
            </w:tcBorders>
            <w:shd w:val="clear" w:color="auto" w:fill="auto"/>
            <w:noWrap/>
            <w:vAlign w:val="center"/>
          </w:tcPr>
          <w:p w14:paraId="58E57D8B">
            <w:pPr>
              <w:spacing w:line="240" w:lineRule="auto"/>
              <w:ind w:firstLine="0" w:firstLineChars="0"/>
              <w:jc w:val="center"/>
              <w:rPr>
                <w:sz w:val="21"/>
                <w:szCs w:val="21"/>
              </w:rPr>
            </w:pPr>
            <w:r>
              <w:rPr>
                <w:rFonts w:hint="eastAsia"/>
                <w:color w:val="000000"/>
                <w:sz w:val="22"/>
                <w:szCs w:val="22"/>
              </w:rPr>
              <w:t>0.06%</w:t>
            </w:r>
          </w:p>
        </w:tc>
      </w:tr>
      <w:tr w14:paraId="33A1E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218" w:type="pct"/>
            <w:vMerge w:val="restart"/>
            <w:tcBorders>
              <w:tl2br w:val="nil"/>
              <w:tr2bl w:val="nil"/>
            </w:tcBorders>
            <w:shd w:val="clear" w:color="auto" w:fill="auto"/>
            <w:vAlign w:val="center"/>
          </w:tcPr>
          <w:p w14:paraId="56084103">
            <w:pPr>
              <w:spacing w:line="240" w:lineRule="auto"/>
              <w:ind w:firstLine="0" w:firstLineChars="0"/>
              <w:jc w:val="center"/>
              <w:rPr>
                <w:sz w:val="21"/>
                <w:szCs w:val="21"/>
              </w:rPr>
            </w:pPr>
            <w:r>
              <w:rPr>
                <w:rFonts w:hint="eastAsia"/>
                <w:sz w:val="21"/>
                <w:szCs w:val="21"/>
              </w:rPr>
              <w:t>三、</w:t>
            </w:r>
            <w:r>
              <w:rPr>
                <w:sz w:val="21"/>
                <w:szCs w:val="21"/>
              </w:rPr>
              <w:t>其他</w:t>
            </w:r>
          </w:p>
        </w:tc>
        <w:tc>
          <w:tcPr>
            <w:tcW w:w="1313" w:type="pct"/>
            <w:tcBorders>
              <w:tl2br w:val="nil"/>
              <w:tr2bl w:val="nil"/>
            </w:tcBorders>
            <w:shd w:val="clear" w:color="auto" w:fill="auto"/>
            <w:noWrap/>
            <w:vAlign w:val="center"/>
          </w:tcPr>
          <w:p w14:paraId="12BAAD58">
            <w:pPr>
              <w:spacing w:line="240" w:lineRule="auto"/>
              <w:ind w:firstLine="0" w:firstLineChars="0"/>
              <w:jc w:val="center"/>
              <w:rPr>
                <w:sz w:val="21"/>
                <w:szCs w:val="21"/>
              </w:rPr>
            </w:pPr>
            <w:r>
              <w:rPr>
                <w:rFonts w:hint="eastAsia"/>
                <w:sz w:val="21"/>
                <w:szCs w:val="21"/>
              </w:rPr>
              <w:t>居民点</w:t>
            </w:r>
          </w:p>
        </w:tc>
        <w:tc>
          <w:tcPr>
            <w:tcW w:w="710" w:type="pct"/>
            <w:tcBorders>
              <w:tl2br w:val="nil"/>
              <w:tr2bl w:val="nil"/>
            </w:tcBorders>
            <w:shd w:val="clear" w:color="auto" w:fill="auto"/>
            <w:noWrap/>
            <w:vAlign w:val="center"/>
          </w:tcPr>
          <w:p w14:paraId="354656E1">
            <w:pPr>
              <w:spacing w:line="240" w:lineRule="auto"/>
              <w:ind w:firstLine="0" w:firstLineChars="0"/>
              <w:jc w:val="center"/>
              <w:rPr>
                <w:sz w:val="21"/>
                <w:szCs w:val="21"/>
              </w:rPr>
            </w:pPr>
            <w:r>
              <w:rPr>
                <w:sz w:val="21"/>
                <w:szCs w:val="21"/>
              </w:rPr>
              <w:t>3</w:t>
            </w:r>
          </w:p>
        </w:tc>
        <w:tc>
          <w:tcPr>
            <w:tcW w:w="1049" w:type="pct"/>
            <w:tcBorders>
              <w:tl2br w:val="nil"/>
              <w:tr2bl w:val="nil"/>
            </w:tcBorders>
            <w:shd w:val="clear" w:color="auto" w:fill="auto"/>
            <w:noWrap/>
            <w:vAlign w:val="center"/>
          </w:tcPr>
          <w:p w14:paraId="5690C720">
            <w:pPr>
              <w:spacing w:line="240" w:lineRule="auto"/>
              <w:ind w:firstLine="0" w:firstLineChars="0"/>
              <w:jc w:val="center"/>
              <w:rPr>
                <w:sz w:val="21"/>
                <w:szCs w:val="21"/>
              </w:rPr>
            </w:pPr>
            <w:r>
              <w:rPr>
                <w:rFonts w:hint="eastAsia"/>
                <w:color w:val="000000"/>
                <w:sz w:val="22"/>
                <w:szCs w:val="22"/>
              </w:rPr>
              <w:t>4.94</w:t>
            </w:r>
          </w:p>
        </w:tc>
        <w:tc>
          <w:tcPr>
            <w:tcW w:w="710" w:type="pct"/>
            <w:tcBorders>
              <w:tl2br w:val="nil"/>
              <w:tr2bl w:val="nil"/>
            </w:tcBorders>
            <w:shd w:val="clear" w:color="auto" w:fill="auto"/>
            <w:noWrap/>
            <w:vAlign w:val="center"/>
          </w:tcPr>
          <w:p w14:paraId="58C4266E">
            <w:pPr>
              <w:spacing w:line="240" w:lineRule="auto"/>
              <w:ind w:firstLine="0" w:firstLineChars="0"/>
              <w:jc w:val="center"/>
              <w:rPr>
                <w:sz w:val="21"/>
                <w:szCs w:val="21"/>
              </w:rPr>
            </w:pPr>
            <w:r>
              <w:rPr>
                <w:rFonts w:hint="eastAsia"/>
                <w:color w:val="000000"/>
                <w:sz w:val="22"/>
                <w:szCs w:val="22"/>
              </w:rPr>
              <w:t>0.81%</w:t>
            </w:r>
          </w:p>
        </w:tc>
      </w:tr>
      <w:tr w14:paraId="60AE3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 w:hRule="atLeast"/>
          <w:jc w:val="center"/>
        </w:trPr>
        <w:tc>
          <w:tcPr>
            <w:tcW w:w="1218" w:type="pct"/>
            <w:vMerge w:val="continue"/>
            <w:tcBorders>
              <w:tl2br w:val="nil"/>
              <w:tr2bl w:val="nil"/>
            </w:tcBorders>
            <w:shd w:val="clear" w:color="auto" w:fill="auto"/>
            <w:vAlign w:val="center"/>
          </w:tcPr>
          <w:p w14:paraId="46115D3B">
            <w:pPr>
              <w:spacing w:line="240" w:lineRule="auto"/>
              <w:ind w:firstLine="0" w:firstLineChars="0"/>
              <w:jc w:val="center"/>
              <w:rPr>
                <w:sz w:val="21"/>
                <w:szCs w:val="21"/>
              </w:rPr>
            </w:pPr>
          </w:p>
        </w:tc>
        <w:tc>
          <w:tcPr>
            <w:tcW w:w="1313" w:type="pct"/>
            <w:tcBorders>
              <w:bottom w:val="single" w:color="auto" w:sz="4" w:space="0"/>
              <w:tl2br w:val="nil"/>
              <w:tr2bl w:val="nil"/>
            </w:tcBorders>
            <w:shd w:val="clear" w:color="auto" w:fill="auto"/>
            <w:noWrap/>
            <w:vAlign w:val="center"/>
          </w:tcPr>
          <w:p w14:paraId="502797BF">
            <w:pPr>
              <w:spacing w:line="240" w:lineRule="auto"/>
              <w:ind w:firstLine="0" w:firstLineChars="0"/>
              <w:jc w:val="center"/>
              <w:rPr>
                <w:sz w:val="21"/>
                <w:szCs w:val="21"/>
              </w:rPr>
            </w:pPr>
            <w:r>
              <w:rPr>
                <w:rFonts w:hint="eastAsia"/>
                <w:sz w:val="21"/>
                <w:szCs w:val="21"/>
              </w:rPr>
              <w:t>道路</w:t>
            </w:r>
          </w:p>
        </w:tc>
        <w:tc>
          <w:tcPr>
            <w:tcW w:w="710" w:type="pct"/>
            <w:tcBorders>
              <w:bottom w:val="single" w:color="auto" w:sz="4" w:space="0"/>
              <w:tl2br w:val="nil"/>
              <w:tr2bl w:val="nil"/>
            </w:tcBorders>
            <w:shd w:val="clear" w:color="auto" w:fill="auto"/>
            <w:noWrap/>
            <w:vAlign w:val="center"/>
          </w:tcPr>
          <w:p w14:paraId="4C7F8D1B">
            <w:pPr>
              <w:spacing w:line="240" w:lineRule="auto"/>
              <w:ind w:firstLine="0" w:firstLineChars="0"/>
              <w:jc w:val="center"/>
              <w:rPr>
                <w:sz w:val="21"/>
                <w:szCs w:val="21"/>
              </w:rPr>
            </w:pPr>
            <w:r>
              <w:rPr>
                <w:sz w:val="21"/>
                <w:szCs w:val="21"/>
              </w:rPr>
              <w:t>39</w:t>
            </w:r>
          </w:p>
        </w:tc>
        <w:tc>
          <w:tcPr>
            <w:tcW w:w="1049" w:type="pct"/>
            <w:tcBorders>
              <w:bottom w:val="single" w:color="auto" w:sz="4" w:space="0"/>
              <w:tl2br w:val="nil"/>
              <w:tr2bl w:val="nil"/>
            </w:tcBorders>
            <w:shd w:val="clear" w:color="auto" w:fill="auto"/>
            <w:noWrap/>
            <w:vAlign w:val="center"/>
          </w:tcPr>
          <w:p w14:paraId="7B143A40">
            <w:pPr>
              <w:spacing w:line="240" w:lineRule="auto"/>
              <w:ind w:firstLine="0" w:firstLineChars="0"/>
              <w:jc w:val="center"/>
              <w:rPr>
                <w:sz w:val="21"/>
                <w:szCs w:val="21"/>
              </w:rPr>
            </w:pPr>
            <w:r>
              <w:rPr>
                <w:rFonts w:hint="eastAsia"/>
                <w:color w:val="000000"/>
                <w:sz w:val="22"/>
                <w:szCs w:val="22"/>
              </w:rPr>
              <w:t>79.20</w:t>
            </w:r>
          </w:p>
        </w:tc>
        <w:tc>
          <w:tcPr>
            <w:tcW w:w="710" w:type="pct"/>
            <w:tcBorders>
              <w:bottom w:val="single" w:color="auto" w:sz="4" w:space="0"/>
              <w:tl2br w:val="nil"/>
              <w:tr2bl w:val="nil"/>
            </w:tcBorders>
            <w:shd w:val="clear" w:color="auto" w:fill="auto"/>
            <w:noWrap/>
            <w:vAlign w:val="center"/>
          </w:tcPr>
          <w:p w14:paraId="5F3578BC">
            <w:pPr>
              <w:spacing w:line="240" w:lineRule="auto"/>
              <w:ind w:firstLine="0" w:firstLineChars="0"/>
              <w:jc w:val="center"/>
              <w:rPr>
                <w:sz w:val="21"/>
                <w:szCs w:val="21"/>
              </w:rPr>
            </w:pPr>
            <w:r>
              <w:rPr>
                <w:rFonts w:hint="eastAsia"/>
                <w:color w:val="000000"/>
                <w:sz w:val="22"/>
                <w:szCs w:val="22"/>
              </w:rPr>
              <w:t>12.99%</w:t>
            </w:r>
          </w:p>
        </w:tc>
      </w:tr>
      <w:tr w14:paraId="13AD8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 w:hRule="atLeast"/>
          <w:jc w:val="center"/>
        </w:trPr>
        <w:tc>
          <w:tcPr>
            <w:tcW w:w="1218" w:type="pct"/>
            <w:vMerge w:val="continue"/>
            <w:tcBorders>
              <w:tl2br w:val="nil"/>
              <w:tr2bl w:val="nil"/>
            </w:tcBorders>
            <w:shd w:val="clear" w:color="auto" w:fill="auto"/>
            <w:vAlign w:val="center"/>
          </w:tcPr>
          <w:p w14:paraId="71A95ABB">
            <w:pPr>
              <w:spacing w:line="240" w:lineRule="auto"/>
              <w:ind w:firstLine="0" w:firstLineChars="0"/>
              <w:jc w:val="center"/>
              <w:rPr>
                <w:sz w:val="21"/>
                <w:szCs w:val="21"/>
              </w:rPr>
            </w:pPr>
          </w:p>
        </w:tc>
        <w:tc>
          <w:tcPr>
            <w:tcW w:w="1313" w:type="pct"/>
            <w:tcBorders>
              <w:top w:val="single" w:color="auto" w:sz="4" w:space="0"/>
              <w:tl2br w:val="nil"/>
              <w:tr2bl w:val="nil"/>
            </w:tcBorders>
            <w:shd w:val="clear" w:color="auto" w:fill="auto"/>
            <w:noWrap/>
            <w:vAlign w:val="center"/>
          </w:tcPr>
          <w:p w14:paraId="46C68FDC">
            <w:pPr>
              <w:spacing w:line="240" w:lineRule="auto"/>
              <w:ind w:firstLine="0" w:firstLineChars="0"/>
              <w:jc w:val="center"/>
              <w:rPr>
                <w:sz w:val="21"/>
                <w:szCs w:val="21"/>
              </w:rPr>
            </w:pPr>
            <w:r>
              <w:rPr>
                <w:rFonts w:hint="eastAsia"/>
                <w:sz w:val="21"/>
                <w:szCs w:val="21"/>
              </w:rPr>
              <w:t>干河床</w:t>
            </w:r>
          </w:p>
        </w:tc>
        <w:tc>
          <w:tcPr>
            <w:tcW w:w="710" w:type="pct"/>
            <w:tcBorders>
              <w:top w:val="single" w:color="auto" w:sz="4" w:space="0"/>
              <w:tl2br w:val="nil"/>
              <w:tr2bl w:val="nil"/>
            </w:tcBorders>
            <w:shd w:val="clear" w:color="auto" w:fill="auto"/>
            <w:noWrap/>
            <w:vAlign w:val="center"/>
          </w:tcPr>
          <w:p w14:paraId="6ABF8FD2">
            <w:pPr>
              <w:spacing w:line="240" w:lineRule="auto"/>
              <w:ind w:firstLine="0" w:firstLineChars="0"/>
              <w:jc w:val="center"/>
              <w:rPr>
                <w:sz w:val="21"/>
                <w:szCs w:val="21"/>
              </w:rPr>
            </w:pPr>
            <w:r>
              <w:rPr>
                <w:sz w:val="21"/>
                <w:szCs w:val="21"/>
              </w:rPr>
              <w:t>39</w:t>
            </w:r>
          </w:p>
        </w:tc>
        <w:tc>
          <w:tcPr>
            <w:tcW w:w="1049" w:type="pct"/>
            <w:tcBorders>
              <w:top w:val="single" w:color="auto" w:sz="4" w:space="0"/>
              <w:tl2br w:val="nil"/>
              <w:tr2bl w:val="nil"/>
            </w:tcBorders>
            <w:shd w:val="clear" w:color="auto" w:fill="auto"/>
            <w:noWrap/>
            <w:vAlign w:val="center"/>
          </w:tcPr>
          <w:p w14:paraId="606812BD">
            <w:pPr>
              <w:spacing w:line="240" w:lineRule="auto"/>
              <w:ind w:firstLine="0" w:firstLineChars="0"/>
              <w:jc w:val="center"/>
              <w:rPr>
                <w:sz w:val="21"/>
                <w:szCs w:val="21"/>
              </w:rPr>
            </w:pPr>
            <w:r>
              <w:rPr>
                <w:rFonts w:hint="eastAsia"/>
                <w:color w:val="000000"/>
                <w:sz w:val="22"/>
                <w:szCs w:val="22"/>
              </w:rPr>
              <w:t>115.33</w:t>
            </w:r>
          </w:p>
        </w:tc>
        <w:tc>
          <w:tcPr>
            <w:tcW w:w="710" w:type="pct"/>
            <w:tcBorders>
              <w:top w:val="single" w:color="auto" w:sz="4" w:space="0"/>
              <w:tl2br w:val="nil"/>
              <w:tr2bl w:val="nil"/>
            </w:tcBorders>
            <w:shd w:val="clear" w:color="auto" w:fill="auto"/>
            <w:noWrap/>
            <w:vAlign w:val="center"/>
          </w:tcPr>
          <w:p w14:paraId="3CA3F9D7">
            <w:pPr>
              <w:spacing w:line="240" w:lineRule="auto"/>
              <w:ind w:firstLine="0" w:firstLineChars="0"/>
              <w:jc w:val="center"/>
              <w:rPr>
                <w:sz w:val="21"/>
                <w:szCs w:val="21"/>
              </w:rPr>
            </w:pPr>
            <w:r>
              <w:rPr>
                <w:rFonts w:hint="eastAsia"/>
                <w:color w:val="000000"/>
                <w:sz w:val="22"/>
                <w:szCs w:val="22"/>
              </w:rPr>
              <w:t>18.91%</w:t>
            </w:r>
          </w:p>
        </w:tc>
      </w:tr>
      <w:tr w14:paraId="31925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2530" w:type="pct"/>
            <w:gridSpan w:val="2"/>
            <w:tcBorders>
              <w:tl2br w:val="nil"/>
              <w:tr2bl w:val="nil"/>
            </w:tcBorders>
            <w:shd w:val="clear" w:color="auto" w:fill="auto"/>
            <w:noWrap/>
            <w:vAlign w:val="center"/>
          </w:tcPr>
          <w:p w14:paraId="29CD2FC8">
            <w:pPr>
              <w:spacing w:line="240" w:lineRule="auto"/>
              <w:ind w:firstLine="0" w:firstLineChars="0"/>
              <w:jc w:val="center"/>
              <w:rPr>
                <w:sz w:val="21"/>
                <w:szCs w:val="21"/>
              </w:rPr>
            </w:pPr>
            <w:r>
              <w:rPr>
                <w:sz w:val="21"/>
                <w:szCs w:val="21"/>
              </w:rPr>
              <w:t>合计</w:t>
            </w:r>
          </w:p>
        </w:tc>
        <w:tc>
          <w:tcPr>
            <w:tcW w:w="710" w:type="pct"/>
            <w:tcBorders>
              <w:tl2br w:val="nil"/>
              <w:tr2bl w:val="nil"/>
            </w:tcBorders>
            <w:shd w:val="clear" w:color="auto" w:fill="auto"/>
            <w:noWrap/>
            <w:vAlign w:val="center"/>
          </w:tcPr>
          <w:p w14:paraId="22EC08A4">
            <w:pPr>
              <w:spacing w:line="240" w:lineRule="auto"/>
              <w:ind w:firstLine="0" w:firstLineChars="0"/>
              <w:jc w:val="center"/>
              <w:rPr>
                <w:sz w:val="21"/>
                <w:szCs w:val="21"/>
              </w:rPr>
            </w:pPr>
            <w:r>
              <w:rPr>
                <w:rFonts w:hint="eastAsia"/>
                <w:sz w:val="21"/>
                <w:szCs w:val="21"/>
              </w:rPr>
              <w:t>144</w:t>
            </w:r>
          </w:p>
        </w:tc>
        <w:tc>
          <w:tcPr>
            <w:tcW w:w="1049" w:type="pct"/>
            <w:tcBorders>
              <w:tl2br w:val="nil"/>
              <w:tr2bl w:val="nil"/>
            </w:tcBorders>
            <w:shd w:val="clear" w:color="auto" w:fill="auto"/>
            <w:noWrap/>
            <w:vAlign w:val="center"/>
          </w:tcPr>
          <w:p w14:paraId="26D9CA9C">
            <w:pPr>
              <w:spacing w:line="240" w:lineRule="auto"/>
              <w:ind w:firstLine="0" w:firstLineChars="0"/>
              <w:jc w:val="center"/>
              <w:rPr>
                <w:sz w:val="21"/>
                <w:szCs w:val="21"/>
              </w:rPr>
            </w:pPr>
            <w:r>
              <w:rPr>
                <w:sz w:val="21"/>
                <w:szCs w:val="21"/>
              </w:rPr>
              <w:t xml:space="preserve">609.76 </w:t>
            </w:r>
          </w:p>
        </w:tc>
        <w:tc>
          <w:tcPr>
            <w:tcW w:w="710" w:type="pct"/>
            <w:tcBorders>
              <w:tl2br w:val="nil"/>
              <w:tr2bl w:val="nil"/>
            </w:tcBorders>
            <w:shd w:val="clear" w:color="auto" w:fill="auto"/>
            <w:noWrap/>
            <w:vAlign w:val="center"/>
          </w:tcPr>
          <w:p w14:paraId="754712BB">
            <w:pPr>
              <w:spacing w:line="240" w:lineRule="auto"/>
              <w:ind w:firstLine="0" w:firstLineChars="0"/>
              <w:jc w:val="center"/>
              <w:rPr>
                <w:sz w:val="21"/>
                <w:szCs w:val="21"/>
              </w:rPr>
            </w:pPr>
            <w:r>
              <w:rPr>
                <w:rFonts w:hint="eastAsia"/>
                <w:sz w:val="21"/>
                <w:szCs w:val="21"/>
              </w:rPr>
              <w:t>100.00%</w:t>
            </w:r>
          </w:p>
        </w:tc>
      </w:tr>
    </w:tbl>
    <w:p w14:paraId="607DD914">
      <w:pPr>
        <w:pStyle w:val="80"/>
        <w:ind w:firstLine="200"/>
      </w:pPr>
    </w:p>
    <w:p w14:paraId="74D56558">
      <w:pPr>
        <w:ind w:firstLine="0" w:firstLineChars="0"/>
        <w:jc w:val="center"/>
        <w:rPr>
          <w:highlight w:val="green"/>
        </w:rPr>
      </w:pPr>
      <w:r>
        <w:drawing>
          <wp:inline distT="0" distB="0" distL="0" distR="0">
            <wp:extent cx="4572000" cy="2799080"/>
            <wp:effectExtent l="0" t="0" r="0" b="0"/>
            <wp:docPr id="199749353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59EDA3C4">
      <w:pPr>
        <w:ind w:firstLine="482"/>
        <w:jc w:val="center"/>
      </w:pPr>
      <w:r>
        <w:rPr>
          <w:rFonts w:hint="eastAsia"/>
          <w:b/>
          <w:bCs/>
        </w:rPr>
        <w:t xml:space="preserve">图4.6.12   </w:t>
      </w:r>
      <w:r>
        <w:rPr>
          <w:b/>
          <w:bCs/>
        </w:rPr>
        <w:t>评</w:t>
      </w:r>
      <w:r>
        <w:rPr>
          <w:rFonts w:hint="eastAsia"/>
          <w:b/>
          <w:bCs/>
        </w:rPr>
        <w:t>价</w:t>
      </w:r>
      <w:r>
        <w:rPr>
          <w:b/>
          <w:bCs/>
        </w:rPr>
        <w:t>区</w:t>
      </w:r>
      <w:r>
        <w:rPr>
          <w:rFonts w:hint="eastAsia"/>
          <w:b/>
          <w:bCs/>
        </w:rPr>
        <w:t>植被类型</w:t>
      </w:r>
      <w:r>
        <w:rPr>
          <w:b/>
          <w:bCs/>
        </w:rPr>
        <w:t>现状饼图</w:t>
      </w:r>
    </w:p>
    <w:p w14:paraId="1DC4B80A">
      <w:pPr>
        <w:pStyle w:val="25"/>
        <w:widowControl w:val="0"/>
        <w:ind w:firstLine="479" w:firstLineChars="199"/>
        <w:jc w:val="center"/>
        <w:rPr>
          <w:b/>
          <w:bCs/>
          <w:color w:val="auto"/>
          <w:szCs w:val="21"/>
        </w:rPr>
      </w:pPr>
      <w:r>
        <w:rPr>
          <w:b/>
          <w:bCs/>
          <w:color w:val="auto"/>
          <w:szCs w:val="21"/>
        </w:rPr>
        <w:t>表</w:t>
      </w:r>
      <w:r>
        <w:rPr>
          <w:rFonts w:hint="eastAsia"/>
          <w:b/>
          <w:bCs/>
          <w:color w:val="auto"/>
          <w:szCs w:val="21"/>
        </w:rPr>
        <w:t>4.6-12</w:t>
      </w:r>
      <w:r>
        <w:rPr>
          <w:b/>
          <w:bCs/>
          <w:color w:val="auto"/>
          <w:szCs w:val="21"/>
        </w:rPr>
        <w:t xml:space="preserve">  </w:t>
      </w:r>
      <w:r>
        <w:rPr>
          <w:rFonts w:hint="eastAsia"/>
          <w:b/>
          <w:bCs/>
          <w:color w:val="auto"/>
          <w:szCs w:val="21"/>
        </w:rPr>
        <w:t>项目</w:t>
      </w:r>
      <w:r>
        <w:rPr>
          <w:b/>
          <w:bCs/>
          <w:color w:val="auto"/>
          <w:szCs w:val="21"/>
        </w:rPr>
        <w:t>区植被类型现状统计表</w:t>
      </w:r>
    </w:p>
    <w:tbl>
      <w:tblPr>
        <w:tblStyle w:val="8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1"/>
        <w:gridCol w:w="2873"/>
        <w:gridCol w:w="1372"/>
        <w:gridCol w:w="1687"/>
        <w:gridCol w:w="1407"/>
      </w:tblGrid>
      <w:tr w14:paraId="57B7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4" w:type="pct"/>
            <w:gridSpan w:val="2"/>
            <w:tcBorders>
              <w:tl2br w:val="nil"/>
              <w:tr2bl w:val="nil"/>
            </w:tcBorders>
            <w:noWrap/>
            <w:vAlign w:val="center"/>
          </w:tcPr>
          <w:p w14:paraId="4F701FE9">
            <w:pPr>
              <w:spacing w:line="240" w:lineRule="auto"/>
              <w:ind w:firstLine="0" w:firstLineChars="0"/>
              <w:jc w:val="center"/>
              <w:rPr>
                <w:b/>
                <w:bCs/>
                <w:sz w:val="21"/>
                <w:szCs w:val="21"/>
              </w:rPr>
            </w:pPr>
            <w:r>
              <w:rPr>
                <w:rFonts w:hint="eastAsia" w:ascii="宋体" w:hAnsi="宋体" w:cs="宋体"/>
                <w:b/>
                <w:bCs/>
                <w:kern w:val="0"/>
                <w:sz w:val="21"/>
                <w:szCs w:val="21"/>
                <w:lang w:bidi="ar"/>
              </w:rPr>
              <w:t>植被类型</w:t>
            </w:r>
          </w:p>
        </w:tc>
        <w:tc>
          <w:tcPr>
            <w:tcW w:w="739" w:type="pct"/>
            <w:tcBorders>
              <w:tl2br w:val="nil"/>
              <w:tr2bl w:val="nil"/>
            </w:tcBorders>
            <w:noWrap/>
            <w:vAlign w:val="center"/>
          </w:tcPr>
          <w:p w14:paraId="043F0C21">
            <w:pPr>
              <w:spacing w:line="240" w:lineRule="auto"/>
              <w:ind w:firstLine="0" w:firstLineChars="0"/>
              <w:jc w:val="center"/>
              <w:rPr>
                <w:b/>
                <w:bCs/>
                <w:sz w:val="21"/>
                <w:szCs w:val="21"/>
              </w:rPr>
            </w:pPr>
            <w:r>
              <w:rPr>
                <w:b/>
                <w:bCs/>
                <w:sz w:val="21"/>
                <w:szCs w:val="21"/>
              </w:rPr>
              <w:t>斑块数</w:t>
            </w:r>
          </w:p>
        </w:tc>
        <w:tc>
          <w:tcPr>
            <w:tcW w:w="909" w:type="pct"/>
            <w:tcBorders>
              <w:tl2br w:val="nil"/>
              <w:tr2bl w:val="nil"/>
            </w:tcBorders>
            <w:noWrap/>
            <w:vAlign w:val="center"/>
          </w:tcPr>
          <w:p w14:paraId="12B8BD2A">
            <w:pPr>
              <w:spacing w:line="240" w:lineRule="auto"/>
              <w:ind w:firstLine="0" w:firstLineChars="0"/>
              <w:jc w:val="center"/>
              <w:rPr>
                <w:b/>
                <w:bCs/>
                <w:sz w:val="21"/>
                <w:szCs w:val="21"/>
              </w:rPr>
            </w:pPr>
            <w:r>
              <w:rPr>
                <w:b/>
                <w:bCs/>
                <w:sz w:val="21"/>
                <w:szCs w:val="21"/>
              </w:rPr>
              <w:t>面积（公顷）</w:t>
            </w:r>
          </w:p>
        </w:tc>
        <w:tc>
          <w:tcPr>
            <w:tcW w:w="758" w:type="pct"/>
            <w:tcBorders>
              <w:tl2br w:val="nil"/>
              <w:tr2bl w:val="nil"/>
            </w:tcBorders>
            <w:vAlign w:val="center"/>
          </w:tcPr>
          <w:p w14:paraId="438EB07B">
            <w:pPr>
              <w:spacing w:line="240" w:lineRule="auto"/>
              <w:ind w:firstLine="0" w:firstLineChars="0"/>
              <w:jc w:val="center"/>
              <w:rPr>
                <w:b/>
                <w:bCs/>
                <w:sz w:val="21"/>
                <w:szCs w:val="21"/>
              </w:rPr>
            </w:pPr>
            <w:r>
              <w:rPr>
                <w:b/>
                <w:bCs/>
                <w:sz w:val="21"/>
                <w:szCs w:val="21"/>
              </w:rPr>
              <w:t>百分比</w:t>
            </w:r>
          </w:p>
        </w:tc>
      </w:tr>
      <w:tr w14:paraId="1763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pct"/>
            <w:tcBorders>
              <w:tl2br w:val="nil"/>
              <w:tr2bl w:val="nil"/>
            </w:tcBorders>
            <w:noWrap/>
            <w:vAlign w:val="center"/>
          </w:tcPr>
          <w:p w14:paraId="59549A66">
            <w:pPr>
              <w:spacing w:line="240" w:lineRule="auto"/>
              <w:ind w:firstLine="0" w:firstLineChars="0"/>
              <w:jc w:val="center"/>
              <w:rPr>
                <w:kern w:val="0"/>
                <w:sz w:val="21"/>
                <w:szCs w:val="21"/>
              </w:rPr>
            </w:pPr>
            <w:r>
              <w:rPr>
                <w:kern w:val="0"/>
                <w:sz w:val="21"/>
                <w:szCs w:val="21"/>
              </w:rPr>
              <w:t>一、森林植被</w:t>
            </w:r>
          </w:p>
        </w:tc>
        <w:tc>
          <w:tcPr>
            <w:tcW w:w="1548" w:type="pct"/>
            <w:tcBorders>
              <w:tl2br w:val="nil"/>
              <w:tr2bl w:val="nil"/>
            </w:tcBorders>
            <w:noWrap/>
            <w:vAlign w:val="center"/>
          </w:tcPr>
          <w:p w14:paraId="103A6038">
            <w:pPr>
              <w:spacing w:line="240" w:lineRule="auto"/>
              <w:ind w:firstLine="0" w:firstLineChars="0"/>
              <w:jc w:val="center"/>
              <w:textAlignment w:val="center"/>
              <w:rPr>
                <w:color w:val="FF0000"/>
                <w:sz w:val="21"/>
                <w:szCs w:val="21"/>
              </w:rPr>
            </w:pPr>
            <w:r>
              <w:rPr>
                <w:rFonts w:hint="eastAsia"/>
                <w:sz w:val="21"/>
                <w:szCs w:val="21"/>
              </w:rPr>
              <w:t>霸王+沙冬青</w:t>
            </w:r>
          </w:p>
        </w:tc>
        <w:tc>
          <w:tcPr>
            <w:tcW w:w="739" w:type="pct"/>
            <w:tcBorders>
              <w:tl2br w:val="nil"/>
              <w:tr2bl w:val="nil"/>
            </w:tcBorders>
            <w:noWrap/>
            <w:vAlign w:val="center"/>
          </w:tcPr>
          <w:p w14:paraId="206B860B">
            <w:pPr>
              <w:spacing w:line="240" w:lineRule="auto"/>
              <w:ind w:firstLine="0" w:firstLineChars="0"/>
              <w:jc w:val="center"/>
              <w:textAlignment w:val="center"/>
              <w:rPr>
                <w:kern w:val="0"/>
                <w:sz w:val="21"/>
                <w:szCs w:val="21"/>
                <w:lang w:bidi="ar"/>
              </w:rPr>
            </w:pPr>
            <w:r>
              <w:rPr>
                <w:rFonts w:hint="eastAsia"/>
                <w:sz w:val="21"/>
                <w:szCs w:val="21"/>
              </w:rPr>
              <w:t>11</w:t>
            </w:r>
          </w:p>
        </w:tc>
        <w:tc>
          <w:tcPr>
            <w:tcW w:w="909" w:type="pct"/>
            <w:tcBorders>
              <w:tl2br w:val="nil"/>
              <w:tr2bl w:val="nil"/>
            </w:tcBorders>
            <w:noWrap/>
            <w:vAlign w:val="center"/>
          </w:tcPr>
          <w:p w14:paraId="79F4F432">
            <w:pPr>
              <w:spacing w:line="240" w:lineRule="auto"/>
              <w:ind w:firstLine="0" w:firstLineChars="0"/>
              <w:jc w:val="center"/>
              <w:textAlignment w:val="center"/>
              <w:rPr>
                <w:kern w:val="0"/>
                <w:sz w:val="21"/>
                <w:szCs w:val="21"/>
                <w:lang w:bidi="ar"/>
              </w:rPr>
            </w:pPr>
            <w:r>
              <w:rPr>
                <w:sz w:val="21"/>
                <w:szCs w:val="21"/>
              </w:rPr>
              <w:t xml:space="preserve">28.02 </w:t>
            </w:r>
          </w:p>
        </w:tc>
        <w:tc>
          <w:tcPr>
            <w:tcW w:w="758" w:type="pct"/>
            <w:tcBorders>
              <w:tl2br w:val="nil"/>
              <w:tr2bl w:val="nil"/>
            </w:tcBorders>
            <w:noWrap/>
            <w:vAlign w:val="center"/>
          </w:tcPr>
          <w:p w14:paraId="493B00CD">
            <w:pPr>
              <w:spacing w:line="240" w:lineRule="auto"/>
              <w:ind w:firstLine="0" w:firstLineChars="0"/>
              <w:jc w:val="center"/>
              <w:textAlignment w:val="center"/>
              <w:rPr>
                <w:kern w:val="0"/>
                <w:sz w:val="21"/>
                <w:szCs w:val="21"/>
                <w:lang w:bidi="ar"/>
              </w:rPr>
            </w:pPr>
            <w:r>
              <w:rPr>
                <w:rFonts w:hint="eastAsia"/>
                <w:sz w:val="21"/>
                <w:szCs w:val="21"/>
              </w:rPr>
              <w:t>100%</w:t>
            </w:r>
          </w:p>
        </w:tc>
      </w:tr>
      <w:tr w14:paraId="569C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4" w:type="pct"/>
            <w:gridSpan w:val="2"/>
            <w:tcBorders>
              <w:tl2br w:val="nil"/>
              <w:tr2bl w:val="nil"/>
            </w:tcBorders>
            <w:noWrap/>
            <w:vAlign w:val="center"/>
          </w:tcPr>
          <w:p w14:paraId="57C08C11">
            <w:pPr>
              <w:spacing w:line="240" w:lineRule="auto"/>
              <w:ind w:firstLine="0" w:firstLineChars="0"/>
              <w:jc w:val="center"/>
              <w:rPr>
                <w:sz w:val="21"/>
                <w:szCs w:val="21"/>
              </w:rPr>
            </w:pPr>
            <w:r>
              <w:rPr>
                <w:sz w:val="21"/>
                <w:szCs w:val="21"/>
              </w:rPr>
              <w:t>合计</w:t>
            </w:r>
          </w:p>
        </w:tc>
        <w:tc>
          <w:tcPr>
            <w:tcW w:w="739" w:type="pct"/>
            <w:tcBorders>
              <w:tl2br w:val="nil"/>
              <w:tr2bl w:val="nil"/>
            </w:tcBorders>
            <w:noWrap/>
            <w:vAlign w:val="center"/>
          </w:tcPr>
          <w:p w14:paraId="4C8B46C4">
            <w:pPr>
              <w:spacing w:line="240" w:lineRule="auto"/>
              <w:ind w:firstLine="0" w:firstLineChars="0"/>
              <w:jc w:val="center"/>
              <w:textAlignment w:val="center"/>
              <w:rPr>
                <w:kern w:val="0"/>
                <w:sz w:val="21"/>
                <w:szCs w:val="21"/>
                <w:lang w:bidi="ar"/>
              </w:rPr>
            </w:pPr>
            <w:r>
              <w:rPr>
                <w:rFonts w:hint="eastAsia"/>
                <w:kern w:val="0"/>
                <w:sz w:val="21"/>
                <w:szCs w:val="21"/>
                <w:lang w:bidi="ar"/>
              </w:rPr>
              <w:t>11</w:t>
            </w:r>
          </w:p>
        </w:tc>
        <w:tc>
          <w:tcPr>
            <w:tcW w:w="909" w:type="pct"/>
            <w:tcBorders>
              <w:tl2br w:val="nil"/>
              <w:tr2bl w:val="nil"/>
            </w:tcBorders>
            <w:noWrap/>
            <w:vAlign w:val="center"/>
          </w:tcPr>
          <w:p w14:paraId="6D79787C">
            <w:pPr>
              <w:spacing w:line="240" w:lineRule="auto"/>
              <w:ind w:firstLine="0" w:firstLineChars="0"/>
              <w:jc w:val="center"/>
              <w:textAlignment w:val="center"/>
              <w:rPr>
                <w:kern w:val="0"/>
                <w:sz w:val="21"/>
                <w:szCs w:val="21"/>
                <w:lang w:bidi="ar"/>
              </w:rPr>
            </w:pPr>
            <w:r>
              <w:rPr>
                <w:sz w:val="21"/>
                <w:szCs w:val="21"/>
              </w:rPr>
              <w:t>28.02</w:t>
            </w:r>
          </w:p>
        </w:tc>
        <w:tc>
          <w:tcPr>
            <w:tcW w:w="758" w:type="pct"/>
            <w:tcBorders>
              <w:tl2br w:val="nil"/>
              <w:tr2bl w:val="nil"/>
            </w:tcBorders>
            <w:noWrap/>
            <w:vAlign w:val="center"/>
          </w:tcPr>
          <w:p w14:paraId="471D0154">
            <w:pPr>
              <w:spacing w:line="240" w:lineRule="auto"/>
              <w:ind w:firstLine="0" w:firstLineChars="0"/>
              <w:jc w:val="center"/>
              <w:textAlignment w:val="center"/>
              <w:rPr>
                <w:kern w:val="0"/>
                <w:sz w:val="21"/>
                <w:szCs w:val="21"/>
                <w:lang w:bidi="ar"/>
              </w:rPr>
            </w:pPr>
            <w:r>
              <w:rPr>
                <w:rFonts w:hint="eastAsia"/>
                <w:kern w:val="0"/>
                <w:sz w:val="21"/>
                <w:szCs w:val="21"/>
                <w:lang w:bidi="ar"/>
              </w:rPr>
              <w:t>100.00%</w:t>
            </w:r>
          </w:p>
        </w:tc>
      </w:tr>
    </w:tbl>
    <w:p w14:paraId="72B5C8C6">
      <w:pPr>
        <w:ind w:firstLine="0" w:firstLineChars="0"/>
        <w:jc w:val="center"/>
      </w:pPr>
      <w:r>
        <w:drawing>
          <wp:inline distT="0" distB="0" distL="0" distR="0">
            <wp:extent cx="4572000" cy="2743200"/>
            <wp:effectExtent l="4445" t="4445" r="8255" b="8255"/>
            <wp:docPr id="126449702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047DB0BE">
      <w:pPr>
        <w:ind w:firstLine="0" w:firstLineChars="0"/>
        <w:jc w:val="center"/>
        <w:rPr>
          <w:b/>
          <w:bCs/>
        </w:rPr>
        <w:sectPr>
          <w:pgSz w:w="11907" w:h="16840"/>
          <w:pgMar w:top="1418" w:right="1418" w:bottom="1418" w:left="1418" w:header="964" w:footer="964" w:gutter="0"/>
          <w:cols w:space="720" w:num="1"/>
          <w:docGrid w:linePitch="312" w:charSpace="0"/>
        </w:sectPr>
      </w:pPr>
      <w:r>
        <w:rPr>
          <w:rFonts w:hint="eastAsia"/>
          <w:b/>
          <w:bCs/>
        </w:rPr>
        <w:t>图4.6.13   项目区植被类型</w:t>
      </w:r>
      <w:r>
        <w:rPr>
          <w:b/>
          <w:bCs/>
        </w:rPr>
        <w:t>现状饼图</w:t>
      </w:r>
    </w:p>
    <w:p w14:paraId="4C2B0830">
      <w:pPr>
        <w:pStyle w:val="81"/>
        <w:ind w:left="0" w:leftChars="0" w:firstLine="0" w:firstLineChars="0"/>
        <w:jc w:val="center"/>
      </w:pPr>
      <w:r>
        <w:drawing>
          <wp:inline distT="0" distB="0" distL="0" distR="0">
            <wp:extent cx="7851140" cy="5212715"/>
            <wp:effectExtent l="0" t="0" r="10160" b="6985"/>
            <wp:docPr id="1926783267" name="图片 4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83267" name="图片 41" descr="图示&#10;&#10;描述已自动生成"/>
                    <pic:cNvPicPr>
                      <a:picLocks noChangeAspect="1"/>
                    </pic:cNvPicPr>
                  </pic:nvPicPr>
                  <pic:blipFill>
                    <a:blip r:embed="rId88" cstate="print">
                      <a:extLst>
                        <a:ext uri="{28A0092B-C50C-407E-A947-70E740481C1C}">
                          <a14:useLocalDpi xmlns:a14="http://schemas.microsoft.com/office/drawing/2010/main" val="0"/>
                        </a:ext>
                      </a:extLst>
                    </a:blip>
                    <a:srcRect t="6096"/>
                    <a:stretch>
                      <a:fillRect/>
                    </a:stretch>
                  </pic:blipFill>
                  <pic:spPr>
                    <a:xfrm>
                      <a:off x="0" y="0"/>
                      <a:ext cx="7851598" cy="5212800"/>
                    </a:xfrm>
                    <a:prstGeom prst="rect">
                      <a:avLst/>
                    </a:prstGeom>
                    <a:ln>
                      <a:noFill/>
                    </a:ln>
                  </pic:spPr>
                </pic:pic>
              </a:graphicData>
            </a:graphic>
          </wp:inline>
        </w:drawing>
      </w:r>
    </w:p>
    <w:p w14:paraId="64DEC9D9">
      <w:pPr>
        <w:ind w:firstLine="0" w:firstLineChars="0"/>
        <w:jc w:val="center"/>
        <w:rPr>
          <w:b/>
          <w:bCs/>
        </w:rPr>
      </w:pPr>
      <w:r>
        <w:rPr>
          <w:rFonts w:hint="eastAsia"/>
          <w:b/>
          <w:bCs/>
        </w:rPr>
        <w:t>图4.6-14   植被</w:t>
      </w:r>
      <w:r>
        <w:rPr>
          <w:b/>
          <w:bCs/>
        </w:rPr>
        <w:t>类型图</w:t>
      </w:r>
    </w:p>
    <w:p w14:paraId="432D9899">
      <w:pPr>
        <w:pStyle w:val="81"/>
        <w:ind w:left="480" w:firstLine="480"/>
        <w:sectPr>
          <w:pgSz w:w="16840" w:h="11907" w:orient="landscape"/>
          <w:pgMar w:top="1418" w:right="1418" w:bottom="1418" w:left="1418" w:header="964" w:footer="964" w:gutter="0"/>
          <w:cols w:space="720" w:num="1"/>
          <w:docGrid w:linePitch="312" w:charSpace="0"/>
        </w:sectPr>
      </w:pPr>
    </w:p>
    <w:p w14:paraId="40B28EA0">
      <w:pPr>
        <w:pStyle w:val="11"/>
      </w:pPr>
      <w:bookmarkStart w:id="344" w:name="_Toc166572309"/>
      <w:r>
        <w:rPr>
          <w:rFonts w:hint="eastAsia"/>
        </w:rPr>
        <w:t>4.6.7景观格局现状评价</w:t>
      </w:r>
      <w:bookmarkEnd w:id="344"/>
    </w:p>
    <w:p w14:paraId="6C2A3D93">
      <w:pPr>
        <w:ind w:firstLine="480"/>
      </w:pPr>
      <w:r>
        <w:t>（1）景观指数选取</w:t>
      </w:r>
    </w:p>
    <w:p w14:paraId="6317E057">
      <w:pPr>
        <w:ind w:firstLine="480"/>
      </w:pPr>
      <w:r>
        <w:t>本次评价采用《环境影响评价技术导则 生态影响》（HJ 19-2022）附录C中C.9景观生态学评价方法对项目区景观格局进行现状评价。</w:t>
      </w:r>
    </w:p>
    <w:p w14:paraId="18CE3199">
      <w:pPr>
        <w:ind w:firstLine="480"/>
      </w:pPr>
      <w:r>
        <w:t>景观生态学主要研究宏观尺度上景观类型的空间格局和生态过程的相互作用及其动态变化特征。景观格局是指大小和形状不一的景观斑块在空间上的排列，是各种生态过程在不同尺度上综合作用的结果。景观格局变化对生物多样性产生直接而强烈影响，其主要原因是</w:t>
      </w:r>
      <w:r>
        <w:rPr>
          <w:rFonts w:hint="eastAsia"/>
          <w:lang w:val="en-US" w:eastAsia="zh-CN"/>
        </w:rPr>
        <w:t>环境</w:t>
      </w:r>
      <w:r>
        <w:t>丧失和破碎化。</w:t>
      </w:r>
    </w:p>
    <w:p w14:paraId="22FC5356">
      <w:pPr>
        <w:ind w:firstLine="480"/>
      </w:pPr>
      <w:r>
        <w:t>在ArcGIS 10.8和Fragstats 4.2软件支持下，从景观指数中选取斑块所占景观面积比（PLAND）、最大斑块指数（LPI）、香农多样性指数（SHDI）、蔓延度指数（CONTAG）和聚集度指数（AI）等分析项目区景观格局变化。景观指数及其含义见表4.6-1</w:t>
      </w:r>
      <w:r>
        <w:rPr>
          <w:rFonts w:hint="eastAsia"/>
        </w:rPr>
        <w:t>1</w:t>
      </w:r>
      <w:r>
        <w:t>。</w:t>
      </w:r>
    </w:p>
    <w:p w14:paraId="390EE1B8">
      <w:pPr>
        <w:pStyle w:val="25"/>
        <w:spacing w:line="360" w:lineRule="auto"/>
        <w:ind w:left="3360" w:firstLine="0" w:firstLineChars="0"/>
        <w:rPr>
          <w:color w:val="auto"/>
        </w:rPr>
      </w:pPr>
      <w:r>
        <w:rPr>
          <w:b/>
          <w:bCs/>
          <w:color w:val="auto"/>
          <w:szCs w:val="21"/>
        </w:rPr>
        <w:t>表</w:t>
      </w:r>
      <w:r>
        <w:rPr>
          <w:rFonts w:hint="eastAsia"/>
          <w:b/>
          <w:bCs/>
          <w:color w:val="auto"/>
          <w:szCs w:val="21"/>
        </w:rPr>
        <w:t>4.6-11</w:t>
      </w:r>
      <w:r>
        <w:rPr>
          <w:b/>
          <w:bCs/>
          <w:color w:val="auto"/>
          <w:szCs w:val="21"/>
        </w:rPr>
        <w:t xml:space="preserve">   景观指数及其含义</w:t>
      </w:r>
    </w:p>
    <w:tbl>
      <w:tblPr>
        <w:tblStyle w:val="82"/>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0"/>
        <w:gridCol w:w="6088"/>
      </w:tblGrid>
      <w:tr w14:paraId="3A14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1" w:type="pct"/>
            <w:vAlign w:val="center"/>
          </w:tcPr>
          <w:p w14:paraId="3ACED4AA">
            <w:pPr>
              <w:spacing w:line="240" w:lineRule="auto"/>
              <w:ind w:firstLine="0" w:firstLineChars="0"/>
              <w:jc w:val="center"/>
              <w:rPr>
                <w:b/>
                <w:bCs/>
                <w:sz w:val="21"/>
                <w:szCs w:val="21"/>
              </w:rPr>
            </w:pPr>
            <w:r>
              <w:rPr>
                <w:b/>
                <w:bCs/>
                <w:sz w:val="21"/>
                <w:szCs w:val="21"/>
              </w:rPr>
              <w:t>名称</w:t>
            </w:r>
          </w:p>
        </w:tc>
        <w:tc>
          <w:tcPr>
            <w:tcW w:w="3379" w:type="pct"/>
            <w:vAlign w:val="center"/>
          </w:tcPr>
          <w:p w14:paraId="25F6AF8F">
            <w:pPr>
              <w:spacing w:line="240" w:lineRule="auto"/>
              <w:ind w:firstLine="0" w:firstLineChars="0"/>
              <w:jc w:val="center"/>
              <w:rPr>
                <w:b/>
                <w:bCs/>
                <w:sz w:val="21"/>
                <w:szCs w:val="21"/>
              </w:rPr>
            </w:pPr>
            <w:r>
              <w:rPr>
                <w:b/>
                <w:bCs/>
                <w:sz w:val="21"/>
                <w:szCs w:val="21"/>
              </w:rPr>
              <w:t>含义</w:t>
            </w:r>
          </w:p>
        </w:tc>
      </w:tr>
      <w:tr w14:paraId="1437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1" w:type="pct"/>
            <w:vAlign w:val="center"/>
          </w:tcPr>
          <w:p w14:paraId="40282F19">
            <w:pPr>
              <w:spacing w:line="240" w:lineRule="auto"/>
              <w:ind w:firstLine="0" w:firstLineChars="0"/>
              <w:jc w:val="center"/>
              <w:rPr>
                <w:sz w:val="21"/>
                <w:szCs w:val="21"/>
              </w:rPr>
            </w:pPr>
            <w:r>
              <w:rPr>
                <w:sz w:val="21"/>
                <w:szCs w:val="21"/>
              </w:rPr>
              <w:t>斑块所占景观面积比（PLAND）</w:t>
            </w:r>
          </w:p>
        </w:tc>
        <w:tc>
          <w:tcPr>
            <w:tcW w:w="3379" w:type="pct"/>
            <w:vAlign w:val="center"/>
          </w:tcPr>
          <w:p w14:paraId="3FC6DDB2">
            <w:pPr>
              <w:spacing w:line="240" w:lineRule="auto"/>
              <w:ind w:firstLine="0" w:firstLineChars="0"/>
              <w:rPr>
                <w:sz w:val="21"/>
                <w:szCs w:val="21"/>
              </w:rPr>
            </w:pPr>
            <w:r>
              <w:rPr>
                <w:sz w:val="21"/>
                <w:szCs w:val="21"/>
              </w:rPr>
              <w:t>某一斑块类型占整个景观面积的百分比，是确定优势景观元素重要依据，也是决定景观中优势种和数量等生态系统指标的重要因素。</w:t>
            </w:r>
          </w:p>
        </w:tc>
      </w:tr>
      <w:tr w14:paraId="6BD7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1" w:type="pct"/>
            <w:vAlign w:val="center"/>
          </w:tcPr>
          <w:p w14:paraId="73EF09BF">
            <w:pPr>
              <w:spacing w:line="240" w:lineRule="auto"/>
              <w:ind w:firstLine="0" w:firstLineChars="0"/>
              <w:jc w:val="center"/>
              <w:rPr>
                <w:sz w:val="21"/>
                <w:szCs w:val="21"/>
              </w:rPr>
            </w:pPr>
            <w:r>
              <w:rPr>
                <w:sz w:val="21"/>
                <w:szCs w:val="21"/>
              </w:rPr>
              <w:t>最大斑块指数（LPI）</w:t>
            </w:r>
          </w:p>
        </w:tc>
        <w:tc>
          <w:tcPr>
            <w:tcW w:w="3379" w:type="pct"/>
            <w:vAlign w:val="center"/>
          </w:tcPr>
          <w:p w14:paraId="68B33DE3">
            <w:pPr>
              <w:spacing w:line="240" w:lineRule="auto"/>
              <w:ind w:firstLine="0" w:firstLineChars="0"/>
              <w:rPr>
                <w:sz w:val="21"/>
                <w:szCs w:val="21"/>
              </w:rPr>
            </w:pPr>
            <w:r>
              <w:rPr>
                <w:sz w:val="21"/>
                <w:szCs w:val="21"/>
              </w:rPr>
              <w:t>某一斑块类型中最大斑块占整个景观的百分比，用于确定景观中的优势斑块，可间接反映景观变化受人类活动的干扰程度。</w:t>
            </w:r>
          </w:p>
        </w:tc>
      </w:tr>
      <w:tr w14:paraId="166A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1" w:type="pct"/>
            <w:vAlign w:val="center"/>
          </w:tcPr>
          <w:p w14:paraId="5565271D">
            <w:pPr>
              <w:spacing w:line="240" w:lineRule="auto"/>
              <w:ind w:firstLine="0" w:firstLineChars="0"/>
              <w:jc w:val="center"/>
              <w:rPr>
                <w:sz w:val="21"/>
                <w:szCs w:val="21"/>
              </w:rPr>
            </w:pPr>
            <w:r>
              <w:rPr>
                <w:sz w:val="21"/>
                <w:szCs w:val="21"/>
              </w:rPr>
              <w:t>香农多样性指数（SHDI）</w:t>
            </w:r>
          </w:p>
        </w:tc>
        <w:tc>
          <w:tcPr>
            <w:tcW w:w="3379" w:type="pct"/>
            <w:vAlign w:val="center"/>
          </w:tcPr>
          <w:p w14:paraId="2C236A8D">
            <w:pPr>
              <w:spacing w:line="240" w:lineRule="auto"/>
              <w:ind w:firstLine="0" w:firstLineChars="0"/>
              <w:rPr>
                <w:sz w:val="21"/>
                <w:szCs w:val="21"/>
              </w:rPr>
            </w:pPr>
            <w:r>
              <w:rPr>
                <w:sz w:val="21"/>
                <w:szCs w:val="21"/>
              </w:rPr>
              <w:t>反映景观类型的多样性和异质性，对景观中各斑块类型非均衡分布状况较敏感，值增大表明斑块类型增加或各斑块类型呈均衡趋势分布。</w:t>
            </w:r>
          </w:p>
        </w:tc>
      </w:tr>
      <w:tr w14:paraId="3696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1" w:type="pct"/>
            <w:vAlign w:val="center"/>
          </w:tcPr>
          <w:p w14:paraId="0EFE8620">
            <w:pPr>
              <w:spacing w:line="240" w:lineRule="auto"/>
              <w:ind w:firstLine="0" w:firstLineChars="0"/>
              <w:jc w:val="center"/>
              <w:rPr>
                <w:sz w:val="21"/>
                <w:szCs w:val="21"/>
              </w:rPr>
            </w:pPr>
            <w:r>
              <w:rPr>
                <w:sz w:val="21"/>
                <w:szCs w:val="21"/>
              </w:rPr>
              <w:t>蔓延度指数（CONTAG）</w:t>
            </w:r>
          </w:p>
        </w:tc>
        <w:tc>
          <w:tcPr>
            <w:tcW w:w="3379" w:type="pct"/>
            <w:vAlign w:val="center"/>
          </w:tcPr>
          <w:p w14:paraId="2B09B50B">
            <w:pPr>
              <w:spacing w:line="240" w:lineRule="auto"/>
              <w:ind w:firstLine="0" w:firstLineChars="0"/>
              <w:rPr>
                <w:sz w:val="21"/>
                <w:szCs w:val="21"/>
              </w:rPr>
            </w:pPr>
            <w:r>
              <w:rPr>
                <w:sz w:val="21"/>
                <w:szCs w:val="21"/>
              </w:rPr>
              <w:t>高蔓延度值表明景观中的某种优势斑块类型形成了良好的连接性，反之则表明景观具有多种要素的密集格局，破碎化程度较高。</w:t>
            </w:r>
          </w:p>
        </w:tc>
      </w:tr>
      <w:tr w14:paraId="0275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1" w:type="pct"/>
            <w:vAlign w:val="center"/>
          </w:tcPr>
          <w:p w14:paraId="51276BA7">
            <w:pPr>
              <w:spacing w:line="240" w:lineRule="auto"/>
              <w:ind w:firstLine="0" w:firstLineChars="0"/>
              <w:jc w:val="center"/>
              <w:rPr>
                <w:sz w:val="21"/>
                <w:szCs w:val="21"/>
              </w:rPr>
            </w:pPr>
            <w:r>
              <w:rPr>
                <w:sz w:val="21"/>
                <w:szCs w:val="21"/>
              </w:rPr>
              <w:t>聚集度指数（AI）</w:t>
            </w:r>
          </w:p>
        </w:tc>
        <w:tc>
          <w:tcPr>
            <w:tcW w:w="3379" w:type="pct"/>
            <w:vAlign w:val="center"/>
          </w:tcPr>
          <w:p w14:paraId="35B9DF31">
            <w:pPr>
              <w:spacing w:line="240" w:lineRule="auto"/>
              <w:ind w:firstLine="0" w:firstLineChars="0"/>
              <w:rPr>
                <w:sz w:val="21"/>
                <w:szCs w:val="21"/>
              </w:rPr>
            </w:pPr>
            <w:r>
              <w:rPr>
                <w:sz w:val="21"/>
                <w:szCs w:val="21"/>
              </w:rPr>
              <w:t>基于栅格数量测度景观或者某种斑块类型的聚集程度。</w:t>
            </w:r>
          </w:p>
        </w:tc>
      </w:tr>
    </w:tbl>
    <w:p w14:paraId="07FFDFCC">
      <w:pPr>
        <w:ind w:firstLine="480"/>
      </w:pPr>
      <w:r>
        <w:t>（2）景观指数计算</w:t>
      </w:r>
    </w:p>
    <w:p w14:paraId="1A8519B7">
      <w:pPr>
        <w:ind w:firstLine="480"/>
      </w:pPr>
      <w:r>
        <w:t>基于评价区5种土地覆盖类型，采用Fragstats 4.2软件计算景观和类型2种水平上的景观指数，详见表4.6-1</w:t>
      </w:r>
      <w:r>
        <w:rPr>
          <w:rFonts w:hint="eastAsia"/>
        </w:rPr>
        <w:t>2</w:t>
      </w:r>
      <w:r>
        <w:t>~1</w:t>
      </w:r>
      <w:r>
        <w:rPr>
          <w:rFonts w:hint="eastAsia"/>
        </w:rPr>
        <w:t>3</w:t>
      </w:r>
      <w:r>
        <w:t>和图4.6-</w:t>
      </w:r>
      <w:r>
        <w:rPr>
          <w:rFonts w:hint="eastAsia"/>
        </w:rPr>
        <w:t>18</w:t>
      </w:r>
      <w:r>
        <w:t>。</w:t>
      </w:r>
    </w:p>
    <w:p w14:paraId="1D5353DE">
      <w:pPr>
        <w:pStyle w:val="25"/>
        <w:spacing w:line="240" w:lineRule="auto"/>
        <w:ind w:left="3362" w:firstLine="0" w:firstLineChars="0"/>
        <w:rPr>
          <w:b/>
          <w:bCs/>
          <w:color w:val="auto"/>
          <w:szCs w:val="21"/>
        </w:rPr>
      </w:pPr>
      <w:r>
        <w:rPr>
          <w:b/>
          <w:bCs/>
          <w:color w:val="auto"/>
          <w:szCs w:val="21"/>
        </w:rPr>
        <w:t>表4.6-1</w:t>
      </w:r>
      <w:r>
        <w:rPr>
          <w:rFonts w:hint="eastAsia"/>
          <w:b/>
          <w:bCs/>
          <w:color w:val="auto"/>
          <w:szCs w:val="21"/>
        </w:rPr>
        <w:t>2</w:t>
      </w:r>
      <w:r>
        <w:rPr>
          <w:b/>
          <w:bCs/>
          <w:color w:val="auto"/>
          <w:szCs w:val="21"/>
        </w:rPr>
        <w:t xml:space="preserve">   斑块类型指数</w:t>
      </w:r>
    </w:p>
    <w:tbl>
      <w:tblPr>
        <w:tblStyle w:val="82"/>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3"/>
        <w:gridCol w:w="5335"/>
      </w:tblGrid>
      <w:tr w14:paraId="1A6A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3" w:type="dxa"/>
          </w:tcPr>
          <w:p w14:paraId="66683289">
            <w:pPr>
              <w:spacing w:line="240" w:lineRule="auto"/>
              <w:ind w:firstLine="0" w:firstLineChars="0"/>
              <w:jc w:val="center"/>
              <w:rPr>
                <w:b/>
                <w:bCs/>
                <w:sz w:val="21"/>
                <w:szCs w:val="21"/>
              </w:rPr>
            </w:pPr>
            <w:r>
              <w:rPr>
                <w:b/>
                <w:bCs/>
                <w:sz w:val="21"/>
                <w:szCs w:val="21"/>
              </w:rPr>
              <w:t>土地利用类型</w:t>
            </w:r>
          </w:p>
        </w:tc>
        <w:tc>
          <w:tcPr>
            <w:tcW w:w="5335" w:type="dxa"/>
          </w:tcPr>
          <w:p w14:paraId="27C62515">
            <w:pPr>
              <w:spacing w:line="240" w:lineRule="auto"/>
              <w:ind w:firstLine="0" w:firstLineChars="0"/>
              <w:jc w:val="center"/>
              <w:rPr>
                <w:b/>
                <w:bCs/>
                <w:sz w:val="21"/>
                <w:szCs w:val="21"/>
              </w:rPr>
            </w:pPr>
            <w:r>
              <w:rPr>
                <w:b/>
                <w:bCs/>
                <w:sz w:val="21"/>
                <w:szCs w:val="21"/>
              </w:rPr>
              <w:t>斑块所占景观面积比（PLAND）</w:t>
            </w:r>
          </w:p>
        </w:tc>
      </w:tr>
      <w:tr w14:paraId="2108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3" w:type="dxa"/>
            <w:vAlign w:val="center"/>
          </w:tcPr>
          <w:p w14:paraId="1B2F03CA">
            <w:pPr>
              <w:spacing w:line="240" w:lineRule="auto"/>
              <w:ind w:firstLine="0" w:firstLineChars="0"/>
              <w:jc w:val="center"/>
              <w:textAlignment w:val="center"/>
              <w:rPr>
                <w:sz w:val="21"/>
                <w:szCs w:val="21"/>
              </w:rPr>
            </w:pPr>
            <w:r>
              <w:rPr>
                <w:rFonts w:hint="eastAsia"/>
                <w:sz w:val="21"/>
                <w:szCs w:val="21"/>
              </w:rPr>
              <w:t>灌木林地</w:t>
            </w:r>
          </w:p>
        </w:tc>
        <w:tc>
          <w:tcPr>
            <w:tcW w:w="5335" w:type="dxa"/>
            <w:vAlign w:val="center"/>
          </w:tcPr>
          <w:p w14:paraId="2EF045C9">
            <w:pPr>
              <w:spacing w:line="240" w:lineRule="auto"/>
              <w:ind w:firstLine="0" w:firstLineChars="0"/>
              <w:jc w:val="center"/>
              <w:textAlignment w:val="center"/>
              <w:rPr>
                <w:sz w:val="21"/>
                <w:szCs w:val="21"/>
              </w:rPr>
            </w:pPr>
            <w:r>
              <w:rPr>
                <w:kern w:val="0"/>
                <w:sz w:val="21"/>
                <w:szCs w:val="21"/>
                <w:lang w:bidi="ar"/>
              </w:rPr>
              <w:t>86.</w:t>
            </w:r>
            <w:r>
              <w:rPr>
                <w:rFonts w:hint="eastAsia"/>
                <w:kern w:val="0"/>
                <w:sz w:val="21"/>
                <w:szCs w:val="21"/>
                <w:lang w:bidi="ar"/>
              </w:rPr>
              <w:t>13</w:t>
            </w:r>
            <w:r>
              <w:rPr>
                <w:kern w:val="0"/>
                <w:sz w:val="21"/>
                <w:szCs w:val="21"/>
                <w:lang w:bidi="ar"/>
              </w:rPr>
              <w:t>%</w:t>
            </w:r>
          </w:p>
        </w:tc>
      </w:tr>
      <w:tr w14:paraId="5982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3" w:type="dxa"/>
            <w:vAlign w:val="center"/>
          </w:tcPr>
          <w:p w14:paraId="01B10745">
            <w:pPr>
              <w:spacing w:line="240" w:lineRule="auto"/>
              <w:ind w:firstLine="0" w:firstLineChars="0"/>
              <w:jc w:val="center"/>
              <w:textAlignment w:val="center"/>
              <w:rPr>
                <w:sz w:val="21"/>
                <w:szCs w:val="21"/>
              </w:rPr>
            </w:pPr>
            <w:r>
              <w:rPr>
                <w:rFonts w:hint="eastAsia"/>
                <w:kern w:val="0"/>
                <w:sz w:val="21"/>
                <w:szCs w:val="21"/>
                <w:lang w:bidi="ar"/>
              </w:rPr>
              <w:t>农村宅基地</w:t>
            </w:r>
          </w:p>
        </w:tc>
        <w:tc>
          <w:tcPr>
            <w:tcW w:w="5335" w:type="dxa"/>
            <w:vAlign w:val="center"/>
          </w:tcPr>
          <w:p w14:paraId="55DC6668">
            <w:pPr>
              <w:spacing w:line="240" w:lineRule="auto"/>
              <w:ind w:firstLine="0" w:firstLineChars="0"/>
              <w:jc w:val="center"/>
              <w:textAlignment w:val="center"/>
              <w:rPr>
                <w:sz w:val="21"/>
                <w:szCs w:val="21"/>
              </w:rPr>
            </w:pPr>
            <w:r>
              <w:rPr>
                <w:rFonts w:hint="eastAsia"/>
                <w:kern w:val="0"/>
                <w:sz w:val="21"/>
                <w:szCs w:val="21"/>
                <w:lang w:bidi="ar"/>
              </w:rPr>
              <w:t>0.06</w:t>
            </w:r>
            <w:r>
              <w:rPr>
                <w:kern w:val="0"/>
                <w:sz w:val="21"/>
                <w:szCs w:val="21"/>
                <w:lang w:bidi="ar"/>
              </w:rPr>
              <w:t>%</w:t>
            </w:r>
          </w:p>
        </w:tc>
      </w:tr>
      <w:tr w14:paraId="7B29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3" w:type="dxa"/>
            <w:vAlign w:val="center"/>
          </w:tcPr>
          <w:p w14:paraId="4496CB62">
            <w:pPr>
              <w:spacing w:line="240" w:lineRule="auto"/>
              <w:ind w:firstLine="0" w:firstLineChars="0"/>
              <w:jc w:val="center"/>
              <w:textAlignment w:val="center"/>
              <w:rPr>
                <w:sz w:val="21"/>
                <w:szCs w:val="21"/>
              </w:rPr>
            </w:pPr>
            <w:r>
              <w:rPr>
                <w:rFonts w:hint="eastAsia"/>
                <w:kern w:val="0"/>
                <w:sz w:val="21"/>
                <w:szCs w:val="21"/>
                <w:lang w:bidi="ar"/>
              </w:rPr>
              <w:t>公路用地</w:t>
            </w:r>
          </w:p>
        </w:tc>
        <w:tc>
          <w:tcPr>
            <w:tcW w:w="5335" w:type="dxa"/>
            <w:vAlign w:val="center"/>
          </w:tcPr>
          <w:p w14:paraId="4D81D152">
            <w:pPr>
              <w:spacing w:line="240" w:lineRule="auto"/>
              <w:ind w:firstLine="0" w:firstLineChars="0"/>
              <w:jc w:val="center"/>
              <w:textAlignment w:val="center"/>
              <w:rPr>
                <w:sz w:val="21"/>
                <w:szCs w:val="21"/>
              </w:rPr>
            </w:pPr>
            <w:r>
              <w:rPr>
                <w:rFonts w:hint="eastAsia"/>
                <w:kern w:val="0"/>
                <w:sz w:val="21"/>
                <w:szCs w:val="21"/>
                <w:lang w:bidi="ar"/>
              </w:rPr>
              <w:t>0.66</w:t>
            </w:r>
            <w:r>
              <w:rPr>
                <w:kern w:val="0"/>
                <w:sz w:val="21"/>
                <w:szCs w:val="21"/>
                <w:lang w:bidi="ar"/>
              </w:rPr>
              <w:t>%</w:t>
            </w:r>
          </w:p>
        </w:tc>
      </w:tr>
      <w:tr w14:paraId="32A9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3" w:type="dxa"/>
            <w:vAlign w:val="center"/>
          </w:tcPr>
          <w:p w14:paraId="16475D9A">
            <w:pPr>
              <w:spacing w:line="240" w:lineRule="auto"/>
              <w:ind w:firstLine="0" w:firstLineChars="0"/>
              <w:jc w:val="center"/>
              <w:textAlignment w:val="center"/>
              <w:rPr>
                <w:sz w:val="21"/>
                <w:szCs w:val="21"/>
              </w:rPr>
            </w:pPr>
            <w:r>
              <w:rPr>
                <w:rFonts w:hint="eastAsia"/>
                <w:sz w:val="21"/>
                <w:szCs w:val="21"/>
              </w:rPr>
              <w:t>农村道路</w:t>
            </w:r>
          </w:p>
        </w:tc>
        <w:tc>
          <w:tcPr>
            <w:tcW w:w="5335" w:type="dxa"/>
            <w:vAlign w:val="center"/>
          </w:tcPr>
          <w:p w14:paraId="2E75F6F5">
            <w:pPr>
              <w:spacing w:line="240" w:lineRule="auto"/>
              <w:ind w:firstLine="0" w:firstLineChars="0"/>
              <w:jc w:val="center"/>
              <w:textAlignment w:val="center"/>
              <w:rPr>
                <w:sz w:val="21"/>
                <w:szCs w:val="21"/>
              </w:rPr>
            </w:pPr>
            <w:r>
              <w:rPr>
                <w:rFonts w:hint="eastAsia"/>
                <w:kern w:val="0"/>
                <w:sz w:val="21"/>
                <w:szCs w:val="21"/>
                <w:lang w:bidi="ar"/>
              </w:rPr>
              <w:t>0.15</w:t>
            </w:r>
            <w:r>
              <w:rPr>
                <w:kern w:val="0"/>
                <w:sz w:val="21"/>
                <w:szCs w:val="21"/>
                <w:lang w:bidi="ar"/>
              </w:rPr>
              <w:t>%</w:t>
            </w:r>
          </w:p>
        </w:tc>
      </w:tr>
      <w:tr w14:paraId="491F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3" w:type="dxa"/>
            <w:vAlign w:val="center"/>
          </w:tcPr>
          <w:p w14:paraId="6A093B54">
            <w:pPr>
              <w:spacing w:line="240" w:lineRule="auto"/>
              <w:ind w:firstLine="0" w:firstLineChars="0"/>
              <w:jc w:val="center"/>
              <w:textAlignment w:val="center"/>
              <w:rPr>
                <w:sz w:val="21"/>
                <w:szCs w:val="21"/>
              </w:rPr>
            </w:pPr>
            <w:r>
              <w:rPr>
                <w:rFonts w:hint="eastAsia"/>
                <w:sz w:val="21"/>
                <w:szCs w:val="21"/>
              </w:rPr>
              <w:t>干河床</w:t>
            </w:r>
          </w:p>
        </w:tc>
        <w:tc>
          <w:tcPr>
            <w:tcW w:w="5335" w:type="dxa"/>
            <w:vAlign w:val="center"/>
          </w:tcPr>
          <w:p w14:paraId="17A36FB1">
            <w:pPr>
              <w:spacing w:line="240" w:lineRule="auto"/>
              <w:ind w:firstLine="0" w:firstLineChars="0"/>
              <w:jc w:val="center"/>
              <w:textAlignment w:val="center"/>
              <w:rPr>
                <w:sz w:val="21"/>
                <w:szCs w:val="21"/>
              </w:rPr>
            </w:pPr>
            <w:r>
              <w:rPr>
                <w:rFonts w:hint="eastAsia"/>
                <w:kern w:val="0"/>
                <w:sz w:val="21"/>
                <w:szCs w:val="21"/>
                <w:lang w:bidi="ar"/>
              </w:rPr>
              <w:t>13</w:t>
            </w:r>
            <w:r>
              <w:rPr>
                <w:kern w:val="0"/>
                <w:sz w:val="21"/>
                <w:szCs w:val="21"/>
                <w:lang w:bidi="ar"/>
              </w:rPr>
              <w:t>%</w:t>
            </w:r>
          </w:p>
        </w:tc>
      </w:tr>
    </w:tbl>
    <w:p w14:paraId="717234A1">
      <w:pPr>
        <w:pStyle w:val="25"/>
        <w:spacing w:line="360" w:lineRule="auto"/>
        <w:ind w:left="3360" w:firstLine="0" w:firstLineChars="0"/>
        <w:jc w:val="center"/>
        <w:rPr>
          <w:b/>
          <w:bCs/>
          <w:color w:val="auto"/>
          <w:szCs w:val="21"/>
        </w:rPr>
      </w:pPr>
    </w:p>
    <w:p w14:paraId="6D15E3F0">
      <w:pPr>
        <w:pStyle w:val="25"/>
        <w:spacing w:line="360" w:lineRule="auto"/>
        <w:ind w:left="3360" w:firstLine="0" w:firstLineChars="0"/>
        <w:jc w:val="center"/>
        <w:rPr>
          <w:b/>
          <w:bCs/>
          <w:color w:val="auto"/>
          <w:szCs w:val="21"/>
        </w:rPr>
      </w:pPr>
    </w:p>
    <w:p w14:paraId="392F0359">
      <w:pPr>
        <w:ind w:firstLine="480"/>
      </w:pPr>
    </w:p>
    <w:p w14:paraId="461B760C">
      <w:pPr>
        <w:pStyle w:val="25"/>
        <w:spacing w:line="240" w:lineRule="auto"/>
        <w:ind w:left="3362" w:firstLine="0" w:firstLineChars="0"/>
        <w:rPr>
          <w:b/>
          <w:bCs/>
          <w:color w:val="auto"/>
          <w:szCs w:val="21"/>
        </w:rPr>
      </w:pPr>
      <w:r>
        <w:rPr>
          <w:b/>
          <w:bCs/>
          <w:color w:val="auto"/>
          <w:szCs w:val="21"/>
        </w:rPr>
        <w:t>表4.6-1</w:t>
      </w:r>
      <w:r>
        <w:rPr>
          <w:rFonts w:hint="eastAsia"/>
          <w:b/>
          <w:bCs/>
          <w:color w:val="auto"/>
          <w:szCs w:val="21"/>
        </w:rPr>
        <w:t>3</w:t>
      </w:r>
      <w:r>
        <w:rPr>
          <w:b/>
          <w:bCs/>
          <w:color w:val="auto"/>
          <w:szCs w:val="21"/>
        </w:rPr>
        <w:t xml:space="preserve">  景观水平指数</w:t>
      </w:r>
    </w:p>
    <w:tbl>
      <w:tblPr>
        <w:tblStyle w:val="82"/>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8"/>
        <w:gridCol w:w="1863"/>
        <w:gridCol w:w="1865"/>
        <w:gridCol w:w="1865"/>
        <w:gridCol w:w="1517"/>
      </w:tblGrid>
      <w:tr w14:paraId="7B0C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pct"/>
          </w:tcPr>
          <w:p w14:paraId="66FF9F1C">
            <w:pPr>
              <w:spacing w:line="240" w:lineRule="auto"/>
              <w:ind w:firstLine="0" w:firstLineChars="0"/>
              <w:jc w:val="center"/>
              <w:rPr>
                <w:b/>
                <w:bCs/>
                <w:sz w:val="21"/>
                <w:szCs w:val="21"/>
              </w:rPr>
            </w:pPr>
            <w:r>
              <w:rPr>
                <w:b/>
                <w:bCs/>
                <w:sz w:val="21"/>
                <w:szCs w:val="21"/>
              </w:rPr>
              <w:t>景观指数类型</w:t>
            </w:r>
          </w:p>
        </w:tc>
        <w:tc>
          <w:tcPr>
            <w:tcW w:w="996" w:type="pct"/>
          </w:tcPr>
          <w:p w14:paraId="0C390ECE">
            <w:pPr>
              <w:spacing w:line="240" w:lineRule="auto"/>
              <w:ind w:firstLine="0" w:firstLineChars="0"/>
              <w:jc w:val="center"/>
              <w:rPr>
                <w:b/>
                <w:bCs/>
                <w:sz w:val="21"/>
                <w:szCs w:val="21"/>
              </w:rPr>
            </w:pPr>
            <w:r>
              <w:rPr>
                <w:b/>
                <w:bCs/>
                <w:sz w:val="21"/>
                <w:szCs w:val="21"/>
              </w:rPr>
              <w:t>LPI</w:t>
            </w:r>
          </w:p>
        </w:tc>
        <w:tc>
          <w:tcPr>
            <w:tcW w:w="997" w:type="pct"/>
          </w:tcPr>
          <w:p w14:paraId="10435111">
            <w:pPr>
              <w:spacing w:line="240" w:lineRule="auto"/>
              <w:ind w:firstLine="0" w:firstLineChars="0"/>
              <w:jc w:val="center"/>
              <w:rPr>
                <w:b/>
                <w:bCs/>
                <w:sz w:val="21"/>
                <w:szCs w:val="21"/>
              </w:rPr>
            </w:pPr>
            <w:r>
              <w:rPr>
                <w:b/>
                <w:bCs/>
                <w:sz w:val="21"/>
                <w:szCs w:val="21"/>
              </w:rPr>
              <w:t>CONTAG</w:t>
            </w:r>
          </w:p>
        </w:tc>
        <w:tc>
          <w:tcPr>
            <w:tcW w:w="997" w:type="pct"/>
          </w:tcPr>
          <w:p w14:paraId="3F3247F6">
            <w:pPr>
              <w:spacing w:line="240" w:lineRule="auto"/>
              <w:ind w:firstLine="0" w:firstLineChars="0"/>
              <w:jc w:val="center"/>
              <w:rPr>
                <w:b/>
                <w:bCs/>
                <w:sz w:val="21"/>
                <w:szCs w:val="21"/>
              </w:rPr>
            </w:pPr>
            <w:r>
              <w:rPr>
                <w:b/>
                <w:bCs/>
                <w:sz w:val="21"/>
                <w:szCs w:val="21"/>
              </w:rPr>
              <w:t>SHDI</w:t>
            </w:r>
          </w:p>
        </w:tc>
        <w:tc>
          <w:tcPr>
            <w:tcW w:w="811" w:type="pct"/>
          </w:tcPr>
          <w:p w14:paraId="076AB604">
            <w:pPr>
              <w:spacing w:line="240" w:lineRule="auto"/>
              <w:ind w:firstLine="0" w:firstLineChars="0"/>
              <w:jc w:val="center"/>
              <w:rPr>
                <w:b/>
                <w:bCs/>
                <w:sz w:val="21"/>
                <w:szCs w:val="21"/>
              </w:rPr>
            </w:pPr>
            <w:r>
              <w:rPr>
                <w:b/>
                <w:bCs/>
                <w:sz w:val="21"/>
                <w:szCs w:val="21"/>
              </w:rPr>
              <w:t>AI</w:t>
            </w:r>
          </w:p>
        </w:tc>
      </w:tr>
      <w:tr w14:paraId="348D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pct"/>
          </w:tcPr>
          <w:p w14:paraId="6361CFE6">
            <w:pPr>
              <w:spacing w:line="240" w:lineRule="auto"/>
              <w:ind w:firstLine="0" w:firstLineChars="0"/>
              <w:jc w:val="center"/>
              <w:rPr>
                <w:sz w:val="21"/>
                <w:szCs w:val="21"/>
              </w:rPr>
            </w:pPr>
            <w:r>
              <w:rPr>
                <w:sz w:val="21"/>
                <w:szCs w:val="21"/>
              </w:rPr>
              <w:t>数值</w:t>
            </w:r>
          </w:p>
        </w:tc>
        <w:tc>
          <w:tcPr>
            <w:tcW w:w="996" w:type="pct"/>
            <w:vAlign w:val="center"/>
          </w:tcPr>
          <w:p w14:paraId="4189B758">
            <w:pPr>
              <w:spacing w:line="240" w:lineRule="auto"/>
              <w:ind w:firstLine="0" w:firstLineChars="0"/>
              <w:jc w:val="center"/>
              <w:textAlignment w:val="center"/>
              <w:rPr>
                <w:sz w:val="21"/>
                <w:szCs w:val="21"/>
              </w:rPr>
            </w:pPr>
            <w:r>
              <w:rPr>
                <w:kern w:val="0"/>
                <w:sz w:val="21"/>
                <w:szCs w:val="21"/>
                <w:lang w:bidi="ar"/>
              </w:rPr>
              <w:t>39.58</w:t>
            </w:r>
          </w:p>
        </w:tc>
        <w:tc>
          <w:tcPr>
            <w:tcW w:w="997" w:type="pct"/>
            <w:vAlign w:val="center"/>
          </w:tcPr>
          <w:p w14:paraId="7585EAB2">
            <w:pPr>
              <w:spacing w:line="240" w:lineRule="auto"/>
              <w:ind w:firstLine="0" w:firstLineChars="0"/>
              <w:jc w:val="center"/>
              <w:textAlignment w:val="center"/>
              <w:rPr>
                <w:sz w:val="21"/>
                <w:szCs w:val="21"/>
              </w:rPr>
            </w:pPr>
            <w:r>
              <w:rPr>
                <w:kern w:val="0"/>
                <w:sz w:val="21"/>
                <w:szCs w:val="21"/>
                <w:lang w:bidi="ar"/>
              </w:rPr>
              <w:t>84.58</w:t>
            </w:r>
          </w:p>
        </w:tc>
        <w:tc>
          <w:tcPr>
            <w:tcW w:w="997" w:type="pct"/>
            <w:vAlign w:val="center"/>
          </w:tcPr>
          <w:p w14:paraId="5028BE3A">
            <w:pPr>
              <w:spacing w:line="240" w:lineRule="auto"/>
              <w:ind w:firstLine="0" w:firstLineChars="0"/>
              <w:jc w:val="center"/>
              <w:textAlignment w:val="center"/>
              <w:rPr>
                <w:sz w:val="21"/>
                <w:szCs w:val="21"/>
              </w:rPr>
            </w:pPr>
            <w:r>
              <w:rPr>
                <w:kern w:val="0"/>
                <w:sz w:val="21"/>
                <w:szCs w:val="21"/>
                <w:lang w:bidi="ar"/>
              </w:rPr>
              <w:t>0.42</w:t>
            </w:r>
          </w:p>
        </w:tc>
        <w:tc>
          <w:tcPr>
            <w:tcW w:w="811" w:type="pct"/>
            <w:vAlign w:val="center"/>
          </w:tcPr>
          <w:p w14:paraId="53490972">
            <w:pPr>
              <w:spacing w:line="240" w:lineRule="auto"/>
              <w:ind w:firstLine="0" w:firstLineChars="0"/>
              <w:jc w:val="center"/>
              <w:textAlignment w:val="center"/>
              <w:rPr>
                <w:sz w:val="21"/>
                <w:szCs w:val="21"/>
              </w:rPr>
            </w:pPr>
            <w:r>
              <w:rPr>
                <w:kern w:val="0"/>
                <w:sz w:val="21"/>
                <w:szCs w:val="21"/>
                <w:lang w:bidi="ar"/>
              </w:rPr>
              <w:t>98.58</w:t>
            </w:r>
          </w:p>
        </w:tc>
      </w:tr>
    </w:tbl>
    <w:tbl>
      <w:tblPr>
        <w:tblStyle w:val="8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6"/>
        <w:gridCol w:w="4536"/>
      </w:tblGrid>
      <w:tr w14:paraId="635F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5A380E37">
            <w:pPr>
              <w:ind w:firstLine="0" w:firstLineChars="0"/>
              <w:jc w:val="center"/>
            </w:pPr>
          </w:p>
          <w:p w14:paraId="1B234FF0">
            <w:pPr>
              <w:ind w:firstLine="0" w:firstLineChars="0"/>
              <w:jc w:val="center"/>
            </w:pPr>
            <w:r>
              <w:rPr>
                <w:rFonts w:hint="eastAsia"/>
              </w:rPr>
              <w:drawing>
                <wp:inline distT="0" distB="0" distL="114300" distR="114300">
                  <wp:extent cx="2738120" cy="1936115"/>
                  <wp:effectExtent l="0" t="0" r="5080" b="6985"/>
                  <wp:docPr id="48" name="图片 48" desc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AI"/>
                          <pic:cNvPicPr>
                            <a:picLocks noChangeAspect="1"/>
                          </pic:cNvPicPr>
                        </pic:nvPicPr>
                        <pic:blipFill>
                          <a:blip r:embed="rId89"/>
                          <a:stretch>
                            <a:fillRect/>
                          </a:stretch>
                        </pic:blipFill>
                        <pic:spPr>
                          <a:xfrm>
                            <a:off x="0" y="0"/>
                            <a:ext cx="2738120" cy="1936115"/>
                          </a:xfrm>
                          <a:prstGeom prst="rect">
                            <a:avLst/>
                          </a:prstGeom>
                        </pic:spPr>
                      </pic:pic>
                    </a:graphicData>
                  </a:graphic>
                </wp:inline>
              </w:drawing>
            </w:r>
          </w:p>
        </w:tc>
        <w:tc>
          <w:tcPr>
            <w:tcW w:w="4531" w:type="dxa"/>
          </w:tcPr>
          <w:p w14:paraId="0302F0C2">
            <w:pPr>
              <w:ind w:firstLine="0" w:firstLineChars="0"/>
              <w:jc w:val="center"/>
            </w:pPr>
          </w:p>
          <w:p w14:paraId="5B824DBE">
            <w:pPr>
              <w:ind w:firstLine="0" w:firstLineChars="0"/>
              <w:jc w:val="center"/>
            </w:pPr>
            <w:r>
              <w:rPr>
                <w:rFonts w:hint="eastAsia"/>
              </w:rPr>
              <w:drawing>
                <wp:inline distT="0" distB="0" distL="114300" distR="114300">
                  <wp:extent cx="2738120" cy="1936115"/>
                  <wp:effectExtent l="0" t="0" r="5080" b="6985"/>
                  <wp:docPr id="49" name="图片 49" descr="CON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ONTAG"/>
                          <pic:cNvPicPr>
                            <a:picLocks noChangeAspect="1"/>
                          </pic:cNvPicPr>
                        </pic:nvPicPr>
                        <pic:blipFill>
                          <a:blip r:embed="rId90"/>
                          <a:stretch>
                            <a:fillRect/>
                          </a:stretch>
                        </pic:blipFill>
                        <pic:spPr>
                          <a:xfrm>
                            <a:off x="0" y="0"/>
                            <a:ext cx="2738120" cy="1936115"/>
                          </a:xfrm>
                          <a:prstGeom prst="rect">
                            <a:avLst/>
                          </a:prstGeom>
                        </pic:spPr>
                      </pic:pic>
                    </a:graphicData>
                  </a:graphic>
                </wp:inline>
              </w:drawing>
            </w:r>
          </w:p>
        </w:tc>
      </w:tr>
      <w:tr w14:paraId="23D23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0604DAF1">
            <w:pPr>
              <w:ind w:firstLine="0" w:firstLineChars="0"/>
              <w:jc w:val="center"/>
            </w:pPr>
            <w:r>
              <w:rPr>
                <w:rFonts w:hint="eastAsia"/>
              </w:rPr>
              <w:drawing>
                <wp:inline distT="0" distB="0" distL="114300" distR="114300">
                  <wp:extent cx="2738120" cy="1936115"/>
                  <wp:effectExtent l="0" t="0" r="5080" b="6985"/>
                  <wp:docPr id="50" name="图片 50" descr="L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LPI"/>
                          <pic:cNvPicPr>
                            <a:picLocks noChangeAspect="1"/>
                          </pic:cNvPicPr>
                        </pic:nvPicPr>
                        <pic:blipFill>
                          <a:blip r:embed="rId91"/>
                          <a:stretch>
                            <a:fillRect/>
                          </a:stretch>
                        </pic:blipFill>
                        <pic:spPr>
                          <a:xfrm>
                            <a:off x="0" y="0"/>
                            <a:ext cx="2738120" cy="1936115"/>
                          </a:xfrm>
                          <a:prstGeom prst="rect">
                            <a:avLst/>
                          </a:prstGeom>
                        </pic:spPr>
                      </pic:pic>
                    </a:graphicData>
                  </a:graphic>
                </wp:inline>
              </w:drawing>
            </w:r>
          </w:p>
        </w:tc>
        <w:tc>
          <w:tcPr>
            <w:tcW w:w="4531" w:type="dxa"/>
          </w:tcPr>
          <w:p w14:paraId="356D27A4">
            <w:pPr>
              <w:ind w:firstLine="0" w:firstLineChars="0"/>
              <w:jc w:val="center"/>
            </w:pPr>
            <w:r>
              <w:rPr>
                <w:rFonts w:hint="eastAsia"/>
              </w:rPr>
              <w:drawing>
                <wp:inline distT="0" distB="0" distL="114300" distR="114300">
                  <wp:extent cx="2738120" cy="1936115"/>
                  <wp:effectExtent l="0" t="0" r="5080" b="6985"/>
                  <wp:docPr id="52" name="图片 52" descr="SH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SHDI"/>
                          <pic:cNvPicPr>
                            <a:picLocks noChangeAspect="1"/>
                          </pic:cNvPicPr>
                        </pic:nvPicPr>
                        <pic:blipFill>
                          <a:blip r:embed="rId92"/>
                          <a:stretch>
                            <a:fillRect/>
                          </a:stretch>
                        </pic:blipFill>
                        <pic:spPr>
                          <a:xfrm>
                            <a:off x="0" y="0"/>
                            <a:ext cx="2738120" cy="1936115"/>
                          </a:xfrm>
                          <a:prstGeom prst="rect">
                            <a:avLst/>
                          </a:prstGeom>
                        </pic:spPr>
                      </pic:pic>
                    </a:graphicData>
                  </a:graphic>
                </wp:inline>
              </w:drawing>
            </w:r>
          </w:p>
        </w:tc>
      </w:tr>
    </w:tbl>
    <w:p w14:paraId="596E12A7">
      <w:pPr>
        <w:ind w:firstLine="0" w:firstLineChars="0"/>
        <w:jc w:val="center"/>
        <w:rPr>
          <w:b/>
          <w:bCs/>
        </w:rPr>
      </w:pPr>
      <w:r>
        <w:rPr>
          <w:b/>
          <w:bCs/>
        </w:rPr>
        <w:t>图4.6-</w:t>
      </w:r>
      <w:r>
        <w:rPr>
          <w:rFonts w:hint="eastAsia"/>
          <w:b/>
          <w:bCs/>
        </w:rPr>
        <w:t>18</w:t>
      </w:r>
      <w:r>
        <w:rPr>
          <w:b/>
          <w:bCs/>
        </w:rPr>
        <w:t xml:space="preserve">  景观指数图</w:t>
      </w:r>
    </w:p>
    <w:p w14:paraId="17B1CD86">
      <w:pPr>
        <w:ind w:firstLine="480"/>
      </w:pPr>
      <w:r>
        <w:t>从上表和图可以看出，评价区景观优势种为</w:t>
      </w:r>
      <w:r>
        <w:rPr>
          <w:rFonts w:hint="eastAsia"/>
        </w:rPr>
        <w:t>灌木林地</w:t>
      </w:r>
      <w:r>
        <w:t>，其PLAND值为86.</w:t>
      </w:r>
      <w:r>
        <w:rPr>
          <w:rFonts w:hint="eastAsia"/>
        </w:rPr>
        <w:t>13%</w:t>
      </w:r>
      <w:r>
        <w:t>；其次为</w:t>
      </w:r>
      <w:r>
        <w:rPr>
          <w:rFonts w:hint="eastAsia"/>
        </w:rPr>
        <w:t>干河床</w:t>
      </w:r>
      <w:r>
        <w:t>，其值为</w:t>
      </w:r>
      <w:r>
        <w:rPr>
          <w:rFonts w:hint="eastAsia"/>
        </w:rPr>
        <w:t>13%</w:t>
      </w:r>
      <w:r>
        <w:t>。从AI可以看出，人为干扰较多的斑块（比如，</w:t>
      </w:r>
      <w:r>
        <w:rPr>
          <w:rFonts w:hint="eastAsia"/>
        </w:rPr>
        <w:t>公路用地、农村</w:t>
      </w:r>
      <w:r>
        <w:t>道路等）的指数较低，这表明人为扰动的景观越来越离散。LPI指数范围在0-100之间，人工斑块的值较低，将主要斑块失去其优势，使评价区的景观趋于破碎化。CONTAG指数范围在0-100之间，一般来说，高蔓延度值说明景观中的某种优势斑块类型形成了良好的连接性；反之则表明景观是具有多种要素的密集格局，景观的破碎化程度较高，从图可以看出，评价区整体景观处于破碎化状态。SHDI指数范围为≥0，在一个景观系统中，土地利用越丰富，破碎化程度越高，其不定性的信息含量也越大，计算出的SHDI值也就越高，从图中可以看出，出现人工斑块的景观破碎化程度较高。</w:t>
      </w:r>
    </w:p>
    <w:p w14:paraId="3FCFB9BB">
      <w:pPr>
        <w:ind w:firstLine="480"/>
      </w:pPr>
      <w:r>
        <w:t>总的来说，评价区内以灌木林地景观为主要景观，</w:t>
      </w:r>
      <w:r>
        <w:rPr>
          <w:rFonts w:hint="eastAsia"/>
        </w:rPr>
        <w:t>由于</w:t>
      </w:r>
      <w:r>
        <w:t>评价区</w:t>
      </w:r>
      <w:r>
        <w:rPr>
          <w:rFonts w:hint="eastAsia"/>
        </w:rPr>
        <w:t>地处荒漠地带，</w:t>
      </w:r>
      <w:r>
        <w:t>植物物种单一、植被类型简单，因此斑块之间的连通性较差，景观多样性较低，斑块类型的聚集程度较低。由于人工斑块的越来越多，使原有的景观破碎化，评价区逐渐失去优势斑块，变得多种小斑块形成的复杂景观。</w:t>
      </w:r>
    </w:p>
    <w:p w14:paraId="49864343">
      <w:pPr>
        <w:pStyle w:val="11"/>
      </w:pPr>
      <w:bookmarkStart w:id="345" w:name="_Toc166572310"/>
      <w:r>
        <w:rPr>
          <w:rFonts w:hint="eastAsia"/>
        </w:rPr>
        <w:t>4.6.8生态系统现状</w:t>
      </w:r>
      <w:r>
        <w:t>评价</w:t>
      </w:r>
      <w:bookmarkEnd w:id="345"/>
    </w:p>
    <w:p w14:paraId="2E0B005A">
      <w:pPr>
        <w:ind w:firstLine="480"/>
        <w:jc w:val="both"/>
        <w:rPr>
          <w:lang w:bidi="mn-Mong-CN"/>
        </w:rPr>
      </w:pPr>
      <w:r>
        <w:rPr>
          <w:rFonts w:hint="eastAsia"/>
          <w:lang w:bidi="mn-Mong-CN"/>
        </w:rPr>
        <w:t>本次评价采用《环境影响评价技术导则 生态影响》（HJ</w:t>
      </w:r>
      <w:r>
        <w:rPr>
          <w:lang w:bidi="mn-Mong-CN"/>
        </w:rPr>
        <w:t xml:space="preserve"> 19-2022</w:t>
      </w:r>
      <w:r>
        <w:rPr>
          <w:rFonts w:hint="eastAsia"/>
          <w:lang w:bidi="mn-Mong-CN"/>
        </w:rPr>
        <w:t>）附录C中C.8</w:t>
      </w:r>
      <w:r>
        <w:rPr>
          <w:lang w:bidi="mn-Mong-CN"/>
        </w:rPr>
        <w:t>.1</w:t>
      </w:r>
      <w:r>
        <w:rPr>
          <w:rFonts w:hint="eastAsia"/>
          <w:lang w:bidi="mn-Mong-CN"/>
        </w:rPr>
        <w:t>植被覆盖度方法评价生态系统现状。</w:t>
      </w:r>
    </w:p>
    <w:p w14:paraId="7BC5D04B">
      <w:pPr>
        <w:ind w:firstLine="480"/>
        <w:jc w:val="both"/>
      </w:pPr>
      <w:r>
        <w:rPr>
          <w:rFonts w:hint="eastAsia"/>
        </w:rPr>
        <w:t>植被覆盖度可用于定量分析评价范围的植被现状。基于遥感估算植被覆盖度可根据区域特点和数据基础采用不同的方法，如植被指数法/回归模型/机器学习法等。</w:t>
      </w:r>
    </w:p>
    <w:p w14:paraId="0F70FA20">
      <w:pPr>
        <w:ind w:firstLine="480"/>
        <w:jc w:val="both"/>
        <w:rPr>
          <w:kern w:val="0"/>
          <w:szCs w:val="32"/>
        </w:rPr>
      </w:pPr>
      <w:r>
        <w:rPr>
          <w:rFonts w:hint="eastAsia"/>
          <w:kern w:val="0"/>
          <w:szCs w:val="32"/>
        </w:rPr>
        <w:t>（1）植被覆盖度</w:t>
      </w:r>
    </w:p>
    <w:p w14:paraId="528A681B">
      <w:pPr>
        <w:ind w:firstLine="480"/>
      </w:pPr>
      <w:bookmarkStart w:id="346" w:name="_Hlk114151533"/>
      <w:r>
        <w:rPr>
          <w:rFonts w:hint="eastAsia"/>
        </w:rPr>
        <w:t>植被指数法主要是通过对各像元中植被类型及分布特征的分析，建立植被指数与植被覆盖度的转换关系。采用归一化植被指数（</w:t>
      </w:r>
      <w:r>
        <w:rPr>
          <w:rFonts w:hint="eastAsia"/>
          <w:i/>
          <w:iCs/>
        </w:rPr>
        <w:t>NDVI</w:t>
      </w:r>
      <w:r>
        <w:rPr>
          <w:rFonts w:hint="eastAsia"/>
        </w:rPr>
        <w:t>）估算植被覆盖度的方法如下：</w:t>
      </w:r>
    </w:p>
    <w:p w14:paraId="78BE1D1A">
      <w:pPr>
        <w:ind w:firstLine="0" w:firstLineChars="0"/>
        <w:jc w:val="center"/>
      </w:pPr>
      <m:oMathPara>
        <m:oMath>
          <m:r>
            <m:rPr/>
            <w:rPr>
              <w:rFonts w:hint="eastAsia" w:ascii="Cambria Math" w:hAnsi="Cambria Math" w:cs="Cambria Math" w:eastAsiaTheme="minorEastAsia"/>
            </w:rPr>
            <m:t>FVC</m:t>
          </m:r>
          <m:r>
            <m:rPr>
              <m:sty m:val="p"/>
            </m:rPr>
            <w:rPr>
              <w:rFonts w:ascii="Cambria Math" w:hAnsi="Cambria Math" w:eastAsia="Cambria Math" w:cs="Cambria Math"/>
            </w:rPr>
            <m:t>=</m:t>
          </m:r>
          <m:f>
            <m:fPr>
              <m:ctrlPr>
                <w:rPr>
                  <w:rFonts w:ascii="Cambria Math" w:hAnsi="Cambria Math" w:eastAsia="Cambria Math"/>
                  <w:i/>
                </w:rPr>
              </m:ctrlPr>
            </m:fPr>
            <m:num>
              <m:d>
                <m:dPr>
                  <m:ctrlPr>
                    <w:rPr>
                      <w:rFonts w:ascii="Cambria Math" w:hAnsi="Cambria Math" w:eastAsia="Cambria Math"/>
                      <w:i/>
                    </w:rPr>
                  </m:ctrlPr>
                </m:dPr>
                <m:e>
                  <m:r>
                    <m:rPr/>
                    <w:rPr>
                      <w:rFonts w:hint="eastAsia" w:ascii="Cambria Math" w:hAnsi="Cambria Math" w:eastAsiaTheme="minorEastAsia"/>
                    </w:rPr>
                    <m:t>NDVI</m:t>
                  </m:r>
                  <m:r>
                    <m:rPr/>
                    <w:rPr>
                      <w:rFonts w:ascii="Cambria Math" w:hAnsi="Cambria Math" w:eastAsia="Cambria Math"/>
                    </w:rPr>
                    <m:t>−</m:t>
                  </m:r>
                  <m:sSub>
                    <m:sSubPr>
                      <m:ctrlPr>
                        <w:rPr>
                          <w:rFonts w:ascii="Cambria Math" w:hAnsi="Cambria Math" w:eastAsia="Cambria Math"/>
                          <w:i/>
                        </w:rPr>
                      </m:ctrlPr>
                    </m:sSubPr>
                    <m:e>
                      <m:r>
                        <m:rPr/>
                        <w:rPr>
                          <w:rFonts w:ascii="Cambria Math" w:hAnsi="Cambria Math" w:eastAsia="Cambria Math"/>
                        </w:rPr>
                        <m:t>NDVI</m:t>
                      </m:r>
                      <m:ctrlPr>
                        <w:rPr>
                          <w:rFonts w:ascii="Cambria Math" w:hAnsi="Cambria Math" w:eastAsia="Cambria Math"/>
                          <w:i/>
                        </w:rPr>
                      </m:ctrlPr>
                    </m:e>
                    <m:sub>
                      <m:r>
                        <m:rPr/>
                        <w:rPr>
                          <w:rFonts w:ascii="Cambria Math" w:hAnsi="Cambria Math" w:eastAsia="Cambria Math"/>
                        </w:rPr>
                        <m:t>S</m:t>
                      </m:r>
                      <m:ctrlPr>
                        <w:rPr>
                          <w:rFonts w:ascii="Cambria Math" w:hAnsi="Cambria Math" w:eastAsia="Cambria Math"/>
                          <w:i/>
                        </w:rPr>
                      </m:ctrlPr>
                    </m:sub>
                  </m:sSub>
                  <m:ctrlPr>
                    <w:rPr>
                      <w:rFonts w:ascii="Cambria Math" w:hAnsi="Cambria Math" w:eastAsia="Cambria Math"/>
                      <w:i/>
                    </w:rPr>
                  </m:ctrlPr>
                </m:e>
              </m:d>
              <m:ctrlPr>
                <w:rPr>
                  <w:rFonts w:ascii="Cambria Math" w:hAnsi="Cambria Math" w:eastAsia="Cambria Math"/>
                  <w:i/>
                </w:rPr>
              </m:ctrlPr>
            </m:num>
            <m:den>
              <m:d>
                <m:dPr>
                  <m:ctrlPr>
                    <w:rPr>
                      <w:rFonts w:ascii="Cambria Math" w:hAnsi="Cambria Math" w:eastAsia="Cambria Math"/>
                      <w:i/>
                    </w:rPr>
                  </m:ctrlPr>
                </m:dPr>
                <m:e>
                  <m:sSub>
                    <m:sSubPr>
                      <m:ctrlPr>
                        <w:rPr>
                          <w:rFonts w:ascii="Cambria Math" w:hAnsi="Cambria Math" w:eastAsia="Cambria Math"/>
                          <w:i/>
                        </w:rPr>
                      </m:ctrlPr>
                    </m:sSubPr>
                    <m:e>
                      <m:r>
                        <m:rPr/>
                        <w:rPr>
                          <w:rFonts w:ascii="Cambria Math" w:hAnsi="Cambria Math" w:eastAsia="Cambria Math"/>
                        </w:rPr>
                        <m:t>NDVI</m:t>
                      </m:r>
                      <m:ctrlPr>
                        <w:rPr>
                          <w:rFonts w:ascii="Cambria Math" w:hAnsi="Cambria Math" w:eastAsia="Cambria Math"/>
                          <w:i/>
                        </w:rPr>
                      </m:ctrlPr>
                    </m:e>
                    <m:sub>
                      <m:r>
                        <m:rPr/>
                        <w:rPr>
                          <w:rFonts w:ascii="Cambria Math" w:hAnsi="Cambria Math" w:eastAsia="Cambria Math"/>
                        </w:rPr>
                        <m:t>V</m:t>
                      </m:r>
                      <m:ctrlPr>
                        <w:rPr>
                          <w:rFonts w:ascii="Cambria Math" w:hAnsi="Cambria Math" w:eastAsia="Cambria Math"/>
                          <w:i/>
                        </w:rPr>
                      </m:ctrlPr>
                    </m:sub>
                  </m:sSub>
                  <m:r>
                    <m:rPr/>
                    <w:rPr>
                      <w:rFonts w:ascii="Cambria Math" w:hAnsi="Cambria Math" w:eastAsia="Cambria Math"/>
                    </w:rPr>
                    <m:t>−</m:t>
                  </m:r>
                  <m:sSub>
                    <m:sSubPr>
                      <m:ctrlPr>
                        <w:rPr>
                          <w:rFonts w:ascii="Cambria Math" w:hAnsi="Cambria Math" w:eastAsia="Cambria Math"/>
                          <w:i/>
                        </w:rPr>
                      </m:ctrlPr>
                    </m:sSubPr>
                    <m:e>
                      <m:r>
                        <m:rPr/>
                        <w:rPr>
                          <w:rFonts w:ascii="Cambria Math" w:hAnsi="Cambria Math" w:eastAsia="Cambria Math"/>
                        </w:rPr>
                        <m:t>NDVI</m:t>
                      </m:r>
                      <m:ctrlPr>
                        <w:rPr>
                          <w:rFonts w:ascii="Cambria Math" w:hAnsi="Cambria Math" w:eastAsia="Cambria Math"/>
                          <w:i/>
                        </w:rPr>
                      </m:ctrlPr>
                    </m:e>
                    <m:sub>
                      <m:r>
                        <m:rPr/>
                        <w:rPr>
                          <w:rFonts w:ascii="Cambria Math" w:hAnsi="Cambria Math" w:eastAsia="Cambria Math"/>
                        </w:rPr>
                        <m:t>S</m:t>
                      </m:r>
                      <m:ctrlPr>
                        <w:rPr>
                          <w:rFonts w:ascii="Cambria Math" w:hAnsi="Cambria Math" w:eastAsia="Cambria Math"/>
                          <w:i/>
                        </w:rPr>
                      </m:ctrlPr>
                    </m:sub>
                  </m:sSub>
                  <m:ctrlPr>
                    <w:rPr>
                      <w:rFonts w:ascii="Cambria Math" w:hAnsi="Cambria Math" w:eastAsia="Cambria Math"/>
                      <w:i/>
                    </w:rPr>
                  </m:ctrlPr>
                </m:e>
              </m:d>
              <m:ctrlPr>
                <w:rPr>
                  <w:rFonts w:ascii="Cambria Math" w:hAnsi="Cambria Math" w:eastAsia="Cambria Math"/>
                  <w:i/>
                </w:rPr>
              </m:ctrlPr>
            </m:den>
          </m:f>
        </m:oMath>
      </m:oMathPara>
    </w:p>
    <w:p w14:paraId="11EB8C94">
      <w:pPr>
        <w:ind w:firstLine="480"/>
      </w:pPr>
      <w:r>
        <w:rPr>
          <w:rFonts w:hint="eastAsia"/>
        </w:rPr>
        <w:t>式中：</w:t>
      </w:r>
      <w:r>
        <w:rPr>
          <w:rFonts w:hint="eastAsia"/>
          <w:i/>
          <w:iCs/>
        </w:rPr>
        <w:t>FVC</w:t>
      </w:r>
      <w:r>
        <w:t>-</w:t>
      </w:r>
      <w:r>
        <w:rPr>
          <w:rFonts w:hint="eastAsia"/>
        </w:rPr>
        <w:t>所计算像元的植被覆盖度；</w:t>
      </w:r>
    </w:p>
    <w:p w14:paraId="6232912A">
      <w:pPr>
        <w:ind w:firstLine="480"/>
      </w:pPr>
      <w:r>
        <w:rPr>
          <w:rFonts w:hint="eastAsia"/>
        </w:rPr>
        <w:t xml:space="preserve"> </w:t>
      </w:r>
      <w:r>
        <w:t xml:space="preserve">     </w:t>
      </w:r>
      <w:r>
        <w:rPr>
          <w:rFonts w:hint="eastAsia"/>
          <w:i/>
          <w:iCs/>
        </w:rPr>
        <w:t>NDVI</w:t>
      </w:r>
      <w:r>
        <w:t>-</w:t>
      </w:r>
      <w:r>
        <w:rPr>
          <w:rFonts w:hint="eastAsia"/>
        </w:rPr>
        <w:t>所计算像元的</w:t>
      </w:r>
      <w:r>
        <w:rPr>
          <w:rFonts w:hint="eastAsia"/>
          <w:i/>
          <w:iCs/>
        </w:rPr>
        <w:t>NDVI</w:t>
      </w:r>
      <w:r>
        <w:rPr>
          <w:rFonts w:hint="eastAsia"/>
        </w:rPr>
        <w:t>值；</w:t>
      </w:r>
    </w:p>
    <w:p w14:paraId="398E1BE9">
      <w:pPr>
        <w:ind w:firstLine="480"/>
      </w:pPr>
      <w:r>
        <w:rPr>
          <w:rFonts w:hint="eastAsia"/>
        </w:rPr>
        <w:t xml:space="preserve"> </w:t>
      </w:r>
      <w:r>
        <w:t xml:space="preserve">     </w:t>
      </w:r>
      <m:oMath>
        <m:sSub>
          <m:sSubPr>
            <m:ctrlPr>
              <w:rPr>
                <w:rFonts w:ascii="Cambria Math" w:hAnsi="Cambria Math" w:eastAsia="Cambria Math"/>
                <w:i/>
              </w:rPr>
            </m:ctrlPr>
          </m:sSubPr>
          <m:e>
            <m:r>
              <m:rPr/>
              <w:rPr>
                <w:rFonts w:ascii="Cambria Math" w:hAnsi="Cambria Math" w:eastAsia="Cambria Math"/>
              </w:rPr>
              <m:t>NDVI</m:t>
            </m:r>
            <m:ctrlPr>
              <w:rPr>
                <w:rFonts w:ascii="Cambria Math" w:hAnsi="Cambria Math" w:eastAsia="Cambria Math"/>
                <w:i/>
              </w:rPr>
            </m:ctrlPr>
          </m:e>
          <m:sub>
            <m:r>
              <m:rPr/>
              <w:rPr>
                <w:rFonts w:ascii="Cambria Math" w:hAnsi="Cambria Math" w:eastAsia="Cambria Math"/>
              </w:rPr>
              <m:t>V</m:t>
            </m:r>
            <m:ctrlPr>
              <w:rPr>
                <w:rFonts w:ascii="Cambria Math" w:hAnsi="Cambria Math" w:eastAsia="Cambria Math"/>
                <w:i/>
              </w:rPr>
            </m:ctrlPr>
          </m:sub>
        </m:sSub>
      </m:oMath>
      <w:r>
        <w:rPr>
          <w:rFonts w:hint="eastAsia"/>
        </w:rPr>
        <w:t>-纯植物像元的</w:t>
      </w:r>
      <w:r>
        <w:rPr>
          <w:rFonts w:hint="eastAsia"/>
          <w:i/>
          <w:iCs/>
        </w:rPr>
        <w:t>NDVI</w:t>
      </w:r>
      <w:r>
        <w:rPr>
          <w:rFonts w:hint="eastAsia"/>
        </w:rPr>
        <w:t>值；</w:t>
      </w:r>
    </w:p>
    <w:p w14:paraId="400EFC67">
      <w:pPr>
        <w:ind w:firstLine="480"/>
      </w:pPr>
      <w:r>
        <w:rPr>
          <w:rFonts w:hint="eastAsia"/>
        </w:rPr>
        <w:t xml:space="preserve"> </w:t>
      </w:r>
      <w:r>
        <w:t xml:space="preserve">     </w:t>
      </w:r>
      <m:oMath>
        <m:sSub>
          <m:sSubPr>
            <m:ctrlPr>
              <w:rPr>
                <w:rFonts w:ascii="Cambria Math" w:hAnsi="Cambria Math" w:eastAsia="Cambria Math"/>
                <w:i/>
              </w:rPr>
            </m:ctrlPr>
          </m:sSubPr>
          <m:e>
            <m:r>
              <m:rPr/>
              <w:rPr>
                <w:rFonts w:ascii="Cambria Math" w:hAnsi="Cambria Math" w:eastAsia="Cambria Math"/>
              </w:rPr>
              <m:t>NDVI</m:t>
            </m:r>
            <m:ctrlPr>
              <w:rPr>
                <w:rFonts w:ascii="Cambria Math" w:hAnsi="Cambria Math" w:eastAsia="Cambria Math"/>
                <w:i/>
              </w:rPr>
            </m:ctrlPr>
          </m:e>
          <m:sub>
            <m:r>
              <m:rPr/>
              <w:rPr>
                <w:rFonts w:ascii="Cambria Math" w:hAnsi="Cambria Math" w:eastAsia="Cambria Math"/>
              </w:rPr>
              <m:t>S</m:t>
            </m:r>
            <m:ctrlPr>
              <w:rPr>
                <w:rFonts w:ascii="Cambria Math" w:hAnsi="Cambria Math" w:eastAsia="Cambria Math"/>
                <w:i/>
              </w:rPr>
            </m:ctrlPr>
          </m:sub>
        </m:sSub>
      </m:oMath>
      <w:r>
        <w:rPr>
          <w:rFonts w:hint="eastAsia"/>
        </w:rPr>
        <w:t>-完全无植被覆盖像元的</w:t>
      </w:r>
      <w:r>
        <w:rPr>
          <w:rFonts w:hint="eastAsia"/>
          <w:i/>
          <w:iCs/>
        </w:rPr>
        <w:t>NDVI</w:t>
      </w:r>
      <w:r>
        <w:rPr>
          <w:rFonts w:hint="eastAsia"/>
        </w:rPr>
        <w:t>值。</w:t>
      </w:r>
    </w:p>
    <w:bookmarkEnd w:id="346"/>
    <w:p w14:paraId="7875F7A9">
      <w:pPr>
        <w:ind w:firstLine="480"/>
      </w:pPr>
      <w:r>
        <w:t>评价区植被</w:t>
      </w:r>
      <w:r>
        <w:rPr>
          <w:rFonts w:hint="eastAsia"/>
        </w:rPr>
        <w:t>覆盖度分为裸地、低覆盖度植被和中低覆盖度植被等3种，分别占评价区面积17.18</w:t>
      </w:r>
      <w:r>
        <w:t>%</w:t>
      </w:r>
      <w:r>
        <w:rPr>
          <w:rFonts w:hint="eastAsia"/>
        </w:rPr>
        <w:t>、81.46</w:t>
      </w:r>
      <w:r>
        <w:t>%</w:t>
      </w:r>
      <w:r>
        <w:rPr>
          <w:rFonts w:hint="eastAsia"/>
        </w:rPr>
        <w:t>和1.36%。见表</w:t>
      </w:r>
      <w:r>
        <w:t>4.6-1</w:t>
      </w:r>
      <w:r>
        <w:rPr>
          <w:rFonts w:hint="eastAsia"/>
        </w:rPr>
        <w:t>4及图</w:t>
      </w:r>
      <w:r>
        <w:t>4.6-1</w:t>
      </w:r>
      <w:r>
        <w:rPr>
          <w:rFonts w:hint="eastAsia"/>
        </w:rPr>
        <w:t>9、</w:t>
      </w:r>
      <w:r>
        <w:t>4.6-</w:t>
      </w:r>
      <w:r>
        <w:rPr>
          <w:rFonts w:hint="eastAsia"/>
        </w:rPr>
        <w:t>20。</w:t>
      </w:r>
    </w:p>
    <w:p w14:paraId="2393032B">
      <w:pPr>
        <w:spacing w:line="240" w:lineRule="auto"/>
        <w:ind w:firstLine="0" w:firstLineChars="0"/>
        <w:jc w:val="center"/>
        <w:rPr>
          <w:b/>
          <w:bCs/>
        </w:rPr>
      </w:pPr>
      <w:r>
        <w:rPr>
          <w:rFonts w:hint="eastAsia"/>
          <w:b/>
          <w:bCs/>
        </w:rPr>
        <w:t>表</w:t>
      </w:r>
      <w:r>
        <w:rPr>
          <w:b/>
          <w:bCs/>
        </w:rPr>
        <w:t>4.6-1</w:t>
      </w:r>
      <w:r>
        <w:rPr>
          <w:rFonts w:hint="eastAsia"/>
          <w:b/>
          <w:bCs/>
        </w:rPr>
        <w:t>4</w:t>
      </w:r>
      <w:r>
        <w:rPr>
          <w:b/>
          <w:bCs/>
        </w:rPr>
        <w:t xml:space="preserve">  </w:t>
      </w:r>
      <w:r>
        <w:rPr>
          <w:rFonts w:hint="eastAsia"/>
          <w:b/>
          <w:bCs/>
        </w:rPr>
        <w:t>评价区植被覆盖度统计表</w:t>
      </w:r>
    </w:p>
    <w:tbl>
      <w:tblPr>
        <w:tblStyle w:val="8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64"/>
        <w:gridCol w:w="3026"/>
        <w:gridCol w:w="1742"/>
        <w:gridCol w:w="2155"/>
      </w:tblGrid>
      <w:tr w14:paraId="6BFE0B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73" w:type="pct"/>
            <w:shd w:val="clear" w:color="auto" w:fill="auto"/>
            <w:noWrap/>
            <w:vAlign w:val="center"/>
          </w:tcPr>
          <w:p w14:paraId="49E19A90">
            <w:pPr>
              <w:spacing w:line="240" w:lineRule="auto"/>
              <w:ind w:firstLine="0" w:firstLineChars="0"/>
              <w:jc w:val="center"/>
              <w:rPr>
                <w:b/>
                <w:bCs/>
                <w:kern w:val="0"/>
                <w:sz w:val="21"/>
                <w:szCs w:val="21"/>
              </w:rPr>
            </w:pPr>
            <w:r>
              <w:rPr>
                <w:rFonts w:hint="eastAsia" w:ascii="宋体" w:hAnsi="宋体"/>
                <w:b/>
                <w:bCs/>
                <w:kern w:val="0"/>
                <w:sz w:val="21"/>
                <w:szCs w:val="21"/>
              </w:rPr>
              <w:t>植被覆盖度划分标准</w:t>
            </w:r>
          </w:p>
        </w:tc>
        <w:tc>
          <w:tcPr>
            <w:tcW w:w="1629" w:type="pct"/>
            <w:shd w:val="clear" w:color="auto" w:fill="auto"/>
            <w:noWrap/>
            <w:vAlign w:val="center"/>
          </w:tcPr>
          <w:p w14:paraId="657A7C8D">
            <w:pPr>
              <w:spacing w:line="240" w:lineRule="auto"/>
              <w:ind w:firstLine="0" w:firstLineChars="0"/>
              <w:jc w:val="center"/>
              <w:rPr>
                <w:b/>
                <w:bCs/>
                <w:kern w:val="0"/>
                <w:sz w:val="21"/>
                <w:szCs w:val="21"/>
              </w:rPr>
            </w:pPr>
            <w:r>
              <w:rPr>
                <w:rFonts w:hint="eastAsia" w:ascii="宋体" w:hAnsi="宋体"/>
                <w:b/>
                <w:bCs/>
                <w:kern w:val="0"/>
                <w:sz w:val="21"/>
                <w:szCs w:val="21"/>
              </w:rPr>
              <w:t>植被覆盖度类型</w:t>
            </w:r>
          </w:p>
        </w:tc>
        <w:tc>
          <w:tcPr>
            <w:tcW w:w="938" w:type="pct"/>
            <w:shd w:val="clear" w:color="auto" w:fill="auto"/>
            <w:noWrap/>
            <w:vAlign w:val="center"/>
          </w:tcPr>
          <w:p w14:paraId="430F3C52">
            <w:pPr>
              <w:spacing w:line="240" w:lineRule="auto"/>
              <w:ind w:firstLine="0" w:firstLineChars="0"/>
              <w:jc w:val="center"/>
              <w:rPr>
                <w:b/>
                <w:bCs/>
                <w:kern w:val="0"/>
                <w:sz w:val="21"/>
                <w:szCs w:val="21"/>
              </w:rPr>
            </w:pPr>
            <w:r>
              <w:rPr>
                <w:rFonts w:hint="eastAsia" w:ascii="宋体" w:hAnsi="宋体"/>
                <w:b/>
                <w:bCs/>
                <w:kern w:val="0"/>
                <w:sz w:val="21"/>
                <w:szCs w:val="21"/>
              </w:rPr>
              <w:t>面积（</w:t>
            </w:r>
            <w:r>
              <w:rPr>
                <w:rFonts w:hint="eastAsia"/>
                <w:b/>
                <w:bCs/>
                <w:kern w:val="0"/>
                <w:sz w:val="21"/>
                <w:szCs w:val="21"/>
              </w:rPr>
              <w:t>h</w:t>
            </w:r>
            <w:r>
              <w:rPr>
                <w:b/>
                <w:bCs/>
                <w:kern w:val="0"/>
                <w:sz w:val="21"/>
                <w:szCs w:val="21"/>
              </w:rPr>
              <w:t>m</w:t>
            </w:r>
            <w:r>
              <w:rPr>
                <w:b/>
                <w:bCs/>
                <w:kern w:val="0"/>
                <w:sz w:val="21"/>
                <w:szCs w:val="21"/>
                <w:vertAlign w:val="superscript"/>
              </w:rPr>
              <w:t>2</w:t>
            </w:r>
            <w:r>
              <w:rPr>
                <w:b/>
                <w:bCs/>
                <w:kern w:val="0"/>
                <w:sz w:val="21"/>
                <w:szCs w:val="21"/>
              </w:rPr>
              <w:t>)</w:t>
            </w:r>
          </w:p>
        </w:tc>
        <w:tc>
          <w:tcPr>
            <w:tcW w:w="1160" w:type="pct"/>
            <w:shd w:val="clear" w:color="auto" w:fill="auto"/>
            <w:vAlign w:val="center"/>
          </w:tcPr>
          <w:p w14:paraId="71984493">
            <w:pPr>
              <w:spacing w:line="240" w:lineRule="auto"/>
              <w:ind w:firstLine="0" w:firstLineChars="0"/>
              <w:jc w:val="center"/>
              <w:rPr>
                <w:b/>
                <w:bCs/>
                <w:kern w:val="0"/>
                <w:sz w:val="21"/>
                <w:szCs w:val="21"/>
              </w:rPr>
            </w:pPr>
            <w:r>
              <w:rPr>
                <w:rFonts w:hint="eastAsia"/>
                <w:b/>
                <w:bCs/>
                <w:kern w:val="0"/>
                <w:sz w:val="21"/>
                <w:szCs w:val="21"/>
              </w:rPr>
              <w:t>百分比</w:t>
            </w:r>
          </w:p>
        </w:tc>
      </w:tr>
      <w:tr w14:paraId="0DBE74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73" w:type="pct"/>
            <w:shd w:val="clear" w:color="auto" w:fill="auto"/>
            <w:noWrap/>
            <w:vAlign w:val="center"/>
          </w:tcPr>
          <w:p w14:paraId="7BE56B89">
            <w:pPr>
              <w:spacing w:line="240" w:lineRule="auto"/>
              <w:ind w:firstLine="0" w:firstLineChars="0"/>
              <w:jc w:val="center"/>
              <w:rPr>
                <w:kern w:val="0"/>
                <w:sz w:val="21"/>
                <w:szCs w:val="21"/>
              </w:rPr>
            </w:pPr>
            <w:r>
              <w:rPr>
                <w:kern w:val="0"/>
                <w:sz w:val="21"/>
                <w:szCs w:val="21"/>
              </w:rPr>
              <w:t>&lt;10%</w:t>
            </w:r>
          </w:p>
        </w:tc>
        <w:tc>
          <w:tcPr>
            <w:tcW w:w="1629" w:type="pct"/>
            <w:shd w:val="clear" w:color="auto" w:fill="auto"/>
            <w:noWrap/>
            <w:vAlign w:val="center"/>
          </w:tcPr>
          <w:p w14:paraId="1FC2AE6E">
            <w:pPr>
              <w:spacing w:line="240" w:lineRule="auto"/>
              <w:ind w:firstLine="0" w:firstLineChars="0"/>
              <w:jc w:val="center"/>
              <w:rPr>
                <w:kern w:val="0"/>
                <w:sz w:val="21"/>
                <w:szCs w:val="21"/>
              </w:rPr>
            </w:pPr>
            <w:r>
              <w:rPr>
                <w:rFonts w:hint="eastAsia" w:ascii="宋体" w:hAnsi="宋体"/>
                <w:kern w:val="0"/>
                <w:sz w:val="21"/>
                <w:szCs w:val="21"/>
              </w:rPr>
              <w:t>裸地</w:t>
            </w:r>
          </w:p>
        </w:tc>
        <w:tc>
          <w:tcPr>
            <w:tcW w:w="938" w:type="pct"/>
            <w:shd w:val="clear" w:color="auto" w:fill="auto"/>
            <w:noWrap/>
            <w:vAlign w:val="bottom"/>
          </w:tcPr>
          <w:p w14:paraId="3B5F5485">
            <w:pPr>
              <w:spacing w:line="240" w:lineRule="auto"/>
              <w:ind w:firstLine="0" w:firstLineChars="0"/>
              <w:jc w:val="center"/>
              <w:rPr>
                <w:kern w:val="0"/>
                <w:sz w:val="21"/>
                <w:szCs w:val="21"/>
              </w:rPr>
            </w:pPr>
            <w:r>
              <w:rPr>
                <w:rFonts w:hint="eastAsia"/>
                <w:kern w:val="0"/>
                <w:sz w:val="21"/>
                <w:szCs w:val="21"/>
              </w:rPr>
              <w:t>104.76</w:t>
            </w:r>
          </w:p>
        </w:tc>
        <w:tc>
          <w:tcPr>
            <w:tcW w:w="1160" w:type="pct"/>
            <w:shd w:val="clear" w:color="auto" w:fill="auto"/>
            <w:vAlign w:val="bottom"/>
          </w:tcPr>
          <w:p w14:paraId="3954DDAF">
            <w:pPr>
              <w:spacing w:line="240" w:lineRule="auto"/>
              <w:ind w:firstLine="0" w:firstLineChars="0"/>
              <w:jc w:val="center"/>
              <w:rPr>
                <w:kern w:val="0"/>
                <w:sz w:val="21"/>
                <w:szCs w:val="21"/>
              </w:rPr>
            </w:pPr>
            <w:r>
              <w:rPr>
                <w:rFonts w:hint="eastAsia"/>
                <w:kern w:val="0"/>
                <w:sz w:val="21"/>
                <w:szCs w:val="21"/>
              </w:rPr>
              <w:t>17.18%</w:t>
            </w:r>
          </w:p>
        </w:tc>
      </w:tr>
      <w:tr w14:paraId="33864F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73" w:type="pct"/>
            <w:shd w:val="clear" w:color="auto" w:fill="auto"/>
            <w:noWrap/>
            <w:vAlign w:val="center"/>
          </w:tcPr>
          <w:p w14:paraId="04727F1C">
            <w:pPr>
              <w:spacing w:line="240" w:lineRule="auto"/>
              <w:ind w:firstLine="0" w:firstLineChars="0"/>
              <w:jc w:val="center"/>
              <w:rPr>
                <w:kern w:val="0"/>
                <w:sz w:val="21"/>
                <w:szCs w:val="21"/>
              </w:rPr>
            </w:pPr>
            <w:r>
              <w:rPr>
                <w:kern w:val="0"/>
                <w:sz w:val="21"/>
                <w:szCs w:val="21"/>
              </w:rPr>
              <w:t>&lt;10%-&lt;30%</w:t>
            </w:r>
          </w:p>
        </w:tc>
        <w:tc>
          <w:tcPr>
            <w:tcW w:w="1629" w:type="pct"/>
            <w:shd w:val="clear" w:color="auto" w:fill="auto"/>
            <w:noWrap/>
            <w:vAlign w:val="center"/>
          </w:tcPr>
          <w:p w14:paraId="46199250">
            <w:pPr>
              <w:spacing w:line="240" w:lineRule="auto"/>
              <w:ind w:firstLine="0" w:firstLineChars="0"/>
              <w:jc w:val="center"/>
              <w:rPr>
                <w:kern w:val="0"/>
                <w:sz w:val="21"/>
                <w:szCs w:val="21"/>
              </w:rPr>
            </w:pPr>
            <w:r>
              <w:rPr>
                <w:rFonts w:hint="eastAsia" w:ascii="宋体" w:hAnsi="宋体"/>
                <w:kern w:val="0"/>
                <w:sz w:val="21"/>
                <w:szCs w:val="21"/>
              </w:rPr>
              <w:t>低覆盖度植被</w:t>
            </w:r>
          </w:p>
        </w:tc>
        <w:tc>
          <w:tcPr>
            <w:tcW w:w="938" w:type="pct"/>
            <w:shd w:val="clear" w:color="auto" w:fill="auto"/>
            <w:noWrap/>
            <w:vAlign w:val="bottom"/>
          </w:tcPr>
          <w:p w14:paraId="52A9973D">
            <w:pPr>
              <w:spacing w:line="240" w:lineRule="auto"/>
              <w:ind w:firstLine="0" w:firstLineChars="0"/>
              <w:jc w:val="center"/>
              <w:rPr>
                <w:kern w:val="0"/>
                <w:sz w:val="21"/>
                <w:szCs w:val="21"/>
              </w:rPr>
            </w:pPr>
            <w:r>
              <w:rPr>
                <w:rFonts w:hint="eastAsia"/>
                <w:kern w:val="0"/>
                <w:sz w:val="21"/>
                <w:szCs w:val="21"/>
              </w:rPr>
              <w:t>496.72</w:t>
            </w:r>
          </w:p>
        </w:tc>
        <w:tc>
          <w:tcPr>
            <w:tcW w:w="1160" w:type="pct"/>
            <w:shd w:val="clear" w:color="auto" w:fill="auto"/>
            <w:vAlign w:val="bottom"/>
          </w:tcPr>
          <w:p w14:paraId="12E07C02">
            <w:pPr>
              <w:spacing w:line="240" w:lineRule="auto"/>
              <w:ind w:firstLine="0" w:firstLineChars="0"/>
              <w:jc w:val="center"/>
              <w:rPr>
                <w:kern w:val="0"/>
                <w:sz w:val="21"/>
                <w:szCs w:val="21"/>
              </w:rPr>
            </w:pPr>
            <w:r>
              <w:rPr>
                <w:rFonts w:hint="eastAsia"/>
                <w:kern w:val="0"/>
                <w:sz w:val="21"/>
                <w:szCs w:val="21"/>
              </w:rPr>
              <w:t>81.46%</w:t>
            </w:r>
          </w:p>
        </w:tc>
      </w:tr>
      <w:tr w14:paraId="2345B1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73" w:type="pct"/>
            <w:shd w:val="clear" w:color="auto" w:fill="auto"/>
            <w:noWrap/>
            <w:vAlign w:val="center"/>
          </w:tcPr>
          <w:p w14:paraId="65C34228">
            <w:pPr>
              <w:spacing w:line="240" w:lineRule="auto"/>
              <w:ind w:firstLine="0" w:firstLineChars="0"/>
              <w:jc w:val="center"/>
              <w:rPr>
                <w:kern w:val="0"/>
                <w:sz w:val="21"/>
                <w:szCs w:val="21"/>
              </w:rPr>
            </w:pPr>
            <w:r>
              <w:rPr>
                <w:kern w:val="0"/>
                <w:sz w:val="21"/>
                <w:szCs w:val="21"/>
              </w:rPr>
              <w:t>&lt;30%-&lt;45%</w:t>
            </w:r>
          </w:p>
        </w:tc>
        <w:tc>
          <w:tcPr>
            <w:tcW w:w="1629" w:type="pct"/>
            <w:shd w:val="clear" w:color="auto" w:fill="auto"/>
            <w:noWrap/>
            <w:vAlign w:val="center"/>
          </w:tcPr>
          <w:p w14:paraId="52F374C8">
            <w:pPr>
              <w:spacing w:line="240" w:lineRule="auto"/>
              <w:ind w:firstLine="0" w:firstLineChars="0"/>
              <w:jc w:val="center"/>
              <w:rPr>
                <w:kern w:val="0"/>
                <w:sz w:val="21"/>
                <w:szCs w:val="21"/>
              </w:rPr>
            </w:pPr>
            <w:r>
              <w:rPr>
                <w:rFonts w:hint="eastAsia" w:ascii="宋体" w:hAnsi="宋体"/>
                <w:kern w:val="0"/>
                <w:sz w:val="21"/>
                <w:szCs w:val="21"/>
              </w:rPr>
              <w:t>中低覆盖度植被</w:t>
            </w:r>
          </w:p>
        </w:tc>
        <w:tc>
          <w:tcPr>
            <w:tcW w:w="938" w:type="pct"/>
            <w:shd w:val="clear" w:color="auto" w:fill="auto"/>
            <w:noWrap/>
            <w:vAlign w:val="bottom"/>
          </w:tcPr>
          <w:p w14:paraId="290014C5">
            <w:pPr>
              <w:spacing w:line="240" w:lineRule="auto"/>
              <w:ind w:firstLine="0" w:firstLineChars="0"/>
              <w:jc w:val="center"/>
              <w:rPr>
                <w:kern w:val="0"/>
                <w:sz w:val="21"/>
                <w:szCs w:val="21"/>
              </w:rPr>
            </w:pPr>
            <w:r>
              <w:rPr>
                <w:rFonts w:hint="eastAsia"/>
                <w:kern w:val="0"/>
                <w:sz w:val="21"/>
                <w:szCs w:val="21"/>
              </w:rPr>
              <w:t>8.28</w:t>
            </w:r>
          </w:p>
        </w:tc>
        <w:tc>
          <w:tcPr>
            <w:tcW w:w="1160" w:type="pct"/>
            <w:shd w:val="clear" w:color="auto" w:fill="auto"/>
            <w:vAlign w:val="bottom"/>
          </w:tcPr>
          <w:p w14:paraId="54352A5B">
            <w:pPr>
              <w:spacing w:line="240" w:lineRule="auto"/>
              <w:ind w:firstLine="0" w:firstLineChars="0"/>
              <w:jc w:val="center"/>
              <w:rPr>
                <w:kern w:val="0"/>
                <w:sz w:val="21"/>
                <w:szCs w:val="21"/>
              </w:rPr>
            </w:pPr>
            <w:r>
              <w:rPr>
                <w:rFonts w:hint="eastAsia"/>
                <w:kern w:val="0"/>
                <w:sz w:val="21"/>
                <w:szCs w:val="21"/>
              </w:rPr>
              <w:t>1.36%</w:t>
            </w:r>
          </w:p>
        </w:tc>
      </w:tr>
      <w:tr w14:paraId="2194FA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902" w:type="pct"/>
            <w:gridSpan w:val="2"/>
            <w:shd w:val="clear" w:color="auto" w:fill="auto"/>
            <w:noWrap/>
            <w:vAlign w:val="center"/>
          </w:tcPr>
          <w:p w14:paraId="4F665817">
            <w:pPr>
              <w:spacing w:line="240" w:lineRule="auto"/>
              <w:ind w:firstLine="0" w:firstLineChars="0"/>
              <w:jc w:val="center"/>
              <w:rPr>
                <w:rFonts w:ascii="宋体" w:hAnsi="宋体"/>
                <w:kern w:val="0"/>
                <w:sz w:val="21"/>
                <w:szCs w:val="21"/>
              </w:rPr>
            </w:pPr>
            <w:r>
              <w:rPr>
                <w:rFonts w:hint="eastAsia" w:ascii="宋体" w:hAnsi="宋体"/>
                <w:kern w:val="0"/>
                <w:sz w:val="21"/>
                <w:szCs w:val="21"/>
              </w:rPr>
              <w:t>总计</w:t>
            </w:r>
          </w:p>
        </w:tc>
        <w:tc>
          <w:tcPr>
            <w:tcW w:w="938" w:type="pct"/>
            <w:shd w:val="clear" w:color="auto" w:fill="auto"/>
            <w:noWrap/>
            <w:vAlign w:val="center"/>
          </w:tcPr>
          <w:p w14:paraId="0D2A395B">
            <w:pPr>
              <w:spacing w:line="240" w:lineRule="auto"/>
              <w:ind w:firstLine="0" w:firstLineChars="0"/>
              <w:jc w:val="center"/>
              <w:rPr>
                <w:kern w:val="0"/>
                <w:sz w:val="21"/>
                <w:szCs w:val="21"/>
              </w:rPr>
            </w:pPr>
            <w:r>
              <w:rPr>
                <w:rFonts w:hint="eastAsia"/>
                <w:kern w:val="0"/>
                <w:sz w:val="21"/>
                <w:szCs w:val="21"/>
              </w:rPr>
              <w:t>609.76</w:t>
            </w:r>
          </w:p>
        </w:tc>
        <w:tc>
          <w:tcPr>
            <w:tcW w:w="1160" w:type="pct"/>
            <w:shd w:val="clear" w:color="auto" w:fill="auto"/>
            <w:vAlign w:val="bottom"/>
          </w:tcPr>
          <w:p w14:paraId="65131EF4">
            <w:pPr>
              <w:spacing w:line="240" w:lineRule="auto"/>
              <w:ind w:firstLine="0" w:firstLineChars="0"/>
              <w:jc w:val="center"/>
              <w:rPr>
                <w:kern w:val="0"/>
                <w:sz w:val="21"/>
                <w:szCs w:val="21"/>
              </w:rPr>
            </w:pPr>
            <w:r>
              <w:rPr>
                <w:rFonts w:hint="eastAsia"/>
                <w:kern w:val="0"/>
                <w:sz w:val="21"/>
                <w:szCs w:val="21"/>
              </w:rPr>
              <w:t>100.00%</w:t>
            </w:r>
          </w:p>
        </w:tc>
      </w:tr>
    </w:tbl>
    <w:p w14:paraId="248DB02B">
      <w:pPr>
        <w:ind w:firstLine="0" w:firstLineChars="0"/>
        <w:jc w:val="center"/>
        <w:rPr>
          <w:kern w:val="0"/>
          <w:szCs w:val="32"/>
        </w:rPr>
      </w:pPr>
      <w:r>
        <w:drawing>
          <wp:inline distT="0" distB="0" distL="0" distR="0">
            <wp:extent cx="4572000" cy="2743200"/>
            <wp:effectExtent l="0" t="0" r="0" b="0"/>
            <wp:docPr id="71732281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12FF5B67">
      <w:pPr>
        <w:ind w:firstLine="0" w:firstLineChars="0"/>
        <w:jc w:val="center"/>
        <w:rPr>
          <w:b/>
          <w:bCs/>
        </w:rPr>
      </w:pPr>
      <w:r>
        <w:rPr>
          <w:b/>
          <w:bCs/>
        </w:rPr>
        <w:t>图4.6-</w:t>
      </w:r>
      <w:r>
        <w:rPr>
          <w:rFonts w:hint="eastAsia"/>
          <w:b/>
          <w:bCs/>
        </w:rPr>
        <w:t>19</w:t>
      </w:r>
      <w:r>
        <w:rPr>
          <w:b/>
          <w:bCs/>
        </w:rPr>
        <w:t xml:space="preserve">  </w:t>
      </w:r>
      <w:r>
        <w:rPr>
          <w:rFonts w:hint="eastAsia"/>
          <w:b/>
          <w:bCs/>
        </w:rPr>
        <w:t>植被覆盖度现状饼图</w:t>
      </w:r>
    </w:p>
    <w:p w14:paraId="61FDAD88">
      <w:pPr>
        <w:ind w:firstLine="480"/>
        <w:jc w:val="both"/>
        <w:sectPr>
          <w:pgSz w:w="11907" w:h="16840"/>
          <w:pgMar w:top="1418" w:right="1418" w:bottom="1418" w:left="1418" w:header="964" w:footer="964" w:gutter="0"/>
          <w:cols w:space="720" w:num="1"/>
          <w:docGrid w:linePitch="312" w:charSpace="0"/>
        </w:sectPr>
      </w:pPr>
      <w:r>
        <w:rPr>
          <w:rFonts w:hint="eastAsia"/>
        </w:rPr>
        <w:t>结合表4.6-14植被覆盖度统计表和图4.6-20植被覆盖度图可以看出，项目区靠近评价区边界的区域植被覆盖度较低，靠近项目的两个干河床的植被覆盖度最低，接近为裸地。通过实地调查，评价区内中低植被覆盖度其主要植被为灌木；评价区中出现的裸地主要为裸露的沙地，其占比较小；低覆盖度植被占地面积较大，其主要植被为沙冬青、绵刺、红砂、霸王等。</w:t>
      </w:r>
    </w:p>
    <w:p w14:paraId="3EF73F5E">
      <w:pPr>
        <w:ind w:firstLine="0" w:firstLineChars="0"/>
        <w:jc w:val="center"/>
      </w:pPr>
      <w:r>
        <w:drawing>
          <wp:inline distT="0" distB="0" distL="0" distR="0">
            <wp:extent cx="8456295" cy="5440045"/>
            <wp:effectExtent l="0" t="0" r="1905" b="8255"/>
            <wp:docPr id="314067178"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67178" name="图片 2" descr="图示&#10;&#10;描述已自动生成"/>
                    <pic:cNvPicPr>
                      <a:picLocks noChangeAspect="1"/>
                    </pic:cNvPicPr>
                  </pic:nvPicPr>
                  <pic:blipFill>
                    <a:blip r:embed="rId94" cstate="print">
                      <a:extLst>
                        <a:ext uri="{28A0092B-C50C-407E-A947-70E740481C1C}">
                          <a14:useLocalDpi xmlns:a14="http://schemas.microsoft.com/office/drawing/2010/main" val="0"/>
                        </a:ext>
                      </a:extLst>
                    </a:blip>
                    <a:srcRect t="9011"/>
                    <a:stretch>
                      <a:fillRect/>
                    </a:stretch>
                  </pic:blipFill>
                  <pic:spPr>
                    <a:xfrm>
                      <a:off x="0" y="0"/>
                      <a:ext cx="8456295" cy="5440045"/>
                    </a:xfrm>
                    <a:prstGeom prst="rect">
                      <a:avLst/>
                    </a:prstGeom>
                  </pic:spPr>
                </pic:pic>
              </a:graphicData>
            </a:graphic>
          </wp:inline>
        </w:drawing>
      </w:r>
    </w:p>
    <w:p w14:paraId="4FFEF423">
      <w:pPr>
        <w:ind w:firstLine="0" w:firstLineChars="0"/>
        <w:jc w:val="center"/>
        <w:sectPr>
          <w:pgSz w:w="16840" w:h="11907" w:orient="landscape"/>
          <w:pgMar w:top="1418" w:right="1418" w:bottom="1418" w:left="1418" w:header="964" w:footer="964" w:gutter="0"/>
          <w:cols w:space="720" w:num="1"/>
          <w:docGrid w:linePitch="326" w:charSpace="0"/>
        </w:sectPr>
      </w:pPr>
      <w:r>
        <w:rPr>
          <w:b/>
          <w:bCs/>
        </w:rPr>
        <w:t>图4.6-</w:t>
      </w:r>
      <w:r>
        <w:rPr>
          <w:rFonts w:hint="eastAsia"/>
          <w:b/>
          <w:bCs/>
        </w:rPr>
        <w:t>20</w:t>
      </w:r>
      <w:r>
        <w:rPr>
          <w:b/>
          <w:bCs/>
        </w:rPr>
        <w:t xml:space="preserve">  </w:t>
      </w:r>
      <w:r>
        <w:rPr>
          <w:rFonts w:hint="eastAsia"/>
          <w:b/>
          <w:bCs/>
        </w:rPr>
        <w:t>植被覆盖度图</w:t>
      </w:r>
    </w:p>
    <w:p w14:paraId="5E5CC01B">
      <w:pPr>
        <w:ind w:firstLine="480"/>
      </w:pPr>
      <w:r>
        <w:rPr>
          <w:rFonts w:hint="eastAsia"/>
        </w:rPr>
        <w:t>（2）生态系统现状</w:t>
      </w:r>
    </w:p>
    <w:p w14:paraId="792A1DDE">
      <w:pPr>
        <w:ind w:firstLine="480"/>
      </w:pPr>
      <w:r>
        <w:t>评价区</w:t>
      </w:r>
      <w:r>
        <w:rPr>
          <w:rFonts w:hint="eastAsia"/>
        </w:rPr>
        <w:t>生态系统Ⅰ级分类为灌丛生态系统、城镇生态系统和其他等</w:t>
      </w:r>
      <w:r>
        <w:t>3</w:t>
      </w:r>
      <w:r>
        <w:rPr>
          <w:rFonts w:hint="eastAsia"/>
        </w:rPr>
        <w:t>种，分别占评价区面积的</w:t>
      </w:r>
      <w:r>
        <w:t>86.</w:t>
      </w:r>
      <w:r>
        <w:rPr>
          <w:rFonts w:hint="eastAsia"/>
        </w:rPr>
        <w:t>13</w:t>
      </w:r>
      <w:r>
        <w:t>%</w:t>
      </w:r>
      <w:r>
        <w:rPr>
          <w:rFonts w:hint="eastAsia"/>
        </w:rPr>
        <w:t>、0.87</w:t>
      </w:r>
      <w:r>
        <w:t>%</w:t>
      </w:r>
      <w:r>
        <w:rPr>
          <w:rFonts w:hint="eastAsia"/>
        </w:rPr>
        <w:t>和13</w:t>
      </w:r>
      <w:r>
        <w:t>%</w:t>
      </w:r>
      <w:r>
        <w:rPr>
          <w:rFonts w:hint="eastAsia"/>
        </w:rPr>
        <w:t>。</w:t>
      </w:r>
      <w:r>
        <w:t>见表</w:t>
      </w:r>
      <w:r>
        <w:rPr>
          <w:rFonts w:hint="eastAsia"/>
        </w:rPr>
        <w:t>4</w:t>
      </w:r>
      <w:r>
        <w:t>.6-1</w:t>
      </w:r>
      <w:r>
        <w:rPr>
          <w:rFonts w:hint="eastAsia"/>
        </w:rPr>
        <w:t>5</w:t>
      </w:r>
      <w:r>
        <w:t>及图4.6-</w:t>
      </w:r>
      <w:r>
        <w:rPr>
          <w:rFonts w:hint="eastAsia"/>
        </w:rPr>
        <w:t>21、图</w:t>
      </w:r>
      <w:r>
        <w:t>4.6-</w:t>
      </w:r>
      <w:r>
        <w:rPr>
          <w:rFonts w:hint="eastAsia"/>
        </w:rPr>
        <w:t>23。</w:t>
      </w:r>
    </w:p>
    <w:p w14:paraId="5C68A36E">
      <w:pPr>
        <w:ind w:firstLine="0" w:firstLineChars="0"/>
        <w:jc w:val="center"/>
        <w:rPr>
          <w:b/>
          <w:bCs/>
        </w:rPr>
      </w:pPr>
      <w:r>
        <w:rPr>
          <w:rFonts w:hint="eastAsia"/>
          <w:b/>
          <w:bCs/>
        </w:rPr>
        <w:t>表</w:t>
      </w:r>
      <w:r>
        <w:rPr>
          <w:b/>
          <w:bCs/>
        </w:rPr>
        <w:t>4.6-1</w:t>
      </w:r>
      <w:r>
        <w:rPr>
          <w:rFonts w:hint="eastAsia"/>
          <w:b/>
          <w:bCs/>
        </w:rPr>
        <w:t>5</w:t>
      </w:r>
      <w:r>
        <w:rPr>
          <w:b/>
          <w:bCs/>
        </w:rPr>
        <w:t xml:space="preserve">  </w:t>
      </w:r>
      <w:r>
        <w:rPr>
          <w:rFonts w:hint="eastAsia"/>
          <w:b/>
          <w:bCs/>
        </w:rPr>
        <w:t>评价区生态系统现状统计表</w:t>
      </w:r>
    </w:p>
    <w:tbl>
      <w:tblPr>
        <w:tblStyle w:val="8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9"/>
        <w:gridCol w:w="1857"/>
        <w:gridCol w:w="1857"/>
        <w:gridCol w:w="1857"/>
      </w:tblGrid>
      <w:tr w14:paraId="4C66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tcBorders>
              <w:top w:val="single" w:color="auto" w:sz="4" w:space="0"/>
              <w:left w:val="nil"/>
            </w:tcBorders>
            <w:vAlign w:val="center"/>
          </w:tcPr>
          <w:p w14:paraId="669C324A">
            <w:pPr>
              <w:spacing w:line="240" w:lineRule="auto"/>
              <w:ind w:firstLine="0" w:firstLineChars="0"/>
              <w:jc w:val="center"/>
              <w:rPr>
                <w:b/>
                <w:bCs/>
                <w:sz w:val="21"/>
                <w:szCs w:val="21"/>
              </w:rPr>
            </w:pPr>
            <w:r>
              <w:rPr>
                <w:rFonts w:hint="eastAsia"/>
                <w:b/>
                <w:bCs/>
                <w:sz w:val="21"/>
                <w:szCs w:val="21"/>
              </w:rPr>
              <w:t>Ⅰ级分类</w:t>
            </w:r>
          </w:p>
        </w:tc>
        <w:tc>
          <w:tcPr>
            <w:tcW w:w="1001" w:type="pct"/>
            <w:tcBorders>
              <w:top w:val="single" w:color="auto" w:sz="4" w:space="0"/>
            </w:tcBorders>
            <w:vAlign w:val="center"/>
          </w:tcPr>
          <w:p w14:paraId="4509135A">
            <w:pPr>
              <w:spacing w:line="240" w:lineRule="auto"/>
              <w:ind w:firstLine="0" w:firstLineChars="0"/>
              <w:jc w:val="center"/>
              <w:rPr>
                <w:b/>
                <w:bCs/>
                <w:sz w:val="21"/>
                <w:szCs w:val="21"/>
              </w:rPr>
            </w:pPr>
            <w:r>
              <w:rPr>
                <w:rFonts w:hint="eastAsia"/>
                <w:b/>
                <w:bCs/>
                <w:sz w:val="21"/>
                <w:szCs w:val="21"/>
              </w:rPr>
              <w:t>Ⅱ级分类</w:t>
            </w:r>
          </w:p>
        </w:tc>
        <w:tc>
          <w:tcPr>
            <w:tcW w:w="1000" w:type="pct"/>
            <w:tcBorders>
              <w:top w:val="single" w:color="auto" w:sz="4" w:space="0"/>
            </w:tcBorders>
            <w:vAlign w:val="center"/>
          </w:tcPr>
          <w:p w14:paraId="7E77446E">
            <w:pPr>
              <w:spacing w:line="240" w:lineRule="auto"/>
              <w:ind w:firstLine="0" w:firstLineChars="0"/>
              <w:jc w:val="center"/>
              <w:rPr>
                <w:b/>
                <w:bCs/>
                <w:sz w:val="21"/>
                <w:szCs w:val="21"/>
              </w:rPr>
            </w:pPr>
            <w:r>
              <w:rPr>
                <w:rFonts w:hint="eastAsia"/>
                <w:b/>
                <w:bCs/>
                <w:sz w:val="21"/>
                <w:szCs w:val="21"/>
              </w:rPr>
              <w:t>斑块数</w:t>
            </w:r>
          </w:p>
        </w:tc>
        <w:tc>
          <w:tcPr>
            <w:tcW w:w="1000" w:type="pct"/>
            <w:tcBorders>
              <w:top w:val="single" w:color="auto" w:sz="4" w:space="0"/>
            </w:tcBorders>
            <w:vAlign w:val="center"/>
          </w:tcPr>
          <w:p w14:paraId="32F8E925">
            <w:pPr>
              <w:spacing w:line="240" w:lineRule="auto"/>
              <w:ind w:firstLine="0" w:firstLineChars="0"/>
              <w:jc w:val="center"/>
              <w:rPr>
                <w:b/>
                <w:bCs/>
                <w:sz w:val="21"/>
                <w:szCs w:val="21"/>
              </w:rPr>
            </w:pPr>
            <w:r>
              <w:rPr>
                <w:rFonts w:hint="eastAsia"/>
                <w:b/>
                <w:bCs/>
                <w:sz w:val="21"/>
                <w:szCs w:val="21"/>
              </w:rPr>
              <w:t>面积（hm</w:t>
            </w:r>
            <w:r>
              <w:rPr>
                <w:b/>
                <w:bCs/>
                <w:sz w:val="21"/>
                <w:szCs w:val="21"/>
              </w:rPr>
              <w:t>²</w:t>
            </w:r>
            <w:r>
              <w:rPr>
                <w:rFonts w:hint="eastAsia"/>
                <w:b/>
                <w:bCs/>
                <w:sz w:val="21"/>
                <w:szCs w:val="21"/>
              </w:rPr>
              <w:t>）</w:t>
            </w:r>
          </w:p>
        </w:tc>
        <w:tc>
          <w:tcPr>
            <w:tcW w:w="999" w:type="pct"/>
            <w:tcBorders>
              <w:top w:val="single" w:color="auto" w:sz="4" w:space="0"/>
              <w:right w:val="nil"/>
            </w:tcBorders>
            <w:vAlign w:val="center"/>
          </w:tcPr>
          <w:p w14:paraId="2A4860F3">
            <w:pPr>
              <w:spacing w:line="240" w:lineRule="auto"/>
              <w:ind w:firstLine="0" w:firstLineChars="0"/>
              <w:jc w:val="center"/>
              <w:rPr>
                <w:b/>
                <w:bCs/>
                <w:sz w:val="21"/>
                <w:szCs w:val="21"/>
              </w:rPr>
            </w:pPr>
            <w:r>
              <w:rPr>
                <w:rFonts w:hint="eastAsia"/>
                <w:b/>
                <w:bCs/>
                <w:sz w:val="21"/>
                <w:szCs w:val="21"/>
              </w:rPr>
              <w:t>占比（%）</w:t>
            </w:r>
          </w:p>
        </w:tc>
      </w:tr>
      <w:tr w14:paraId="70B5A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tcBorders>
              <w:left w:val="nil"/>
            </w:tcBorders>
            <w:vAlign w:val="center"/>
          </w:tcPr>
          <w:p w14:paraId="6D91C9CD">
            <w:pPr>
              <w:spacing w:line="240" w:lineRule="auto"/>
              <w:ind w:firstLine="0" w:firstLineChars="0"/>
              <w:jc w:val="center"/>
              <w:rPr>
                <w:sz w:val="21"/>
                <w:szCs w:val="21"/>
              </w:rPr>
            </w:pPr>
            <w:r>
              <w:rPr>
                <w:rFonts w:hint="eastAsia"/>
                <w:sz w:val="21"/>
                <w:szCs w:val="21"/>
              </w:rPr>
              <w:t>灌丛生态系统</w:t>
            </w:r>
          </w:p>
        </w:tc>
        <w:tc>
          <w:tcPr>
            <w:tcW w:w="1001" w:type="pct"/>
            <w:vAlign w:val="center"/>
          </w:tcPr>
          <w:p w14:paraId="68D7811E">
            <w:pPr>
              <w:spacing w:line="240" w:lineRule="auto"/>
              <w:ind w:firstLine="0" w:firstLineChars="0"/>
              <w:jc w:val="center"/>
              <w:rPr>
                <w:sz w:val="21"/>
                <w:szCs w:val="21"/>
              </w:rPr>
            </w:pPr>
            <w:r>
              <w:rPr>
                <w:rFonts w:hint="eastAsia"/>
                <w:sz w:val="21"/>
                <w:szCs w:val="21"/>
              </w:rPr>
              <w:t>稀疏灌丛</w:t>
            </w:r>
          </w:p>
        </w:tc>
        <w:tc>
          <w:tcPr>
            <w:tcW w:w="1857" w:type="dxa"/>
            <w:vAlign w:val="center"/>
          </w:tcPr>
          <w:p w14:paraId="428573F6">
            <w:pPr>
              <w:pStyle w:val="5"/>
              <w:spacing w:after="0" w:line="240" w:lineRule="auto"/>
              <w:ind w:firstLine="0" w:firstLineChars="0"/>
              <w:jc w:val="center"/>
              <w:rPr>
                <w:sz w:val="21"/>
                <w:szCs w:val="21"/>
              </w:rPr>
            </w:pPr>
            <w:r>
              <w:rPr>
                <w:rFonts w:hint="eastAsia"/>
                <w:sz w:val="21"/>
                <w:szCs w:val="21"/>
              </w:rPr>
              <w:t>100</w:t>
            </w:r>
          </w:p>
        </w:tc>
        <w:tc>
          <w:tcPr>
            <w:tcW w:w="1857" w:type="dxa"/>
            <w:vAlign w:val="center"/>
          </w:tcPr>
          <w:p w14:paraId="17773FAD">
            <w:pPr>
              <w:pStyle w:val="5"/>
              <w:spacing w:after="0" w:line="240" w:lineRule="auto"/>
              <w:ind w:firstLine="0" w:firstLineChars="0"/>
              <w:jc w:val="center"/>
              <w:rPr>
                <w:sz w:val="21"/>
                <w:szCs w:val="21"/>
              </w:rPr>
            </w:pPr>
            <w:r>
              <w:rPr>
                <w:sz w:val="21"/>
                <w:szCs w:val="21"/>
              </w:rPr>
              <w:t>525.18</w:t>
            </w:r>
          </w:p>
        </w:tc>
        <w:tc>
          <w:tcPr>
            <w:tcW w:w="1857" w:type="dxa"/>
            <w:tcBorders>
              <w:right w:val="nil"/>
            </w:tcBorders>
            <w:vAlign w:val="center"/>
          </w:tcPr>
          <w:p w14:paraId="41BDA525">
            <w:pPr>
              <w:pStyle w:val="5"/>
              <w:spacing w:after="0" w:line="240" w:lineRule="auto"/>
              <w:ind w:firstLine="0" w:firstLineChars="0"/>
              <w:jc w:val="center"/>
              <w:rPr>
                <w:sz w:val="21"/>
                <w:szCs w:val="21"/>
              </w:rPr>
            </w:pPr>
            <w:r>
              <w:rPr>
                <w:sz w:val="21"/>
                <w:szCs w:val="21"/>
              </w:rPr>
              <w:t>86.13%</w:t>
            </w:r>
          </w:p>
        </w:tc>
      </w:tr>
      <w:tr w14:paraId="5E2C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Merge w:val="restart"/>
            <w:tcBorders>
              <w:left w:val="nil"/>
            </w:tcBorders>
            <w:vAlign w:val="center"/>
          </w:tcPr>
          <w:p w14:paraId="20A14779">
            <w:pPr>
              <w:spacing w:line="240" w:lineRule="auto"/>
              <w:ind w:firstLine="0" w:firstLineChars="0"/>
              <w:jc w:val="center"/>
              <w:rPr>
                <w:sz w:val="21"/>
                <w:szCs w:val="21"/>
              </w:rPr>
            </w:pPr>
            <w:r>
              <w:rPr>
                <w:rFonts w:hint="eastAsia"/>
                <w:sz w:val="21"/>
                <w:szCs w:val="21"/>
              </w:rPr>
              <w:t>城镇生态系统</w:t>
            </w:r>
          </w:p>
        </w:tc>
        <w:tc>
          <w:tcPr>
            <w:tcW w:w="1001" w:type="pct"/>
            <w:vAlign w:val="center"/>
          </w:tcPr>
          <w:p w14:paraId="1F5D43EB">
            <w:pPr>
              <w:spacing w:line="240" w:lineRule="auto"/>
              <w:ind w:firstLine="0" w:firstLineChars="0"/>
              <w:jc w:val="center"/>
              <w:rPr>
                <w:sz w:val="21"/>
                <w:szCs w:val="21"/>
              </w:rPr>
            </w:pPr>
            <w:r>
              <w:rPr>
                <w:rFonts w:hint="eastAsia"/>
                <w:sz w:val="21"/>
                <w:szCs w:val="21"/>
              </w:rPr>
              <w:t>居住地</w:t>
            </w:r>
          </w:p>
        </w:tc>
        <w:tc>
          <w:tcPr>
            <w:tcW w:w="1857" w:type="dxa"/>
            <w:vAlign w:val="center"/>
          </w:tcPr>
          <w:p w14:paraId="7DE561AF">
            <w:pPr>
              <w:pStyle w:val="5"/>
              <w:spacing w:after="0" w:line="240" w:lineRule="auto"/>
              <w:ind w:firstLine="0" w:firstLineChars="0"/>
              <w:jc w:val="center"/>
              <w:rPr>
                <w:sz w:val="21"/>
                <w:szCs w:val="21"/>
              </w:rPr>
            </w:pPr>
            <w:r>
              <w:rPr>
                <w:sz w:val="21"/>
                <w:szCs w:val="21"/>
              </w:rPr>
              <w:t>2</w:t>
            </w:r>
          </w:p>
        </w:tc>
        <w:tc>
          <w:tcPr>
            <w:tcW w:w="1857" w:type="dxa"/>
            <w:vAlign w:val="center"/>
          </w:tcPr>
          <w:p w14:paraId="35D8ABB6">
            <w:pPr>
              <w:pStyle w:val="5"/>
              <w:spacing w:after="0" w:line="240" w:lineRule="auto"/>
              <w:ind w:firstLine="0" w:firstLineChars="0"/>
              <w:jc w:val="center"/>
              <w:rPr>
                <w:sz w:val="21"/>
                <w:szCs w:val="21"/>
              </w:rPr>
            </w:pPr>
            <w:r>
              <w:rPr>
                <w:sz w:val="21"/>
                <w:szCs w:val="21"/>
              </w:rPr>
              <w:t>0.35</w:t>
            </w:r>
          </w:p>
        </w:tc>
        <w:tc>
          <w:tcPr>
            <w:tcW w:w="1857" w:type="dxa"/>
            <w:tcBorders>
              <w:right w:val="nil"/>
            </w:tcBorders>
            <w:vAlign w:val="center"/>
          </w:tcPr>
          <w:p w14:paraId="180633D2">
            <w:pPr>
              <w:pStyle w:val="5"/>
              <w:spacing w:after="0" w:line="240" w:lineRule="auto"/>
              <w:ind w:firstLine="0" w:firstLineChars="0"/>
              <w:jc w:val="center"/>
              <w:rPr>
                <w:sz w:val="21"/>
                <w:szCs w:val="21"/>
              </w:rPr>
            </w:pPr>
            <w:r>
              <w:rPr>
                <w:sz w:val="21"/>
                <w:szCs w:val="21"/>
              </w:rPr>
              <w:t>0.06%</w:t>
            </w:r>
          </w:p>
        </w:tc>
      </w:tr>
      <w:tr w14:paraId="620C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Merge w:val="continue"/>
            <w:tcBorders>
              <w:left w:val="nil"/>
            </w:tcBorders>
            <w:vAlign w:val="center"/>
          </w:tcPr>
          <w:p w14:paraId="07F671E1">
            <w:pPr>
              <w:spacing w:line="240" w:lineRule="auto"/>
              <w:ind w:firstLine="0" w:firstLineChars="0"/>
              <w:jc w:val="center"/>
              <w:rPr>
                <w:sz w:val="21"/>
                <w:szCs w:val="21"/>
              </w:rPr>
            </w:pPr>
          </w:p>
        </w:tc>
        <w:tc>
          <w:tcPr>
            <w:tcW w:w="1001" w:type="pct"/>
            <w:vAlign w:val="center"/>
          </w:tcPr>
          <w:p w14:paraId="687C530E">
            <w:pPr>
              <w:spacing w:line="240" w:lineRule="auto"/>
              <w:ind w:firstLine="0" w:firstLineChars="0"/>
              <w:jc w:val="center"/>
              <w:rPr>
                <w:sz w:val="21"/>
                <w:szCs w:val="21"/>
              </w:rPr>
            </w:pPr>
            <w:r>
              <w:rPr>
                <w:rFonts w:hint="eastAsia"/>
                <w:sz w:val="21"/>
                <w:szCs w:val="21"/>
              </w:rPr>
              <w:t>工矿交通</w:t>
            </w:r>
          </w:p>
        </w:tc>
        <w:tc>
          <w:tcPr>
            <w:tcW w:w="1857" w:type="dxa"/>
            <w:vAlign w:val="center"/>
          </w:tcPr>
          <w:p w14:paraId="3153D3D1">
            <w:pPr>
              <w:pStyle w:val="5"/>
              <w:spacing w:after="0" w:line="240" w:lineRule="auto"/>
              <w:ind w:firstLine="0" w:firstLineChars="0"/>
              <w:jc w:val="center"/>
              <w:rPr>
                <w:sz w:val="21"/>
                <w:szCs w:val="21"/>
              </w:rPr>
            </w:pPr>
            <w:r>
              <w:rPr>
                <w:sz w:val="21"/>
                <w:szCs w:val="21"/>
              </w:rPr>
              <w:t>3</w:t>
            </w:r>
          </w:p>
        </w:tc>
        <w:tc>
          <w:tcPr>
            <w:tcW w:w="1857" w:type="dxa"/>
            <w:vAlign w:val="center"/>
          </w:tcPr>
          <w:p w14:paraId="4A1B8EDC">
            <w:pPr>
              <w:pStyle w:val="5"/>
              <w:spacing w:after="0" w:line="240" w:lineRule="auto"/>
              <w:ind w:firstLine="0" w:firstLineChars="0"/>
              <w:jc w:val="center"/>
              <w:rPr>
                <w:sz w:val="21"/>
                <w:szCs w:val="21"/>
              </w:rPr>
            </w:pPr>
            <w:r>
              <w:rPr>
                <w:sz w:val="21"/>
                <w:szCs w:val="21"/>
              </w:rPr>
              <w:t>4.94</w:t>
            </w:r>
          </w:p>
        </w:tc>
        <w:tc>
          <w:tcPr>
            <w:tcW w:w="1857" w:type="dxa"/>
            <w:tcBorders>
              <w:right w:val="nil"/>
            </w:tcBorders>
            <w:vAlign w:val="center"/>
          </w:tcPr>
          <w:p w14:paraId="4C1E91C4">
            <w:pPr>
              <w:pStyle w:val="5"/>
              <w:spacing w:after="0" w:line="240" w:lineRule="auto"/>
              <w:ind w:firstLine="0" w:firstLineChars="0"/>
              <w:jc w:val="center"/>
              <w:rPr>
                <w:sz w:val="21"/>
                <w:szCs w:val="21"/>
              </w:rPr>
            </w:pPr>
            <w:r>
              <w:rPr>
                <w:sz w:val="21"/>
                <w:szCs w:val="21"/>
              </w:rPr>
              <w:t>0.81%</w:t>
            </w:r>
          </w:p>
        </w:tc>
      </w:tr>
      <w:tr w14:paraId="60E9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tcBorders>
              <w:left w:val="nil"/>
            </w:tcBorders>
            <w:vAlign w:val="center"/>
          </w:tcPr>
          <w:p w14:paraId="3326860A">
            <w:pPr>
              <w:spacing w:line="240" w:lineRule="auto"/>
              <w:ind w:firstLine="0" w:firstLineChars="0"/>
              <w:jc w:val="center"/>
              <w:rPr>
                <w:sz w:val="21"/>
                <w:szCs w:val="21"/>
              </w:rPr>
            </w:pPr>
            <w:r>
              <w:rPr>
                <w:rFonts w:hint="eastAsia"/>
                <w:sz w:val="21"/>
                <w:szCs w:val="21"/>
              </w:rPr>
              <w:t>其他</w:t>
            </w:r>
          </w:p>
        </w:tc>
        <w:tc>
          <w:tcPr>
            <w:tcW w:w="1001" w:type="pct"/>
            <w:vAlign w:val="center"/>
          </w:tcPr>
          <w:p w14:paraId="0018E264">
            <w:pPr>
              <w:spacing w:line="240" w:lineRule="auto"/>
              <w:ind w:firstLine="0" w:firstLineChars="0"/>
              <w:jc w:val="center"/>
              <w:rPr>
                <w:sz w:val="21"/>
                <w:szCs w:val="21"/>
              </w:rPr>
            </w:pPr>
            <w:r>
              <w:rPr>
                <w:rFonts w:hint="eastAsia"/>
                <w:sz w:val="21"/>
                <w:szCs w:val="21"/>
              </w:rPr>
              <w:t>干河床</w:t>
            </w:r>
          </w:p>
        </w:tc>
        <w:tc>
          <w:tcPr>
            <w:tcW w:w="1857" w:type="dxa"/>
            <w:vAlign w:val="center"/>
          </w:tcPr>
          <w:p w14:paraId="1DC8CD93">
            <w:pPr>
              <w:pStyle w:val="5"/>
              <w:spacing w:after="0" w:line="240" w:lineRule="auto"/>
              <w:ind w:firstLine="0" w:firstLineChars="0"/>
              <w:jc w:val="center"/>
              <w:rPr>
                <w:sz w:val="21"/>
                <w:szCs w:val="21"/>
              </w:rPr>
            </w:pPr>
            <w:r>
              <w:rPr>
                <w:sz w:val="21"/>
                <w:szCs w:val="21"/>
              </w:rPr>
              <w:t>39</w:t>
            </w:r>
          </w:p>
        </w:tc>
        <w:tc>
          <w:tcPr>
            <w:tcW w:w="1857" w:type="dxa"/>
            <w:vAlign w:val="center"/>
          </w:tcPr>
          <w:p w14:paraId="1C9A705B">
            <w:pPr>
              <w:pStyle w:val="5"/>
              <w:spacing w:after="0" w:line="240" w:lineRule="auto"/>
              <w:ind w:firstLine="0" w:firstLineChars="0"/>
              <w:jc w:val="center"/>
              <w:rPr>
                <w:sz w:val="21"/>
                <w:szCs w:val="21"/>
              </w:rPr>
            </w:pPr>
            <w:r>
              <w:rPr>
                <w:sz w:val="21"/>
                <w:szCs w:val="21"/>
              </w:rPr>
              <w:t>79.29</w:t>
            </w:r>
          </w:p>
        </w:tc>
        <w:tc>
          <w:tcPr>
            <w:tcW w:w="1857" w:type="dxa"/>
            <w:tcBorders>
              <w:right w:val="nil"/>
            </w:tcBorders>
            <w:vAlign w:val="center"/>
          </w:tcPr>
          <w:p w14:paraId="7B5641D2">
            <w:pPr>
              <w:pStyle w:val="5"/>
              <w:spacing w:after="0" w:line="240" w:lineRule="auto"/>
              <w:ind w:firstLine="0" w:firstLineChars="0"/>
              <w:jc w:val="center"/>
              <w:rPr>
                <w:sz w:val="21"/>
                <w:szCs w:val="21"/>
              </w:rPr>
            </w:pPr>
            <w:r>
              <w:rPr>
                <w:sz w:val="21"/>
                <w:szCs w:val="21"/>
              </w:rPr>
              <w:t>13.00%</w:t>
            </w:r>
          </w:p>
        </w:tc>
      </w:tr>
      <w:tr w14:paraId="3458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1" w:type="pct"/>
            <w:gridSpan w:val="2"/>
            <w:tcBorders>
              <w:left w:val="nil"/>
            </w:tcBorders>
            <w:vAlign w:val="center"/>
          </w:tcPr>
          <w:p w14:paraId="7689A7A1">
            <w:pPr>
              <w:spacing w:line="240" w:lineRule="auto"/>
              <w:ind w:firstLine="0" w:firstLineChars="0"/>
              <w:jc w:val="center"/>
              <w:rPr>
                <w:sz w:val="21"/>
                <w:szCs w:val="21"/>
              </w:rPr>
            </w:pPr>
            <w:r>
              <w:rPr>
                <w:rFonts w:hint="eastAsia"/>
                <w:sz w:val="21"/>
                <w:szCs w:val="21"/>
              </w:rPr>
              <w:t>合计</w:t>
            </w:r>
          </w:p>
        </w:tc>
        <w:tc>
          <w:tcPr>
            <w:tcW w:w="1857" w:type="dxa"/>
            <w:vAlign w:val="center"/>
          </w:tcPr>
          <w:p w14:paraId="0601290B">
            <w:pPr>
              <w:pStyle w:val="5"/>
              <w:spacing w:after="0" w:line="240" w:lineRule="auto"/>
              <w:ind w:firstLine="0" w:firstLineChars="0"/>
              <w:jc w:val="center"/>
              <w:rPr>
                <w:sz w:val="21"/>
                <w:szCs w:val="21"/>
              </w:rPr>
            </w:pPr>
            <w:r>
              <w:rPr>
                <w:sz w:val="21"/>
                <w:szCs w:val="21"/>
              </w:rPr>
              <w:t>1</w:t>
            </w:r>
            <w:r>
              <w:rPr>
                <w:rFonts w:hint="eastAsia"/>
                <w:sz w:val="21"/>
                <w:szCs w:val="21"/>
              </w:rPr>
              <w:t>44</w:t>
            </w:r>
          </w:p>
        </w:tc>
        <w:tc>
          <w:tcPr>
            <w:tcW w:w="1857" w:type="dxa"/>
            <w:vAlign w:val="center"/>
          </w:tcPr>
          <w:p w14:paraId="29CA5C63">
            <w:pPr>
              <w:pStyle w:val="5"/>
              <w:spacing w:after="0" w:line="240" w:lineRule="auto"/>
              <w:ind w:firstLine="0" w:firstLineChars="0"/>
              <w:jc w:val="center"/>
              <w:rPr>
                <w:sz w:val="21"/>
                <w:szCs w:val="21"/>
              </w:rPr>
            </w:pPr>
            <w:r>
              <w:rPr>
                <w:sz w:val="21"/>
                <w:szCs w:val="21"/>
              </w:rPr>
              <w:t>609.76</w:t>
            </w:r>
          </w:p>
        </w:tc>
        <w:tc>
          <w:tcPr>
            <w:tcW w:w="1857" w:type="dxa"/>
            <w:tcBorders>
              <w:right w:val="nil"/>
            </w:tcBorders>
            <w:vAlign w:val="center"/>
          </w:tcPr>
          <w:p w14:paraId="072CC5EF">
            <w:pPr>
              <w:pStyle w:val="5"/>
              <w:spacing w:after="0" w:line="240" w:lineRule="auto"/>
              <w:ind w:firstLine="0" w:firstLineChars="0"/>
              <w:jc w:val="center"/>
              <w:rPr>
                <w:sz w:val="21"/>
                <w:szCs w:val="21"/>
              </w:rPr>
            </w:pPr>
            <w:r>
              <w:rPr>
                <w:sz w:val="21"/>
                <w:szCs w:val="21"/>
              </w:rPr>
              <w:t>100.00%</w:t>
            </w:r>
          </w:p>
        </w:tc>
      </w:tr>
    </w:tbl>
    <w:p w14:paraId="677DAC2D">
      <w:pPr>
        <w:ind w:firstLine="0" w:firstLineChars="0"/>
        <w:jc w:val="center"/>
      </w:pPr>
      <w:r>
        <w:drawing>
          <wp:inline distT="0" distB="0" distL="114300" distR="114300">
            <wp:extent cx="4381500" cy="2660650"/>
            <wp:effectExtent l="0" t="0" r="0" b="0"/>
            <wp:docPr id="5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43E0A6E7">
      <w:pPr>
        <w:ind w:firstLine="0" w:firstLineChars="0"/>
        <w:jc w:val="center"/>
      </w:pPr>
      <w:r>
        <w:rPr>
          <w:rFonts w:hint="eastAsia"/>
          <w:b/>
          <w:bCs/>
        </w:rPr>
        <w:t>图4</w:t>
      </w:r>
      <w:r>
        <w:rPr>
          <w:b/>
          <w:bCs/>
        </w:rPr>
        <w:t>.6-</w:t>
      </w:r>
      <w:r>
        <w:rPr>
          <w:rFonts w:hint="eastAsia"/>
          <w:b/>
          <w:bCs/>
        </w:rPr>
        <w:t>21</w:t>
      </w:r>
      <w:r>
        <w:rPr>
          <w:b/>
          <w:bCs/>
        </w:rPr>
        <w:t xml:space="preserve"> </w:t>
      </w:r>
      <w:r>
        <w:t xml:space="preserve"> </w:t>
      </w:r>
      <w:r>
        <w:rPr>
          <w:rFonts w:hint="eastAsia"/>
          <w:b/>
          <w:bCs/>
        </w:rPr>
        <w:t>评价区生态系统类型现状饼图</w:t>
      </w:r>
    </w:p>
    <w:p w14:paraId="41A2BB6B">
      <w:pPr>
        <w:ind w:firstLine="480"/>
        <w:jc w:val="both"/>
      </w:pPr>
      <w:r>
        <w:rPr>
          <w:rFonts w:hint="eastAsia"/>
        </w:rPr>
        <w:t>项目区生态系统组成较为简单，全部为稀疏灌丛生态系统类型，占项目区面积的100%。详情见表</w:t>
      </w:r>
      <w:r>
        <w:t>4.6-1</w:t>
      </w:r>
      <w:r>
        <w:rPr>
          <w:rFonts w:hint="eastAsia"/>
        </w:rPr>
        <w:t>6及图</w:t>
      </w:r>
      <w:r>
        <w:t>4.6-</w:t>
      </w:r>
      <w:r>
        <w:rPr>
          <w:rFonts w:hint="eastAsia"/>
        </w:rPr>
        <w:t>22。</w:t>
      </w:r>
    </w:p>
    <w:p w14:paraId="52D386B8">
      <w:pPr>
        <w:pStyle w:val="5"/>
        <w:spacing w:after="0"/>
        <w:ind w:left="480" w:firstLine="0" w:firstLineChars="0"/>
        <w:jc w:val="center"/>
        <w:rPr>
          <w:b/>
          <w:bCs/>
          <w:sz w:val="22"/>
          <w:szCs w:val="22"/>
        </w:rPr>
      </w:pPr>
      <w:r>
        <w:rPr>
          <w:b/>
          <w:bCs/>
          <w:sz w:val="22"/>
          <w:szCs w:val="22"/>
        </w:rPr>
        <w:t>表4.6-1</w:t>
      </w:r>
      <w:r>
        <w:rPr>
          <w:rFonts w:hint="eastAsia"/>
          <w:b/>
          <w:bCs/>
          <w:sz w:val="22"/>
          <w:szCs w:val="22"/>
        </w:rPr>
        <w:t>6</w:t>
      </w:r>
      <w:r>
        <w:rPr>
          <w:b/>
          <w:bCs/>
          <w:sz w:val="22"/>
          <w:szCs w:val="22"/>
        </w:rPr>
        <w:t xml:space="preserve">  项目区生态系统现状统计表</w:t>
      </w:r>
    </w:p>
    <w:tbl>
      <w:tblPr>
        <w:tblStyle w:val="8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1713"/>
        <w:gridCol w:w="1857"/>
        <w:gridCol w:w="1857"/>
        <w:gridCol w:w="1857"/>
      </w:tblGrid>
      <w:tr w14:paraId="6E05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8" w:type="pct"/>
            <w:tcBorders>
              <w:left w:val="nil"/>
            </w:tcBorders>
            <w:vAlign w:val="center"/>
          </w:tcPr>
          <w:p w14:paraId="648F30C8">
            <w:pPr>
              <w:pStyle w:val="5"/>
              <w:spacing w:after="0" w:line="240" w:lineRule="auto"/>
              <w:ind w:left="480" w:firstLine="0" w:firstLineChars="0"/>
              <w:jc w:val="center"/>
              <w:rPr>
                <w:b/>
                <w:bCs/>
                <w:sz w:val="21"/>
                <w:szCs w:val="21"/>
              </w:rPr>
            </w:pPr>
            <w:r>
              <w:rPr>
                <w:b/>
                <w:bCs/>
                <w:sz w:val="21"/>
                <w:szCs w:val="21"/>
              </w:rPr>
              <w:t>Ⅰ级分类</w:t>
            </w:r>
          </w:p>
        </w:tc>
        <w:tc>
          <w:tcPr>
            <w:tcW w:w="922" w:type="pct"/>
            <w:vAlign w:val="center"/>
          </w:tcPr>
          <w:p w14:paraId="12D74572">
            <w:pPr>
              <w:pStyle w:val="5"/>
              <w:spacing w:after="0" w:line="240" w:lineRule="auto"/>
              <w:ind w:left="480" w:firstLine="0" w:firstLineChars="0"/>
              <w:jc w:val="center"/>
              <w:rPr>
                <w:b/>
                <w:bCs/>
                <w:sz w:val="21"/>
                <w:szCs w:val="21"/>
              </w:rPr>
            </w:pPr>
            <w:r>
              <w:rPr>
                <w:b/>
                <w:bCs/>
                <w:sz w:val="21"/>
                <w:szCs w:val="21"/>
              </w:rPr>
              <w:t>Ⅱ级分类</w:t>
            </w:r>
          </w:p>
        </w:tc>
        <w:tc>
          <w:tcPr>
            <w:tcW w:w="999" w:type="pct"/>
            <w:vAlign w:val="center"/>
          </w:tcPr>
          <w:p w14:paraId="3F2586D5">
            <w:pPr>
              <w:pStyle w:val="5"/>
              <w:spacing w:after="0" w:line="240" w:lineRule="auto"/>
              <w:ind w:left="480" w:firstLine="0" w:firstLineChars="0"/>
              <w:jc w:val="center"/>
              <w:rPr>
                <w:b/>
                <w:bCs/>
                <w:sz w:val="21"/>
                <w:szCs w:val="21"/>
              </w:rPr>
            </w:pPr>
            <w:r>
              <w:rPr>
                <w:b/>
                <w:bCs/>
                <w:sz w:val="21"/>
                <w:szCs w:val="21"/>
              </w:rPr>
              <w:t>斑块数</w:t>
            </w:r>
          </w:p>
        </w:tc>
        <w:tc>
          <w:tcPr>
            <w:tcW w:w="999" w:type="pct"/>
            <w:vAlign w:val="center"/>
          </w:tcPr>
          <w:p w14:paraId="3D8DB25D">
            <w:pPr>
              <w:pStyle w:val="5"/>
              <w:spacing w:after="0" w:line="240" w:lineRule="auto"/>
              <w:ind w:left="480" w:firstLine="0" w:firstLineChars="0"/>
              <w:jc w:val="center"/>
              <w:rPr>
                <w:b/>
                <w:bCs/>
                <w:sz w:val="21"/>
                <w:szCs w:val="21"/>
              </w:rPr>
            </w:pPr>
            <w:r>
              <w:rPr>
                <w:b/>
                <w:bCs/>
                <w:sz w:val="21"/>
                <w:szCs w:val="21"/>
              </w:rPr>
              <w:t>面积（</w:t>
            </w:r>
            <w:r>
              <w:rPr>
                <w:rFonts w:hint="eastAsia"/>
                <w:b/>
                <w:bCs/>
                <w:sz w:val="21"/>
                <w:szCs w:val="21"/>
              </w:rPr>
              <w:t>h</w:t>
            </w:r>
            <w:r>
              <w:rPr>
                <w:b/>
                <w:bCs/>
                <w:sz w:val="21"/>
                <w:szCs w:val="21"/>
              </w:rPr>
              <w:t>m²）</w:t>
            </w:r>
          </w:p>
        </w:tc>
        <w:tc>
          <w:tcPr>
            <w:tcW w:w="999" w:type="pct"/>
            <w:tcBorders>
              <w:right w:val="nil"/>
            </w:tcBorders>
            <w:vAlign w:val="center"/>
          </w:tcPr>
          <w:p w14:paraId="78F01FA0">
            <w:pPr>
              <w:pStyle w:val="5"/>
              <w:spacing w:after="0" w:line="240" w:lineRule="auto"/>
              <w:ind w:left="480" w:firstLine="0" w:firstLineChars="0"/>
              <w:jc w:val="center"/>
              <w:rPr>
                <w:b/>
                <w:bCs/>
                <w:sz w:val="21"/>
                <w:szCs w:val="21"/>
              </w:rPr>
            </w:pPr>
            <w:r>
              <w:rPr>
                <w:b/>
                <w:bCs/>
                <w:sz w:val="21"/>
                <w:szCs w:val="21"/>
              </w:rPr>
              <w:t>占比（%）</w:t>
            </w:r>
          </w:p>
        </w:tc>
      </w:tr>
      <w:tr w14:paraId="2C35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078" w:type="pct"/>
            <w:tcBorders>
              <w:left w:val="nil"/>
            </w:tcBorders>
            <w:vAlign w:val="center"/>
          </w:tcPr>
          <w:p w14:paraId="456A6A00">
            <w:pPr>
              <w:pStyle w:val="5"/>
              <w:spacing w:after="0" w:line="240" w:lineRule="auto"/>
              <w:ind w:left="480" w:firstLine="0" w:firstLineChars="0"/>
              <w:jc w:val="center"/>
              <w:rPr>
                <w:sz w:val="21"/>
                <w:szCs w:val="21"/>
              </w:rPr>
            </w:pPr>
            <w:r>
              <w:rPr>
                <w:rFonts w:hint="eastAsia"/>
                <w:sz w:val="21"/>
                <w:szCs w:val="21"/>
              </w:rPr>
              <w:t>灌丛</w:t>
            </w:r>
            <w:r>
              <w:rPr>
                <w:sz w:val="21"/>
                <w:szCs w:val="21"/>
              </w:rPr>
              <w:t>生态系统</w:t>
            </w:r>
          </w:p>
        </w:tc>
        <w:tc>
          <w:tcPr>
            <w:tcW w:w="922" w:type="pct"/>
            <w:vAlign w:val="center"/>
          </w:tcPr>
          <w:p w14:paraId="071BC6C6">
            <w:pPr>
              <w:pStyle w:val="5"/>
              <w:spacing w:after="0" w:line="240" w:lineRule="auto"/>
              <w:ind w:left="480" w:firstLine="0" w:firstLineChars="0"/>
              <w:jc w:val="center"/>
              <w:rPr>
                <w:sz w:val="21"/>
                <w:szCs w:val="21"/>
              </w:rPr>
            </w:pPr>
            <w:r>
              <w:rPr>
                <w:sz w:val="21"/>
                <w:szCs w:val="21"/>
              </w:rPr>
              <w:t>稀疏</w:t>
            </w:r>
            <w:r>
              <w:rPr>
                <w:rFonts w:hint="eastAsia"/>
                <w:sz w:val="21"/>
                <w:szCs w:val="21"/>
              </w:rPr>
              <w:t>灌丛</w:t>
            </w:r>
          </w:p>
        </w:tc>
        <w:tc>
          <w:tcPr>
            <w:tcW w:w="999" w:type="pct"/>
            <w:vAlign w:val="center"/>
          </w:tcPr>
          <w:p w14:paraId="71EE5AA9">
            <w:pPr>
              <w:pStyle w:val="5"/>
              <w:spacing w:after="0" w:line="240" w:lineRule="auto"/>
              <w:ind w:left="480" w:firstLine="0" w:firstLineChars="0"/>
              <w:jc w:val="center"/>
              <w:rPr>
                <w:sz w:val="21"/>
                <w:szCs w:val="21"/>
              </w:rPr>
            </w:pPr>
            <w:r>
              <w:rPr>
                <w:rFonts w:hint="eastAsia"/>
                <w:sz w:val="21"/>
                <w:szCs w:val="21"/>
              </w:rPr>
              <w:t>11</w:t>
            </w:r>
          </w:p>
        </w:tc>
        <w:tc>
          <w:tcPr>
            <w:tcW w:w="999" w:type="pct"/>
            <w:vAlign w:val="center"/>
          </w:tcPr>
          <w:p w14:paraId="598F599D">
            <w:pPr>
              <w:pStyle w:val="5"/>
              <w:spacing w:after="0" w:line="240" w:lineRule="auto"/>
              <w:ind w:left="480" w:firstLine="0" w:firstLineChars="0"/>
              <w:jc w:val="center"/>
              <w:rPr>
                <w:sz w:val="21"/>
                <w:szCs w:val="21"/>
              </w:rPr>
            </w:pPr>
            <w:r>
              <w:rPr>
                <w:rFonts w:hint="eastAsia"/>
                <w:sz w:val="21"/>
                <w:szCs w:val="21"/>
              </w:rPr>
              <w:t>28.02</w:t>
            </w:r>
          </w:p>
        </w:tc>
        <w:tc>
          <w:tcPr>
            <w:tcW w:w="999" w:type="pct"/>
            <w:tcBorders>
              <w:right w:val="nil"/>
            </w:tcBorders>
          </w:tcPr>
          <w:p w14:paraId="4AC38E95">
            <w:pPr>
              <w:pStyle w:val="5"/>
              <w:spacing w:after="0" w:line="240" w:lineRule="auto"/>
              <w:ind w:left="480" w:firstLine="0" w:firstLineChars="0"/>
              <w:jc w:val="center"/>
              <w:rPr>
                <w:sz w:val="21"/>
                <w:szCs w:val="21"/>
              </w:rPr>
            </w:pPr>
            <w:r>
              <w:rPr>
                <w:rFonts w:hint="eastAsia"/>
                <w:sz w:val="21"/>
                <w:szCs w:val="21"/>
              </w:rPr>
              <w:t>100</w:t>
            </w:r>
            <w:r>
              <w:rPr>
                <w:sz w:val="21"/>
                <w:szCs w:val="21"/>
              </w:rPr>
              <w:t>%</w:t>
            </w:r>
          </w:p>
        </w:tc>
      </w:tr>
      <w:tr w14:paraId="341D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0" w:type="pct"/>
            <w:gridSpan w:val="2"/>
            <w:tcBorders>
              <w:left w:val="nil"/>
            </w:tcBorders>
            <w:vAlign w:val="center"/>
          </w:tcPr>
          <w:p w14:paraId="6764A66B">
            <w:pPr>
              <w:pStyle w:val="5"/>
              <w:spacing w:after="0" w:line="240" w:lineRule="auto"/>
              <w:ind w:left="480" w:firstLine="0" w:firstLineChars="0"/>
              <w:jc w:val="center"/>
              <w:rPr>
                <w:sz w:val="21"/>
                <w:szCs w:val="21"/>
              </w:rPr>
            </w:pPr>
            <w:r>
              <w:rPr>
                <w:sz w:val="21"/>
                <w:szCs w:val="21"/>
              </w:rPr>
              <w:t>合计</w:t>
            </w:r>
          </w:p>
        </w:tc>
        <w:tc>
          <w:tcPr>
            <w:tcW w:w="999" w:type="pct"/>
            <w:vAlign w:val="center"/>
          </w:tcPr>
          <w:p w14:paraId="32EF0564">
            <w:pPr>
              <w:pStyle w:val="5"/>
              <w:spacing w:after="0" w:line="240" w:lineRule="auto"/>
              <w:ind w:left="480" w:firstLine="0" w:firstLineChars="0"/>
              <w:jc w:val="center"/>
              <w:rPr>
                <w:sz w:val="21"/>
                <w:szCs w:val="21"/>
              </w:rPr>
            </w:pPr>
            <w:r>
              <w:rPr>
                <w:rFonts w:hint="eastAsia"/>
                <w:sz w:val="21"/>
                <w:szCs w:val="21"/>
              </w:rPr>
              <w:t>11</w:t>
            </w:r>
          </w:p>
        </w:tc>
        <w:tc>
          <w:tcPr>
            <w:tcW w:w="999" w:type="pct"/>
            <w:vAlign w:val="center"/>
          </w:tcPr>
          <w:p w14:paraId="474E56C9">
            <w:pPr>
              <w:pStyle w:val="5"/>
              <w:spacing w:after="0" w:line="240" w:lineRule="auto"/>
              <w:ind w:left="480" w:firstLine="0" w:firstLineChars="0"/>
              <w:jc w:val="center"/>
              <w:rPr>
                <w:sz w:val="21"/>
                <w:szCs w:val="21"/>
              </w:rPr>
            </w:pPr>
            <w:r>
              <w:rPr>
                <w:rFonts w:hint="eastAsia"/>
                <w:sz w:val="21"/>
                <w:szCs w:val="21"/>
              </w:rPr>
              <w:t>28.02</w:t>
            </w:r>
          </w:p>
        </w:tc>
        <w:tc>
          <w:tcPr>
            <w:tcW w:w="999" w:type="pct"/>
            <w:tcBorders>
              <w:right w:val="nil"/>
            </w:tcBorders>
            <w:vAlign w:val="center"/>
          </w:tcPr>
          <w:p w14:paraId="3C5996AD">
            <w:pPr>
              <w:pStyle w:val="5"/>
              <w:spacing w:after="0" w:line="240" w:lineRule="auto"/>
              <w:ind w:left="480" w:firstLine="0" w:firstLineChars="0"/>
              <w:jc w:val="center"/>
              <w:rPr>
                <w:sz w:val="21"/>
                <w:szCs w:val="21"/>
              </w:rPr>
            </w:pPr>
            <w:r>
              <w:rPr>
                <w:sz w:val="21"/>
                <w:szCs w:val="21"/>
              </w:rPr>
              <w:t>100.00%</w:t>
            </w:r>
          </w:p>
        </w:tc>
      </w:tr>
    </w:tbl>
    <w:p w14:paraId="5D8743CD">
      <w:pPr>
        <w:ind w:firstLine="0" w:firstLineChars="0"/>
        <w:jc w:val="center"/>
      </w:pPr>
      <w:r>
        <w:drawing>
          <wp:inline distT="0" distB="0" distL="114300" distR="114300">
            <wp:extent cx="4577715" cy="2804795"/>
            <wp:effectExtent l="0" t="0" r="0" b="0"/>
            <wp:docPr id="5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3F8F8B36">
      <w:pPr>
        <w:ind w:firstLine="0" w:firstLineChars="0"/>
        <w:jc w:val="center"/>
      </w:pPr>
      <w:r>
        <w:rPr>
          <w:rFonts w:hint="eastAsia"/>
          <w:b/>
          <w:bCs/>
        </w:rPr>
        <w:t>图4</w:t>
      </w:r>
      <w:r>
        <w:rPr>
          <w:b/>
          <w:bCs/>
        </w:rPr>
        <w:t>.6</w:t>
      </w:r>
      <w:r>
        <w:rPr>
          <w:rFonts w:hint="eastAsia"/>
          <w:b/>
          <w:bCs/>
        </w:rPr>
        <w:t>-22</w:t>
      </w:r>
      <w:r>
        <w:rPr>
          <w:b/>
          <w:bCs/>
        </w:rPr>
        <w:t xml:space="preserve"> </w:t>
      </w:r>
      <w:r>
        <w:t xml:space="preserve"> </w:t>
      </w:r>
      <w:r>
        <w:rPr>
          <w:rFonts w:hint="eastAsia"/>
          <w:b/>
          <w:bCs/>
        </w:rPr>
        <w:t>项目区生态系统类型现状饼图</w:t>
      </w:r>
    </w:p>
    <w:p w14:paraId="085488E1">
      <w:pPr>
        <w:ind w:firstLine="0" w:firstLineChars="0"/>
        <w:jc w:val="center"/>
        <w:sectPr>
          <w:pgSz w:w="11907" w:h="16840"/>
          <w:pgMar w:top="1418" w:right="1418" w:bottom="1418" w:left="1418" w:header="964" w:footer="964" w:gutter="0"/>
          <w:cols w:space="720" w:num="1"/>
          <w:docGrid w:linePitch="312" w:charSpace="0"/>
        </w:sectPr>
      </w:pPr>
    </w:p>
    <w:p w14:paraId="740319B8">
      <w:pPr>
        <w:ind w:firstLine="0" w:firstLineChars="0"/>
        <w:jc w:val="center"/>
      </w:pPr>
      <w:r>
        <w:drawing>
          <wp:inline distT="0" distB="0" distL="0" distR="0">
            <wp:extent cx="8261985" cy="5367020"/>
            <wp:effectExtent l="0" t="0" r="5715" b="5080"/>
            <wp:docPr id="1259275187"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75187" name="图片 4" descr="图示&#10;&#10;描述已自动生成"/>
                    <pic:cNvPicPr>
                      <a:picLocks noChangeAspect="1"/>
                    </pic:cNvPicPr>
                  </pic:nvPicPr>
                  <pic:blipFill>
                    <a:blip r:embed="rId97" cstate="print">
                      <a:extLst>
                        <a:ext uri="{28A0092B-C50C-407E-A947-70E740481C1C}">
                          <a14:useLocalDpi xmlns:a14="http://schemas.microsoft.com/office/drawing/2010/main" val="0"/>
                        </a:ext>
                      </a:extLst>
                    </a:blip>
                    <a:srcRect t="8119"/>
                    <a:stretch>
                      <a:fillRect/>
                    </a:stretch>
                  </pic:blipFill>
                  <pic:spPr>
                    <a:xfrm>
                      <a:off x="0" y="0"/>
                      <a:ext cx="8261985" cy="5367020"/>
                    </a:xfrm>
                    <a:prstGeom prst="rect">
                      <a:avLst/>
                    </a:prstGeom>
                  </pic:spPr>
                </pic:pic>
              </a:graphicData>
            </a:graphic>
          </wp:inline>
        </w:drawing>
      </w:r>
    </w:p>
    <w:p w14:paraId="3F010DA1">
      <w:pPr>
        <w:ind w:firstLine="0" w:firstLineChars="0"/>
        <w:jc w:val="center"/>
      </w:pPr>
      <w:r>
        <w:rPr>
          <w:rFonts w:hint="eastAsia"/>
          <w:b/>
          <w:bCs/>
        </w:rPr>
        <w:t>图4</w:t>
      </w:r>
      <w:r>
        <w:rPr>
          <w:b/>
          <w:bCs/>
        </w:rPr>
        <w:t>.6-</w:t>
      </w:r>
      <w:r>
        <w:rPr>
          <w:rFonts w:hint="eastAsia"/>
          <w:b/>
          <w:bCs/>
        </w:rPr>
        <w:t>23</w:t>
      </w:r>
      <w:r>
        <w:rPr>
          <w:b/>
          <w:bCs/>
        </w:rPr>
        <w:t xml:space="preserve"> </w:t>
      </w:r>
      <w:r>
        <w:t xml:space="preserve"> </w:t>
      </w:r>
      <w:r>
        <w:rPr>
          <w:rFonts w:hint="eastAsia"/>
          <w:b/>
          <w:bCs/>
        </w:rPr>
        <w:t>评价区生态系统类型现状图</w:t>
      </w:r>
    </w:p>
    <w:p w14:paraId="49E22944">
      <w:pPr>
        <w:ind w:firstLine="480"/>
        <w:sectPr>
          <w:pgSz w:w="16840" w:h="11907" w:orient="landscape"/>
          <w:pgMar w:top="1418" w:right="1418" w:bottom="1418" w:left="1418" w:header="964" w:footer="964" w:gutter="0"/>
          <w:cols w:space="720" w:num="1"/>
          <w:docGrid w:linePitch="326" w:charSpace="0"/>
        </w:sectPr>
      </w:pPr>
    </w:p>
    <w:p w14:paraId="4961D591">
      <w:pPr>
        <w:pStyle w:val="11"/>
        <w:ind w:left="238"/>
      </w:pPr>
      <w:bookmarkStart w:id="347" w:name="_Toc166572311"/>
      <w:r>
        <w:rPr>
          <w:rFonts w:hint="eastAsia"/>
        </w:rPr>
        <w:t>4</w:t>
      </w:r>
      <w:r>
        <w:t>.6.9</w:t>
      </w:r>
      <w:r>
        <w:rPr>
          <w:rFonts w:hint="eastAsia"/>
        </w:rPr>
        <w:t>生物量</w:t>
      </w:r>
      <w:bookmarkEnd w:id="347"/>
    </w:p>
    <w:p w14:paraId="40205D9D">
      <w:pPr>
        <w:ind w:firstLine="480"/>
        <w:jc w:val="both"/>
      </w:pPr>
      <w:r>
        <w:t>相对生长法是指利用生物体的整体生长与单一器官生长之间的相对关系构建回归模型，进而对生态系统中的该类群植物生物量进行估算的方法，计算模型如下：</w:t>
      </w:r>
    </w:p>
    <w:p w14:paraId="2DDD9D53">
      <w:pPr>
        <w:ind w:firstLine="480"/>
        <w:jc w:val="center"/>
      </w:pPr>
      <w:r>
        <w:rPr>
          <w:i/>
        </w:rPr>
        <w:t>W=a</w:t>
      </w:r>
      <w:r>
        <w:t>+</w:t>
      </w:r>
      <w:r>
        <w:rPr>
          <w:i/>
        </w:rPr>
        <w:t>bD</w:t>
      </w:r>
      <w:r>
        <w:rPr>
          <w:vertAlign w:val="superscript"/>
        </w:rPr>
        <w:t>2</w:t>
      </w:r>
      <w:r>
        <w:rPr>
          <w:i/>
        </w:rPr>
        <w:t>H</w:t>
      </w:r>
      <w:r>
        <w:t>+</w:t>
      </w:r>
      <w:r>
        <w:rPr>
          <w:i/>
        </w:rPr>
        <w:t>c</w:t>
      </w:r>
      <w:r>
        <w:t>(</w:t>
      </w:r>
      <w:r>
        <w:rPr>
          <w:i/>
        </w:rPr>
        <w:t>D</w:t>
      </w:r>
      <w:r>
        <w:rPr>
          <w:vertAlign w:val="superscript"/>
        </w:rPr>
        <w:t>2</w:t>
      </w:r>
      <w:r>
        <w:rPr>
          <w:i/>
        </w:rPr>
        <w:t>H</w:t>
      </w:r>
      <w:r>
        <w:t>)</w:t>
      </w:r>
      <w:r>
        <w:rPr>
          <w:vertAlign w:val="superscript"/>
        </w:rPr>
        <w:t>2</w:t>
      </w:r>
    </w:p>
    <w:p w14:paraId="0942FF98">
      <w:pPr>
        <w:ind w:firstLine="480"/>
        <w:jc w:val="both"/>
      </w:pPr>
      <w:r>
        <w:t>式中</w:t>
      </w:r>
      <w:r>
        <w:rPr>
          <w:i/>
        </w:rPr>
        <w:t>W</w:t>
      </w:r>
      <w:r>
        <w:t>表示全株生物量；</w:t>
      </w:r>
      <w:r>
        <w:rPr>
          <w:i/>
        </w:rPr>
        <w:t>D</w:t>
      </w:r>
      <w:r>
        <w:t>表示基径；</w:t>
      </w:r>
      <w:r>
        <w:rPr>
          <w:i/>
        </w:rPr>
        <w:t>H</w:t>
      </w:r>
      <w:r>
        <w:t>表示株高；a、b、c均为常数。a、b、c值如下：a= 0.0362，b=297.03，c=-127.1。</w:t>
      </w:r>
    </w:p>
    <w:p w14:paraId="365489EA">
      <w:pPr>
        <w:ind w:firstLine="480"/>
        <w:jc w:val="both"/>
      </w:pPr>
      <w:r>
        <w:t>通过实地调查与生物量拟合方程模型的计算，得出</w:t>
      </w:r>
      <w:r>
        <w:rPr>
          <w:rFonts w:hint="eastAsia"/>
        </w:rPr>
        <w:t>项目区和评价区</w:t>
      </w:r>
      <w:r>
        <w:t>各类型森林植被生物量统计如表4.6-1</w:t>
      </w:r>
      <w:r>
        <w:rPr>
          <w:rFonts w:hint="eastAsia"/>
        </w:rPr>
        <w:t>7和</w:t>
      </w:r>
      <w:r>
        <w:t>表4.6-</w:t>
      </w:r>
      <w:r>
        <w:rPr>
          <w:rFonts w:hint="eastAsia"/>
        </w:rPr>
        <w:t>18</w:t>
      </w:r>
      <w:r>
        <w:t>，单位面积植被生物量由大及小依次为</w:t>
      </w:r>
      <w:r>
        <w:rPr>
          <w:rFonts w:hint="eastAsia"/>
        </w:rPr>
        <w:t>：四合木+红砂、四合木+绵刺、绵刺+霸王和绵刺+沙冬青。</w:t>
      </w:r>
    </w:p>
    <w:p w14:paraId="6565C13C">
      <w:pPr>
        <w:spacing w:line="240" w:lineRule="auto"/>
        <w:ind w:firstLine="0" w:firstLineChars="0"/>
        <w:jc w:val="center"/>
        <w:rPr>
          <w:b/>
          <w:bCs/>
        </w:rPr>
      </w:pPr>
      <w:r>
        <w:rPr>
          <w:rFonts w:hint="eastAsia"/>
          <w:b/>
          <w:bCs/>
        </w:rPr>
        <w:t>表4.6-17 项目区植被生物量统计</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2905"/>
        <w:gridCol w:w="1909"/>
        <w:gridCol w:w="1486"/>
        <w:gridCol w:w="1352"/>
      </w:tblGrid>
      <w:tr w14:paraId="29FA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5" w:type="dxa"/>
            <w:vAlign w:val="center"/>
          </w:tcPr>
          <w:p w14:paraId="1EF60902">
            <w:pPr>
              <w:spacing w:line="240" w:lineRule="auto"/>
              <w:ind w:firstLine="0" w:firstLineChars="0"/>
              <w:jc w:val="center"/>
              <w:rPr>
                <w:b/>
                <w:sz w:val="21"/>
                <w:szCs w:val="21"/>
              </w:rPr>
            </w:pPr>
            <w:r>
              <w:rPr>
                <w:b/>
                <w:sz w:val="21"/>
                <w:szCs w:val="21"/>
              </w:rPr>
              <w:t>植被类型</w:t>
            </w:r>
          </w:p>
        </w:tc>
        <w:tc>
          <w:tcPr>
            <w:tcW w:w="2905" w:type="dxa"/>
            <w:vAlign w:val="center"/>
          </w:tcPr>
          <w:p w14:paraId="243DB23D">
            <w:pPr>
              <w:spacing w:line="240" w:lineRule="auto"/>
              <w:ind w:firstLine="0" w:firstLineChars="0"/>
              <w:jc w:val="center"/>
              <w:rPr>
                <w:b/>
                <w:sz w:val="21"/>
                <w:szCs w:val="21"/>
              </w:rPr>
            </w:pPr>
            <w:r>
              <w:rPr>
                <w:b/>
                <w:sz w:val="21"/>
                <w:szCs w:val="21"/>
              </w:rPr>
              <w:t>单位面积</w:t>
            </w:r>
            <w:r>
              <w:rPr>
                <w:rFonts w:hint="eastAsia"/>
                <w:b/>
                <w:sz w:val="21"/>
                <w:szCs w:val="21"/>
              </w:rPr>
              <w:t>植物</w:t>
            </w:r>
            <w:r>
              <w:rPr>
                <w:b/>
                <w:sz w:val="21"/>
                <w:szCs w:val="21"/>
              </w:rPr>
              <w:t>生物量（kg/m</w:t>
            </w:r>
            <w:r>
              <w:rPr>
                <w:b/>
                <w:sz w:val="21"/>
                <w:szCs w:val="21"/>
                <w:vertAlign w:val="superscript"/>
              </w:rPr>
              <w:t>2</w:t>
            </w:r>
            <w:r>
              <w:rPr>
                <w:b/>
                <w:sz w:val="21"/>
                <w:szCs w:val="21"/>
              </w:rPr>
              <w:t>）</w:t>
            </w:r>
          </w:p>
        </w:tc>
        <w:tc>
          <w:tcPr>
            <w:tcW w:w="1909" w:type="dxa"/>
            <w:vAlign w:val="center"/>
          </w:tcPr>
          <w:p w14:paraId="7465C10B">
            <w:pPr>
              <w:spacing w:line="240" w:lineRule="auto"/>
              <w:ind w:firstLine="0" w:firstLineChars="0"/>
              <w:jc w:val="center"/>
              <w:rPr>
                <w:b/>
                <w:sz w:val="21"/>
                <w:szCs w:val="21"/>
              </w:rPr>
            </w:pPr>
            <w:r>
              <w:rPr>
                <w:b/>
                <w:sz w:val="21"/>
                <w:szCs w:val="21"/>
              </w:rPr>
              <w:t>平均生产力t/ (ha)</w:t>
            </w:r>
          </w:p>
        </w:tc>
        <w:tc>
          <w:tcPr>
            <w:tcW w:w="1486" w:type="dxa"/>
            <w:vAlign w:val="center"/>
          </w:tcPr>
          <w:p w14:paraId="7DBCDF7A">
            <w:pPr>
              <w:spacing w:line="240" w:lineRule="auto"/>
              <w:ind w:firstLine="0" w:firstLineChars="0"/>
              <w:jc w:val="center"/>
              <w:rPr>
                <w:b/>
                <w:sz w:val="21"/>
                <w:szCs w:val="21"/>
              </w:rPr>
            </w:pPr>
            <w:r>
              <w:rPr>
                <w:b/>
                <w:sz w:val="21"/>
                <w:szCs w:val="21"/>
              </w:rPr>
              <w:t>面积（</w:t>
            </w:r>
            <w:r>
              <w:rPr>
                <w:rFonts w:hint="eastAsia"/>
                <w:b/>
                <w:sz w:val="21"/>
                <w:szCs w:val="21"/>
              </w:rPr>
              <w:t>h</w:t>
            </w:r>
            <w:r>
              <w:rPr>
                <w:b/>
                <w:sz w:val="21"/>
                <w:szCs w:val="21"/>
              </w:rPr>
              <w:t>m</w:t>
            </w:r>
            <w:r>
              <w:rPr>
                <w:b/>
                <w:sz w:val="21"/>
                <w:szCs w:val="21"/>
                <w:vertAlign w:val="superscript"/>
              </w:rPr>
              <w:t>2</w:t>
            </w:r>
            <w:r>
              <w:rPr>
                <w:b/>
                <w:sz w:val="21"/>
                <w:szCs w:val="21"/>
              </w:rPr>
              <w:t>）</w:t>
            </w:r>
          </w:p>
        </w:tc>
        <w:tc>
          <w:tcPr>
            <w:tcW w:w="1352" w:type="dxa"/>
            <w:vAlign w:val="center"/>
          </w:tcPr>
          <w:p w14:paraId="7391CC5D">
            <w:pPr>
              <w:spacing w:line="240" w:lineRule="auto"/>
              <w:ind w:firstLine="0" w:firstLineChars="0"/>
              <w:jc w:val="center"/>
              <w:rPr>
                <w:b/>
                <w:sz w:val="21"/>
                <w:szCs w:val="21"/>
              </w:rPr>
            </w:pPr>
            <w:r>
              <w:rPr>
                <w:b/>
                <w:sz w:val="21"/>
                <w:szCs w:val="21"/>
              </w:rPr>
              <w:t>总生物量（t）</w:t>
            </w:r>
          </w:p>
        </w:tc>
      </w:tr>
      <w:tr w14:paraId="7BBD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5" w:type="dxa"/>
          </w:tcPr>
          <w:p w14:paraId="598BA04F">
            <w:pPr>
              <w:spacing w:line="240" w:lineRule="auto"/>
              <w:ind w:firstLine="0" w:firstLineChars="0"/>
              <w:jc w:val="center"/>
              <w:rPr>
                <w:sz w:val="21"/>
                <w:szCs w:val="21"/>
              </w:rPr>
            </w:pPr>
            <w:r>
              <w:rPr>
                <w:rFonts w:hint="eastAsia"/>
                <w:sz w:val="21"/>
                <w:szCs w:val="21"/>
              </w:rPr>
              <w:t>沙冬青+红砂</w:t>
            </w:r>
          </w:p>
        </w:tc>
        <w:tc>
          <w:tcPr>
            <w:tcW w:w="2905" w:type="dxa"/>
          </w:tcPr>
          <w:p w14:paraId="2A5E9EF2">
            <w:pPr>
              <w:spacing w:line="240" w:lineRule="auto"/>
              <w:ind w:firstLine="0" w:firstLineChars="0"/>
              <w:jc w:val="center"/>
              <w:rPr>
                <w:sz w:val="21"/>
                <w:szCs w:val="21"/>
              </w:rPr>
            </w:pPr>
            <w:r>
              <w:rPr>
                <w:rFonts w:hint="eastAsia"/>
                <w:sz w:val="21"/>
                <w:szCs w:val="21"/>
              </w:rPr>
              <w:t>1.08-2.09</w:t>
            </w:r>
          </w:p>
        </w:tc>
        <w:tc>
          <w:tcPr>
            <w:tcW w:w="1909" w:type="dxa"/>
          </w:tcPr>
          <w:p w14:paraId="73A53D95">
            <w:pPr>
              <w:spacing w:line="240" w:lineRule="auto"/>
              <w:ind w:firstLine="0" w:firstLineChars="0"/>
              <w:jc w:val="center"/>
              <w:rPr>
                <w:sz w:val="21"/>
                <w:szCs w:val="21"/>
              </w:rPr>
            </w:pPr>
            <w:r>
              <w:rPr>
                <w:rFonts w:hint="eastAsia"/>
                <w:sz w:val="21"/>
                <w:szCs w:val="21"/>
              </w:rPr>
              <w:t>0.1644</w:t>
            </w:r>
          </w:p>
        </w:tc>
        <w:tc>
          <w:tcPr>
            <w:tcW w:w="1486" w:type="dxa"/>
            <w:vAlign w:val="center"/>
          </w:tcPr>
          <w:p w14:paraId="7923AF81">
            <w:pPr>
              <w:spacing w:line="240" w:lineRule="auto"/>
              <w:ind w:firstLine="0" w:firstLineChars="0"/>
              <w:jc w:val="center"/>
              <w:textAlignment w:val="center"/>
              <w:rPr>
                <w:kern w:val="0"/>
                <w:sz w:val="21"/>
                <w:szCs w:val="21"/>
                <w:lang w:bidi="ar"/>
              </w:rPr>
            </w:pPr>
            <w:r>
              <w:rPr>
                <w:rFonts w:hint="eastAsia"/>
                <w:kern w:val="0"/>
                <w:sz w:val="21"/>
                <w:szCs w:val="21"/>
                <w:lang w:bidi="ar"/>
              </w:rPr>
              <w:t>0.61</w:t>
            </w:r>
          </w:p>
        </w:tc>
        <w:tc>
          <w:tcPr>
            <w:tcW w:w="1352" w:type="dxa"/>
          </w:tcPr>
          <w:p w14:paraId="4A3A6F08">
            <w:pPr>
              <w:spacing w:line="240" w:lineRule="auto"/>
              <w:ind w:firstLine="0" w:firstLineChars="0"/>
              <w:jc w:val="center"/>
              <w:rPr>
                <w:sz w:val="21"/>
                <w:szCs w:val="21"/>
              </w:rPr>
            </w:pPr>
            <w:r>
              <w:rPr>
                <w:rFonts w:hint="eastAsia"/>
                <w:sz w:val="21"/>
                <w:szCs w:val="21"/>
              </w:rPr>
              <w:t>1.003</w:t>
            </w:r>
          </w:p>
        </w:tc>
      </w:tr>
      <w:tr w14:paraId="0E5C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5" w:type="dxa"/>
          </w:tcPr>
          <w:p w14:paraId="28D580AB">
            <w:pPr>
              <w:spacing w:line="240" w:lineRule="auto"/>
              <w:ind w:firstLine="0" w:firstLineChars="0"/>
              <w:jc w:val="center"/>
              <w:rPr>
                <w:sz w:val="21"/>
                <w:szCs w:val="21"/>
              </w:rPr>
            </w:pPr>
            <w:r>
              <w:rPr>
                <w:rFonts w:hint="eastAsia"/>
                <w:sz w:val="21"/>
                <w:szCs w:val="21"/>
              </w:rPr>
              <w:t>沙冬青+绵刺</w:t>
            </w:r>
          </w:p>
        </w:tc>
        <w:tc>
          <w:tcPr>
            <w:tcW w:w="2905" w:type="dxa"/>
          </w:tcPr>
          <w:p w14:paraId="675F4131">
            <w:pPr>
              <w:spacing w:line="240" w:lineRule="auto"/>
              <w:ind w:firstLine="0" w:firstLineChars="0"/>
              <w:jc w:val="center"/>
              <w:rPr>
                <w:sz w:val="21"/>
                <w:szCs w:val="21"/>
              </w:rPr>
            </w:pPr>
            <w:r>
              <w:rPr>
                <w:rFonts w:hint="eastAsia"/>
                <w:sz w:val="21"/>
                <w:szCs w:val="21"/>
              </w:rPr>
              <w:t>1.05-1.48</w:t>
            </w:r>
          </w:p>
        </w:tc>
        <w:tc>
          <w:tcPr>
            <w:tcW w:w="1909" w:type="dxa"/>
          </w:tcPr>
          <w:p w14:paraId="19BC7F53">
            <w:pPr>
              <w:spacing w:line="240" w:lineRule="auto"/>
              <w:ind w:firstLine="0" w:firstLineChars="0"/>
              <w:jc w:val="center"/>
              <w:rPr>
                <w:sz w:val="21"/>
                <w:szCs w:val="21"/>
              </w:rPr>
            </w:pPr>
            <w:r>
              <w:rPr>
                <w:rFonts w:hint="eastAsia"/>
                <w:sz w:val="21"/>
                <w:szCs w:val="21"/>
              </w:rPr>
              <w:t>0.1324</w:t>
            </w:r>
          </w:p>
        </w:tc>
        <w:tc>
          <w:tcPr>
            <w:tcW w:w="1486" w:type="dxa"/>
            <w:vAlign w:val="center"/>
          </w:tcPr>
          <w:p w14:paraId="6561FF7A">
            <w:pPr>
              <w:spacing w:line="240" w:lineRule="auto"/>
              <w:ind w:firstLine="0" w:firstLineChars="0"/>
              <w:jc w:val="center"/>
              <w:textAlignment w:val="center"/>
              <w:rPr>
                <w:kern w:val="0"/>
                <w:sz w:val="21"/>
                <w:szCs w:val="21"/>
                <w:lang w:bidi="ar"/>
              </w:rPr>
            </w:pPr>
            <w:r>
              <w:rPr>
                <w:rFonts w:hint="eastAsia"/>
                <w:kern w:val="0"/>
                <w:sz w:val="21"/>
                <w:szCs w:val="21"/>
                <w:lang w:bidi="ar"/>
              </w:rPr>
              <w:t>6.98</w:t>
            </w:r>
          </w:p>
        </w:tc>
        <w:tc>
          <w:tcPr>
            <w:tcW w:w="1352" w:type="dxa"/>
          </w:tcPr>
          <w:p w14:paraId="37A67B35">
            <w:pPr>
              <w:spacing w:line="240" w:lineRule="auto"/>
              <w:ind w:firstLine="0" w:firstLineChars="0"/>
              <w:jc w:val="center"/>
              <w:rPr>
                <w:sz w:val="21"/>
                <w:szCs w:val="21"/>
              </w:rPr>
            </w:pPr>
            <w:r>
              <w:rPr>
                <w:rFonts w:hint="eastAsia"/>
                <w:sz w:val="21"/>
                <w:szCs w:val="21"/>
              </w:rPr>
              <w:t>0.924</w:t>
            </w:r>
          </w:p>
        </w:tc>
      </w:tr>
      <w:tr w14:paraId="3C24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5" w:type="dxa"/>
          </w:tcPr>
          <w:p w14:paraId="01E6C812">
            <w:pPr>
              <w:spacing w:line="240" w:lineRule="auto"/>
              <w:ind w:firstLine="0" w:firstLineChars="0"/>
              <w:jc w:val="center"/>
              <w:rPr>
                <w:sz w:val="21"/>
                <w:szCs w:val="21"/>
              </w:rPr>
            </w:pPr>
            <w:r>
              <w:rPr>
                <w:rFonts w:hint="eastAsia"/>
                <w:sz w:val="21"/>
                <w:szCs w:val="21"/>
              </w:rPr>
              <w:t>绵刺+霸王</w:t>
            </w:r>
          </w:p>
        </w:tc>
        <w:tc>
          <w:tcPr>
            <w:tcW w:w="2905" w:type="dxa"/>
          </w:tcPr>
          <w:p w14:paraId="401EFED7">
            <w:pPr>
              <w:spacing w:line="240" w:lineRule="auto"/>
              <w:ind w:firstLine="0" w:firstLineChars="0"/>
              <w:jc w:val="center"/>
              <w:rPr>
                <w:sz w:val="21"/>
                <w:szCs w:val="21"/>
              </w:rPr>
            </w:pPr>
            <w:r>
              <w:rPr>
                <w:rFonts w:hint="eastAsia"/>
                <w:sz w:val="21"/>
                <w:szCs w:val="21"/>
              </w:rPr>
              <w:t>1</w:t>
            </w:r>
            <w:r>
              <w:rPr>
                <w:sz w:val="21"/>
                <w:szCs w:val="21"/>
              </w:rPr>
              <w:t>.12-1.76</w:t>
            </w:r>
          </w:p>
        </w:tc>
        <w:tc>
          <w:tcPr>
            <w:tcW w:w="1909" w:type="dxa"/>
          </w:tcPr>
          <w:p w14:paraId="435A3320">
            <w:pPr>
              <w:spacing w:line="240" w:lineRule="auto"/>
              <w:ind w:firstLine="0" w:firstLineChars="0"/>
              <w:jc w:val="center"/>
              <w:rPr>
                <w:sz w:val="21"/>
                <w:szCs w:val="21"/>
              </w:rPr>
            </w:pPr>
            <w:r>
              <w:rPr>
                <w:rFonts w:hint="eastAsia"/>
                <w:sz w:val="21"/>
                <w:szCs w:val="21"/>
              </w:rPr>
              <w:t>0</w:t>
            </w:r>
            <w:r>
              <w:rPr>
                <w:sz w:val="21"/>
                <w:szCs w:val="21"/>
              </w:rPr>
              <w:t>.1417</w:t>
            </w:r>
          </w:p>
        </w:tc>
        <w:tc>
          <w:tcPr>
            <w:tcW w:w="1486" w:type="dxa"/>
            <w:vAlign w:val="center"/>
          </w:tcPr>
          <w:p w14:paraId="2462E80D">
            <w:pPr>
              <w:spacing w:line="240" w:lineRule="auto"/>
              <w:ind w:firstLine="0" w:firstLineChars="0"/>
              <w:jc w:val="center"/>
              <w:textAlignment w:val="center"/>
              <w:rPr>
                <w:kern w:val="0"/>
                <w:sz w:val="21"/>
                <w:szCs w:val="21"/>
                <w:lang w:bidi="ar"/>
              </w:rPr>
            </w:pPr>
            <w:r>
              <w:rPr>
                <w:rFonts w:hint="eastAsia"/>
                <w:kern w:val="0"/>
                <w:sz w:val="21"/>
                <w:szCs w:val="21"/>
                <w:lang w:bidi="ar"/>
              </w:rPr>
              <w:t>20.43</w:t>
            </w:r>
          </w:p>
        </w:tc>
        <w:tc>
          <w:tcPr>
            <w:tcW w:w="1352" w:type="dxa"/>
          </w:tcPr>
          <w:p w14:paraId="24F9780D">
            <w:pPr>
              <w:spacing w:line="240" w:lineRule="auto"/>
              <w:ind w:firstLine="0" w:firstLineChars="0"/>
              <w:jc w:val="center"/>
              <w:rPr>
                <w:sz w:val="21"/>
                <w:szCs w:val="21"/>
              </w:rPr>
            </w:pPr>
            <w:r>
              <w:rPr>
                <w:rFonts w:hint="eastAsia"/>
                <w:sz w:val="21"/>
                <w:szCs w:val="21"/>
              </w:rPr>
              <w:t>2.895</w:t>
            </w:r>
          </w:p>
        </w:tc>
      </w:tr>
      <w:tr w14:paraId="68D8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5" w:type="dxa"/>
          </w:tcPr>
          <w:p w14:paraId="10168B86">
            <w:pPr>
              <w:spacing w:line="240" w:lineRule="auto"/>
              <w:ind w:firstLine="0" w:firstLineChars="0"/>
              <w:jc w:val="center"/>
              <w:rPr>
                <w:sz w:val="21"/>
                <w:szCs w:val="21"/>
              </w:rPr>
            </w:pPr>
            <w:r>
              <w:rPr>
                <w:rFonts w:hint="eastAsia"/>
                <w:sz w:val="21"/>
                <w:szCs w:val="21"/>
              </w:rPr>
              <w:t>合计</w:t>
            </w:r>
          </w:p>
        </w:tc>
        <w:tc>
          <w:tcPr>
            <w:tcW w:w="2905" w:type="dxa"/>
          </w:tcPr>
          <w:p w14:paraId="7CD3BAD8">
            <w:pPr>
              <w:spacing w:line="240" w:lineRule="auto"/>
              <w:ind w:firstLine="0" w:firstLineChars="0"/>
              <w:jc w:val="center"/>
              <w:rPr>
                <w:sz w:val="21"/>
                <w:szCs w:val="21"/>
              </w:rPr>
            </w:pPr>
            <w:r>
              <w:rPr>
                <w:rFonts w:hint="eastAsia"/>
                <w:sz w:val="21"/>
                <w:szCs w:val="21"/>
              </w:rPr>
              <w:t>/</w:t>
            </w:r>
          </w:p>
        </w:tc>
        <w:tc>
          <w:tcPr>
            <w:tcW w:w="1909" w:type="dxa"/>
          </w:tcPr>
          <w:p w14:paraId="4FE8E791">
            <w:pPr>
              <w:spacing w:line="240" w:lineRule="auto"/>
              <w:ind w:firstLine="0" w:firstLineChars="0"/>
              <w:jc w:val="center"/>
              <w:rPr>
                <w:sz w:val="21"/>
                <w:szCs w:val="21"/>
              </w:rPr>
            </w:pPr>
            <w:r>
              <w:rPr>
                <w:rFonts w:hint="eastAsia"/>
                <w:sz w:val="21"/>
                <w:szCs w:val="21"/>
              </w:rPr>
              <w:t>/</w:t>
            </w:r>
          </w:p>
        </w:tc>
        <w:tc>
          <w:tcPr>
            <w:tcW w:w="1486" w:type="dxa"/>
            <w:vAlign w:val="center"/>
          </w:tcPr>
          <w:p w14:paraId="0D789621">
            <w:pPr>
              <w:spacing w:line="240" w:lineRule="auto"/>
              <w:ind w:firstLine="0" w:firstLineChars="0"/>
              <w:jc w:val="center"/>
              <w:textAlignment w:val="center"/>
              <w:rPr>
                <w:kern w:val="0"/>
                <w:sz w:val="21"/>
                <w:szCs w:val="21"/>
                <w:lang w:bidi="ar"/>
              </w:rPr>
            </w:pPr>
            <w:r>
              <w:rPr>
                <w:rFonts w:hint="eastAsia"/>
                <w:kern w:val="0"/>
                <w:sz w:val="21"/>
                <w:szCs w:val="21"/>
                <w:lang w:bidi="ar"/>
              </w:rPr>
              <w:t>/</w:t>
            </w:r>
          </w:p>
        </w:tc>
        <w:tc>
          <w:tcPr>
            <w:tcW w:w="1352" w:type="dxa"/>
          </w:tcPr>
          <w:p w14:paraId="7D848B8C">
            <w:pPr>
              <w:spacing w:line="240" w:lineRule="auto"/>
              <w:ind w:firstLine="0" w:firstLineChars="0"/>
              <w:jc w:val="center"/>
              <w:rPr>
                <w:sz w:val="21"/>
                <w:szCs w:val="21"/>
              </w:rPr>
            </w:pPr>
            <w:r>
              <w:rPr>
                <w:rFonts w:hint="eastAsia"/>
                <w:sz w:val="21"/>
                <w:szCs w:val="21"/>
              </w:rPr>
              <w:t>4.822</w:t>
            </w:r>
          </w:p>
        </w:tc>
      </w:tr>
    </w:tbl>
    <w:p w14:paraId="57AC2243">
      <w:pPr>
        <w:ind w:firstLine="480"/>
      </w:pPr>
      <w:r>
        <w:rPr>
          <w:rFonts w:hint="eastAsia"/>
        </w:rPr>
        <w:t>有上表可知，本项目占地范围内破坏生物量为4.822t。</w:t>
      </w:r>
    </w:p>
    <w:p w14:paraId="2CDF9D6B">
      <w:pPr>
        <w:spacing w:line="240" w:lineRule="auto"/>
        <w:ind w:firstLine="0" w:firstLineChars="0"/>
        <w:jc w:val="center"/>
        <w:rPr>
          <w:b/>
          <w:bCs/>
        </w:rPr>
      </w:pPr>
      <w:r>
        <w:rPr>
          <w:b/>
          <w:bCs/>
        </w:rPr>
        <w:t>表4.6-</w:t>
      </w:r>
      <w:r>
        <w:rPr>
          <w:rFonts w:hint="eastAsia"/>
          <w:b/>
          <w:bCs/>
        </w:rPr>
        <w:t>18</w:t>
      </w:r>
      <w:r>
        <w:rPr>
          <w:b/>
          <w:bCs/>
        </w:rPr>
        <w:t xml:space="preserve">  </w:t>
      </w:r>
      <w:r>
        <w:rPr>
          <w:rFonts w:hint="eastAsia"/>
          <w:b/>
          <w:bCs/>
        </w:rPr>
        <w:t>评价区</w:t>
      </w:r>
      <w:r>
        <w:rPr>
          <w:b/>
          <w:bCs/>
        </w:rPr>
        <w:t>植被生物量统计</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3057"/>
        <w:gridCol w:w="1934"/>
        <w:gridCol w:w="1321"/>
        <w:gridCol w:w="1435"/>
      </w:tblGrid>
      <w:tr w14:paraId="3A16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829" w:type="pct"/>
            <w:shd w:val="clear" w:color="auto" w:fill="auto"/>
            <w:vAlign w:val="center"/>
          </w:tcPr>
          <w:p w14:paraId="11426559">
            <w:pPr>
              <w:spacing w:line="240" w:lineRule="auto"/>
              <w:ind w:firstLine="0" w:firstLineChars="0"/>
              <w:jc w:val="center"/>
              <w:rPr>
                <w:b/>
                <w:sz w:val="21"/>
                <w:szCs w:val="21"/>
              </w:rPr>
            </w:pPr>
            <w:r>
              <w:rPr>
                <w:b/>
                <w:sz w:val="21"/>
                <w:szCs w:val="21"/>
              </w:rPr>
              <w:t>植被类型</w:t>
            </w:r>
          </w:p>
        </w:tc>
        <w:tc>
          <w:tcPr>
            <w:tcW w:w="1645" w:type="pct"/>
            <w:shd w:val="clear" w:color="auto" w:fill="auto"/>
            <w:vAlign w:val="center"/>
          </w:tcPr>
          <w:p w14:paraId="189CFBE5">
            <w:pPr>
              <w:spacing w:line="240" w:lineRule="auto"/>
              <w:ind w:firstLine="0" w:firstLineChars="0"/>
              <w:jc w:val="center"/>
              <w:rPr>
                <w:b/>
                <w:sz w:val="21"/>
                <w:szCs w:val="21"/>
              </w:rPr>
            </w:pPr>
            <w:r>
              <w:rPr>
                <w:b/>
                <w:sz w:val="21"/>
                <w:szCs w:val="21"/>
              </w:rPr>
              <w:t>单位面积</w:t>
            </w:r>
            <w:r>
              <w:rPr>
                <w:rFonts w:hint="eastAsia"/>
                <w:b/>
                <w:sz w:val="21"/>
                <w:szCs w:val="21"/>
              </w:rPr>
              <w:t>植物</w:t>
            </w:r>
            <w:r>
              <w:rPr>
                <w:b/>
                <w:sz w:val="21"/>
                <w:szCs w:val="21"/>
              </w:rPr>
              <w:t>生物量（kg/ m</w:t>
            </w:r>
            <w:r>
              <w:rPr>
                <w:b/>
                <w:sz w:val="21"/>
                <w:szCs w:val="21"/>
                <w:vertAlign w:val="superscript"/>
              </w:rPr>
              <w:t>2</w:t>
            </w:r>
            <w:r>
              <w:rPr>
                <w:b/>
                <w:sz w:val="21"/>
                <w:szCs w:val="21"/>
              </w:rPr>
              <w:t>）</w:t>
            </w:r>
          </w:p>
        </w:tc>
        <w:tc>
          <w:tcPr>
            <w:tcW w:w="1041" w:type="pct"/>
            <w:vAlign w:val="center"/>
          </w:tcPr>
          <w:p w14:paraId="73C63A46">
            <w:pPr>
              <w:spacing w:line="240" w:lineRule="auto"/>
              <w:ind w:firstLine="0" w:firstLineChars="0"/>
              <w:jc w:val="center"/>
              <w:rPr>
                <w:b/>
                <w:sz w:val="21"/>
                <w:szCs w:val="21"/>
              </w:rPr>
            </w:pPr>
            <w:r>
              <w:rPr>
                <w:b/>
                <w:sz w:val="21"/>
                <w:szCs w:val="21"/>
              </w:rPr>
              <w:t>平均生产力t/ (ha)</w:t>
            </w:r>
          </w:p>
        </w:tc>
        <w:tc>
          <w:tcPr>
            <w:tcW w:w="711" w:type="pct"/>
            <w:shd w:val="clear" w:color="auto" w:fill="auto"/>
            <w:vAlign w:val="center"/>
          </w:tcPr>
          <w:p w14:paraId="0CB4E77E">
            <w:pPr>
              <w:spacing w:line="240" w:lineRule="auto"/>
              <w:ind w:firstLine="0" w:firstLineChars="0"/>
              <w:jc w:val="center"/>
              <w:rPr>
                <w:b/>
                <w:sz w:val="21"/>
                <w:szCs w:val="21"/>
              </w:rPr>
            </w:pPr>
            <w:r>
              <w:rPr>
                <w:b/>
                <w:sz w:val="21"/>
                <w:szCs w:val="21"/>
              </w:rPr>
              <w:t>面积（km</w:t>
            </w:r>
            <w:r>
              <w:rPr>
                <w:b/>
                <w:sz w:val="21"/>
                <w:szCs w:val="21"/>
                <w:vertAlign w:val="superscript"/>
              </w:rPr>
              <w:t>2</w:t>
            </w:r>
            <w:r>
              <w:rPr>
                <w:b/>
                <w:sz w:val="21"/>
                <w:szCs w:val="21"/>
              </w:rPr>
              <w:t>）</w:t>
            </w:r>
          </w:p>
        </w:tc>
        <w:tc>
          <w:tcPr>
            <w:tcW w:w="772" w:type="pct"/>
            <w:shd w:val="clear" w:color="auto" w:fill="auto"/>
            <w:vAlign w:val="center"/>
          </w:tcPr>
          <w:p w14:paraId="040A2C2B">
            <w:pPr>
              <w:spacing w:line="240" w:lineRule="auto"/>
              <w:ind w:firstLine="0" w:firstLineChars="0"/>
              <w:jc w:val="center"/>
              <w:rPr>
                <w:b/>
                <w:sz w:val="21"/>
                <w:szCs w:val="21"/>
              </w:rPr>
            </w:pPr>
            <w:r>
              <w:rPr>
                <w:b/>
                <w:sz w:val="21"/>
                <w:szCs w:val="21"/>
              </w:rPr>
              <w:t>总生物量（t）</w:t>
            </w:r>
          </w:p>
        </w:tc>
      </w:tr>
      <w:tr w14:paraId="5B5F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29" w:type="pct"/>
            <w:shd w:val="clear" w:color="auto" w:fill="auto"/>
            <w:vAlign w:val="center"/>
          </w:tcPr>
          <w:p w14:paraId="76EAF924">
            <w:pPr>
              <w:spacing w:line="240" w:lineRule="auto"/>
              <w:ind w:firstLine="0" w:firstLineChars="0"/>
              <w:jc w:val="center"/>
              <w:rPr>
                <w:sz w:val="21"/>
                <w:szCs w:val="21"/>
              </w:rPr>
            </w:pPr>
            <w:r>
              <w:rPr>
                <w:rFonts w:hint="eastAsia"/>
                <w:sz w:val="21"/>
                <w:szCs w:val="21"/>
              </w:rPr>
              <w:t>四合木+红砂</w:t>
            </w:r>
          </w:p>
        </w:tc>
        <w:tc>
          <w:tcPr>
            <w:tcW w:w="1645" w:type="pct"/>
            <w:shd w:val="clear" w:color="auto" w:fill="auto"/>
            <w:vAlign w:val="center"/>
          </w:tcPr>
          <w:p w14:paraId="3705E88C">
            <w:pPr>
              <w:spacing w:line="240" w:lineRule="auto"/>
              <w:ind w:firstLine="0" w:firstLineChars="0"/>
              <w:jc w:val="center"/>
              <w:rPr>
                <w:sz w:val="21"/>
                <w:szCs w:val="21"/>
              </w:rPr>
            </w:pPr>
            <w:r>
              <w:rPr>
                <w:sz w:val="21"/>
                <w:szCs w:val="21"/>
              </w:rPr>
              <w:t>1.02-1.67</w:t>
            </w:r>
          </w:p>
        </w:tc>
        <w:tc>
          <w:tcPr>
            <w:tcW w:w="1041" w:type="pct"/>
            <w:vAlign w:val="center"/>
          </w:tcPr>
          <w:p w14:paraId="6A3778F7">
            <w:pPr>
              <w:spacing w:line="240" w:lineRule="auto"/>
              <w:ind w:firstLine="0" w:firstLineChars="0"/>
              <w:jc w:val="center"/>
              <w:rPr>
                <w:sz w:val="21"/>
                <w:szCs w:val="21"/>
              </w:rPr>
            </w:pPr>
            <w:r>
              <w:rPr>
                <w:sz w:val="21"/>
                <w:szCs w:val="21"/>
              </w:rPr>
              <w:t>0.1345</w:t>
            </w:r>
          </w:p>
        </w:tc>
        <w:tc>
          <w:tcPr>
            <w:tcW w:w="711" w:type="pct"/>
            <w:shd w:val="clear" w:color="auto" w:fill="auto"/>
            <w:vAlign w:val="center"/>
          </w:tcPr>
          <w:p w14:paraId="7C0310C9">
            <w:pPr>
              <w:spacing w:line="240" w:lineRule="auto"/>
              <w:ind w:firstLine="0" w:firstLineChars="0"/>
              <w:jc w:val="center"/>
              <w:rPr>
                <w:sz w:val="21"/>
                <w:szCs w:val="21"/>
              </w:rPr>
            </w:pPr>
            <w:r>
              <w:rPr>
                <w:rFonts w:hint="eastAsia"/>
                <w:sz w:val="21"/>
                <w:szCs w:val="21"/>
              </w:rPr>
              <w:t xml:space="preserve">3.23 </w:t>
            </w:r>
          </w:p>
        </w:tc>
        <w:tc>
          <w:tcPr>
            <w:tcW w:w="772" w:type="pct"/>
            <w:shd w:val="clear" w:color="auto" w:fill="auto"/>
            <w:vAlign w:val="center"/>
          </w:tcPr>
          <w:p w14:paraId="30F6F68C">
            <w:pPr>
              <w:spacing w:line="240" w:lineRule="auto"/>
              <w:ind w:firstLine="0" w:firstLineChars="0"/>
              <w:jc w:val="center"/>
              <w:rPr>
                <w:sz w:val="21"/>
                <w:szCs w:val="21"/>
              </w:rPr>
            </w:pPr>
            <w:r>
              <w:rPr>
                <w:rFonts w:hint="eastAsia"/>
                <w:sz w:val="21"/>
                <w:szCs w:val="21"/>
              </w:rPr>
              <w:t>434.44</w:t>
            </w:r>
          </w:p>
        </w:tc>
      </w:tr>
      <w:tr w14:paraId="7207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29" w:type="pct"/>
            <w:shd w:val="clear" w:color="auto" w:fill="auto"/>
            <w:vAlign w:val="center"/>
          </w:tcPr>
          <w:p w14:paraId="69722BDB">
            <w:pPr>
              <w:spacing w:line="240" w:lineRule="auto"/>
              <w:ind w:firstLine="0" w:firstLineChars="0"/>
              <w:jc w:val="center"/>
              <w:rPr>
                <w:sz w:val="21"/>
                <w:szCs w:val="21"/>
              </w:rPr>
            </w:pPr>
            <w:r>
              <w:rPr>
                <w:rFonts w:hint="eastAsia"/>
                <w:sz w:val="21"/>
                <w:szCs w:val="21"/>
              </w:rPr>
              <w:t>四合木+绵刺</w:t>
            </w:r>
          </w:p>
        </w:tc>
        <w:tc>
          <w:tcPr>
            <w:tcW w:w="1645" w:type="pct"/>
            <w:shd w:val="clear" w:color="auto" w:fill="auto"/>
            <w:vAlign w:val="center"/>
          </w:tcPr>
          <w:p w14:paraId="11787F0E">
            <w:pPr>
              <w:spacing w:line="240" w:lineRule="auto"/>
              <w:ind w:firstLine="0" w:firstLineChars="0"/>
              <w:jc w:val="center"/>
              <w:rPr>
                <w:sz w:val="21"/>
                <w:szCs w:val="21"/>
              </w:rPr>
            </w:pPr>
            <w:r>
              <w:rPr>
                <w:sz w:val="21"/>
                <w:szCs w:val="21"/>
              </w:rPr>
              <w:t>0.99-1.06</w:t>
            </w:r>
          </w:p>
        </w:tc>
        <w:tc>
          <w:tcPr>
            <w:tcW w:w="1041" w:type="pct"/>
            <w:vAlign w:val="center"/>
          </w:tcPr>
          <w:p w14:paraId="5FF459D4">
            <w:pPr>
              <w:spacing w:line="240" w:lineRule="auto"/>
              <w:ind w:firstLine="0" w:firstLineChars="0"/>
              <w:jc w:val="center"/>
              <w:rPr>
                <w:sz w:val="21"/>
                <w:szCs w:val="21"/>
              </w:rPr>
            </w:pPr>
            <w:r>
              <w:rPr>
                <w:sz w:val="21"/>
                <w:szCs w:val="21"/>
              </w:rPr>
              <w:t>0.1025</w:t>
            </w:r>
          </w:p>
        </w:tc>
        <w:tc>
          <w:tcPr>
            <w:tcW w:w="711" w:type="pct"/>
            <w:shd w:val="clear" w:color="auto" w:fill="auto"/>
            <w:vAlign w:val="center"/>
          </w:tcPr>
          <w:p w14:paraId="029D1F05">
            <w:pPr>
              <w:spacing w:line="240" w:lineRule="auto"/>
              <w:ind w:firstLine="0" w:firstLineChars="0"/>
              <w:jc w:val="center"/>
              <w:rPr>
                <w:sz w:val="21"/>
                <w:szCs w:val="21"/>
              </w:rPr>
            </w:pPr>
            <w:r>
              <w:rPr>
                <w:rFonts w:hint="eastAsia"/>
                <w:sz w:val="21"/>
                <w:szCs w:val="21"/>
              </w:rPr>
              <w:t>1.37</w:t>
            </w:r>
          </w:p>
        </w:tc>
        <w:tc>
          <w:tcPr>
            <w:tcW w:w="772" w:type="pct"/>
            <w:shd w:val="clear" w:color="auto" w:fill="auto"/>
            <w:vAlign w:val="center"/>
          </w:tcPr>
          <w:p w14:paraId="3181D93E">
            <w:pPr>
              <w:spacing w:line="240" w:lineRule="auto"/>
              <w:ind w:firstLine="0" w:firstLineChars="0"/>
              <w:jc w:val="center"/>
              <w:rPr>
                <w:sz w:val="21"/>
                <w:szCs w:val="21"/>
              </w:rPr>
            </w:pPr>
            <w:r>
              <w:rPr>
                <w:rFonts w:hint="eastAsia"/>
                <w:sz w:val="21"/>
                <w:szCs w:val="21"/>
              </w:rPr>
              <w:t>140.43</w:t>
            </w:r>
          </w:p>
        </w:tc>
      </w:tr>
      <w:tr w14:paraId="5205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29" w:type="pct"/>
            <w:shd w:val="clear" w:color="auto" w:fill="auto"/>
            <w:vAlign w:val="center"/>
          </w:tcPr>
          <w:p w14:paraId="30EF87F2">
            <w:pPr>
              <w:spacing w:line="240" w:lineRule="auto"/>
              <w:ind w:firstLine="0" w:firstLineChars="0"/>
              <w:jc w:val="center"/>
              <w:rPr>
                <w:sz w:val="21"/>
                <w:szCs w:val="21"/>
              </w:rPr>
            </w:pPr>
            <w:r>
              <w:rPr>
                <w:rFonts w:hint="eastAsia"/>
                <w:sz w:val="21"/>
                <w:szCs w:val="21"/>
              </w:rPr>
              <w:t>绵刺+霸王</w:t>
            </w:r>
          </w:p>
        </w:tc>
        <w:tc>
          <w:tcPr>
            <w:tcW w:w="1645" w:type="pct"/>
            <w:shd w:val="clear" w:color="auto" w:fill="auto"/>
            <w:vAlign w:val="center"/>
          </w:tcPr>
          <w:p w14:paraId="32238A38">
            <w:pPr>
              <w:spacing w:line="240" w:lineRule="auto"/>
              <w:ind w:firstLine="0" w:firstLineChars="0"/>
              <w:jc w:val="center"/>
              <w:rPr>
                <w:sz w:val="21"/>
                <w:szCs w:val="21"/>
              </w:rPr>
            </w:pPr>
            <w:r>
              <w:rPr>
                <w:rFonts w:hint="eastAsia"/>
                <w:sz w:val="21"/>
                <w:szCs w:val="21"/>
              </w:rPr>
              <w:t>1</w:t>
            </w:r>
            <w:r>
              <w:rPr>
                <w:sz w:val="21"/>
                <w:szCs w:val="21"/>
              </w:rPr>
              <w:t>.12-1.76</w:t>
            </w:r>
          </w:p>
        </w:tc>
        <w:tc>
          <w:tcPr>
            <w:tcW w:w="1041" w:type="pct"/>
            <w:vAlign w:val="center"/>
          </w:tcPr>
          <w:p w14:paraId="5DCA8541">
            <w:pPr>
              <w:spacing w:line="240" w:lineRule="auto"/>
              <w:ind w:firstLine="0" w:firstLineChars="0"/>
              <w:jc w:val="center"/>
              <w:rPr>
                <w:sz w:val="21"/>
                <w:szCs w:val="21"/>
              </w:rPr>
            </w:pPr>
            <w:r>
              <w:rPr>
                <w:rFonts w:hint="eastAsia"/>
                <w:sz w:val="21"/>
                <w:szCs w:val="21"/>
              </w:rPr>
              <w:t>0</w:t>
            </w:r>
            <w:r>
              <w:rPr>
                <w:sz w:val="21"/>
                <w:szCs w:val="21"/>
              </w:rPr>
              <w:t>.1417</w:t>
            </w:r>
          </w:p>
        </w:tc>
        <w:tc>
          <w:tcPr>
            <w:tcW w:w="711" w:type="pct"/>
            <w:shd w:val="clear" w:color="auto" w:fill="auto"/>
            <w:vAlign w:val="center"/>
          </w:tcPr>
          <w:p w14:paraId="6AEF67DB">
            <w:pPr>
              <w:spacing w:line="240" w:lineRule="auto"/>
              <w:ind w:firstLine="0" w:firstLineChars="0"/>
              <w:jc w:val="center"/>
              <w:rPr>
                <w:sz w:val="21"/>
                <w:szCs w:val="21"/>
              </w:rPr>
            </w:pPr>
            <w:r>
              <w:rPr>
                <w:rFonts w:hint="eastAsia"/>
                <w:sz w:val="21"/>
                <w:szCs w:val="21"/>
              </w:rPr>
              <w:t xml:space="preserve">0.59 </w:t>
            </w:r>
          </w:p>
        </w:tc>
        <w:tc>
          <w:tcPr>
            <w:tcW w:w="772" w:type="pct"/>
            <w:shd w:val="clear" w:color="auto" w:fill="auto"/>
            <w:vAlign w:val="center"/>
          </w:tcPr>
          <w:p w14:paraId="271F6063">
            <w:pPr>
              <w:spacing w:line="240" w:lineRule="auto"/>
              <w:ind w:firstLine="0" w:firstLineChars="0"/>
              <w:jc w:val="center"/>
              <w:rPr>
                <w:sz w:val="21"/>
                <w:szCs w:val="21"/>
              </w:rPr>
            </w:pPr>
            <w:r>
              <w:rPr>
                <w:rFonts w:hint="eastAsia"/>
                <w:sz w:val="21"/>
                <w:szCs w:val="21"/>
              </w:rPr>
              <w:t>83.60</w:t>
            </w:r>
          </w:p>
        </w:tc>
      </w:tr>
      <w:tr w14:paraId="4875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29" w:type="pct"/>
            <w:shd w:val="clear" w:color="auto" w:fill="auto"/>
            <w:vAlign w:val="center"/>
          </w:tcPr>
          <w:p w14:paraId="7CCF3794">
            <w:pPr>
              <w:spacing w:line="240" w:lineRule="auto"/>
              <w:ind w:firstLine="0" w:firstLineChars="0"/>
              <w:jc w:val="center"/>
              <w:rPr>
                <w:sz w:val="21"/>
                <w:szCs w:val="21"/>
              </w:rPr>
            </w:pPr>
            <w:r>
              <w:rPr>
                <w:rFonts w:hint="eastAsia"/>
                <w:sz w:val="21"/>
                <w:szCs w:val="21"/>
              </w:rPr>
              <w:t>绵刺+沙冬青</w:t>
            </w:r>
          </w:p>
        </w:tc>
        <w:tc>
          <w:tcPr>
            <w:tcW w:w="1645" w:type="pct"/>
            <w:shd w:val="clear" w:color="auto" w:fill="auto"/>
            <w:vAlign w:val="center"/>
          </w:tcPr>
          <w:p w14:paraId="23B61FB0">
            <w:pPr>
              <w:spacing w:line="240" w:lineRule="auto"/>
              <w:ind w:firstLine="0" w:firstLineChars="0"/>
              <w:jc w:val="center"/>
              <w:rPr>
                <w:sz w:val="21"/>
                <w:szCs w:val="21"/>
              </w:rPr>
            </w:pPr>
            <w:r>
              <w:rPr>
                <w:rFonts w:hint="eastAsia"/>
                <w:sz w:val="21"/>
                <w:szCs w:val="21"/>
              </w:rPr>
              <w:t>1.05-1.48</w:t>
            </w:r>
          </w:p>
        </w:tc>
        <w:tc>
          <w:tcPr>
            <w:tcW w:w="1041" w:type="pct"/>
            <w:vAlign w:val="center"/>
          </w:tcPr>
          <w:p w14:paraId="13AB0FEF">
            <w:pPr>
              <w:spacing w:line="240" w:lineRule="auto"/>
              <w:ind w:firstLine="0" w:firstLineChars="0"/>
              <w:jc w:val="center"/>
              <w:rPr>
                <w:sz w:val="21"/>
                <w:szCs w:val="21"/>
              </w:rPr>
            </w:pPr>
            <w:r>
              <w:rPr>
                <w:rFonts w:hint="eastAsia"/>
                <w:sz w:val="21"/>
                <w:szCs w:val="21"/>
              </w:rPr>
              <w:t>0.1324</w:t>
            </w:r>
          </w:p>
        </w:tc>
        <w:tc>
          <w:tcPr>
            <w:tcW w:w="711" w:type="pct"/>
            <w:shd w:val="clear" w:color="auto" w:fill="auto"/>
            <w:vAlign w:val="center"/>
          </w:tcPr>
          <w:p w14:paraId="2AE37AC5">
            <w:pPr>
              <w:spacing w:line="240" w:lineRule="auto"/>
              <w:ind w:firstLine="0" w:firstLineChars="0"/>
              <w:jc w:val="center"/>
              <w:rPr>
                <w:sz w:val="21"/>
                <w:szCs w:val="21"/>
              </w:rPr>
            </w:pPr>
            <w:r>
              <w:rPr>
                <w:rFonts w:hint="eastAsia"/>
                <w:sz w:val="21"/>
                <w:szCs w:val="21"/>
              </w:rPr>
              <w:t>0.06</w:t>
            </w:r>
          </w:p>
        </w:tc>
        <w:tc>
          <w:tcPr>
            <w:tcW w:w="772" w:type="pct"/>
            <w:shd w:val="clear" w:color="auto" w:fill="auto"/>
            <w:vAlign w:val="center"/>
          </w:tcPr>
          <w:p w14:paraId="20D38C9A">
            <w:pPr>
              <w:spacing w:line="240" w:lineRule="auto"/>
              <w:ind w:firstLine="0" w:firstLineChars="0"/>
              <w:jc w:val="center"/>
              <w:rPr>
                <w:sz w:val="21"/>
                <w:szCs w:val="21"/>
              </w:rPr>
            </w:pPr>
            <w:r>
              <w:rPr>
                <w:rFonts w:hint="eastAsia"/>
                <w:sz w:val="21"/>
                <w:szCs w:val="21"/>
              </w:rPr>
              <w:t>7.94</w:t>
            </w:r>
          </w:p>
        </w:tc>
      </w:tr>
    </w:tbl>
    <w:p w14:paraId="5020D6FA">
      <w:pPr>
        <w:pStyle w:val="11"/>
        <w:ind w:left="238"/>
      </w:pPr>
      <w:bookmarkStart w:id="348" w:name="_Toc166572312"/>
      <w:r>
        <w:rPr>
          <w:rFonts w:hint="eastAsia"/>
        </w:rPr>
        <w:t>4.6.</w:t>
      </w:r>
      <w:r>
        <w:t>10</w:t>
      </w:r>
      <w:r>
        <w:rPr>
          <w:rFonts w:hint="eastAsia"/>
        </w:rPr>
        <w:t>动物资源现状</w:t>
      </w:r>
      <w:bookmarkEnd w:id="348"/>
    </w:p>
    <w:p w14:paraId="08F5110B">
      <w:pPr>
        <w:ind w:firstLine="480"/>
      </w:pPr>
      <w:r>
        <w:rPr>
          <w:rFonts w:hint="eastAsia"/>
        </w:rPr>
        <w:t>（1）调查方法</w:t>
      </w:r>
    </w:p>
    <w:bookmarkEnd w:id="336"/>
    <w:p w14:paraId="26D2D704">
      <w:pPr>
        <w:ind w:firstLine="480"/>
        <w:jc w:val="both"/>
      </w:pPr>
      <w:r>
        <w:rPr>
          <w:rFonts w:hint="eastAsia"/>
        </w:rPr>
        <w:t>抽样方法：依据国家林业局野生动植物保护与自然保护区管理司和国家林业局调查规划设计院编制的《全国第二次陆生野生动物资源调查技术规程（20110406）》、《生物多样性观测技术导则》（HJ710-2014）、《环境影响评价技术导则（生态影响）》（HJ19-2022）作为抽样和调查标准，将项目区外扩1 km作为调查评价范围。根据评价区地形地势等地貌特征、陆生脊椎动物</w:t>
      </w:r>
      <w:r>
        <w:rPr>
          <w:rFonts w:hint="eastAsia"/>
          <w:lang w:val="en-US" w:eastAsia="zh-CN"/>
        </w:rPr>
        <w:t>环境</w:t>
      </w:r>
      <w:r>
        <w:rPr>
          <w:rFonts w:hint="eastAsia"/>
        </w:rPr>
        <w:t>类型，2023年9月结合群众走访对项目区评价范围内陆生脊椎动物进行抽样调查。根据《环境影响评价技术导则 生态影响》（HJ19-2022）生态现状调查要求，陆生生态以及评价每种</w:t>
      </w:r>
      <w:r>
        <w:rPr>
          <w:rFonts w:hint="eastAsia"/>
          <w:lang w:val="en-US" w:eastAsia="zh-CN"/>
        </w:rPr>
        <w:t>环境</w:t>
      </w:r>
      <w:r>
        <w:rPr>
          <w:rFonts w:hint="eastAsia"/>
        </w:rPr>
        <w:t>类型设置的野生动物调查样线数量不少于5条，项目区</w:t>
      </w:r>
      <w:r>
        <w:rPr>
          <w:rFonts w:hint="eastAsia"/>
          <w:lang w:val="en-US" w:eastAsia="zh-CN"/>
        </w:rPr>
        <w:t>环境</w:t>
      </w:r>
      <w:r>
        <w:rPr>
          <w:rFonts w:hint="eastAsia"/>
        </w:rPr>
        <w:t>类型大概分为干河床、稀疏灌丛，每一种</w:t>
      </w:r>
      <w:r>
        <w:rPr>
          <w:rFonts w:hint="eastAsia"/>
          <w:lang w:val="en-US" w:eastAsia="zh-CN"/>
        </w:rPr>
        <w:t>环境</w:t>
      </w:r>
      <w:r>
        <w:rPr>
          <w:rFonts w:hint="eastAsia"/>
        </w:rPr>
        <w:t>设置5</w:t>
      </w:r>
      <w:r>
        <w:t>条样</w:t>
      </w:r>
      <w:r>
        <w:rPr>
          <w:rFonts w:hint="eastAsia"/>
        </w:rPr>
        <w:t>线。调查期间对所调查区域匀速进行调查，即步行观测或者驾驶车辆以20 km/h速度，并记录区域范围内陆生动物物种种类、数量、</w:t>
      </w:r>
      <w:r>
        <w:rPr>
          <w:rFonts w:hint="eastAsia"/>
          <w:lang w:val="en-US" w:eastAsia="zh-CN"/>
        </w:rPr>
        <w:t>环境</w:t>
      </w:r>
      <w:r>
        <w:rPr>
          <w:rFonts w:hint="eastAsia"/>
        </w:rPr>
        <w:t>，并利用相机及手机进行拍照、辅助利用手机奥维互动地图软件进行定位。样线分布和参数见图4.6-21。</w:t>
      </w:r>
    </w:p>
    <w:p w14:paraId="741EF441">
      <w:pPr>
        <w:ind w:firstLine="480"/>
      </w:pPr>
      <w:r>
        <w:rPr>
          <w:rFonts w:hint="eastAsia"/>
        </w:rPr>
        <w:t>（2）项目所在区域动物状况</w:t>
      </w:r>
    </w:p>
    <w:p w14:paraId="4D2C516E">
      <w:pPr>
        <w:ind w:firstLine="480"/>
      </w:pPr>
      <w:r>
        <w:t>在《中国动物地理划分》上，项目区属于鄂尔多斯高原属于蒙新区，本区干旱的气候、荒漠和草原为主的植被条件影响动物区系的组成。动物种类贫乏，主要是适应于荒漠和草原种类，以啮齿类和有蹄类最为繁盛。啮齿类中以跳鼠科和沙鼠亚科为最典型。</w:t>
      </w:r>
    </w:p>
    <w:p w14:paraId="462D00A2">
      <w:pPr>
        <w:ind w:firstLine="0" w:firstLineChars="0"/>
        <w:rPr>
          <w:szCs w:val="24"/>
        </w:rPr>
      </w:pPr>
      <w:r>
        <w:t>评价区常见的野生动物名录见表</w:t>
      </w:r>
      <w:r>
        <w:rPr>
          <w:rFonts w:hint="eastAsia"/>
        </w:rPr>
        <w:t>4.6-19</w:t>
      </w:r>
      <w:r>
        <w:t>。</w:t>
      </w:r>
    </w:p>
    <w:p w14:paraId="0B735D6A">
      <w:pPr>
        <w:spacing w:line="240" w:lineRule="auto"/>
        <w:ind w:firstLine="0" w:firstLineChars="0"/>
        <w:jc w:val="center"/>
        <w:rPr>
          <w:b/>
          <w:bCs/>
        </w:rPr>
      </w:pPr>
      <w:r>
        <w:rPr>
          <w:b/>
          <w:bCs/>
        </w:rPr>
        <w:t>表</w:t>
      </w:r>
      <w:r>
        <w:rPr>
          <w:rFonts w:hint="eastAsia"/>
          <w:b/>
          <w:bCs/>
        </w:rPr>
        <w:t>4.6-19</w:t>
      </w:r>
      <w:r>
        <w:rPr>
          <w:b/>
          <w:bCs/>
        </w:rPr>
        <w:t xml:space="preserve">   评价区常见野生动物名录</w:t>
      </w:r>
    </w:p>
    <w:tbl>
      <w:tblPr>
        <w:tblStyle w:val="82"/>
        <w:tblW w:w="500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967"/>
        <w:gridCol w:w="1626"/>
        <w:gridCol w:w="253"/>
        <w:gridCol w:w="4172"/>
        <w:gridCol w:w="2088"/>
      </w:tblGrid>
      <w:tr w14:paraId="3D63EE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571B1647">
            <w:pPr>
              <w:pStyle w:val="768"/>
              <w:spacing w:line="240" w:lineRule="auto"/>
              <w:ind w:firstLine="0" w:firstLineChars="0"/>
              <w:rPr>
                <w:rFonts w:ascii="Times New Roman" w:hAnsi="Times New Roman"/>
                <w:b/>
                <w:bCs/>
                <w:sz w:val="21"/>
                <w:szCs w:val="21"/>
              </w:rPr>
            </w:pPr>
            <w:r>
              <w:rPr>
                <w:rFonts w:ascii="Times New Roman" w:hAnsi="Times New Roman"/>
                <w:b/>
                <w:bCs/>
                <w:sz w:val="21"/>
                <w:szCs w:val="21"/>
              </w:rPr>
              <w:t>序号</w:t>
            </w:r>
          </w:p>
        </w:tc>
        <w:tc>
          <w:tcPr>
            <w:tcW w:w="893" w:type="pct"/>
            <w:vAlign w:val="center"/>
          </w:tcPr>
          <w:p w14:paraId="2BA3089D">
            <w:pPr>
              <w:pStyle w:val="768"/>
              <w:spacing w:line="240" w:lineRule="auto"/>
              <w:ind w:firstLine="0" w:firstLineChars="0"/>
              <w:rPr>
                <w:rFonts w:ascii="Times New Roman" w:hAnsi="Times New Roman"/>
                <w:b/>
                <w:bCs/>
                <w:sz w:val="21"/>
                <w:szCs w:val="21"/>
              </w:rPr>
            </w:pPr>
            <w:r>
              <w:rPr>
                <w:rFonts w:ascii="Times New Roman" w:hAnsi="Times New Roman"/>
                <w:b/>
                <w:bCs/>
                <w:sz w:val="21"/>
                <w:szCs w:val="21"/>
              </w:rPr>
              <w:t>中文名</w:t>
            </w:r>
          </w:p>
        </w:tc>
        <w:tc>
          <w:tcPr>
            <w:tcW w:w="2430" w:type="pct"/>
            <w:gridSpan w:val="2"/>
            <w:vAlign w:val="center"/>
          </w:tcPr>
          <w:p w14:paraId="27FA687F">
            <w:pPr>
              <w:pStyle w:val="768"/>
              <w:spacing w:line="240" w:lineRule="auto"/>
              <w:ind w:firstLine="0" w:firstLineChars="0"/>
              <w:rPr>
                <w:rFonts w:ascii="Times New Roman" w:hAnsi="Times New Roman"/>
                <w:b/>
                <w:bCs/>
                <w:sz w:val="21"/>
                <w:szCs w:val="21"/>
              </w:rPr>
            </w:pPr>
            <w:r>
              <w:rPr>
                <w:rFonts w:ascii="Times New Roman" w:hAnsi="Times New Roman"/>
                <w:b/>
                <w:bCs/>
                <w:sz w:val="21"/>
                <w:szCs w:val="21"/>
              </w:rPr>
              <w:t>学名</w:t>
            </w:r>
          </w:p>
        </w:tc>
        <w:tc>
          <w:tcPr>
            <w:tcW w:w="1145" w:type="pct"/>
            <w:vAlign w:val="center"/>
          </w:tcPr>
          <w:p w14:paraId="01DA5222">
            <w:pPr>
              <w:pStyle w:val="768"/>
              <w:spacing w:line="240" w:lineRule="auto"/>
              <w:ind w:firstLine="0" w:firstLineChars="0"/>
              <w:rPr>
                <w:rFonts w:ascii="Times New Roman" w:hAnsi="Times New Roman"/>
                <w:b/>
                <w:bCs/>
                <w:sz w:val="21"/>
                <w:szCs w:val="21"/>
              </w:rPr>
            </w:pPr>
            <w:r>
              <w:rPr>
                <w:rFonts w:ascii="Times New Roman" w:hAnsi="Times New Roman"/>
                <w:b/>
                <w:bCs/>
                <w:sz w:val="21"/>
                <w:szCs w:val="21"/>
              </w:rPr>
              <w:t>分布</w:t>
            </w:r>
            <w:r>
              <w:rPr>
                <w:rFonts w:hint="eastAsia" w:ascii="Times New Roman" w:hAnsi="Times New Roman"/>
                <w:b/>
                <w:bCs/>
                <w:sz w:val="21"/>
                <w:szCs w:val="21"/>
                <w:lang w:val="en-US" w:eastAsia="zh-CN"/>
              </w:rPr>
              <w:t>环境</w:t>
            </w:r>
            <w:r>
              <w:rPr>
                <w:rFonts w:ascii="Times New Roman" w:hAnsi="Times New Roman"/>
                <w:b/>
                <w:bCs/>
                <w:sz w:val="21"/>
                <w:szCs w:val="21"/>
              </w:rPr>
              <w:t>类型</w:t>
            </w:r>
          </w:p>
        </w:tc>
      </w:tr>
      <w:tr w14:paraId="67582C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3854" w:type="pct"/>
            <w:gridSpan w:val="4"/>
            <w:vAlign w:val="center"/>
          </w:tcPr>
          <w:p w14:paraId="4E177813">
            <w:pPr>
              <w:pStyle w:val="768"/>
              <w:spacing w:line="240" w:lineRule="auto"/>
              <w:ind w:firstLine="0" w:firstLineChars="0"/>
              <w:rPr>
                <w:rFonts w:ascii="Times New Roman" w:hAnsi="Times New Roman"/>
                <w:i/>
                <w:sz w:val="21"/>
                <w:szCs w:val="21"/>
              </w:rPr>
            </w:pPr>
            <w:r>
              <w:rPr>
                <w:rFonts w:hint="eastAsia" w:ascii="Times New Roman" w:hAnsi="Times New Roman"/>
                <w:b/>
                <w:sz w:val="21"/>
                <w:szCs w:val="21"/>
                <w:lang w:val="en-US"/>
              </w:rPr>
              <w:t>一</w:t>
            </w:r>
            <w:r>
              <w:rPr>
                <w:rFonts w:ascii="Times New Roman" w:hAnsi="Times New Roman"/>
                <w:b/>
                <w:sz w:val="21"/>
                <w:szCs w:val="21"/>
              </w:rPr>
              <w:t xml:space="preserve">、鸟纲 </w:t>
            </w:r>
            <w:r>
              <w:rPr>
                <w:rFonts w:ascii="Times New Roman" w:hAnsi="Times New Roman"/>
                <w:i/>
                <w:sz w:val="21"/>
                <w:szCs w:val="21"/>
              </w:rPr>
              <w:t>AVES</w:t>
            </w:r>
          </w:p>
        </w:tc>
        <w:tc>
          <w:tcPr>
            <w:tcW w:w="1145" w:type="pct"/>
            <w:vAlign w:val="center"/>
          </w:tcPr>
          <w:p w14:paraId="580D50AA">
            <w:pPr>
              <w:pStyle w:val="768"/>
              <w:spacing w:line="240" w:lineRule="auto"/>
              <w:ind w:firstLine="0" w:firstLineChars="0"/>
              <w:rPr>
                <w:rFonts w:ascii="Times New Roman" w:hAnsi="Times New Roman"/>
                <w:sz w:val="21"/>
                <w:szCs w:val="21"/>
              </w:rPr>
            </w:pPr>
          </w:p>
        </w:tc>
      </w:tr>
      <w:tr w14:paraId="1F1430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000" w:type="pct"/>
            <w:gridSpan w:val="5"/>
            <w:vAlign w:val="center"/>
          </w:tcPr>
          <w:p w14:paraId="267172B1">
            <w:pPr>
              <w:pStyle w:val="768"/>
              <w:spacing w:line="240" w:lineRule="auto"/>
              <w:ind w:firstLine="0" w:firstLineChars="0"/>
              <w:rPr>
                <w:rFonts w:ascii="Times New Roman" w:hAnsi="Times New Roman"/>
                <w:i/>
                <w:sz w:val="21"/>
                <w:szCs w:val="21"/>
              </w:rPr>
            </w:pPr>
            <w:r>
              <w:rPr>
                <w:rFonts w:ascii="Times New Roman" w:hAnsi="Times New Roman"/>
                <w:b/>
                <w:sz w:val="21"/>
                <w:szCs w:val="21"/>
              </w:rPr>
              <w:t xml:space="preserve">（2）鸡形目 </w:t>
            </w:r>
            <w:r>
              <w:rPr>
                <w:rFonts w:ascii="Times New Roman" w:hAnsi="Times New Roman"/>
                <w:i/>
                <w:sz w:val="21"/>
                <w:szCs w:val="21"/>
              </w:rPr>
              <w:t>GALLIFORMES</w:t>
            </w:r>
          </w:p>
        </w:tc>
      </w:tr>
      <w:tr w14:paraId="693D1E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7BEA0287">
            <w:pPr>
              <w:pStyle w:val="768"/>
              <w:spacing w:line="240" w:lineRule="auto"/>
              <w:ind w:firstLine="0" w:firstLineChars="0"/>
              <w:rPr>
                <w:rFonts w:ascii="Times New Roman" w:hAnsi="Times New Roman"/>
                <w:sz w:val="21"/>
                <w:szCs w:val="21"/>
              </w:rPr>
            </w:pPr>
            <w:r>
              <w:rPr>
                <w:rFonts w:ascii="Times New Roman" w:hAnsi="Times New Roman"/>
                <w:sz w:val="21"/>
                <w:szCs w:val="21"/>
              </w:rPr>
              <w:t>3</w:t>
            </w:r>
          </w:p>
        </w:tc>
        <w:tc>
          <w:tcPr>
            <w:tcW w:w="1032" w:type="pct"/>
            <w:gridSpan w:val="2"/>
            <w:vAlign w:val="center"/>
          </w:tcPr>
          <w:p w14:paraId="10586F82">
            <w:pPr>
              <w:pStyle w:val="768"/>
              <w:spacing w:line="240" w:lineRule="auto"/>
              <w:ind w:firstLine="0" w:firstLineChars="0"/>
              <w:rPr>
                <w:rFonts w:ascii="Times New Roman" w:hAnsi="Times New Roman"/>
                <w:sz w:val="21"/>
                <w:szCs w:val="21"/>
              </w:rPr>
            </w:pPr>
            <w:r>
              <w:rPr>
                <w:rFonts w:ascii="Times New Roman" w:hAnsi="Times New Roman"/>
                <w:sz w:val="21"/>
                <w:szCs w:val="21"/>
              </w:rPr>
              <w:t>石鸡</w:t>
            </w:r>
          </w:p>
        </w:tc>
        <w:tc>
          <w:tcPr>
            <w:tcW w:w="2291" w:type="pct"/>
            <w:vAlign w:val="center"/>
          </w:tcPr>
          <w:p w14:paraId="6D02DD2F">
            <w:pPr>
              <w:pStyle w:val="768"/>
              <w:spacing w:line="240" w:lineRule="auto"/>
              <w:ind w:firstLine="0" w:firstLineChars="0"/>
              <w:rPr>
                <w:rFonts w:ascii="Times New Roman" w:hAnsi="Times New Roman"/>
                <w:i/>
                <w:sz w:val="21"/>
                <w:szCs w:val="21"/>
              </w:rPr>
            </w:pPr>
            <w:r>
              <w:rPr>
                <w:rFonts w:ascii="Times New Roman" w:hAnsi="Times New Roman"/>
                <w:i/>
                <w:sz w:val="21"/>
                <w:szCs w:val="21"/>
              </w:rPr>
              <w:t>Alectoris graeca(meisner)</w:t>
            </w:r>
          </w:p>
        </w:tc>
        <w:tc>
          <w:tcPr>
            <w:tcW w:w="1145" w:type="pct"/>
            <w:vAlign w:val="center"/>
          </w:tcPr>
          <w:p w14:paraId="05C020F3">
            <w:pPr>
              <w:pStyle w:val="768"/>
              <w:spacing w:line="240" w:lineRule="auto"/>
              <w:ind w:firstLine="0" w:firstLineChars="0"/>
              <w:rPr>
                <w:rFonts w:ascii="Times New Roman" w:hAnsi="Times New Roman"/>
                <w:sz w:val="21"/>
                <w:szCs w:val="21"/>
              </w:rPr>
            </w:pPr>
            <w:r>
              <w:rPr>
                <w:rFonts w:ascii="Times New Roman" w:hAnsi="Times New Roman"/>
                <w:sz w:val="21"/>
                <w:szCs w:val="21"/>
              </w:rPr>
              <w:t>草地、灌丛</w:t>
            </w:r>
          </w:p>
        </w:tc>
      </w:tr>
      <w:tr w14:paraId="7C77D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421C7AFB">
            <w:pPr>
              <w:pStyle w:val="768"/>
              <w:spacing w:line="240" w:lineRule="auto"/>
              <w:ind w:firstLine="0" w:firstLineChars="0"/>
              <w:rPr>
                <w:rFonts w:ascii="Times New Roman" w:hAnsi="Times New Roman"/>
                <w:sz w:val="21"/>
                <w:szCs w:val="21"/>
              </w:rPr>
            </w:pPr>
            <w:r>
              <w:rPr>
                <w:rFonts w:ascii="Times New Roman" w:hAnsi="Times New Roman"/>
                <w:sz w:val="21"/>
                <w:szCs w:val="21"/>
              </w:rPr>
              <w:t>4</w:t>
            </w:r>
          </w:p>
        </w:tc>
        <w:tc>
          <w:tcPr>
            <w:tcW w:w="1032" w:type="pct"/>
            <w:gridSpan w:val="2"/>
            <w:vAlign w:val="center"/>
          </w:tcPr>
          <w:p w14:paraId="31851787">
            <w:pPr>
              <w:pStyle w:val="768"/>
              <w:spacing w:line="240" w:lineRule="auto"/>
              <w:ind w:firstLine="0" w:firstLineChars="0"/>
              <w:rPr>
                <w:rFonts w:ascii="Times New Roman" w:hAnsi="Times New Roman"/>
                <w:sz w:val="21"/>
                <w:szCs w:val="21"/>
              </w:rPr>
            </w:pPr>
            <w:r>
              <w:rPr>
                <w:rFonts w:ascii="Times New Roman" w:hAnsi="Times New Roman"/>
                <w:sz w:val="21"/>
                <w:szCs w:val="21"/>
              </w:rPr>
              <w:t>雉鸡</w:t>
            </w:r>
          </w:p>
        </w:tc>
        <w:tc>
          <w:tcPr>
            <w:tcW w:w="2291" w:type="pct"/>
            <w:vAlign w:val="center"/>
          </w:tcPr>
          <w:p w14:paraId="65C7CB1F">
            <w:pPr>
              <w:pStyle w:val="768"/>
              <w:spacing w:line="240" w:lineRule="auto"/>
              <w:ind w:firstLine="0" w:firstLineChars="0"/>
              <w:rPr>
                <w:rFonts w:ascii="Times New Roman" w:hAnsi="Times New Roman"/>
                <w:i/>
                <w:sz w:val="21"/>
                <w:szCs w:val="21"/>
              </w:rPr>
            </w:pPr>
            <w:r>
              <w:rPr>
                <w:rFonts w:ascii="Times New Roman" w:hAnsi="Times New Roman"/>
                <w:i/>
                <w:sz w:val="21"/>
                <w:szCs w:val="21"/>
              </w:rPr>
              <w:t>Phasianus colchicus(Linnaeus)</w:t>
            </w:r>
          </w:p>
        </w:tc>
        <w:tc>
          <w:tcPr>
            <w:tcW w:w="1145" w:type="pct"/>
            <w:vAlign w:val="center"/>
          </w:tcPr>
          <w:p w14:paraId="2F9EE183">
            <w:pPr>
              <w:pStyle w:val="768"/>
              <w:spacing w:line="240" w:lineRule="auto"/>
              <w:ind w:firstLine="0" w:firstLineChars="0"/>
              <w:rPr>
                <w:rFonts w:ascii="Times New Roman" w:hAnsi="Times New Roman"/>
                <w:sz w:val="21"/>
                <w:szCs w:val="21"/>
              </w:rPr>
            </w:pPr>
            <w:r>
              <w:rPr>
                <w:rFonts w:ascii="Times New Roman" w:hAnsi="Times New Roman"/>
                <w:sz w:val="21"/>
                <w:szCs w:val="21"/>
              </w:rPr>
              <w:t>草地、灌丛</w:t>
            </w:r>
          </w:p>
        </w:tc>
      </w:tr>
      <w:tr w14:paraId="61F9B6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000" w:type="pct"/>
            <w:gridSpan w:val="5"/>
            <w:vAlign w:val="center"/>
          </w:tcPr>
          <w:p w14:paraId="646C7694">
            <w:pPr>
              <w:pStyle w:val="768"/>
              <w:spacing w:line="240" w:lineRule="auto"/>
              <w:ind w:firstLine="0" w:firstLineChars="0"/>
              <w:rPr>
                <w:rFonts w:ascii="Times New Roman" w:hAnsi="Times New Roman"/>
                <w:i/>
                <w:sz w:val="21"/>
                <w:szCs w:val="21"/>
              </w:rPr>
            </w:pPr>
            <w:r>
              <w:rPr>
                <w:rFonts w:ascii="Times New Roman" w:hAnsi="Times New Roman"/>
                <w:b/>
                <w:sz w:val="21"/>
                <w:szCs w:val="21"/>
              </w:rPr>
              <w:t xml:space="preserve">（3）鸽形目 </w:t>
            </w:r>
            <w:r>
              <w:rPr>
                <w:rFonts w:ascii="Times New Roman" w:hAnsi="Times New Roman"/>
                <w:i/>
                <w:sz w:val="21"/>
                <w:szCs w:val="21"/>
              </w:rPr>
              <w:t>COLUMIFORMES</w:t>
            </w:r>
          </w:p>
        </w:tc>
      </w:tr>
      <w:tr w14:paraId="433C2C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77E3BD96">
            <w:pPr>
              <w:pStyle w:val="768"/>
              <w:spacing w:line="240" w:lineRule="auto"/>
              <w:ind w:firstLine="0" w:firstLineChars="0"/>
              <w:rPr>
                <w:rFonts w:ascii="Times New Roman" w:hAnsi="Times New Roman"/>
                <w:sz w:val="21"/>
                <w:szCs w:val="21"/>
              </w:rPr>
            </w:pPr>
            <w:r>
              <w:rPr>
                <w:rFonts w:ascii="Times New Roman" w:hAnsi="Times New Roman"/>
                <w:sz w:val="21"/>
                <w:szCs w:val="21"/>
              </w:rPr>
              <w:t>5</w:t>
            </w:r>
          </w:p>
        </w:tc>
        <w:tc>
          <w:tcPr>
            <w:tcW w:w="1032" w:type="pct"/>
            <w:gridSpan w:val="2"/>
            <w:vAlign w:val="center"/>
          </w:tcPr>
          <w:p w14:paraId="64B21C6D">
            <w:pPr>
              <w:pStyle w:val="768"/>
              <w:spacing w:line="240" w:lineRule="auto"/>
              <w:ind w:firstLine="0" w:firstLineChars="0"/>
              <w:rPr>
                <w:rFonts w:ascii="Times New Roman" w:hAnsi="Times New Roman"/>
                <w:sz w:val="21"/>
                <w:szCs w:val="21"/>
              </w:rPr>
            </w:pPr>
            <w:r>
              <w:rPr>
                <w:rFonts w:ascii="Times New Roman" w:hAnsi="Times New Roman"/>
                <w:sz w:val="21"/>
                <w:szCs w:val="21"/>
              </w:rPr>
              <w:t>毛腿沙鸡</w:t>
            </w:r>
          </w:p>
        </w:tc>
        <w:tc>
          <w:tcPr>
            <w:tcW w:w="2291" w:type="pct"/>
            <w:vAlign w:val="center"/>
          </w:tcPr>
          <w:p w14:paraId="099B0497">
            <w:pPr>
              <w:pStyle w:val="768"/>
              <w:spacing w:line="240" w:lineRule="auto"/>
              <w:ind w:firstLine="0" w:firstLineChars="0"/>
              <w:rPr>
                <w:rFonts w:ascii="Times New Roman" w:hAnsi="Times New Roman"/>
                <w:i/>
                <w:sz w:val="21"/>
                <w:szCs w:val="21"/>
              </w:rPr>
            </w:pPr>
            <w:r>
              <w:rPr>
                <w:rFonts w:ascii="Times New Roman" w:hAnsi="Times New Roman"/>
                <w:i/>
                <w:sz w:val="21"/>
                <w:szCs w:val="21"/>
              </w:rPr>
              <w:t>Syrrhaptes paradoxus(pallas)</w:t>
            </w:r>
          </w:p>
        </w:tc>
        <w:tc>
          <w:tcPr>
            <w:tcW w:w="1145" w:type="pct"/>
            <w:vAlign w:val="center"/>
          </w:tcPr>
          <w:p w14:paraId="169581B1">
            <w:pPr>
              <w:pStyle w:val="768"/>
              <w:spacing w:line="240" w:lineRule="auto"/>
              <w:ind w:firstLine="0" w:firstLineChars="0"/>
              <w:rPr>
                <w:rFonts w:ascii="Times New Roman" w:hAnsi="Times New Roman"/>
                <w:sz w:val="21"/>
                <w:szCs w:val="21"/>
              </w:rPr>
            </w:pPr>
            <w:r>
              <w:rPr>
                <w:rFonts w:ascii="Times New Roman" w:hAnsi="Times New Roman"/>
                <w:sz w:val="21"/>
                <w:szCs w:val="21"/>
              </w:rPr>
              <w:t>草地、灌丛</w:t>
            </w:r>
          </w:p>
        </w:tc>
      </w:tr>
      <w:tr w14:paraId="049103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2316E8F3">
            <w:pPr>
              <w:pStyle w:val="768"/>
              <w:spacing w:line="240" w:lineRule="auto"/>
              <w:ind w:firstLine="0" w:firstLineChars="0"/>
              <w:rPr>
                <w:rFonts w:ascii="Times New Roman" w:hAnsi="Times New Roman"/>
                <w:sz w:val="21"/>
                <w:szCs w:val="21"/>
              </w:rPr>
            </w:pPr>
            <w:r>
              <w:rPr>
                <w:rFonts w:ascii="Times New Roman" w:hAnsi="Times New Roman"/>
                <w:sz w:val="21"/>
                <w:szCs w:val="21"/>
              </w:rPr>
              <w:t>6</w:t>
            </w:r>
          </w:p>
        </w:tc>
        <w:tc>
          <w:tcPr>
            <w:tcW w:w="1032" w:type="pct"/>
            <w:gridSpan w:val="2"/>
            <w:vAlign w:val="center"/>
          </w:tcPr>
          <w:p w14:paraId="311A7BF2">
            <w:pPr>
              <w:pStyle w:val="768"/>
              <w:spacing w:line="240" w:lineRule="auto"/>
              <w:ind w:firstLine="0" w:firstLineChars="0"/>
              <w:rPr>
                <w:rFonts w:ascii="Times New Roman" w:hAnsi="Times New Roman"/>
                <w:sz w:val="21"/>
                <w:szCs w:val="21"/>
              </w:rPr>
            </w:pPr>
            <w:r>
              <w:rPr>
                <w:rFonts w:ascii="Times New Roman" w:hAnsi="Times New Roman"/>
                <w:sz w:val="21"/>
                <w:szCs w:val="21"/>
              </w:rPr>
              <w:t>戴胜</w:t>
            </w:r>
          </w:p>
        </w:tc>
        <w:tc>
          <w:tcPr>
            <w:tcW w:w="2291" w:type="pct"/>
            <w:vAlign w:val="center"/>
          </w:tcPr>
          <w:p w14:paraId="5DEC8A67">
            <w:pPr>
              <w:pStyle w:val="768"/>
              <w:spacing w:line="240" w:lineRule="auto"/>
              <w:ind w:firstLine="0" w:firstLineChars="0"/>
              <w:rPr>
                <w:rFonts w:ascii="Times New Roman" w:hAnsi="Times New Roman"/>
                <w:i/>
                <w:sz w:val="21"/>
                <w:szCs w:val="21"/>
              </w:rPr>
            </w:pPr>
            <w:r>
              <w:rPr>
                <w:rFonts w:ascii="Times New Roman" w:hAnsi="Times New Roman"/>
                <w:i/>
                <w:sz w:val="21"/>
                <w:szCs w:val="21"/>
              </w:rPr>
              <w:t>Upupa epops (Linnaeus)</w:t>
            </w:r>
          </w:p>
        </w:tc>
        <w:tc>
          <w:tcPr>
            <w:tcW w:w="1145" w:type="pct"/>
            <w:vAlign w:val="center"/>
          </w:tcPr>
          <w:p w14:paraId="79DC2358">
            <w:pPr>
              <w:pStyle w:val="768"/>
              <w:spacing w:line="240" w:lineRule="auto"/>
              <w:ind w:firstLine="0" w:firstLineChars="0"/>
              <w:rPr>
                <w:rFonts w:ascii="Times New Roman" w:hAnsi="Times New Roman"/>
                <w:sz w:val="21"/>
                <w:szCs w:val="21"/>
              </w:rPr>
            </w:pPr>
            <w:r>
              <w:rPr>
                <w:rFonts w:ascii="Times New Roman" w:hAnsi="Times New Roman"/>
                <w:sz w:val="21"/>
                <w:szCs w:val="21"/>
              </w:rPr>
              <w:t>草地、沙地</w:t>
            </w:r>
          </w:p>
        </w:tc>
      </w:tr>
      <w:tr w14:paraId="053855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000" w:type="pct"/>
            <w:gridSpan w:val="5"/>
            <w:vAlign w:val="center"/>
          </w:tcPr>
          <w:p w14:paraId="5F0C2DD8">
            <w:pPr>
              <w:pStyle w:val="768"/>
              <w:spacing w:line="240" w:lineRule="auto"/>
              <w:ind w:firstLine="0" w:firstLineChars="0"/>
              <w:rPr>
                <w:rFonts w:ascii="Times New Roman" w:hAnsi="Times New Roman"/>
                <w:i/>
                <w:sz w:val="21"/>
                <w:szCs w:val="21"/>
                <w:lang w:val="en-GB"/>
              </w:rPr>
            </w:pPr>
            <w:r>
              <w:rPr>
                <w:rFonts w:ascii="Times New Roman" w:hAnsi="Times New Roman"/>
                <w:b/>
                <w:sz w:val="21"/>
                <w:szCs w:val="21"/>
                <w:lang w:val="en-GB"/>
              </w:rPr>
              <w:t>（4）</w:t>
            </w:r>
            <w:r>
              <w:rPr>
                <w:rFonts w:ascii="Times New Roman" w:hAnsi="Times New Roman"/>
                <w:b/>
                <w:sz w:val="21"/>
                <w:szCs w:val="21"/>
              </w:rPr>
              <w:t>佛法僧目</w:t>
            </w:r>
            <w:r>
              <w:rPr>
                <w:rFonts w:ascii="Times New Roman" w:hAnsi="Times New Roman"/>
                <w:b/>
                <w:sz w:val="21"/>
                <w:szCs w:val="21"/>
                <w:lang w:val="en-GB"/>
              </w:rPr>
              <w:t xml:space="preserve"> </w:t>
            </w:r>
            <w:r>
              <w:rPr>
                <w:rFonts w:ascii="Times New Roman" w:hAnsi="Times New Roman"/>
                <w:i/>
                <w:sz w:val="21"/>
                <w:szCs w:val="21"/>
                <w:lang w:val="en-GB"/>
              </w:rPr>
              <w:t>CORACILFORMES</w:t>
            </w:r>
          </w:p>
        </w:tc>
      </w:tr>
      <w:tr w14:paraId="7BD8A5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7263E219">
            <w:pPr>
              <w:pStyle w:val="768"/>
              <w:spacing w:line="240" w:lineRule="auto"/>
              <w:ind w:firstLine="0" w:firstLineChars="0"/>
              <w:rPr>
                <w:rFonts w:ascii="Times New Roman" w:hAnsi="Times New Roman"/>
                <w:sz w:val="21"/>
                <w:szCs w:val="21"/>
              </w:rPr>
            </w:pPr>
            <w:r>
              <w:rPr>
                <w:rFonts w:ascii="Times New Roman" w:hAnsi="Times New Roman"/>
                <w:sz w:val="21"/>
                <w:szCs w:val="21"/>
              </w:rPr>
              <w:t>7</w:t>
            </w:r>
          </w:p>
        </w:tc>
        <w:tc>
          <w:tcPr>
            <w:tcW w:w="1032" w:type="pct"/>
            <w:gridSpan w:val="2"/>
            <w:vAlign w:val="center"/>
          </w:tcPr>
          <w:p w14:paraId="7DB2964C">
            <w:pPr>
              <w:pStyle w:val="768"/>
              <w:spacing w:line="240" w:lineRule="auto"/>
              <w:ind w:firstLine="0" w:firstLineChars="0"/>
              <w:rPr>
                <w:rFonts w:ascii="Times New Roman" w:hAnsi="Times New Roman"/>
                <w:sz w:val="21"/>
                <w:szCs w:val="21"/>
              </w:rPr>
            </w:pPr>
            <w:r>
              <w:rPr>
                <w:rFonts w:ascii="Times New Roman" w:hAnsi="Times New Roman"/>
                <w:sz w:val="21"/>
                <w:szCs w:val="21"/>
              </w:rPr>
              <w:t>斑啄木鸟</w:t>
            </w:r>
          </w:p>
        </w:tc>
        <w:tc>
          <w:tcPr>
            <w:tcW w:w="2291" w:type="pct"/>
            <w:vAlign w:val="center"/>
          </w:tcPr>
          <w:p w14:paraId="1B25F0E2">
            <w:pPr>
              <w:pStyle w:val="768"/>
              <w:spacing w:line="240" w:lineRule="auto"/>
              <w:ind w:firstLine="0" w:firstLineChars="0"/>
              <w:rPr>
                <w:rFonts w:ascii="Times New Roman" w:hAnsi="Times New Roman"/>
                <w:i/>
                <w:sz w:val="21"/>
                <w:szCs w:val="21"/>
              </w:rPr>
            </w:pPr>
            <w:r>
              <w:rPr>
                <w:rFonts w:ascii="Times New Roman" w:hAnsi="Times New Roman"/>
                <w:i/>
                <w:sz w:val="21"/>
                <w:szCs w:val="21"/>
              </w:rPr>
              <w:t>Dendrocopos martius(Linnaeus)</w:t>
            </w:r>
          </w:p>
        </w:tc>
        <w:tc>
          <w:tcPr>
            <w:tcW w:w="1145" w:type="pct"/>
            <w:vAlign w:val="center"/>
          </w:tcPr>
          <w:p w14:paraId="7C56E4EF">
            <w:pPr>
              <w:pStyle w:val="768"/>
              <w:spacing w:line="240" w:lineRule="auto"/>
              <w:ind w:firstLine="0" w:firstLineChars="0"/>
              <w:rPr>
                <w:rFonts w:ascii="Times New Roman" w:hAnsi="Times New Roman"/>
                <w:sz w:val="21"/>
                <w:szCs w:val="21"/>
              </w:rPr>
            </w:pPr>
            <w:r>
              <w:rPr>
                <w:rFonts w:ascii="Times New Roman" w:hAnsi="Times New Roman"/>
                <w:sz w:val="21"/>
                <w:szCs w:val="21"/>
              </w:rPr>
              <w:t>草地、农田</w:t>
            </w:r>
          </w:p>
        </w:tc>
      </w:tr>
      <w:tr w14:paraId="4E74A7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2" w:hRule="atLeast"/>
          <w:jc w:val="center"/>
        </w:trPr>
        <w:tc>
          <w:tcPr>
            <w:tcW w:w="5000" w:type="pct"/>
            <w:gridSpan w:val="5"/>
            <w:vAlign w:val="center"/>
          </w:tcPr>
          <w:p w14:paraId="3FFC0153">
            <w:pPr>
              <w:pStyle w:val="768"/>
              <w:spacing w:line="240" w:lineRule="auto"/>
              <w:ind w:firstLine="0" w:firstLineChars="0"/>
              <w:rPr>
                <w:rFonts w:ascii="Times New Roman" w:hAnsi="Times New Roman"/>
                <w:i/>
                <w:sz w:val="21"/>
                <w:szCs w:val="21"/>
                <w:lang w:val="en-GB"/>
              </w:rPr>
            </w:pPr>
            <w:r>
              <w:rPr>
                <w:rFonts w:ascii="Times New Roman" w:hAnsi="Times New Roman"/>
                <w:b/>
                <w:sz w:val="21"/>
                <w:szCs w:val="21"/>
                <w:lang w:val="en-GB"/>
              </w:rPr>
              <w:t>（5）</w:t>
            </w:r>
            <w:r>
              <w:rPr>
                <w:rFonts w:ascii="Times New Roman" w:hAnsi="Times New Roman"/>
                <w:b/>
                <w:sz w:val="21"/>
                <w:szCs w:val="21"/>
              </w:rPr>
              <w:t>雀形目</w:t>
            </w:r>
            <w:r>
              <w:rPr>
                <w:rFonts w:ascii="Times New Roman" w:hAnsi="Times New Roman"/>
                <w:b/>
                <w:sz w:val="21"/>
                <w:szCs w:val="21"/>
                <w:lang w:val="en-GB"/>
              </w:rPr>
              <w:t xml:space="preserve"> </w:t>
            </w:r>
            <w:r>
              <w:rPr>
                <w:rFonts w:ascii="Times New Roman" w:hAnsi="Times New Roman"/>
                <w:i/>
                <w:sz w:val="21"/>
                <w:szCs w:val="21"/>
                <w:lang w:val="en-GB"/>
              </w:rPr>
              <w:t>PASSERIIFORMES</w:t>
            </w:r>
          </w:p>
        </w:tc>
      </w:tr>
      <w:tr w14:paraId="37350D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67500DB2">
            <w:pPr>
              <w:pStyle w:val="768"/>
              <w:spacing w:line="240" w:lineRule="auto"/>
              <w:ind w:firstLine="0" w:firstLineChars="0"/>
              <w:rPr>
                <w:rFonts w:ascii="Times New Roman" w:hAnsi="Times New Roman"/>
                <w:sz w:val="21"/>
                <w:szCs w:val="21"/>
              </w:rPr>
            </w:pPr>
            <w:r>
              <w:rPr>
                <w:rFonts w:ascii="Times New Roman" w:hAnsi="Times New Roman"/>
                <w:sz w:val="21"/>
                <w:szCs w:val="21"/>
              </w:rPr>
              <w:t>8</w:t>
            </w:r>
          </w:p>
        </w:tc>
        <w:tc>
          <w:tcPr>
            <w:tcW w:w="1032" w:type="pct"/>
            <w:gridSpan w:val="2"/>
            <w:vAlign w:val="center"/>
          </w:tcPr>
          <w:p w14:paraId="25D05C7E">
            <w:pPr>
              <w:pStyle w:val="768"/>
              <w:spacing w:line="240" w:lineRule="auto"/>
              <w:ind w:firstLine="0" w:firstLineChars="0"/>
              <w:rPr>
                <w:rFonts w:ascii="Times New Roman" w:hAnsi="Times New Roman"/>
                <w:sz w:val="21"/>
                <w:szCs w:val="21"/>
              </w:rPr>
            </w:pPr>
            <w:r>
              <w:rPr>
                <w:rFonts w:ascii="Times New Roman" w:hAnsi="Times New Roman"/>
                <w:sz w:val="21"/>
                <w:szCs w:val="21"/>
              </w:rPr>
              <w:t>小沙百灵</w:t>
            </w:r>
          </w:p>
        </w:tc>
        <w:tc>
          <w:tcPr>
            <w:tcW w:w="2291" w:type="pct"/>
            <w:vAlign w:val="center"/>
          </w:tcPr>
          <w:p w14:paraId="3F57D492">
            <w:pPr>
              <w:pStyle w:val="768"/>
              <w:spacing w:line="240" w:lineRule="auto"/>
              <w:ind w:firstLine="0" w:firstLineChars="0"/>
              <w:rPr>
                <w:rFonts w:ascii="Times New Roman" w:hAnsi="Times New Roman"/>
                <w:i/>
                <w:sz w:val="21"/>
                <w:szCs w:val="21"/>
              </w:rPr>
            </w:pPr>
            <w:r>
              <w:rPr>
                <w:rFonts w:ascii="Times New Roman" w:hAnsi="Times New Roman"/>
                <w:i/>
                <w:sz w:val="21"/>
                <w:szCs w:val="21"/>
              </w:rPr>
              <w:t>C.rufescens (Vieillot)</w:t>
            </w:r>
          </w:p>
        </w:tc>
        <w:tc>
          <w:tcPr>
            <w:tcW w:w="1145" w:type="pct"/>
            <w:vAlign w:val="center"/>
          </w:tcPr>
          <w:p w14:paraId="10C61C1D">
            <w:pPr>
              <w:pStyle w:val="768"/>
              <w:spacing w:line="240" w:lineRule="auto"/>
              <w:ind w:firstLine="0" w:firstLineChars="0"/>
              <w:rPr>
                <w:rFonts w:ascii="Times New Roman" w:hAnsi="Times New Roman"/>
                <w:sz w:val="21"/>
                <w:szCs w:val="21"/>
              </w:rPr>
            </w:pPr>
            <w:r>
              <w:rPr>
                <w:rFonts w:ascii="Times New Roman" w:hAnsi="Times New Roman"/>
                <w:sz w:val="21"/>
                <w:szCs w:val="21"/>
              </w:rPr>
              <w:t>草地、沙地</w:t>
            </w:r>
          </w:p>
        </w:tc>
      </w:tr>
      <w:tr w14:paraId="3A1A7E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531" w:type="pct"/>
            <w:vAlign w:val="center"/>
          </w:tcPr>
          <w:p w14:paraId="3B2B7442">
            <w:pPr>
              <w:pStyle w:val="768"/>
              <w:spacing w:line="240" w:lineRule="auto"/>
              <w:ind w:firstLine="0" w:firstLineChars="0"/>
              <w:rPr>
                <w:rFonts w:ascii="Times New Roman" w:hAnsi="Times New Roman"/>
                <w:sz w:val="21"/>
                <w:szCs w:val="21"/>
              </w:rPr>
            </w:pPr>
            <w:r>
              <w:rPr>
                <w:rFonts w:ascii="Times New Roman" w:hAnsi="Times New Roman"/>
                <w:sz w:val="21"/>
                <w:szCs w:val="21"/>
              </w:rPr>
              <w:t>9</w:t>
            </w:r>
          </w:p>
        </w:tc>
        <w:tc>
          <w:tcPr>
            <w:tcW w:w="1032" w:type="pct"/>
            <w:gridSpan w:val="2"/>
            <w:vAlign w:val="center"/>
          </w:tcPr>
          <w:p w14:paraId="09C652DC">
            <w:pPr>
              <w:spacing w:line="240" w:lineRule="auto"/>
              <w:ind w:firstLine="0" w:firstLineChars="0"/>
              <w:jc w:val="center"/>
              <w:rPr>
                <w:sz w:val="21"/>
                <w:szCs w:val="21"/>
              </w:rPr>
            </w:pPr>
            <w:r>
              <w:rPr>
                <w:sz w:val="21"/>
                <w:szCs w:val="21"/>
              </w:rPr>
              <w:t>角百灵</w:t>
            </w:r>
          </w:p>
        </w:tc>
        <w:tc>
          <w:tcPr>
            <w:tcW w:w="2291" w:type="pct"/>
            <w:vAlign w:val="center"/>
          </w:tcPr>
          <w:p w14:paraId="4C29F829">
            <w:pPr>
              <w:pStyle w:val="768"/>
              <w:spacing w:line="240" w:lineRule="auto"/>
              <w:ind w:firstLine="0" w:firstLineChars="0"/>
              <w:rPr>
                <w:rFonts w:ascii="Times New Roman" w:hAnsi="Times New Roman"/>
                <w:i/>
                <w:sz w:val="21"/>
                <w:szCs w:val="21"/>
              </w:rPr>
            </w:pPr>
            <w:r>
              <w:rPr>
                <w:rFonts w:ascii="Times New Roman" w:hAnsi="Times New Roman"/>
                <w:i/>
                <w:sz w:val="21"/>
                <w:szCs w:val="21"/>
              </w:rPr>
              <w:t>Eremophila alpestris</w:t>
            </w:r>
          </w:p>
        </w:tc>
        <w:tc>
          <w:tcPr>
            <w:tcW w:w="1145" w:type="pct"/>
            <w:vAlign w:val="center"/>
          </w:tcPr>
          <w:p w14:paraId="17DB46C8">
            <w:pPr>
              <w:pStyle w:val="768"/>
              <w:spacing w:line="240" w:lineRule="auto"/>
              <w:ind w:firstLine="0" w:firstLineChars="0"/>
              <w:rPr>
                <w:rFonts w:ascii="Times New Roman" w:hAnsi="Times New Roman"/>
                <w:sz w:val="21"/>
                <w:szCs w:val="21"/>
              </w:rPr>
            </w:pPr>
            <w:r>
              <w:rPr>
                <w:rFonts w:ascii="Times New Roman" w:hAnsi="Times New Roman"/>
                <w:sz w:val="21"/>
                <w:szCs w:val="21"/>
              </w:rPr>
              <w:t>沙地</w:t>
            </w:r>
          </w:p>
        </w:tc>
      </w:tr>
      <w:tr w14:paraId="05B363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28227BDA">
            <w:pPr>
              <w:pStyle w:val="768"/>
              <w:spacing w:line="240" w:lineRule="auto"/>
              <w:ind w:firstLine="0" w:firstLineChars="0"/>
              <w:rPr>
                <w:rFonts w:ascii="Times New Roman" w:hAnsi="Times New Roman"/>
                <w:sz w:val="21"/>
                <w:szCs w:val="21"/>
              </w:rPr>
            </w:pPr>
            <w:r>
              <w:rPr>
                <w:rFonts w:ascii="Times New Roman" w:hAnsi="Times New Roman"/>
                <w:sz w:val="21"/>
                <w:szCs w:val="21"/>
              </w:rPr>
              <w:t>10</w:t>
            </w:r>
          </w:p>
        </w:tc>
        <w:tc>
          <w:tcPr>
            <w:tcW w:w="1032" w:type="pct"/>
            <w:gridSpan w:val="2"/>
            <w:vAlign w:val="center"/>
          </w:tcPr>
          <w:p w14:paraId="444CC376">
            <w:pPr>
              <w:pStyle w:val="768"/>
              <w:spacing w:line="240" w:lineRule="auto"/>
              <w:ind w:firstLine="0" w:firstLineChars="0"/>
              <w:rPr>
                <w:rFonts w:ascii="Times New Roman" w:hAnsi="Times New Roman"/>
                <w:sz w:val="21"/>
                <w:szCs w:val="21"/>
              </w:rPr>
            </w:pPr>
            <w:r>
              <w:rPr>
                <w:rFonts w:ascii="Times New Roman" w:hAnsi="Times New Roman"/>
                <w:sz w:val="21"/>
                <w:szCs w:val="21"/>
              </w:rPr>
              <w:t>家燕</w:t>
            </w:r>
          </w:p>
        </w:tc>
        <w:tc>
          <w:tcPr>
            <w:tcW w:w="2291" w:type="pct"/>
            <w:vAlign w:val="center"/>
          </w:tcPr>
          <w:p w14:paraId="6B9A4FE2">
            <w:pPr>
              <w:pStyle w:val="768"/>
              <w:spacing w:line="240" w:lineRule="auto"/>
              <w:ind w:firstLine="0" w:firstLineChars="0"/>
              <w:rPr>
                <w:rFonts w:ascii="Times New Roman" w:hAnsi="Times New Roman"/>
                <w:i/>
                <w:sz w:val="21"/>
                <w:szCs w:val="21"/>
              </w:rPr>
            </w:pPr>
            <w:r>
              <w:rPr>
                <w:rFonts w:ascii="Times New Roman" w:hAnsi="Times New Roman"/>
                <w:i/>
                <w:sz w:val="21"/>
                <w:szCs w:val="21"/>
              </w:rPr>
              <w:t>Hirundo rustica linnaeus</w:t>
            </w:r>
          </w:p>
        </w:tc>
        <w:tc>
          <w:tcPr>
            <w:tcW w:w="1145" w:type="pct"/>
            <w:vAlign w:val="center"/>
          </w:tcPr>
          <w:p w14:paraId="2C45AE43">
            <w:pPr>
              <w:pStyle w:val="768"/>
              <w:spacing w:line="240" w:lineRule="auto"/>
              <w:ind w:firstLine="0" w:firstLineChars="0"/>
              <w:rPr>
                <w:rFonts w:ascii="Times New Roman" w:hAnsi="Times New Roman"/>
                <w:sz w:val="21"/>
                <w:szCs w:val="21"/>
              </w:rPr>
            </w:pPr>
            <w:r>
              <w:rPr>
                <w:rFonts w:ascii="Times New Roman" w:hAnsi="Times New Roman"/>
                <w:sz w:val="21"/>
                <w:szCs w:val="21"/>
              </w:rPr>
              <w:t>草地、农田</w:t>
            </w:r>
          </w:p>
        </w:tc>
      </w:tr>
      <w:tr w14:paraId="61CFF4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18C727DD">
            <w:pPr>
              <w:pStyle w:val="768"/>
              <w:spacing w:line="240" w:lineRule="auto"/>
              <w:ind w:firstLine="0" w:firstLineChars="0"/>
              <w:rPr>
                <w:rFonts w:ascii="Times New Roman" w:hAnsi="Times New Roman"/>
                <w:sz w:val="21"/>
                <w:szCs w:val="21"/>
              </w:rPr>
            </w:pPr>
            <w:r>
              <w:rPr>
                <w:rFonts w:ascii="Times New Roman" w:hAnsi="Times New Roman"/>
                <w:sz w:val="21"/>
                <w:szCs w:val="21"/>
              </w:rPr>
              <w:t>11</w:t>
            </w:r>
          </w:p>
        </w:tc>
        <w:tc>
          <w:tcPr>
            <w:tcW w:w="1032" w:type="pct"/>
            <w:gridSpan w:val="2"/>
            <w:vAlign w:val="center"/>
          </w:tcPr>
          <w:p w14:paraId="23BEC151">
            <w:pPr>
              <w:pStyle w:val="768"/>
              <w:spacing w:line="240" w:lineRule="auto"/>
              <w:ind w:firstLine="0" w:firstLineChars="0"/>
              <w:rPr>
                <w:rFonts w:ascii="Times New Roman" w:hAnsi="Times New Roman"/>
                <w:sz w:val="21"/>
                <w:szCs w:val="21"/>
              </w:rPr>
            </w:pPr>
            <w:r>
              <w:rPr>
                <w:rFonts w:ascii="Times New Roman" w:hAnsi="Times New Roman"/>
                <w:sz w:val="21"/>
                <w:szCs w:val="21"/>
              </w:rPr>
              <w:t>灰沙燕</w:t>
            </w:r>
          </w:p>
        </w:tc>
        <w:tc>
          <w:tcPr>
            <w:tcW w:w="2291" w:type="pct"/>
            <w:vAlign w:val="center"/>
          </w:tcPr>
          <w:p w14:paraId="6B4DF02B">
            <w:pPr>
              <w:pStyle w:val="768"/>
              <w:spacing w:line="240" w:lineRule="auto"/>
              <w:ind w:firstLine="0" w:firstLineChars="0"/>
              <w:rPr>
                <w:rFonts w:ascii="Times New Roman" w:hAnsi="Times New Roman"/>
                <w:i/>
                <w:sz w:val="21"/>
                <w:szCs w:val="21"/>
              </w:rPr>
            </w:pPr>
            <w:r>
              <w:rPr>
                <w:rFonts w:ascii="Times New Roman" w:hAnsi="Times New Roman"/>
                <w:i/>
                <w:sz w:val="21"/>
                <w:szCs w:val="21"/>
              </w:rPr>
              <w:t>Riparia riparia</w:t>
            </w:r>
          </w:p>
        </w:tc>
        <w:tc>
          <w:tcPr>
            <w:tcW w:w="1145" w:type="pct"/>
            <w:vAlign w:val="center"/>
          </w:tcPr>
          <w:p w14:paraId="6D877BCB">
            <w:pPr>
              <w:pStyle w:val="768"/>
              <w:spacing w:line="240" w:lineRule="auto"/>
              <w:ind w:firstLine="0" w:firstLineChars="0"/>
              <w:rPr>
                <w:rFonts w:ascii="Times New Roman" w:hAnsi="Times New Roman"/>
                <w:sz w:val="21"/>
                <w:szCs w:val="21"/>
              </w:rPr>
            </w:pPr>
            <w:r>
              <w:rPr>
                <w:rFonts w:ascii="Times New Roman" w:hAnsi="Times New Roman"/>
                <w:sz w:val="21"/>
                <w:szCs w:val="21"/>
              </w:rPr>
              <w:t>草地、农田</w:t>
            </w:r>
          </w:p>
        </w:tc>
      </w:tr>
      <w:tr w14:paraId="518BBE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706518B3">
            <w:pPr>
              <w:pStyle w:val="768"/>
              <w:spacing w:line="240" w:lineRule="auto"/>
              <w:ind w:firstLine="0" w:firstLineChars="0"/>
              <w:rPr>
                <w:rFonts w:ascii="Times New Roman" w:hAnsi="Times New Roman"/>
                <w:sz w:val="21"/>
                <w:szCs w:val="21"/>
              </w:rPr>
            </w:pPr>
            <w:r>
              <w:rPr>
                <w:rFonts w:ascii="Times New Roman" w:hAnsi="Times New Roman"/>
                <w:sz w:val="21"/>
                <w:szCs w:val="21"/>
              </w:rPr>
              <w:t>12</w:t>
            </w:r>
          </w:p>
        </w:tc>
        <w:tc>
          <w:tcPr>
            <w:tcW w:w="1032" w:type="pct"/>
            <w:gridSpan w:val="2"/>
            <w:vAlign w:val="center"/>
          </w:tcPr>
          <w:p w14:paraId="364266DD">
            <w:pPr>
              <w:pStyle w:val="768"/>
              <w:spacing w:line="240" w:lineRule="auto"/>
              <w:ind w:firstLine="0" w:firstLineChars="0"/>
              <w:rPr>
                <w:rFonts w:ascii="Times New Roman" w:hAnsi="Times New Roman"/>
                <w:sz w:val="21"/>
                <w:szCs w:val="21"/>
              </w:rPr>
            </w:pPr>
            <w:r>
              <w:rPr>
                <w:rFonts w:ascii="Times New Roman" w:hAnsi="Times New Roman"/>
                <w:sz w:val="21"/>
                <w:szCs w:val="21"/>
              </w:rPr>
              <w:t>树麻雀</w:t>
            </w:r>
          </w:p>
        </w:tc>
        <w:tc>
          <w:tcPr>
            <w:tcW w:w="2291" w:type="pct"/>
            <w:vAlign w:val="center"/>
          </w:tcPr>
          <w:p w14:paraId="00388192">
            <w:pPr>
              <w:pStyle w:val="768"/>
              <w:spacing w:line="240" w:lineRule="auto"/>
              <w:ind w:firstLine="0" w:firstLineChars="0"/>
              <w:rPr>
                <w:rFonts w:ascii="Times New Roman" w:hAnsi="Times New Roman"/>
                <w:i/>
                <w:sz w:val="21"/>
                <w:szCs w:val="21"/>
              </w:rPr>
            </w:pPr>
            <w:r>
              <w:rPr>
                <w:rFonts w:ascii="Times New Roman" w:hAnsi="Times New Roman"/>
                <w:i/>
                <w:sz w:val="21"/>
                <w:szCs w:val="21"/>
              </w:rPr>
              <w:t>P.mentanus(Linnaeus)</w:t>
            </w:r>
          </w:p>
        </w:tc>
        <w:tc>
          <w:tcPr>
            <w:tcW w:w="1145" w:type="pct"/>
            <w:vAlign w:val="center"/>
          </w:tcPr>
          <w:p w14:paraId="61962C9D">
            <w:pPr>
              <w:pStyle w:val="768"/>
              <w:spacing w:line="240" w:lineRule="auto"/>
              <w:ind w:firstLine="0" w:firstLineChars="0"/>
              <w:rPr>
                <w:rFonts w:ascii="Times New Roman" w:hAnsi="Times New Roman"/>
                <w:sz w:val="21"/>
                <w:szCs w:val="21"/>
              </w:rPr>
            </w:pPr>
            <w:r>
              <w:rPr>
                <w:rFonts w:ascii="Times New Roman" w:hAnsi="Times New Roman"/>
                <w:sz w:val="21"/>
                <w:szCs w:val="21"/>
              </w:rPr>
              <w:t>草地、灌丛</w:t>
            </w:r>
          </w:p>
        </w:tc>
      </w:tr>
      <w:tr w14:paraId="329E33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102BFBA0">
            <w:pPr>
              <w:pStyle w:val="768"/>
              <w:spacing w:line="240" w:lineRule="auto"/>
              <w:ind w:firstLine="0" w:firstLineChars="0"/>
              <w:rPr>
                <w:rFonts w:ascii="Times New Roman" w:hAnsi="Times New Roman"/>
                <w:sz w:val="21"/>
                <w:szCs w:val="21"/>
              </w:rPr>
            </w:pPr>
            <w:r>
              <w:rPr>
                <w:rFonts w:ascii="Times New Roman" w:hAnsi="Times New Roman"/>
                <w:sz w:val="21"/>
                <w:szCs w:val="21"/>
              </w:rPr>
              <w:t>13</w:t>
            </w:r>
          </w:p>
        </w:tc>
        <w:tc>
          <w:tcPr>
            <w:tcW w:w="1032" w:type="pct"/>
            <w:gridSpan w:val="2"/>
            <w:vAlign w:val="center"/>
          </w:tcPr>
          <w:p w14:paraId="12E095B8">
            <w:pPr>
              <w:pStyle w:val="768"/>
              <w:spacing w:line="240" w:lineRule="auto"/>
              <w:ind w:firstLine="0" w:firstLineChars="0"/>
              <w:rPr>
                <w:rFonts w:ascii="Times New Roman" w:hAnsi="Times New Roman"/>
                <w:sz w:val="21"/>
                <w:szCs w:val="21"/>
              </w:rPr>
            </w:pPr>
            <w:r>
              <w:rPr>
                <w:rFonts w:ascii="Times New Roman" w:hAnsi="Times New Roman"/>
                <w:sz w:val="21"/>
                <w:szCs w:val="21"/>
              </w:rPr>
              <w:t>喜鹊</w:t>
            </w:r>
          </w:p>
        </w:tc>
        <w:tc>
          <w:tcPr>
            <w:tcW w:w="2291" w:type="pct"/>
            <w:vAlign w:val="center"/>
          </w:tcPr>
          <w:p w14:paraId="42C7424E">
            <w:pPr>
              <w:pStyle w:val="768"/>
              <w:spacing w:line="240" w:lineRule="auto"/>
              <w:ind w:firstLine="0" w:firstLineChars="0"/>
              <w:rPr>
                <w:rFonts w:ascii="Times New Roman" w:hAnsi="Times New Roman"/>
                <w:i/>
                <w:sz w:val="21"/>
                <w:szCs w:val="21"/>
              </w:rPr>
            </w:pPr>
            <w:r>
              <w:rPr>
                <w:rFonts w:ascii="Times New Roman" w:hAnsi="Times New Roman"/>
                <w:i/>
                <w:sz w:val="21"/>
                <w:szCs w:val="21"/>
              </w:rPr>
              <w:t>Pica pica(Linnaeus)</w:t>
            </w:r>
          </w:p>
        </w:tc>
        <w:tc>
          <w:tcPr>
            <w:tcW w:w="1145" w:type="pct"/>
            <w:vAlign w:val="center"/>
          </w:tcPr>
          <w:p w14:paraId="3B06530D">
            <w:pPr>
              <w:pStyle w:val="768"/>
              <w:spacing w:line="240" w:lineRule="auto"/>
              <w:ind w:firstLine="0" w:firstLineChars="0"/>
              <w:rPr>
                <w:rFonts w:ascii="Times New Roman" w:hAnsi="Times New Roman"/>
                <w:sz w:val="21"/>
                <w:szCs w:val="21"/>
              </w:rPr>
            </w:pPr>
            <w:r>
              <w:rPr>
                <w:rFonts w:ascii="Times New Roman" w:hAnsi="Times New Roman"/>
                <w:sz w:val="21"/>
                <w:szCs w:val="21"/>
              </w:rPr>
              <w:t>草地、灌丛</w:t>
            </w:r>
          </w:p>
        </w:tc>
      </w:tr>
      <w:tr w14:paraId="48A4C6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14F45B6D">
            <w:pPr>
              <w:pStyle w:val="768"/>
              <w:spacing w:line="240" w:lineRule="auto"/>
              <w:ind w:firstLine="0" w:firstLineChars="0"/>
              <w:rPr>
                <w:rFonts w:ascii="Times New Roman" w:hAnsi="Times New Roman"/>
                <w:sz w:val="21"/>
                <w:szCs w:val="21"/>
              </w:rPr>
            </w:pPr>
            <w:r>
              <w:rPr>
                <w:rFonts w:ascii="Times New Roman" w:hAnsi="Times New Roman"/>
                <w:sz w:val="21"/>
                <w:szCs w:val="21"/>
              </w:rPr>
              <w:t>14</w:t>
            </w:r>
          </w:p>
        </w:tc>
        <w:tc>
          <w:tcPr>
            <w:tcW w:w="1032" w:type="pct"/>
            <w:gridSpan w:val="2"/>
            <w:vAlign w:val="center"/>
          </w:tcPr>
          <w:p w14:paraId="168D0D15">
            <w:pPr>
              <w:pStyle w:val="768"/>
              <w:spacing w:line="240" w:lineRule="auto"/>
              <w:ind w:firstLine="0" w:firstLineChars="0"/>
              <w:rPr>
                <w:rFonts w:ascii="Times New Roman" w:hAnsi="Times New Roman"/>
                <w:sz w:val="21"/>
                <w:szCs w:val="21"/>
              </w:rPr>
            </w:pPr>
            <w:r>
              <w:rPr>
                <w:rFonts w:ascii="Times New Roman" w:hAnsi="Times New Roman"/>
                <w:sz w:val="21"/>
                <w:szCs w:val="21"/>
              </w:rPr>
              <w:t>秃鼻乌鸦</w:t>
            </w:r>
          </w:p>
        </w:tc>
        <w:tc>
          <w:tcPr>
            <w:tcW w:w="2291" w:type="pct"/>
            <w:vAlign w:val="center"/>
          </w:tcPr>
          <w:p w14:paraId="1630DB8B">
            <w:pPr>
              <w:pStyle w:val="768"/>
              <w:spacing w:line="240" w:lineRule="auto"/>
              <w:ind w:firstLine="0" w:firstLineChars="0"/>
              <w:rPr>
                <w:rFonts w:ascii="Times New Roman" w:hAnsi="Times New Roman"/>
                <w:i/>
                <w:sz w:val="21"/>
                <w:szCs w:val="21"/>
              </w:rPr>
            </w:pPr>
            <w:r>
              <w:rPr>
                <w:rFonts w:ascii="Times New Roman" w:hAnsi="Times New Roman"/>
                <w:i/>
                <w:sz w:val="21"/>
                <w:szCs w:val="21"/>
              </w:rPr>
              <w:t>Cervus fruilegus(Linnaeus)</w:t>
            </w:r>
          </w:p>
        </w:tc>
        <w:tc>
          <w:tcPr>
            <w:tcW w:w="1145" w:type="pct"/>
            <w:vAlign w:val="center"/>
          </w:tcPr>
          <w:p w14:paraId="7FB1BDA7">
            <w:pPr>
              <w:pStyle w:val="768"/>
              <w:spacing w:line="240" w:lineRule="auto"/>
              <w:ind w:firstLine="0" w:firstLineChars="0"/>
              <w:rPr>
                <w:rFonts w:ascii="Times New Roman" w:hAnsi="Times New Roman"/>
                <w:sz w:val="21"/>
                <w:szCs w:val="21"/>
              </w:rPr>
            </w:pPr>
            <w:r>
              <w:rPr>
                <w:rFonts w:ascii="Times New Roman" w:hAnsi="Times New Roman"/>
                <w:sz w:val="21"/>
                <w:szCs w:val="21"/>
              </w:rPr>
              <w:t>草地、灌丛</w:t>
            </w:r>
          </w:p>
        </w:tc>
      </w:tr>
      <w:tr w14:paraId="36570B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000" w:type="pct"/>
            <w:gridSpan w:val="5"/>
            <w:vAlign w:val="center"/>
          </w:tcPr>
          <w:p w14:paraId="63A69336">
            <w:pPr>
              <w:pStyle w:val="768"/>
              <w:spacing w:line="240" w:lineRule="auto"/>
              <w:ind w:firstLine="0" w:firstLineChars="0"/>
              <w:rPr>
                <w:rFonts w:ascii="Times New Roman" w:hAnsi="Times New Roman"/>
                <w:i/>
                <w:sz w:val="21"/>
                <w:szCs w:val="21"/>
                <w:lang w:val="en-GB"/>
              </w:rPr>
            </w:pPr>
            <w:r>
              <w:rPr>
                <w:rFonts w:ascii="Times New Roman" w:hAnsi="Times New Roman"/>
                <w:b/>
                <w:sz w:val="21"/>
                <w:szCs w:val="21"/>
                <w:lang w:val="en-GB"/>
              </w:rPr>
              <w:t>（6）</w:t>
            </w:r>
            <w:r>
              <w:rPr>
                <w:rFonts w:ascii="Times New Roman" w:hAnsi="Times New Roman"/>
                <w:b/>
                <w:sz w:val="21"/>
                <w:szCs w:val="21"/>
              </w:rPr>
              <w:t>雁形目</w:t>
            </w:r>
            <w:r>
              <w:rPr>
                <w:rFonts w:ascii="Times New Roman" w:hAnsi="Times New Roman"/>
                <w:b/>
                <w:sz w:val="21"/>
                <w:szCs w:val="21"/>
                <w:lang w:val="en-GB"/>
              </w:rPr>
              <w:t xml:space="preserve"> </w:t>
            </w:r>
            <w:r>
              <w:rPr>
                <w:rFonts w:ascii="Times New Roman" w:hAnsi="Times New Roman"/>
                <w:i/>
                <w:sz w:val="21"/>
                <w:szCs w:val="21"/>
                <w:lang w:val="en-GB"/>
              </w:rPr>
              <w:t>ANSERIFORMES</w:t>
            </w:r>
          </w:p>
        </w:tc>
      </w:tr>
      <w:tr w14:paraId="62B969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30A49BCE">
            <w:pPr>
              <w:pStyle w:val="768"/>
              <w:spacing w:line="240" w:lineRule="auto"/>
              <w:ind w:firstLine="0" w:firstLineChars="0"/>
              <w:rPr>
                <w:rFonts w:ascii="Times New Roman" w:hAnsi="Times New Roman"/>
                <w:sz w:val="21"/>
                <w:szCs w:val="21"/>
              </w:rPr>
            </w:pPr>
            <w:r>
              <w:rPr>
                <w:rFonts w:ascii="Times New Roman" w:hAnsi="Times New Roman"/>
                <w:sz w:val="21"/>
                <w:szCs w:val="21"/>
              </w:rPr>
              <w:t>15</w:t>
            </w:r>
          </w:p>
        </w:tc>
        <w:tc>
          <w:tcPr>
            <w:tcW w:w="1032" w:type="pct"/>
            <w:gridSpan w:val="2"/>
            <w:vAlign w:val="center"/>
          </w:tcPr>
          <w:p w14:paraId="779588BF">
            <w:pPr>
              <w:pStyle w:val="768"/>
              <w:spacing w:line="240" w:lineRule="auto"/>
              <w:ind w:firstLine="0" w:firstLineChars="0"/>
              <w:rPr>
                <w:rFonts w:ascii="Times New Roman" w:hAnsi="Times New Roman"/>
                <w:sz w:val="21"/>
                <w:szCs w:val="21"/>
              </w:rPr>
            </w:pPr>
            <w:r>
              <w:rPr>
                <w:rFonts w:ascii="Times New Roman" w:hAnsi="Times New Roman"/>
                <w:sz w:val="21"/>
                <w:szCs w:val="21"/>
              </w:rPr>
              <w:t>绿头鸭</w:t>
            </w:r>
          </w:p>
        </w:tc>
        <w:tc>
          <w:tcPr>
            <w:tcW w:w="2291" w:type="pct"/>
            <w:vAlign w:val="center"/>
          </w:tcPr>
          <w:p w14:paraId="53F62DD5">
            <w:pPr>
              <w:pStyle w:val="768"/>
              <w:spacing w:line="240" w:lineRule="auto"/>
              <w:ind w:firstLine="0" w:firstLineChars="0"/>
              <w:rPr>
                <w:rFonts w:ascii="Times New Roman" w:hAnsi="Times New Roman"/>
                <w:i/>
                <w:sz w:val="21"/>
                <w:szCs w:val="21"/>
              </w:rPr>
            </w:pPr>
            <w:r>
              <w:rPr>
                <w:rFonts w:ascii="Times New Roman" w:hAnsi="Times New Roman"/>
                <w:i/>
                <w:sz w:val="21"/>
                <w:szCs w:val="21"/>
              </w:rPr>
              <w:t>Anas platyrhynchos</w:t>
            </w:r>
          </w:p>
        </w:tc>
        <w:tc>
          <w:tcPr>
            <w:tcW w:w="1145" w:type="pct"/>
            <w:vAlign w:val="center"/>
          </w:tcPr>
          <w:p w14:paraId="45123264">
            <w:pPr>
              <w:pStyle w:val="768"/>
              <w:spacing w:line="240" w:lineRule="auto"/>
              <w:ind w:firstLine="0" w:firstLineChars="0"/>
              <w:rPr>
                <w:rFonts w:ascii="Times New Roman" w:hAnsi="Times New Roman"/>
                <w:sz w:val="21"/>
                <w:szCs w:val="21"/>
              </w:rPr>
            </w:pPr>
            <w:r>
              <w:rPr>
                <w:rFonts w:ascii="Times New Roman" w:hAnsi="Times New Roman"/>
                <w:sz w:val="21"/>
                <w:szCs w:val="21"/>
              </w:rPr>
              <w:t>水域、沼泽</w:t>
            </w:r>
          </w:p>
        </w:tc>
      </w:tr>
      <w:tr w14:paraId="4ACBB2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000" w:type="pct"/>
            <w:gridSpan w:val="5"/>
            <w:vAlign w:val="center"/>
          </w:tcPr>
          <w:p w14:paraId="19C805E3">
            <w:pPr>
              <w:pStyle w:val="768"/>
              <w:spacing w:line="240" w:lineRule="auto"/>
              <w:ind w:firstLine="0" w:firstLineChars="0"/>
              <w:rPr>
                <w:rFonts w:ascii="Times New Roman" w:hAnsi="Times New Roman"/>
                <w:i/>
                <w:sz w:val="21"/>
                <w:szCs w:val="21"/>
              </w:rPr>
            </w:pPr>
            <w:r>
              <w:rPr>
                <w:rFonts w:hint="eastAsia" w:ascii="Times New Roman" w:hAnsi="Times New Roman"/>
                <w:b/>
                <w:sz w:val="21"/>
                <w:szCs w:val="21"/>
                <w:lang w:val="en-US"/>
              </w:rPr>
              <w:t>二</w:t>
            </w:r>
            <w:r>
              <w:rPr>
                <w:rFonts w:ascii="Times New Roman" w:hAnsi="Times New Roman"/>
                <w:b/>
                <w:sz w:val="21"/>
                <w:szCs w:val="21"/>
              </w:rPr>
              <w:t xml:space="preserve">、哺乳纲 </w:t>
            </w:r>
            <w:r>
              <w:rPr>
                <w:rFonts w:ascii="Times New Roman" w:hAnsi="Times New Roman"/>
                <w:i/>
                <w:sz w:val="21"/>
                <w:szCs w:val="21"/>
              </w:rPr>
              <w:t>MAMMALTA</w:t>
            </w:r>
          </w:p>
        </w:tc>
      </w:tr>
      <w:tr w14:paraId="646344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7B4ACBA8">
            <w:pPr>
              <w:pStyle w:val="768"/>
              <w:spacing w:line="240" w:lineRule="auto"/>
              <w:ind w:firstLine="0" w:firstLineChars="0"/>
              <w:rPr>
                <w:rFonts w:ascii="Times New Roman" w:hAnsi="Times New Roman"/>
                <w:sz w:val="21"/>
                <w:szCs w:val="21"/>
              </w:rPr>
            </w:pPr>
            <w:r>
              <w:rPr>
                <w:rFonts w:ascii="Times New Roman" w:hAnsi="Times New Roman"/>
                <w:sz w:val="21"/>
                <w:szCs w:val="21"/>
              </w:rPr>
              <w:t>16</w:t>
            </w:r>
          </w:p>
        </w:tc>
        <w:tc>
          <w:tcPr>
            <w:tcW w:w="1032" w:type="pct"/>
            <w:gridSpan w:val="2"/>
            <w:vAlign w:val="center"/>
          </w:tcPr>
          <w:p w14:paraId="48BB369F">
            <w:pPr>
              <w:pStyle w:val="768"/>
              <w:spacing w:line="240" w:lineRule="auto"/>
              <w:ind w:firstLine="0" w:firstLineChars="0"/>
              <w:rPr>
                <w:rFonts w:ascii="Times New Roman" w:hAnsi="Times New Roman"/>
                <w:sz w:val="21"/>
                <w:szCs w:val="21"/>
              </w:rPr>
            </w:pPr>
            <w:r>
              <w:rPr>
                <w:rFonts w:ascii="Times New Roman" w:hAnsi="Times New Roman"/>
                <w:sz w:val="21"/>
                <w:szCs w:val="21"/>
              </w:rPr>
              <w:t>蒙古兔</w:t>
            </w:r>
          </w:p>
        </w:tc>
        <w:tc>
          <w:tcPr>
            <w:tcW w:w="2291" w:type="pct"/>
            <w:vAlign w:val="center"/>
          </w:tcPr>
          <w:p w14:paraId="1AD9711B">
            <w:pPr>
              <w:pStyle w:val="768"/>
              <w:spacing w:line="240" w:lineRule="auto"/>
              <w:ind w:firstLine="0" w:firstLineChars="0"/>
              <w:rPr>
                <w:rFonts w:ascii="Times New Roman" w:hAnsi="Times New Roman"/>
                <w:i/>
                <w:sz w:val="21"/>
                <w:szCs w:val="21"/>
              </w:rPr>
            </w:pPr>
            <w:r>
              <w:rPr>
                <w:rFonts w:ascii="Times New Roman" w:hAnsi="Times New Roman"/>
                <w:i/>
                <w:sz w:val="21"/>
                <w:szCs w:val="21"/>
              </w:rPr>
              <w:t>Lepus tolei pallas</w:t>
            </w:r>
          </w:p>
        </w:tc>
        <w:tc>
          <w:tcPr>
            <w:tcW w:w="1145" w:type="pct"/>
            <w:vAlign w:val="center"/>
          </w:tcPr>
          <w:p w14:paraId="04915541">
            <w:pPr>
              <w:pStyle w:val="768"/>
              <w:spacing w:line="240" w:lineRule="auto"/>
              <w:ind w:firstLine="0" w:firstLineChars="0"/>
              <w:rPr>
                <w:rFonts w:ascii="Times New Roman" w:hAnsi="Times New Roman"/>
                <w:sz w:val="21"/>
                <w:szCs w:val="21"/>
              </w:rPr>
            </w:pPr>
            <w:r>
              <w:rPr>
                <w:rFonts w:ascii="Times New Roman" w:hAnsi="Times New Roman"/>
                <w:sz w:val="21"/>
                <w:szCs w:val="21"/>
              </w:rPr>
              <w:t>草地、沙地</w:t>
            </w:r>
          </w:p>
        </w:tc>
      </w:tr>
      <w:tr w14:paraId="404517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6DB1C51E">
            <w:pPr>
              <w:pStyle w:val="768"/>
              <w:spacing w:line="240" w:lineRule="auto"/>
              <w:ind w:firstLine="0" w:firstLineChars="0"/>
              <w:rPr>
                <w:rFonts w:ascii="Times New Roman" w:hAnsi="Times New Roman"/>
                <w:sz w:val="21"/>
                <w:szCs w:val="21"/>
              </w:rPr>
            </w:pPr>
            <w:r>
              <w:rPr>
                <w:rFonts w:ascii="Times New Roman" w:hAnsi="Times New Roman"/>
                <w:sz w:val="21"/>
                <w:szCs w:val="21"/>
              </w:rPr>
              <w:t>17</w:t>
            </w:r>
          </w:p>
        </w:tc>
        <w:tc>
          <w:tcPr>
            <w:tcW w:w="1032" w:type="pct"/>
            <w:gridSpan w:val="2"/>
            <w:vAlign w:val="center"/>
          </w:tcPr>
          <w:p w14:paraId="7F8081C5">
            <w:pPr>
              <w:pStyle w:val="768"/>
              <w:spacing w:line="240" w:lineRule="auto"/>
              <w:ind w:firstLine="0" w:firstLineChars="0"/>
              <w:rPr>
                <w:rFonts w:ascii="Times New Roman" w:hAnsi="Times New Roman"/>
                <w:sz w:val="21"/>
                <w:szCs w:val="21"/>
              </w:rPr>
            </w:pPr>
            <w:r>
              <w:rPr>
                <w:rFonts w:ascii="Times New Roman" w:hAnsi="Times New Roman"/>
                <w:sz w:val="21"/>
                <w:szCs w:val="21"/>
              </w:rPr>
              <w:t>三趾跳鼠</w:t>
            </w:r>
          </w:p>
        </w:tc>
        <w:tc>
          <w:tcPr>
            <w:tcW w:w="2291" w:type="pct"/>
            <w:vAlign w:val="center"/>
          </w:tcPr>
          <w:p w14:paraId="39B7E697">
            <w:pPr>
              <w:pStyle w:val="768"/>
              <w:spacing w:line="240" w:lineRule="auto"/>
              <w:ind w:firstLine="0" w:firstLineChars="0"/>
              <w:rPr>
                <w:rFonts w:ascii="Times New Roman" w:hAnsi="Times New Roman"/>
                <w:i/>
                <w:sz w:val="21"/>
                <w:szCs w:val="21"/>
              </w:rPr>
            </w:pPr>
            <w:r>
              <w:rPr>
                <w:rFonts w:ascii="Times New Roman" w:hAnsi="Times New Roman"/>
                <w:i/>
                <w:sz w:val="21"/>
                <w:szCs w:val="21"/>
              </w:rPr>
              <w:t>Dipus sagitta pallas</w:t>
            </w:r>
          </w:p>
        </w:tc>
        <w:tc>
          <w:tcPr>
            <w:tcW w:w="1145" w:type="pct"/>
            <w:vAlign w:val="center"/>
          </w:tcPr>
          <w:p w14:paraId="5B78E715">
            <w:pPr>
              <w:pStyle w:val="768"/>
              <w:spacing w:line="240" w:lineRule="auto"/>
              <w:ind w:firstLine="0" w:firstLineChars="0"/>
              <w:rPr>
                <w:rFonts w:ascii="Times New Roman" w:hAnsi="Times New Roman"/>
                <w:sz w:val="21"/>
                <w:szCs w:val="21"/>
              </w:rPr>
            </w:pPr>
            <w:r>
              <w:rPr>
                <w:rFonts w:ascii="Times New Roman" w:hAnsi="Times New Roman"/>
                <w:sz w:val="21"/>
                <w:szCs w:val="21"/>
              </w:rPr>
              <w:t>草地、沙地</w:t>
            </w:r>
          </w:p>
        </w:tc>
      </w:tr>
      <w:tr w14:paraId="4BC554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531" w:type="pct"/>
            <w:vAlign w:val="center"/>
          </w:tcPr>
          <w:p w14:paraId="0C2CB0BF">
            <w:pPr>
              <w:pStyle w:val="768"/>
              <w:spacing w:line="240" w:lineRule="auto"/>
              <w:ind w:firstLine="0" w:firstLineChars="0"/>
              <w:rPr>
                <w:rFonts w:ascii="Times New Roman" w:hAnsi="Times New Roman"/>
                <w:sz w:val="21"/>
                <w:szCs w:val="21"/>
              </w:rPr>
            </w:pPr>
            <w:r>
              <w:rPr>
                <w:rFonts w:ascii="Times New Roman" w:hAnsi="Times New Roman"/>
                <w:sz w:val="21"/>
                <w:szCs w:val="21"/>
              </w:rPr>
              <w:t>18</w:t>
            </w:r>
          </w:p>
        </w:tc>
        <w:tc>
          <w:tcPr>
            <w:tcW w:w="1032" w:type="pct"/>
            <w:gridSpan w:val="2"/>
            <w:vAlign w:val="center"/>
          </w:tcPr>
          <w:p w14:paraId="725C9C46">
            <w:pPr>
              <w:pStyle w:val="768"/>
              <w:spacing w:line="240" w:lineRule="auto"/>
              <w:ind w:firstLine="0" w:firstLineChars="0"/>
              <w:rPr>
                <w:rFonts w:ascii="Times New Roman" w:hAnsi="Times New Roman"/>
                <w:sz w:val="21"/>
                <w:szCs w:val="21"/>
              </w:rPr>
            </w:pPr>
            <w:r>
              <w:rPr>
                <w:rFonts w:ascii="Times New Roman" w:hAnsi="Times New Roman"/>
                <w:sz w:val="21"/>
                <w:szCs w:val="21"/>
              </w:rPr>
              <w:t>五趾跳鼠</w:t>
            </w:r>
          </w:p>
        </w:tc>
        <w:tc>
          <w:tcPr>
            <w:tcW w:w="2291" w:type="pct"/>
            <w:vAlign w:val="center"/>
          </w:tcPr>
          <w:p w14:paraId="2571BC3C">
            <w:pPr>
              <w:pStyle w:val="768"/>
              <w:spacing w:line="240" w:lineRule="auto"/>
              <w:ind w:firstLine="0" w:firstLineChars="0"/>
              <w:rPr>
                <w:rFonts w:ascii="Times New Roman" w:hAnsi="Times New Roman"/>
                <w:i/>
                <w:sz w:val="21"/>
                <w:szCs w:val="21"/>
              </w:rPr>
            </w:pPr>
            <w:r>
              <w:rPr>
                <w:rFonts w:ascii="Times New Roman" w:hAnsi="Times New Roman"/>
                <w:i/>
                <w:sz w:val="21"/>
                <w:szCs w:val="21"/>
              </w:rPr>
              <w:t>A.sibirica Forster</w:t>
            </w:r>
          </w:p>
        </w:tc>
        <w:tc>
          <w:tcPr>
            <w:tcW w:w="1145" w:type="pct"/>
            <w:vAlign w:val="center"/>
          </w:tcPr>
          <w:p w14:paraId="20EC87F2">
            <w:pPr>
              <w:pStyle w:val="768"/>
              <w:spacing w:line="240" w:lineRule="auto"/>
              <w:ind w:firstLine="0" w:firstLineChars="0"/>
              <w:rPr>
                <w:rFonts w:ascii="Times New Roman" w:hAnsi="Times New Roman"/>
                <w:sz w:val="21"/>
                <w:szCs w:val="21"/>
              </w:rPr>
            </w:pPr>
            <w:r>
              <w:rPr>
                <w:rFonts w:ascii="Times New Roman" w:hAnsi="Times New Roman"/>
                <w:sz w:val="21"/>
                <w:szCs w:val="21"/>
              </w:rPr>
              <w:t>草地、沙地</w:t>
            </w:r>
          </w:p>
        </w:tc>
      </w:tr>
    </w:tbl>
    <w:p w14:paraId="32960AF3">
      <w:pPr>
        <w:ind w:firstLine="480"/>
        <w:jc w:val="both"/>
      </w:pPr>
      <w:r>
        <w:t>根据现场调查</w:t>
      </w:r>
      <w:r>
        <w:rPr>
          <w:rFonts w:hint="eastAsia"/>
        </w:rPr>
        <w:t>、</w:t>
      </w:r>
      <w:r>
        <w:t>资料记载</w:t>
      </w:r>
      <w:r>
        <w:rPr>
          <w:rFonts w:hint="eastAsia"/>
        </w:rPr>
        <w:t>并结合《国家重点保护野生动物名录》得出</w:t>
      </w:r>
      <w:r>
        <w:t>，评价区内</w:t>
      </w:r>
      <w:r>
        <w:rPr>
          <w:rFonts w:hint="eastAsia"/>
        </w:rPr>
        <w:t>无国家重点保护野生动物及被列入世界自然保护联盟濒危物种红色名录（IUCN红色名录）的动物，有1种自治区重点保护野生动物为角百灵（</w:t>
      </w:r>
      <w:r>
        <w:rPr>
          <w:i/>
          <w:sz w:val="21"/>
          <w:szCs w:val="21"/>
        </w:rPr>
        <w:t>Eremophila alpestris</w:t>
      </w:r>
      <w:r>
        <w:rPr>
          <w:rFonts w:hint="eastAsia"/>
        </w:rPr>
        <w:t>）。</w:t>
      </w:r>
      <w:r>
        <w:t>评价区内</w:t>
      </w:r>
      <w:r>
        <w:rPr>
          <w:rFonts w:hint="eastAsia"/>
        </w:rPr>
        <w:t>存在</w:t>
      </w:r>
      <w:r>
        <w:t>一些</w:t>
      </w:r>
      <w:r>
        <w:rPr>
          <w:rFonts w:hint="eastAsia"/>
        </w:rPr>
        <w:t>小型</w:t>
      </w:r>
      <w:r>
        <w:t>野生动物，如蒙古兔、跳鼠</w:t>
      </w:r>
      <w:r>
        <w:rPr>
          <w:rFonts w:hint="eastAsia"/>
        </w:rPr>
        <w:t>、</w:t>
      </w:r>
      <w:r>
        <w:t>喜鹊、家燕、石鸡、雉鸡、啄木鸟、</w:t>
      </w:r>
      <w:r>
        <w:rPr>
          <w:rFonts w:hint="eastAsia"/>
        </w:rPr>
        <w:t>树</w:t>
      </w:r>
      <w:r>
        <w:t>麻雀等</w:t>
      </w:r>
      <w:r>
        <w:rPr>
          <w:rFonts w:hint="eastAsia"/>
        </w:rPr>
        <w:t>，已被列入《有重要生态、科学、社会价值的陆生野生动物名录》</w:t>
      </w:r>
      <w:r>
        <w:t>。</w:t>
      </w:r>
    </w:p>
    <w:p w14:paraId="7C96313B">
      <w:pPr>
        <w:pStyle w:val="4"/>
        <w:widowControl w:val="0"/>
        <w:wordWrap w:val="0"/>
        <w:topLinePunct/>
        <w:adjustRightInd w:val="0"/>
        <w:snapToGrid w:val="0"/>
        <w:spacing w:after="0" w:line="240" w:lineRule="auto"/>
        <w:ind w:firstLine="0" w:firstLineChars="0"/>
      </w:pPr>
      <w:r>
        <w:rPr>
          <w:rFonts w:hint="eastAsia" w:ascii="Times New Roman" w:hAnsi="Times New Roman"/>
          <w:b/>
          <w:bCs/>
          <w:kern w:val="2"/>
          <w:sz w:val="24"/>
          <w:szCs w:val="20"/>
        </w:rPr>
        <w:t>表4.6-20 重要野生动物调查结果统计表</w:t>
      </w:r>
    </w:p>
    <w:tbl>
      <w:tblPr>
        <w:tblStyle w:val="83"/>
        <w:tblW w:w="0" w:type="auto"/>
        <w:tblInd w:w="-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
        <w:gridCol w:w="683"/>
        <w:gridCol w:w="750"/>
        <w:gridCol w:w="684"/>
        <w:gridCol w:w="916"/>
        <w:gridCol w:w="998"/>
        <w:gridCol w:w="675"/>
        <w:gridCol w:w="4211"/>
      </w:tblGrid>
      <w:tr w14:paraId="14B5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dxa"/>
            <w:vAlign w:val="center"/>
          </w:tcPr>
          <w:p w14:paraId="2381171D">
            <w:pPr>
              <w:widowControl w:val="0"/>
              <w:wordWrap w:val="0"/>
              <w:topLinePunct/>
              <w:adjustRightInd w:val="0"/>
              <w:snapToGrid w:val="0"/>
              <w:spacing w:line="240" w:lineRule="auto"/>
              <w:ind w:firstLine="0" w:firstLineChars="0"/>
              <w:jc w:val="center"/>
              <w:rPr>
                <w:sz w:val="21"/>
              </w:rPr>
            </w:pPr>
            <w:r>
              <w:rPr>
                <w:rFonts w:hint="eastAsia"/>
                <w:sz w:val="21"/>
              </w:rPr>
              <w:t>序号</w:t>
            </w:r>
          </w:p>
        </w:tc>
        <w:tc>
          <w:tcPr>
            <w:tcW w:w="683" w:type="dxa"/>
            <w:vAlign w:val="center"/>
          </w:tcPr>
          <w:p w14:paraId="69801422">
            <w:pPr>
              <w:widowControl w:val="0"/>
              <w:wordWrap w:val="0"/>
              <w:topLinePunct/>
              <w:adjustRightInd w:val="0"/>
              <w:snapToGrid w:val="0"/>
              <w:spacing w:line="240" w:lineRule="auto"/>
              <w:ind w:firstLine="0" w:firstLineChars="0"/>
              <w:jc w:val="center"/>
              <w:rPr>
                <w:sz w:val="21"/>
              </w:rPr>
            </w:pPr>
            <w:r>
              <w:rPr>
                <w:rFonts w:hint="eastAsia"/>
                <w:sz w:val="21"/>
              </w:rPr>
              <w:t>物种名称</w:t>
            </w:r>
          </w:p>
        </w:tc>
        <w:tc>
          <w:tcPr>
            <w:tcW w:w="750" w:type="dxa"/>
            <w:vAlign w:val="center"/>
          </w:tcPr>
          <w:p w14:paraId="29C38E44">
            <w:pPr>
              <w:widowControl w:val="0"/>
              <w:wordWrap w:val="0"/>
              <w:topLinePunct/>
              <w:adjustRightInd w:val="0"/>
              <w:snapToGrid w:val="0"/>
              <w:spacing w:line="240" w:lineRule="auto"/>
              <w:ind w:firstLine="0" w:firstLineChars="0"/>
              <w:jc w:val="center"/>
              <w:rPr>
                <w:sz w:val="21"/>
              </w:rPr>
            </w:pPr>
            <w:r>
              <w:rPr>
                <w:rFonts w:hint="eastAsia"/>
                <w:sz w:val="21"/>
              </w:rPr>
              <w:t>保护级别</w:t>
            </w:r>
          </w:p>
        </w:tc>
        <w:tc>
          <w:tcPr>
            <w:tcW w:w="684" w:type="dxa"/>
            <w:vAlign w:val="center"/>
          </w:tcPr>
          <w:p w14:paraId="5A2477B5">
            <w:pPr>
              <w:widowControl w:val="0"/>
              <w:wordWrap w:val="0"/>
              <w:topLinePunct/>
              <w:adjustRightInd w:val="0"/>
              <w:snapToGrid w:val="0"/>
              <w:spacing w:line="240" w:lineRule="auto"/>
              <w:ind w:firstLine="0" w:firstLineChars="0"/>
              <w:jc w:val="center"/>
              <w:rPr>
                <w:sz w:val="21"/>
              </w:rPr>
            </w:pPr>
            <w:r>
              <w:rPr>
                <w:rFonts w:hint="eastAsia"/>
                <w:sz w:val="21"/>
              </w:rPr>
              <w:t>濒危等级</w:t>
            </w:r>
          </w:p>
        </w:tc>
        <w:tc>
          <w:tcPr>
            <w:tcW w:w="916" w:type="dxa"/>
            <w:vAlign w:val="center"/>
          </w:tcPr>
          <w:p w14:paraId="291C8FBA">
            <w:pPr>
              <w:widowControl w:val="0"/>
              <w:wordWrap w:val="0"/>
              <w:topLinePunct/>
              <w:adjustRightInd w:val="0"/>
              <w:snapToGrid w:val="0"/>
              <w:spacing w:line="240" w:lineRule="auto"/>
              <w:ind w:firstLine="0" w:firstLineChars="0"/>
              <w:jc w:val="center"/>
              <w:rPr>
                <w:sz w:val="21"/>
              </w:rPr>
            </w:pPr>
            <w:r>
              <w:rPr>
                <w:rFonts w:hint="eastAsia"/>
                <w:sz w:val="21"/>
              </w:rPr>
              <w:t>特有种（是/否）</w:t>
            </w:r>
          </w:p>
        </w:tc>
        <w:tc>
          <w:tcPr>
            <w:tcW w:w="998" w:type="dxa"/>
            <w:vAlign w:val="center"/>
          </w:tcPr>
          <w:p w14:paraId="33B80A72">
            <w:pPr>
              <w:widowControl w:val="0"/>
              <w:wordWrap w:val="0"/>
              <w:topLinePunct/>
              <w:adjustRightInd w:val="0"/>
              <w:snapToGrid w:val="0"/>
              <w:spacing w:line="240" w:lineRule="auto"/>
              <w:ind w:firstLine="0" w:firstLineChars="0"/>
              <w:jc w:val="center"/>
              <w:rPr>
                <w:sz w:val="21"/>
              </w:rPr>
            </w:pPr>
            <w:r>
              <w:rPr>
                <w:rFonts w:hint="eastAsia"/>
                <w:sz w:val="21"/>
              </w:rPr>
              <w:t>分布区域</w:t>
            </w:r>
          </w:p>
        </w:tc>
        <w:tc>
          <w:tcPr>
            <w:tcW w:w="675" w:type="dxa"/>
            <w:vAlign w:val="center"/>
          </w:tcPr>
          <w:p w14:paraId="5D05082D">
            <w:pPr>
              <w:widowControl w:val="0"/>
              <w:wordWrap w:val="0"/>
              <w:topLinePunct/>
              <w:adjustRightInd w:val="0"/>
              <w:snapToGrid w:val="0"/>
              <w:spacing w:line="240" w:lineRule="auto"/>
              <w:ind w:firstLine="0" w:firstLineChars="0"/>
              <w:jc w:val="center"/>
              <w:rPr>
                <w:sz w:val="21"/>
              </w:rPr>
            </w:pPr>
            <w:r>
              <w:rPr>
                <w:rFonts w:hint="eastAsia"/>
                <w:sz w:val="21"/>
              </w:rPr>
              <w:t>资料来源</w:t>
            </w:r>
          </w:p>
        </w:tc>
        <w:tc>
          <w:tcPr>
            <w:tcW w:w="4211" w:type="dxa"/>
            <w:vAlign w:val="center"/>
          </w:tcPr>
          <w:p w14:paraId="20E36DE7">
            <w:pPr>
              <w:widowControl w:val="0"/>
              <w:wordWrap w:val="0"/>
              <w:topLinePunct/>
              <w:adjustRightInd w:val="0"/>
              <w:snapToGrid w:val="0"/>
              <w:spacing w:line="240" w:lineRule="auto"/>
              <w:ind w:firstLine="0" w:firstLineChars="0"/>
              <w:jc w:val="center"/>
              <w:rPr>
                <w:sz w:val="21"/>
              </w:rPr>
            </w:pPr>
            <w:r>
              <w:rPr>
                <w:rFonts w:hint="eastAsia"/>
                <w:sz w:val="21"/>
              </w:rPr>
              <w:t>工程占用情况</w:t>
            </w:r>
          </w:p>
        </w:tc>
      </w:tr>
      <w:tr w14:paraId="4BED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0" w:type="dxa"/>
            <w:vAlign w:val="center"/>
          </w:tcPr>
          <w:p w14:paraId="08D75F24">
            <w:pPr>
              <w:widowControl w:val="0"/>
              <w:wordWrap w:val="0"/>
              <w:topLinePunct/>
              <w:adjustRightInd w:val="0"/>
              <w:snapToGrid w:val="0"/>
              <w:spacing w:line="240" w:lineRule="auto"/>
              <w:ind w:firstLine="0" w:firstLineChars="0"/>
              <w:jc w:val="center"/>
              <w:rPr>
                <w:sz w:val="21"/>
              </w:rPr>
            </w:pPr>
            <w:r>
              <w:rPr>
                <w:rFonts w:hint="eastAsia"/>
                <w:sz w:val="21"/>
              </w:rPr>
              <w:t>1</w:t>
            </w:r>
          </w:p>
        </w:tc>
        <w:tc>
          <w:tcPr>
            <w:tcW w:w="683" w:type="dxa"/>
            <w:vAlign w:val="center"/>
          </w:tcPr>
          <w:p w14:paraId="0EB088AF">
            <w:pPr>
              <w:widowControl w:val="0"/>
              <w:wordWrap w:val="0"/>
              <w:topLinePunct/>
              <w:adjustRightInd w:val="0"/>
              <w:snapToGrid w:val="0"/>
              <w:spacing w:line="240" w:lineRule="auto"/>
              <w:ind w:firstLine="0" w:firstLineChars="0"/>
              <w:jc w:val="center"/>
              <w:rPr>
                <w:sz w:val="21"/>
              </w:rPr>
            </w:pPr>
            <w:r>
              <w:rPr>
                <w:sz w:val="21"/>
              </w:rPr>
              <w:t>角百灵</w:t>
            </w:r>
          </w:p>
        </w:tc>
        <w:tc>
          <w:tcPr>
            <w:tcW w:w="750" w:type="dxa"/>
            <w:vAlign w:val="center"/>
          </w:tcPr>
          <w:p w14:paraId="7F06776E">
            <w:pPr>
              <w:widowControl w:val="0"/>
              <w:wordWrap w:val="0"/>
              <w:topLinePunct/>
              <w:adjustRightInd w:val="0"/>
              <w:snapToGrid w:val="0"/>
              <w:spacing w:line="240" w:lineRule="auto"/>
              <w:ind w:firstLine="0" w:firstLineChars="0"/>
              <w:jc w:val="center"/>
              <w:rPr>
                <w:sz w:val="21"/>
              </w:rPr>
            </w:pPr>
            <w:r>
              <w:rPr>
                <w:rFonts w:hint="eastAsia"/>
                <w:sz w:val="21"/>
              </w:rPr>
              <w:t>自治区重点保护</w:t>
            </w:r>
          </w:p>
        </w:tc>
        <w:tc>
          <w:tcPr>
            <w:tcW w:w="684" w:type="dxa"/>
            <w:vAlign w:val="center"/>
          </w:tcPr>
          <w:p w14:paraId="01FEF8D3">
            <w:pPr>
              <w:widowControl w:val="0"/>
              <w:wordWrap w:val="0"/>
              <w:topLinePunct/>
              <w:adjustRightInd w:val="0"/>
              <w:snapToGrid w:val="0"/>
              <w:spacing w:line="240" w:lineRule="auto"/>
              <w:ind w:firstLine="0" w:firstLineChars="0"/>
              <w:jc w:val="center"/>
              <w:rPr>
                <w:sz w:val="21"/>
              </w:rPr>
            </w:pPr>
            <w:r>
              <w:rPr>
                <w:rFonts w:hint="eastAsia" w:ascii="Helvetica" w:hAnsi="Helvetica" w:cs="Helvetica"/>
                <w:sz w:val="21"/>
                <w:szCs w:val="21"/>
                <w:shd w:val="clear" w:color="auto" w:fill="FFFFFF"/>
              </w:rPr>
              <w:t>无危</w:t>
            </w:r>
          </w:p>
        </w:tc>
        <w:tc>
          <w:tcPr>
            <w:tcW w:w="916" w:type="dxa"/>
            <w:vAlign w:val="center"/>
          </w:tcPr>
          <w:p w14:paraId="6DACF05A">
            <w:pPr>
              <w:widowControl w:val="0"/>
              <w:wordWrap w:val="0"/>
              <w:topLinePunct/>
              <w:adjustRightInd w:val="0"/>
              <w:snapToGrid w:val="0"/>
              <w:spacing w:line="240" w:lineRule="auto"/>
              <w:ind w:firstLine="0" w:firstLineChars="0"/>
              <w:jc w:val="center"/>
              <w:rPr>
                <w:sz w:val="21"/>
              </w:rPr>
            </w:pPr>
            <w:r>
              <w:rPr>
                <w:rFonts w:hint="eastAsia"/>
                <w:sz w:val="21"/>
              </w:rPr>
              <w:t>否</w:t>
            </w:r>
          </w:p>
        </w:tc>
        <w:tc>
          <w:tcPr>
            <w:tcW w:w="998" w:type="dxa"/>
            <w:vAlign w:val="center"/>
          </w:tcPr>
          <w:p w14:paraId="7A69E235">
            <w:pPr>
              <w:widowControl w:val="0"/>
              <w:wordWrap w:val="0"/>
              <w:topLinePunct/>
              <w:adjustRightInd w:val="0"/>
              <w:snapToGrid w:val="0"/>
              <w:spacing w:line="240" w:lineRule="auto"/>
              <w:ind w:firstLine="0" w:firstLineChars="0"/>
              <w:jc w:val="center"/>
              <w:rPr>
                <w:sz w:val="21"/>
              </w:rPr>
            </w:pPr>
            <w:r>
              <w:rPr>
                <w:rFonts w:hint="eastAsia"/>
                <w:sz w:val="21"/>
              </w:rPr>
              <w:t>分布较少，主要分布于荒漠灌丛种</w:t>
            </w:r>
          </w:p>
        </w:tc>
        <w:tc>
          <w:tcPr>
            <w:tcW w:w="675" w:type="dxa"/>
            <w:vAlign w:val="center"/>
          </w:tcPr>
          <w:p w14:paraId="3B3EE803">
            <w:pPr>
              <w:widowControl w:val="0"/>
              <w:wordWrap w:val="0"/>
              <w:topLinePunct/>
              <w:adjustRightInd w:val="0"/>
              <w:snapToGrid w:val="0"/>
              <w:spacing w:line="240" w:lineRule="auto"/>
              <w:ind w:firstLine="0" w:firstLineChars="0"/>
              <w:jc w:val="center"/>
              <w:rPr>
                <w:sz w:val="21"/>
              </w:rPr>
            </w:pPr>
            <w:r>
              <w:rPr>
                <w:rFonts w:hint="eastAsia"/>
                <w:sz w:val="21"/>
              </w:rPr>
              <w:t>现场调查</w:t>
            </w:r>
          </w:p>
        </w:tc>
        <w:tc>
          <w:tcPr>
            <w:tcW w:w="4211" w:type="dxa"/>
            <w:vAlign w:val="center"/>
          </w:tcPr>
          <w:p w14:paraId="65CF73B1">
            <w:pPr>
              <w:widowControl w:val="0"/>
              <w:wordWrap w:val="0"/>
              <w:topLinePunct/>
              <w:adjustRightInd w:val="0"/>
              <w:snapToGrid w:val="0"/>
              <w:spacing w:line="240" w:lineRule="auto"/>
              <w:ind w:firstLine="0" w:firstLineChars="0"/>
              <w:jc w:val="center"/>
              <w:rPr>
                <w:sz w:val="21"/>
              </w:rPr>
            </w:pPr>
            <w:r>
              <w:rPr>
                <w:sz w:val="21"/>
              </w:rPr>
              <w:t>新建综合服务区、标准化蛋鸡养殖区、标准化育雏育成养殖区、</w:t>
            </w:r>
            <w:r>
              <w:rPr>
                <w:rFonts w:hint="eastAsia"/>
                <w:sz w:val="21"/>
              </w:rPr>
              <w:t>有机肥加工车间</w:t>
            </w:r>
            <w:r>
              <w:rPr>
                <w:sz w:val="21"/>
              </w:rPr>
              <w:t>、饲料加工区及蛋品加工区、污水处理站及公辅设施</w:t>
            </w:r>
            <w:r>
              <w:rPr>
                <w:rFonts w:hint="eastAsia"/>
                <w:sz w:val="21"/>
              </w:rPr>
              <w:t>，工程占地面积为28.02hm</w:t>
            </w:r>
            <w:r>
              <w:rPr>
                <w:rFonts w:hint="eastAsia"/>
                <w:sz w:val="21"/>
                <w:vertAlign w:val="superscript"/>
              </w:rPr>
              <w:t>2</w:t>
            </w:r>
            <w:r>
              <w:rPr>
                <w:rFonts w:hint="eastAsia"/>
                <w:sz w:val="21"/>
              </w:rPr>
              <w:t>。</w:t>
            </w:r>
          </w:p>
        </w:tc>
      </w:tr>
      <w:tr w14:paraId="122D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7" w:type="dxa"/>
            <w:gridSpan w:val="8"/>
          </w:tcPr>
          <w:p w14:paraId="547835F1">
            <w:pPr>
              <w:widowControl w:val="0"/>
              <w:wordWrap w:val="0"/>
              <w:topLinePunct/>
              <w:adjustRightInd w:val="0"/>
              <w:snapToGrid w:val="0"/>
              <w:spacing w:line="240" w:lineRule="auto"/>
              <w:ind w:firstLine="0" w:firstLineChars="0"/>
              <w:jc w:val="both"/>
              <w:rPr>
                <w:sz w:val="21"/>
              </w:rPr>
            </w:pPr>
            <w:r>
              <w:rPr>
                <w:rFonts w:hint="eastAsia"/>
                <w:sz w:val="21"/>
              </w:rPr>
              <w:t>注1：保护级别根据国家及地方正式发布的重点保护野生植物名录确定。</w:t>
            </w:r>
          </w:p>
          <w:p w14:paraId="326356A0">
            <w:pPr>
              <w:pStyle w:val="2"/>
            </w:pPr>
            <w:r>
              <w:rPr>
                <w:rFonts w:hint="eastAsia"/>
              </w:rPr>
              <w:t>注2：濒危等级、特有种根据《中国生物多样性红色名录》确定。</w:t>
            </w:r>
          </w:p>
          <w:p w14:paraId="46918190">
            <w:pPr>
              <w:pStyle w:val="4"/>
              <w:widowControl w:val="0"/>
              <w:wordWrap w:val="0"/>
              <w:topLinePunct/>
              <w:adjustRightInd w:val="0"/>
              <w:snapToGrid w:val="0"/>
              <w:spacing w:after="0" w:line="240" w:lineRule="auto"/>
              <w:ind w:firstLine="0" w:firstLineChars="0"/>
              <w:jc w:val="both"/>
              <w:rPr>
                <w:rFonts w:ascii="Times New Roman" w:hAnsi="Times New Roman"/>
                <w:sz w:val="21"/>
              </w:rPr>
            </w:pPr>
            <w:r>
              <w:rPr>
                <w:rFonts w:hint="eastAsia" w:ascii="Times New Roman" w:hAnsi="Times New Roman"/>
                <w:sz w:val="21"/>
              </w:rPr>
              <w:t>注3：分布区域应说明分布情况以及</w:t>
            </w:r>
            <w:r>
              <w:rPr>
                <w:rFonts w:hint="eastAsia" w:ascii="Times New Roman" w:hAnsi="Times New Roman"/>
                <w:sz w:val="21"/>
                <w:lang w:val="en-US" w:eastAsia="zh-CN"/>
              </w:rPr>
              <w:t>环境</w:t>
            </w:r>
            <w:r>
              <w:rPr>
                <w:rFonts w:hint="eastAsia" w:ascii="Times New Roman" w:hAnsi="Times New Roman"/>
                <w:sz w:val="21"/>
              </w:rPr>
              <w:t>类型</w:t>
            </w:r>
          </w:p>
          <w:p w14:paraId="08C13D9B">
            <w:pPr>
              <w:pStyle w:val="4"/>
              <w:widowControl w:val="0"/>
              <w:wordWrap w:val="0"/>
              <w:topLinePunct/>
              <w:adjustRightInd w:val="0"/>
              <w:snapToGrid w:val="0"/>
              <w:spacing w:after="0" w:line="240" w:lineRule="auto"/>
              <w:ind w:firstLine="0" w:firstLineChars="0"/>
              <w:jc w:val="both"/>
              <w:rPr>
                <w:rFonts w:ascii="Times New Roman" w:hAnsi="Times New Roman"/>
                <w:sz w:val="21"/>
              </w:rPr>
            </w:pPr>
            <w:r>
              <w:rPr>
                <w:rFonts w:hint="eastAsia" w:ascii="Times New Roman" w:hAnsi="Times New Roman"/>
                <w:sz w:val="21"/>
              </w:rPr>
              <w:t>注4：资料来源包括环评现场调查、文献记录、历史调查资料及科考报告。</w:t>
            </w:r>
          </w:p>
          <w:p w14:paraId="192EB8B7">
            <w:pPr>
              <w:widowControl w:val="0"/>
              <w:wordWrap w:val="0"/>
              <w:topLinePunct/>
              <w:adjustRightInd w:val="0"/>
              <w:snapToGrid w:val="0"/>
              <w:spacing w:line="240" w:lineRule="auto"/>
              <w:ind w:firstLine="0" w:firstLineChars="0"/>
              <w:jc w:val="both"/>
            </w:pPr>
            <w:r>
              <w:rPr>
                <w:rFonts w:hint="eastAsia"/>
                <w:sz w:val="21"/>
              </w:rPr>
              <w:t>注5：说明工程占用</w:t>
            </w:r>
            <w:r>
              <w:rPr>
                <w:rFonts w:hint="eastAsia"/>
                <w:sz w:val="21"/>
                <w:lang w:val="en-US" w:eastAsia="zh-CN"/>
              </w:rPr>
              <w:t>环境</w:t>
            </w:r>
            <w:r>
              <w:rPr>
                <w:rFonts w:hint="eastAsia"/>
                <w:sz w:val="21"/>
              </w:rPr>
              <w:t>情况，涉及占用的应说明具体工程内容和占用面积，不直接占用的应说明</w:t>
            </w:r>
            <w:r>
              <w:rPr>
                <w:rFonts w:hint="eastAsia"/>
                <w:sz w:val="21"/>
                <w:lang w:val="en-US" w:eastAsia="zh-CN"/>
              </w:rPr>
              <w:t>环境</w:t>
            </w:r>
            <w:r>
              <w:rPr>
                <w:rFonts w:hint="eastAsia"/>
                <w:sz w:val="21"/>
              </w:rPr>
              <w:t>分布与工程的位置关系。</w:t>
            </w:r>
          </w:p>
        </w:tc>
      </w:tr>
    </w:tbl>
    <w:p w14:paraId="2D69DC71">
      <w:pPr>
        <w:ind w:firstLine="480"/>
        <w:jc w:val="both"/>
      </w:pPr>
      <w:r>
        <w:rPr>
          <w:rFonts w:hint="eastAsia"/>
        </w:rPr>
        <w:t>（3）项目区动物状况</w:t>
      </w:r>
    </w:p>
    <w:p w14:paraId="7056E1E3">
      <w:pPr>
        <w:ind w:firstLine="480"/>
        <w:jc w:val="both"/>
      </w:pPr>
      <w:r>
        <w:rPr>
          <w:rFonts w:hint="eastAsia"/>
        </w:rPr>
        <w:t>本次调查中，根据实地调查与历史资料，本项目所在区域最为常见的鸟类3种、爬行类1种及哺乳类1动物名录见下表4.6-21。实地调查过程中，在1、</w:t>
      </w:r>
      <w:r>
        <w:t>2</w:t>
      </w:r>
      <w:r>
        <w:rPr>
          <w:rFonts w:hint="eastAsia"/>
        </w:rPr>
        <w:t>、</w:t>
      </w:r>
      <w:r>
        <w:t>5</w:t>
      </w:r>
      <w:r>
        <w:rPr>
          <w:rFonts w:hint="eastAsia"/>
        </w:rPr>
        <w:t>号样线周边灌丛区域发现蒙古兔、花背蟾蜍等；在</w:t>
      </w:r>
      <w:r>
        <w:t>3</w:t>
      </w:r>
      <w:r>
        <w:rPr>
          <w:rFonts w:hint="eastAsia"/>
        </w:rPr>
        <w:t>、</w:t>
      </w:r>
      <w:r>
        <w:t>4</w:t>
      </w:r>
      <w:r>
        <w:rPr>
          <w:rFonts w:hint="eastAsia"/>
        </w:rPr>
        <w:t>号样线发现一些动物的粪便以及痕迹；在</w:t>
      </w:r>
      <w:r>
        <w:t>2</w:t>
      </w:r>
      <w:r>
        <w:rPr>
          <w:rFonts w:hint="eastAsia"/>
        </w:rPr>
        <w:t>、3号样线发现喜鹊、燕雀、树麻雀等常见动物。项目区未发现保护动物以及野生动物集中分布的栖息地和珍稀濒危动物的繁殖地。</w:t>
      </w:r>
    </w:p>
    <w:p w14:paraId="61C84DAC">
      <w:pPr>
        <w:spacing w:line="240" w:lineRule="auto"/>
        <w:ind w:firstLine="0" w:firstLineChars="0"/>
        <w:jc w:val="center"/>
        <w:rPr>
          <w:b/>
          <w:bCs/>
        </w:rPr>
      </w:pPr>
      <w:r>
        <w:rPr>
          <w:rFonts w:hint="eastAsia"/>
          <w:b/>
          <w:bCs/>
        </w:rPr>
        <w:t>表</w:t>
      </w:r>
      <w:r>
        <w:rPr>
          <w:b/>
          <w:bCs/>
        </w:rPr>
        <w:t>4.6-</w:t>
      </w:r>
      <w:r>
        <w:rPr>
          <w:rFonts w:hint="eastAsia"/>
          <w:b/>
          <w:bCs/>
        </w:rPr>
        <w:t>21</w:t>
      </w:r>
      <w:r>
        <w:rPr>
          <w:b/>
          <w:bCs/>
        </w:rPr>
        <w:t xml:space="preserve">  </w:t>
      </w:r>
      <w:r>
        <w:rPr>
          <w:rFonts w:hint="eastAsia"/>
          <w:b/>
          <w:bCs/>
        </w:rPr>
        <w:t>评价区常见动物名录</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0"/>
        <w:gridCol w:w="2206"/>
        <w:gridCol w:w="2261"/>
        <w:gridCol w:w="2380"/>
      </w:tblGrid>
      <w:tr w14:paraId="0795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3" w:type="pct"/>
            <w:shd w:val="clear" w:color="auto" w:fill="auto"/>
            <w:vAlign w:val="center"/>
          </w:tcPr>
          <w:p w14:paraId="6B89DF5F">
            <w:pPr>
              <w:pStyle w:val="768"/>
              <w:spacing w:line="240" w:lineRule="auto"/>
              <w:ind w:firstLine="0" w:firstLineChars="0"/>
            </w:pPr>
            <w:r>
              <w:rPr>
                <w:rFonts w:hint="eastAsia"/>
              </w:rPr>
              <w:t>纲</w:t>
            </w:r>
          </w:p>
        </w:tc>
        <w:tc>
          <w:tcPr>
            <w:tcW w:w="1187" w:type="pct"/>
            <w:shd w:val="clear" w:color="auto" w:fill="auto"/>
            <w:vAlign w:val="center"/>
          </w:tcPr>
          <w:p w14:paraId="6C4F066B">
            <w:pPr>
              <w:pStyle w:val="768"/>
              <w:spacing w:line="240" w:lineRule="auto"/>
              <w:ind w:firstLine="0" w:firstLineChars="0"/>
            </w:pPr>
            <w:r>
              <w:rPr>
                <w:rFonts w:hint="eastAsia"/>
              </w:rPr>
              <w:t>目</w:t>
            </w:r>
          </w:p>
        </w:tc>
        <w:tc>
          <w:tcPr>
            <w:tcW w:w="1217" w:type="pct"/>
            <w:shd w:val="clear" w:color="auto" w:fill="auto"/>
            <w:vAlign w:val="center"/>
          </w:tcPr>
          <w:p w14:paraId="5DC72B43">
            <w:pPr>
              <w:pStyle w:val="768"/>
              <w:spacing w:line="240" w:lineRule="auto"/>
              <w:ind w:firstLine="0" w:firstLineChars="0"/>
            </w:pPr>
            <w:r>
              <w:rPr>
                <w:rFonts w:hint="eastAsia"/>
              </w:rPr>
              <w:t>科</w:t>
            </w:r>
          </w:p>
        </w:tc>
        <w:tc>
          <w:tcPr>
            <w:tcW w:w="1281" w:type="pct"/>
            <w:shd w:val="clear" w:color="auto" w:fill="auto"/>
            <w:vAlign w:val="center"/>
          </w:tcPr>
          <w:p w14:paraId="46067B7C">
            <w:pPr>
              <w:pStyle w:val="768"/>
              <w:spacing w:line="240" w:lineRule="auto"/>
              <w:ind w:firstLine="0" w:firstLineChars="0"/>
            </w:pPr>
            <w:r>
              <w:rPr>
                <w:rFonts w:hint="eastAsia"/>
              </w:rPr>
              <w:t>种的组成</w:t>
            </w:r>
          </w:p>
        </w:tc>
      </w:tr>
      <w:tr w14:paraId="745D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3" w:type="pct"/>
            <w:shd w:val="clear" w:color="auto" w:fill="auto"/>
            <w:vAlign w:val="center"/>
          </w:tcPr>
          <w:p w14:paraId="35BFFD05">
            <w:pPr>
              <w:pStyle w:val="768"/>
              <w:spacing w:line="240" w:lineRule="auto"/>
              <w:ind w:firstLine="0" w:firstLineChars="0"/>
            </w:pPr>
            <w:r>
              <w:rPr>
                <w:rFonts w:hint="eastAsia"/>
              </w:rPr>
              <w:t>哺乳类</w:t>
            </w:r>
          </w:p>
        </w:tc>
        <w:tc>
          <w:tcPr>
            <w:tcW w:w="1187" w:type="pct"/>
            <w:shd w:val="clear" w:color="auto" w:fill="auto"/>
            <w:vAlign w:val="center"/>
          </w:tcPr>
          <w:p w14:paraId="0B741FEB">
            <w:pPr>
              <w:pStyle w:val="768"/>
              <w:spacing w:line="240" w:lineRule="auto"/>
              <w:ind w:firstLine="0" w:firstLineChars="0"/>
            </w:pPr>
            <w:r>
              <w:rPr>
                <w:rFonts w:hint="eastAsia"/>
              </w:rPr>
              <w:t>兔形目</w:t>
            </w:r>
          </w:p>
        </w:tc>
        <w:tc>
          <w:tcPr>
            <w:tcW w:w="1217" w:type="pct"/>
            <w:shd w:val="clear" w:color="auto" w:fill="auto"/>
            <w:vAlign w:val="center"/>
          </w:tcPr>
          <w:p w14:paraId="1AB81635">
            <w:pPr>
              <w:pStyle w:val="768"/>
              <w:spacing w:line="240" w:lineRule="auto"/>
              <w:ind w:firstLine="0" w:firstLineChars="0"/>
            </w:pPr>
            <w:r>
              <w:rPr>
                <w:rFonts w:hint="eastAsia"/>
              </w:rPr>
              <w:t>兔科</w:t>
            </w:r>
          </w:p>
        </w:tc>
        <w:tc>
          <w:tcPr>
            <w:tcW w:w="1281" w:type="pct"/>
            <w:shd w:val="clear" w:color="auto" w:fill="auto"/>
            <w:vAlign w:val="center"/>
          </w:tcPr>
          <w:p w14:paraId="2B58D1DF">
            <w:pPr>
              <w:pStyle w:val="768"/>
              <w:spacing w:line="240" w:lineRule="auto"/>
              <w:ind w:firstLine="0" w:firstLineChars="0"/>
            </w:pPr>
            <w:r>
              <w:rPr>
                <w:rFonts w:hint="eastAsia"/>
              </w:rPr>
              <w:t>蒙古兔</w:t>
            </w:r>
          </w:p>
        </w:tc>
      </w:tr>
      <w:tr w14:paraId="535F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3" w:type="pct"/>
            <w:vMerge w:val="restart"/>
            <w:shd w:val="clear" w:color="auto" w:fill="auto"/>
            <w:vAlign w:val="center"/>
          </w:tcPr>
          <w:p w14:paraId="4C8A1CAF">
            <w:pPr>
              <w:pStyle w:val="768"/>
              <w:spacing w:line="240" w:lineRule="auto"/>
              <w:ind w:firstLine="0" w:firstLineChars="0"/>
            </w:pPr>
            <w:r>
              <w:rPr>
                <w:rFonts w:hint="eastAsia"/>
              </w:rPr>
              <w:t>鸟纲</w:t>
            </w:r>
          </w:p>
        </w:tc>
        <w:tc>
          <w:tcPr>
            <w:tcW w:w="1187" w:type="pct"/>
            <w:vMerge w:val="restart"/>
            <w:shd w:val="clear" w:color="auto" w:fill="auto"/>
            <w:vAlign w:val="center"/>
          </w:tcPr>
          <w:p w14:paraId="7C0AA05B">
            <w:pPr>
              <w:pStyle w:val="768"/>
              <w:spacing w:line="240" w:lineRule="auto"/>
              <w:ind w:firstLine="0" w:firstLineChars="0"/>
            </w:pPr>
            <w:r>
              <w:rPr>
                <w:rFonts w:hint="eastAsia"/>
              </w:rPr>
              <w:t>雀形目</w:t>
            </w:r>
          </w:p>
        </w:tc>
        <w:tc>
          <w:tcPr>
            <w:tcW w:w="1217" w:type="pct"/>
            <w:shd w:val="clear" w:color="auto" w:fill="auto"/>
            <w:vAlign w:val="center"/>
          </w:tcPr>
          <w:p w14:paraId="6335A59F">
            <w:pPr>
              <w:pStyle w:val="768"/>
              <w:spacing w:line="240" w:lineRule="auto"/>
              <w:ind w:firstLine="0" w:firstLineChars="0"/>
            </w:pPr>
            <w:r>
              <w:rPr>
                <w:rFonts w:hint="eastAsia"/>
              </w:rPr>
              <w:t>鸦科</w:t>
            </w:r>
          </w:p>
        </w:tc>
        <w:tc>
          <w:tcPr>
            <w:tcW w:w="1281" w:type="pct"/>
            <w:shd w:val="clear" w:color="auto" w:fill="auto"/>
            <w:vAlign w:val="center"/>
          </w:tcPr>
          <w:p w14:paraId="0F9E2618">
            <w:pPr>
              <w:pStyle w:val="768"/>
              <w:spacing w:line="240" w:lineRule="auto"/>
              <w:ind w:firstLine="0" w:firstLineChars="0"/>
            </w:pPr>
            <w:r>
              <w:rPr>
                <w:rFonts w:hint="eastAsia"/>
              </w:rPr>
              <w:t>喜鹊</w:t>
            </w:r>
          </w:p>
        </w:tc>
      </w:tr>
      <w:tr w14:paraId="659F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3" w:type="pct"/>
            <w:vMerge w:val="continue"/>
            <w:shd w:val="clear" w:color="auto" w:fill="auto"/>
            <w:vAlign w:val="center"/>
          </w:tcPr>
          <w:p w14:paraId="0F9951D0">
            <w:pPr>
              <w:pStyle w:val="768"/>
              <w:spacing w:line="240" w:lineRule="auto"/>
              <w:ind w:firstLine="0" w:firstLineChars="0"/>
            </w:pPr>
          </w:p>
        </w:tc>
        <w:tc>
          <w:tcPr>
            <w:tcW w:w="1187" w:type="pct"/>
            <w:vMerge w:val="continue"/>
            <w:shd w:val="clear" w:color="auto" w:fill="auto"/>
            <w:vAlign w:val="center"/>
          </w:tcPr>
          <w:p w14:paraId="74E7AFBC">
            <w:pPr>
              <w:pStyle w:val="768"/>
              <w:spacing w:line="240" w:lineRule="auto"/>
              <w:ind w:firstLine="0" w:firstLineChars="0"/>
            </w:pPr>
          </w:p>
        </w:tc>
        <w:tc>
          <w:tcPr>
            <w:tcW w:w="1217" w:type="pct"/>
            <w:vMerge w:val="restart"/>
            <w:shd w:val="clear" w:color="auto" w:fill="auto"/>
            <w:vAlign w:val="center"/>
          </w:tcPr>
          <w:p w14:paraId="760F1ADC">
            <w:pPr>
              <w:pStyle w:val="768"/>
              <w:spacing w:line="240" w:lineRule="auto"/>
              <w:ind w:firstLine="0" w:firstLineChars="0"/>
            </w:pPr>
            <w:r>
              <w:t>雀科</w:t>
            </w:r>
          </w:p>
        </w:tc>
        <w:tc>
          <w:tcPr>
            <w:tcW w:w="1281" w:type="pct"/>
            <w:shd w:val="clear" w:color="auto" w:fill="auto"/>
            <w:vAlign w:val="center"/>
          </w:tcPr>
          <w:p w14:paraId="11104FA3">
            <w:pPr>
              <w:pStyle w:val="768"/>
              <w:spacing w:line="240" w:lineRule="auto"/>
              <w:ind w:firstLine="0" w:firstLineChars="0"/>
            </w:pPr>
            <w:r>
              <w:rPr>
                <w:rFonts w:hint="eastAsia"/>
              </w:rPr>
              <w:t>树麻雀</w:t>
            </w:r>
          </w:p>
        </w:tc>
      </w:tr>
      <w:tr w14:paraId="2F00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3" w:type="pct"/>
            <w:vMerge w:val="continue"/>
            <w:shd w:val="clear" w:color="auto" w:fill="auto"/>
            <w:vAlign w:val="center"/>
          </w:tcPr>
          <w:p w14:paraId="6953C61A">
            <w:pPr>
              <w:pStyle w:val="768"/>
              <w:spacing w:line="240" w:lineRule="auto"/>
              <w:ind w:firstLine="0" w:firstLineChars="0"/>
            </w:pPr>
          </w:p>
        </w:tc>
        <w:tc>
          <w:tcPr>
            <w:tcW w:w="1187" w:type="pct"/>
            <w:vMerge w:val="continue"/>
            <w:shd w:val="clear" w:color="auto" w:fill="auto"/>
            <w:vAlign w:val="center"/>
          </w:tcPr>
          <w:p w14:paraId="747CE621">
            <w:pPr>
              <w:pStyle w:val="768"/>
              <w:spacing w:line="240" w:lineRule="auto"/>
              <w:ind w:firstLine="0" w:firstLineChars="0"/>
            </w:pPr>
          </w:p>
        </w:tc>
        <w:tc>
          <w:tcPr>
            <w:tcW w:w="1217" w:type="pct"/>
            <w:vMerge w:val="continue"/>
            <w:shd w:val="clear" w:color="auto" w:fill="auto"/>
            <w:vAlign w:val="center"/>
          </w:tcPr>
          <w:p w14:paraId="031FF116">
            <w:pPr>
              <w:pStyle w:val="768"/>
              <w:spacing w:line="240" w:lineRule="auto"/>
              <w:ind w:firstLine="0" w:firstLineChars="0"/>
            </w:pPr>
          </w:p>
        </w:tc>
        <w:tc>
          <w:tcPr>
            <w:tcW w:w="1281" w:type="pct"/>
            <w:shd w:val="clear" w:color="auto" w:fill="auto"/>
            <w:vAlign w:val="center"/>
          </w:tcPr>
          <w:p w14:paraId="67FD3754">
            <w:pPr>
              <w:pStyle w:val="768"/>
              <w:spacing w:line="240" w:lineRule="auto"/>
              <w:ind w:firstLine="0" w:firstLineChars="0"/>
            </w:pPr>
            <w:r>
              <w:rPr>
                <w:rFonts w:hint="eastAsia"/>
              </w:rPr>
              <w:t>燕雀</w:t>
            </w:r>
          </w:p>
        </w:tc>
      </w:tr>
    </w:tbl>
    <w:p w14:paraId="7ED36EE0">
      <w:pPr>
        <w:ind w:firstLine="0" w:firstLineChars="0"/>
        <w:jc w:val="center"/>
        <w:rPr>
          <w:b/>
          <w:bCs/>
        </w:rPr>
      </w:pPr>
      <w:r>
        <w:drawing>
          <wp:inline distT="0" distB="0" distL="0" distR="0">
            <wp:extent cx="5760085" cy="4072890"/>
            <wp:effectExtent l="0" t="0" r="12065" b="3810"/>
            <wp:docPr id="919458942"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58942" name="图片 1" descr="图示&#10;&#10;描述已自动生成"/>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60085" cy="4072890"/>
                    </a:xfrm>
                    <a:prstGeom prst="rect">
                      <a:avLst/>
                    </a:prstGeom>
                  </pic:spPr>
                </pic:pic>
              </a:graphicData>
            </a:graphic>
          </wp:inline>
        </w:drawing>
      </w:r>
      <w:r>
        <w:rPr>
          <w:rFonts w:hint="eastAsia"/>
          <w:b/>
          <w:bCs/>
        </w:rPr>
        <w:t>图4</w:t>
      </w:r>
      <w:r>
        <w:rPr>
          <w:b/>
          <w:bCs/>
        </w:rPr>
        <w:t>.6-</w:t>
      </w:r>
      <w:r>
        <w:rPr>
          <w:rFonts w:hint="eastAsia"/>
          <w:b/>
          <w:bCs/>
        </w:rPr>
        <w:t>24</w:t>
      </w:r>
      <w:r>
        <w:rPr>
          <w:b/>
          <w:bCs/>
        </w:rPr>
        <w:t xml:space="preserve">  </w:t>
      </w:r>
      <w:r>
        <w:rPr>
          <w:rFonts w:hint="eastAsia"/>
          <w:b/>
          <w:bCs/>
        </w:rPr>
        <w:t>评价区动物调查样线图</w:t>
      </w:r>
    </w:p>
    <w:p w14:paraId="3A1AE4D8">
      <w:pPr>
        <w:pStyle w:val="11"/>
      </w:pPr>
      <w:bookmarkStart w:id="349" w:name="_Toc166572313"/>
      <w:r>
        <w:rPr>
          <w:rFonts w:hint="eastAsia"/>
        </w:rPr>
        <w:t>4.6.1</w:t>
      </w:r>
      <w:r>
        <w:t>1</w:t>
      </w:r>
      <w:r>
        <w:rPr>
          <w:rFonts w:hint="eastAsia"/>
        </w:rPr>
        <w:t>物种多样性评价</w:t>
      </w:r>
      <w:bookmarkEnd w:id="349"/>
    </w:p>
    <w:p w14:paraId="7994A261">
      <w:pPr>
        <w:ind w:firstLine="480"/>
      </w:pPr>
      <w:r>
        <w:rPr>
          <w:rFonts w:hint="eastAsia"/>
        </w:rPr>
        <w:t>（1）评价方法</w:t>
      </w:r>
    </w:p>
    <w:p w14:paraId="0C13907A">
      <w:pPr>
        <w:ind w:firstLine="480"/>
        <w:rPr>
          <w:lang w:bidi="mn-Mong-CN"/>
        </w:rPr>
      </w:pPr>
      <w:r>
        <w:t>本次评价采用</w:t>
      </w:r>
      <w:r>
        <w:rPr>
          <w:lang w:bidi="mn-Mong-CN"/>
        </w:rPr>
        <w:t>《环境影响评价技术导则 生态影响》（HJ 19-2022）附录C中C.7生物多样性评价方法评价区域物种多样性现状。</w:t>
      </w:r>
    </w:p>
    <w:p w14:paraId="3933B22D">
      <w:pPr>
        <w:ind w:firstLine="480"/>
        <w:rPr>
          <w:lang w:bidi="mn-Mong-CN"/>
        </w:rPr>
      </w:pPr>
      <w:r>
        <w:rPr>
          <w:lang w:bidi="mn-Mong-CN"/>
        </w:rPr>
        <w:t>物种多样性常用的评价指标包括物种丰富度、香农－威纳多样性指数、pielou均匀度指数、Simpson优势度指数等。</w:t>
      </w:r>
    </w:p>
    <w:p w14:paraId="34576107">
      <w:pPr>
        <w:pStyle w:val="291"/>
        <w:widowControl w:val="0"/>
        <w:numPr>
          <w:ilvl w:val="0"/>
          <w:numId w:val="2"/>
        </w:numPr>
        <w:ind w:firstLine="480" w:firstLineChars="0"/>
        <w:jc w:val="both"/>
        <w:rPr>
          <w:rFonts w:ascii="Times New Roman"/>
          <w:lang w:bidi="mn-Mong-CN"/>
        </w:rPr>
      </w:pPr>
      <w:r>
        <w:rPr>
          <w:rFonts w:ascii="Times New Roman"/>
          <w:lang w:bidi="mn-Mong-CN"/>
        </w:rPr>
        <w:t>物种丰富度：调查区域内物种种数之和。</w:t>
      </w:r>
    </w:p>
    <w:p w14:paraId="34D16BC9">
      <w:pPr>
        <w:pStyle w:val="291"/>
        <w:widowControl w:val="0"/>
        <w:numPr>
          <w:ilvl w:val="0"/>
          <w:numId w:val="2"/>
        </w:numPr>
        <w:ind w:firstLine="480" w:firstLineChars="0"/>
        <w:jc w:val="both"/>
        <w:rPr>
          <w:rFonts w:ascii="Times New Roman"/>
          <w:lang w:bidi="mn-Mong-CN"/>
        </w:rPr>
      </w:pPr>
      <w:r>
        <w:rPr>
          <w:rFonts w:ascii="Times New Roman"/>
          <w:lang w:bidi="mn-Mong-CN"/>
        </w:rPr>
        <w:t>香农－威纳多样性指数计算公式为：</w:t>
      </w:r>
    </w:p>
    <w:p w14:paraId="4C6E01A2">
      <w:pPr>
        <w:ind w:firstLine="480"/>
        <w:jc w:val="center"/>
        <w:rPr>
          <w:lang w:bidi="mn-Mong-CN"/>
        </w:rPr>
      </w:pPr>
      <m:oMathPara>
        <m:oMath>
          <m:r>
            <m:rPr/>
            <w:rPr>
              <w:rFonts w:hint="eastAsia" w:ascii="Cambria Math" w:hAnsi="Cambria Math" w:eastAsia="等线" w:cs="Cambria Math"/>
              <w:lang w:bidi="mn-Mong-CN"/>
            </w:rPr>
            <m:t>H</m:t>
          </m:r>
          <m:r>
            <m:rPr>
              <m:sty m:val="p"/>
            </m:rPr>
            <w:rPr>
              <w:rFonts w:ascii="Cambria Math" w:hAnsi="Cambria Math" w:eastAsia="Cambria Math" w:cs="Cambria Math"/>
              <w:lang w:bidi="mn-Mong-CN"/>
            </w:rPr>
            <m:t>=</m:t>
          </m:r>
          <m:r>
            <m:rPr/>
            <w:rPr>
              <w:rFonts w:ascii="Cambria Math" w:hAnsi="Cambria Math" w:eastAsia="Cambria Math"/>
              <w:lang w:bidi="mn-Mong-CN"/>
            </w:rPr>
            <m:t>−</m:t>
          </m:r>
          <m:nary>
            <m:naryPr>
              <m:chr m:val="∑"/>
              <m:limLoc m:val="undOvr"/>
              <m:ctrlPr>
                <w:rPr>
                  <w:rFonts w:ascii="Cambria Math" w:hAnsi="Cambria Math" w:eastAsia="Cambria Math"/>
                  <w:i/>
                  <w:lang w:bidi="mn-Mong-CN"/>
                </w:rPr>
              </m:ctrlPr>
            </m:naryPr>
            <m:sub>
              <m:r>
                <m:rPr/>
                <w:rPr>
                  <w:rFonts w:hint="eastAsia" w:ascii="Cambria Math" w:hAnsi="Cambria Math" w:eastAsia="等线"/>
                  <w:lang w:bidi="mn-Mong-CN"/>
                </w:rPr>
                <m:t>i</m:t>
              </m:r>
              <m:r>
                <m:rPr/>
                <w:rPr>
                  <w:rFonts w:ascii="Cambria Math" w:hAnsi="Cambria Math" w:eastAsia="Cambria Math"/>
                  <w:lang w:bidi="mn-Mong-CN"/>
                </w:rPr>
                <m:t>=1</m:t>
              </m:r>
              <m:ctrlPr>
                <w:rPr>
                  <w:rFonts w:ascii="Cambria Math" w:hAnsi="Cambria Math" w:eastAsia="Cambria Math"/>
                  <w:i/>
                  <w:lang w:bidi="mn-Mong-CN"/>
                </w:rPr>
              </m:ctrlPr>
            </m:sub>
            <m:sup>
              <m:r>
                <m:rPr/>
                <w:rPr>
                  <w:rFonts w:hint="eastAsia" w:ascii="Cambria Math" w:hAnsi="Cambria Math" w:eastAsia="等线"/>
                  <w:lang w:bidi="mn-Mong-CN"/>
                </w:rPr>
                <m:t>s</m:t>
              </m:r>
              <m:ctrlPr>
                <w:rPr>
                  <w:rFonts w:ascii="Cambria Math" w:hAnsi="Cambria Math" w:eastAsia="Cambria Math"/>
                  <w:i/>
                  <w:lang w:bidi="mn-Mong-CN"/>
                </w:rPr>
              </m:ctrlPr>
            </m:sup>
            <m:e>
              <m:sSub>
                <m:sSubPr>
                  <m:ctrlPr>
                    <w:rPr>
                      <w:rFonts w:ascii="Cambria Math" w:hAnsi="Cambria Math" w:eastAsia="Cambria Math"/>
                      <w:i/>
                      <w:lang w:bidi="mn-Mong-CN"/>
                    </w:rPr>
                  </m:ctrlPr>
                </m:sSubPr>
                <m:e>
                  <m:r>
                    <m:rPr/>
                    <w:rPr>
                      <w:rFonts w:hint="eastAsia" w:ascii="Cambria Math" w:hAnsi="Cambria Math" w:eastAsia="等线"/>
                      <w:lang w:bidi="mn-Mong-CN"/>
                    </w:rPr>
                    <m:t>P</m:t>
                  </m:r>
                  <m:ctrlPr>
                    <w:rPr>
                      <w:rFonts w:ascii="Cambria Math" w:hAnsi="Cambria Math" w:eastAsia="Cambria Math"/>
                      <w:i/>
                      <w:lang w:bidi="mn-Mong-CN"/>
                    </w:rPr>
                  </m:ctrlPr>
                </m:e>
                <m:sub>
                  <m:r>
                    <m:rPr/>
                    <w:rPr>
                      <w:rFonts w:hint="eastAsia" w:ascii="Cambria Math" w:hAnsi="Cambria Math" w:eastAsia="等线"/>
                      <w:lang w:bidi="mn-Mong-CN"/>
                    </w:rPr>
                    <m:t>i</m:t>
                  </m:r>
                  <m:ctrlPr>
                    <w:rPr>
                      <w:rFonts w:ascii="Cambria Math" w:hAnsi="Cambria Math" w:eastAsia="Cambria Math"/>
                      <w:i/>
                      <w:lang w:bidi="mn-Mong-CN"/>
                    </w:rPr>
                  </m:ctrlPr>
                </m:sub>
              </m:sSub>
              <m:ctrlPr>
                <w:rPr>
                  <w:rFonts w:ascii="Cambria Math" w:hAnsi="Cambria Math" w:eastAsia="Cambria Math"/>
                  <w:i/>
                  <w:lang w:bidi="mn-Mong-CN"/>
                </w:rPr>
              </m:ctrlPr>
            </m:e>
          </m:nary>
          <m:func>
            <m:funcPr>
              <m:ctrlPr>
                <w:rPr>
                  <w:rFonts w:ascii="Cambria Math" w:hAnsi="Cambria Math" w:eastAsia="Cambria Math"/>
                  <w:i/>
                  <w:lang w:bidi="mn-Mong-CN"/>
                </w:rPr>
              </m:ctrlPr>
            </m:funcPr>
            <m:fName>
              <m:r>
                <m:rPr>
                  <m:sty m:val="p"/>
                </m:rPr>
                <w:rPr>
                  <w:rFonts w:ascii="Cambria Math" w:hAnsi="Cambria Math" w:eastAsia="Cambria Math"/>
                  <w:lang w:bidi="mn-Mong-CN"/>
                </w:rPr>
                <m:t>ln</m:t>
              </m:r>
              <m:ctrlPr>
                <w:rPr>
                  <w:rFonts w:ascii="Cambria Math" w:hAnsi="Cambria Math" w:eastAsia="Cambria Math"/>
                  <w:i/>
                  <w:lang w:bidi="mn-Mong-CN"/>
                </w:rPr>
              </m:ctrlPr>
            </m:fName>
            <m:e>
              <m:sSub>
                <m:sSubPr>
                  <m:ctrlPr>
                    <w:rPr>
                      <w:rFonts w:ascii="Cambria Math" w:hAnsi="Cambria Math" w:eastAsia="Cambria Math"/>
                      <w:i/>
                      <w:lang w:bidi="mn-Mong-CN"/>
                    </w:rPr>
                  </m:ctrlPr>
                </m:sSubPr>
                <m:e>
                  <m:r>
                    <m:rPr/>
                    <w:rPr>
                      <w:rFonts w:ascii="Cambria Math" w:hAnsi="Cambria Math" w:eastAsia="Cambria Math"/>
                      <w:lang w:bidi="mn-Mong-CN"/>
                    </w:rPr>
                    <m:t>P</m:t>
                  </m:r>
                  <m:ctrlPr>
                    <w:rPr>
                      <w:rFonts w:ascii="Cambria Math" w:hAnsi="Cambria Math" w:eastAsia="Cambria Math"/>
                      <w:i/>
                      <w:lang w:bidi="mn-Mong-CN"/>
                    </w:rPr>
                  </m:ctrlPr>
                </m:e>
                <m:sub>
                  <m:r>
                    <m:rPr/>
                    <w:rPr>
                      <w:rFonts w:ascii="Cambria Math" w:hAnsi="Cambria Math" w:eastAsia="Cambria Math"/>
                      <w:lang w:bidi="mn-Mong-CN"/>
                    </w:rPr>
                    <m:t>i</m:t>
                  </m:r>
                  <m:ctrlPr>
                    <w:rPr>
                      <w:rFonts w:ascii="Cambria Math" w:hAnsi="Cambria Math" w:eastAsia="Cambria Math"/>
                      <w:i/>
                      <w:lang w:bidi="mn-Mong-CN"/>
                    </w:rPr>
                  </m:ctrlPr>
                </m:sub>
              </m:sSub>
              <m:ctrlPr>
                <w:rPr>
                  <w:rFonts w:ascii="Cambria Math" w:hAnsi="Cambria Math" w:eastAsia="Cambria Math"/>
                  <w:i/>
                  <w:lang w:bidi="mn-Mong-CN"/>
                </w:rPr>
              </m:ctrlPr>
            </m:e>
          </m:func>
        </m:oMath>
      </m:oMathPara>
    </w:p>
    <w:p w14:paraId="0278E04A">
      <w:pPr>
        <w:ind w:firstLine="480"/>
      </w:pPr>
      <w:r>
        <w:t>式中：H－香农－威纳多样性指数；</w:t>
      </w:r>
    </w:p>
    <w:p w14:paraId="4150E432">
      <w:pPr>
        <w:ind w:firstLine="480"/>
      </w:pPr>
      <w:r>
        <w:t xml:space="preserve">      S－调查区域内物种种类总数；</w:t>
      </w:r>
    </w:p>
    <w:p w14:paraId="15FF4D38">
      <w:pPr>
        <w:ind w:firstLine="480"/>
      </w:pPr>
      <w:r>
        <w:t xml:space="preserve">      Pi－调查区域内属于第i种的个体比例，如总个体数为 N，第 i 种个体数为 ni，则 Pi=ni /N。</w:t>
      </w:r>
    </w:p>
    <w:p w14:paraId="5888CB74">
      <w:pPr>
        <w:pStyle w:val="291"/>
        <w:widowControl w:val="0"/>
        <w:numPr>
          <w:ilvl w:val="0"/>
          <w:numId w:val="2"/>
        </w:numPr>
        <w:ind w:firstLine="480" w:firstLineChars="0"/>
        <w:jc w:val="both"/>
        <w:rPr>
          <w:rFonts w:ascii="Times New Roman"/>
        </w:rPr>
      </w:pPr>
      <w:r>
        <w:rPr>
          <w:rFonts w:ascii="Times New Roman"/>
        </w:rPr>
        <w:t>Pielou均匀度指数：反映调查区域各物种个体数目分配均匀程度的指数，计算公式为：</w:t>
      </w:r>
    </w:p>
    <w:p w14:paraId="00434A6F">
      <w:pPr>
        <w:ind w:firstLine="480"/>
        <w:jc w:val="center"/>
      </w:pPr>
      <m:oMathPara>
        <m:oMath>
          <m:r>
            <m:rPr/>
            <w:rPr>
              <w:rFonts w:ascii="Cambria Math" w:hAnsi="Cambria Math" w:eastAsia="Cambria Math" w:cs="Cambria Math"/>
            </w:rPr>
            <m:t>J</m:t>
          </m:r>
          <m:r>
            <m:rPr>
              <m:sty m:val="p"/>
            </m:rPr>
            <w:rPr>
              <w:rFonts w:ascii="Cambria Math" w:hAnsi="Cambria Math" w:eastAsia="Cambria Math" w:cs="Cambria Math"/>
            </w:rPr>
            <m:t>=</m:t>
          </m:r>
          <m:f>
            <m:fPr>
              <m:type m:val="skw"/>
              <m:ctrlPr>
                <w:rPr>
                  <w:rFonts w:ascii="Cambria Math" w:hAnsi="Cambria Math" w:eastAsia="Cambria Math"/>
                  <w:i/>
                </w:rPr>
              </m:ctrlPr>
            </m:fPr>
            <m:num>
              <m:d>
                <m:dPr>
                  <m:ctrlPr>
                    <w:rPr>
                      <w:rFonts w:ascii="Cambria Math" w:hAnsi="Cambria Math" w:eastAsia="Cambria Math"/>
                      <w:i/>
                    </w:rPr>
                  </m:ctrlPr>
                </m:dPr>
                <m:e>
                  <m:r>
                    <m:rPr/>
                    <w:rPr>
                      <w:rFonts w:ascii="Cambria Math" w:hAnsi="Cambria Math" w:eastAsia="Cambria Math"/>
                    </w:rPr>
                    <m:t>−</m:t>
                  </m:r>
                  <m:nary>
                    <m:naryPr>
                      <m:chr m:val="∑"/>
                      <m:limLoc m:val="undOvr"/>
                      <m:ctrlPr>
                        <w:rPr>
                          <w:rFonts w:ascii="Cambria Math" w:hAnsi="Cambria Math" w:eastAsia="Cambria Math"/>
                          <w:i/>
                          <w:lang w:bidi="mn-Mong-CN"/>
                        </w:rPr>
                      </m:ctrlPr>
                    </m:naryPr>
                    <m:sub>
                      <m:r>
                        <m:rPr/>
                        <w:rPr>
                          <w:rFonts w:hint="eastAsia" w:ascii="Cambria Math" w:hAnsi="Cambria Math" w:eastAsia="等线"/>
                          <w:lang w:bidi="mn-Mong-CN"/>
                        </w:rPr>
                        <m:t>i</m:t>
                      </m:r>
                      <m:r>
                        <m:rPr/>
                        <w:rPr>
                          <w:rFonts w:ascii="Cambria Math" w:hAnsi="Cambria Math" w:eastAsia="Cambria Math"/>
                          <w:lang w:bidi="mn-Mong-CN"/>
                        </w:rPr>
                        <m:t>=1</m:t>
                      </m:r>
                      <m:ctrlPr>
                        <w:rPr>
                          <w:rFonts w:ascii="Cambria Math" w:hAnsi="Cambria Math" w:eastAsia="Cambria Math"/>
                          <w:i/>
                          <w:lang w:bidi="mn-Mong-CN"/>
                        </w:rPr>
                      </m:ctrlPr>
                    </m:sub>
                    <m:sup>
                      <m:r>
                        <m:rPr/>
                        <w:rPr>
                          <w:rFonts w:hint="eastAsia" w:ascii="Cambria Math" w:hAnsi="Cambria Math" w:eastAsia="等线"/>
                          <w:lang w:bidi="mn-Mong-CN"/>
                        </w:rPr>
                        <m:t>s</m:t>
                      </m:r>
                      <m:ctrlPr>
                        <w:rPr>
                          <w:rFonts w:ascii="Cambria Math" w:hAnsi="Cambria Math" w:eastAsia="Cambria Math"/>
                          <w:i/>
                          <w:lang w:bidi="mn-Mong-CN"/>
                        </w:rPr>
                      </m:ctrlPr>
                    </m:sup>
                    <m:e>
                      <m:sSub>
                        <m:sSubPr>
                          <m:ctrlPr>
                            <w:rPr>
                              <w:rFonts w:ascii="Cambria Math" w:hAnsi="Cambria Math" w:eastAsia="Cambria Math"/>
                              <w:i/>
                              <w:lang w:bidi="mn-Mong-CN"/>
                            </w:rPr>
                          </m:ctrlPr>
                        </m:sSubPr>
                        <m:e>
                          <m:r>
                            <m:rPr/>
                            <w:rPr>
                              <w:rFonts w:hint="eastAsia" w:ascii="Cambria Math" w:hAnsi="Cambria Math" w:eastAsia="等线"/>
                              <w:lang w:bidi="mn-Mong-CN"/>
                            </w:rPr>
                            <m:t>P</m:t>
                          </m:r>
                          <m:ctrlPr>
                            <w:rPr>
                              <w:rFonts w:ascii="Cambria Math" w:hAnsi="Cambria Math" w:eastAsia="Cambria Math"/>
                              <w:i/>
                              <w:lang w:bidi="mn-Mong-CN"/>
                            </w:rPr>
                          </m:ctrlPr>
                        </m:e>
                        <m:sub>
                          <m:r>
                            <m:rPr/>
                            <w:rPr>
                              <w:rFonts w:hint="eastAsia" w:ascii="Cambria Math" w:hAnsi="Cambria Math" w:eastAsia="等线"/>
                              <w:lang w:bidi="mn-Mong-CN"/>
                            </w:rPr>
                            <m:t>i</m:t>
                          </m:r>
                          <m:ctrlPr>
                            <w:rPr>
                              <w:rFonts w:ascii="Cambria Math" w:hAnsi="Cambria Math" w:eastAsia="Cambria Math"/>
                              <w:i/>
                              <w:lang w:bidi="mn-Mong-CN"/>
                            </w:rPr>
                          </m:ctrlPr>
                        </m:sub>
                      </m:sSub>
                      <m:ctrlPr>
                        <w:rPr>
                          <w:rFonts w:ascii="Cambria Math" w:hAnsi="Cambria Math" w:eastAsia="Cambria Math"/>
                          <w:i/>
                          <w:lang w:bidi="mn-Mong-CN"/>
                        </w:rPr>
                      </m:ctrlPr>
                    </m:e>
                  </m:nary>
                  <m:func>
                    <m:funcPr>
                      <m:ctrlPr>
                        <w:rPr>
                          <w:rFonts w:ascii="Cambria Math" w:hAnsi="Cambria Math" w:eastAsia="Cambria Math"/>
                          <w:i/>
                          <w:lang w:bidi="mn-Mong-CN"/>
                        </w:rPr>
                      </m:ctrlPr>
                    </m:funcPr>
                    <m:fName>
                      <m:r>
                        <m:rPr>
                          <m:sty m:val="p"/>
                        </m:rPr>
                        <w:rPr>
                          <w:rFonts w:ascii="Cambria Math" w:hAnsi="Cambria Math" w:eastAsia="Cambria Math"/>
                          <w:lang w:bidi="mn-Mong-CN"/>
                        </w:rPr>
                        <m:t>ln</m:t>
                      </m:r>
                      <m:ctrlPr>
                        <w:rPr>
                          <w:rFonts w:ascii="Cambria Math" w:hAnsi="Cambria Math" w:eastAsia="Cambria Math"/>
                          <w:i/>
                          <w:lang w:bidi="mn-Mong-CN"/>
                        </w:rPr>
                      </m:ctrlPr>
                    </m:fName>
                    <m:e>
                      <m:sSub>
                        <m:sSubPr>
                          <m:ctrlPr>
                            <w:rPr>
                              <w:rFonts w:ascii="Cambria Math" w:hAnsi="Cambria Math" w:eastAsia="Cambria Math"/>
                              <w:i/>
                              <w:lang w:bidi="mn-Mong-CN"/>
                            </w:rPr>
                          </m:ctrlPr>
                        </m:sSubPr>
                        <m:e>
                          <m:r>
                            <m:rPr/>
                            <w:rPr>
                              <w:rFonts w:ascii="Cambria Math" w:hAnsi="Cambria Math" w:eastAsia="Cambria Math"/>
                              <w:lang w:bidi="mn-Mong-CN"/>
                            </w:rPr>
                            <m:t>P</m:t>
                          </m:r>
                          <m:ctrlPr>
                            <w:rPr>
                              <w:rFonts w:ascii="Cambria Math" w:hAnsi="Cambria Math" w:eastAsia="Cambria Math"/>
                              <w:i/>
                              <w:lang w:bidi="mn-Mong-CN"/>
                            </w:rPr>
                          </m:ctrlPr>
                        </m:e>
                        <m:sub>
                          <m:r>
                            <m:rPr/>
                            <w:rPr>
                              <w:rFonts w:ascii="Cambria Math" w:hAnsi="Cambria Math" w:eastAsia="Cambria Math"/>
                              <w:lang w:bidi="mn-Mong-CN"/>
                            </w:rPr>
                            <m:t>i</m:t>
                          </m:r>
                          <m:ctrlPr>
                            <w:rPr>
                              <w:rFonts w:ascii="Cambria Math" w:hAnsi="Cambria Math" w:eastAsia="Cambria Math"/>
                              <w:i/>
                              <w:lang w:bidi="mn-Mong-CN"/>
                            </w:rPr>
                          </m:ctrlPr>
                        </m:sub>
                      </m:sSub>
                      <m:ctrlPr>
                        <w:rPr>
                          <w:rFonts w:ascii="Cambria Math" w:hAnsi="Cambria Math" w:eastAsia="Cambria Math"/>
                          <w:i/>
                          <w:lang w:bidi="mn-Mong-CN"/>
                        </w:rPr>
                      </m:ctrlPr>
                    </m:e>
                  </m:func>
                  <m:ctrlPr>
                    <w:rPr>
                      <w:rFonts w:ascii="Cambria Math" w:hAnsi="Cambria Math" w:eastAsia="Cambria Math"/>
                      <w:i/>
                    </w:rPr>
                  </m:ctrlPr>
                </m:e>
              </m:d>
              <m:ctrlPr>
                <w:rPr>
                  <w:rFonts w:ascii="Cambria Math" w:hAnsi="Cambria Math" w:eastAsia="Cambria Math"/>
                  <w:i/>
                </w:rPr>
              </m:ctrlPr>
            </m:num>
            <m:den>
              <m:func>
                <m:funcPr>
                  <m:ctrlPr>
                    <w:rPr>
                      <w:rFonts w:ascii="Cambria Math" w:hAnsi="Cambria Math" w:eastAsia="Cambria Math"/>
                      <w:i/>
                    </w:rPr>
                  </m:ctrlPr>
                </m:funcPr>
                <m:fName>
                  <m:r>
                    <m:rPr>
                      <m:sty m:val="p"/>
                    </m:rPr>
                    <w:rPr>
                      <w:rFonts w:ascii="Cambria Math" w:hAnsi="Cambria Math" w:eastAsia="Cambria Math"/>
                    </w:rPr>
                    <m:t>ln</m:t>
                  </m:r>
                  <m:ctrlPr>
                    <w:rPr>
                      <w:rFonts w:ascii="Cambria Math" w:hAnsi="Cambria Math" w:eastAsia="Cambria Math"/>
                      <w:i/>
                    </w:rPr>
                  </m:ctrlPr>
                </m:fName>
                <m:e>
                  <m:r>
                    <m:rPr/>
                    <w:rPr>
                      <w:rFonts w:hint="eastAsia" w:ascii="Cambria Math" w:hAnsi="Cambria Math" w:eastAsia="等线"/>
                    </w:rPr>
                    <m:t>S</m:t>
                  </m:r>
                  <m:ctrlPr>
                    <w:rPr>
                      <w:rFonts w:ascii="Cambria Math" w:hAnsi="Cambria Math" w:eastAsia="Cambria Math"/>
                      <w:i/>
                    </w:rPr>
                  </m:ctrlPr>
                </m:e>
              </m:func>
              <m:ctrlPr>
                <w:rPr>
                  <w:rFonts w:ascii="Cambria Math" w:hAnsi="Cambria Math" w:eastAsia="Cambria Math"/>
                  <w:i/>
                </w:rPr>
              </m:ctrlPr>
            </m:den>
          </m:f>
        </m:oMath>
      </m:oMathPara>
    </w:p>
    <w:p w14:paraId="38DEDEB7">
      <w:pPr>
        <w:ind w:firstLine="480"/>
      </w:pPr>
      <w:r>
        <w:t>式中：J- Pielou 均匀度指数；</w:t>
      </w:r>
    </w:p>
    <w:p w14:paraId="35308B08">
      <w:pPr>
        <w:ind w:firstLine="480"/>
      </w:pPr>
      <w:r>
        <w:t xml:space="preserve">      S－调查区域内物种种类总数；</w:t>
      </w:r>
    </w:p>
    <w:p w14:paraId="102943FB">
      <w:pPr>
        <w:ind w:firstLine="480"/>
      </w:pPr>
      <w:r>
        <w:t xml:space="preserve">      Pi－调查区域内属于第 i 种的个体比例。</w:t>
      </w:r>
    </w:p>
    <w:p w14:paraId="77925257">
      <w:pPr>
        <w:pStyle w:val="291"/>
        <w:widowControl w:val="0"/>
        <w:numPr>
          <w:ilvl w:val="0"/>
          <w:numId w:val="2"/>
        </w:numPr>
        <w:ind w:firstLine="480" w:firstLineChars="0"/>
        <w:jc w:val="both"/>
        <w:rPr>
          <w:rFonts w:ascii="Times New Roman"/>
        </w:rPr>
      </w:pPr>
      <w:r>
        <w:rPr>
          <w:rFonts w:ascii="Times New Roman"/>
        </w:rPr>
        <w:t>Simpson 优势度指数与均匀度指数相对应，计算公式为：</w:t>
      </w:r>
    </w:p>
    <w:p w14:paraId="5A58BF69">
      <w:pPr>
        <w:ind w:firstLine="480"/>
        <w:jc w:val="center"/>
      </w:pPr>
      <m:oMathPara>
        <m:oMath>
          <m:r>
            <m:rPr/>
            <w:rPr>
              <w:rFonts w:hint="eastAsia" w:ascii="Cambria Math" w:hAnsi="Cambria Math" w:eastAsia="等线" w:cs="Cambria Math"/>
            </w:rPr>
            <m:t>D</m:t>
          </m:r>
          <m:r>
            <m:rPr>
              <m:sty m:val="p"/>
            </m:rPr>
            <w:rPr>
              <w:rFonts w:ascii="Cambria Math" w:hAnsi="Cambria Math" w:eastAsia="Cambria Math" w:cs="Cambria Math"/>
            </w:rPr>
            <m:t>=</m:t>
          </m:r>
          <m:r>
            <m:rPr/>
            <w:rPr>
              <w:rFonts w:ascii="Cambria Math" w:hAnsi="Cambria Math" w:eastAsia="Cambria Math"/>
            </w:rPr>
            <m:t>1−</m:t>
          </m:r>
          <m:nary>
            <m:naryPr>
              <m:chr m:val="∑"/>
              <m:limLoc m:val="undOvr"/>
              <m:ctrlPr>
                <w:rPr>
                  <w:rFonts w:ascii="Cambria Math" w:hAnsi="Cambria Math" w:eastAsia="Cambria Math"/>
                  <w:i/>
                </w:rPr>
              </m:ctrlPr>
            </m:naryPr>
            <m:sub>
              <m:r>
                <m:rPr/>
                <w:rPr>
                  <w:rFonts w:ascii="Cambria Math" w:hAnsi="Cambria Math" w:eastAsia="Cambria Math"/>
                </w:rPr>
                <m:t>i=1</m:t>
              </m:r>
              <m:ctrlPr>
                <w:rPr>
                  <w:rFonts w:ascii="Cambria Math" w:hAnsi="Cambria Math" w:eastAsia="Cambria Math"/>
                  <w:i/>
                </w:rPr>
              </m:ctrlPr>
            </m:sub>
            <m:sup>
              <m:r>
                <m:rPr/>
                <w:rPr>
                  <w:rFonts w:hint="eastAsia" w:ascii="Cambria Math" w:hAnsi="Cambria Math" w:eastAsia="等线"/>
                </w:rPr>
                <m:t>S</m:t>
              </m:r>
              <m:ctrlPr>
                <w:rPr>
                  <w:rFonts w:ascii="Cambria Math" w:hAnsi="Cambria Math" w:eastAsia="Cambria Math"/>
                  <w:i/>
                </w:rPr>
              </m:ctrlPr>
            </m:sup>
            <m:e>
              <m:sSubSup>
                <m:sSubSupPr>
                  <m:ctrlPr>
                    <w:rPr>
                      <w:rFonts w:ascii="Cambria Math" w:hAnsi="Cambria Math" w:eastAsia="Cambria Math"/>
                      <w:i/>
                    </w:rPr>
                  </m:ctrlPr>
                </m:sSubSupPr>
                <m:e>
                  <m:r>
                    <m:rPr/>
                    <w:rPr>
                      <w:rFonts w:ascii="Cambria Math" w:hAnsi="Cambria Math" w:eastAsia="Cambria Math"/>
                    </w:rPr>
                    <m:t>P</m:t>
                  </m:r>
                  <m:ctrlPr>
                    <w:rPr>
                      <w:rFonts w:ascii="Cambria Math" w:hAnsi="Cambria Math" w:eastAsia="Cambria Math"/>
                      <w:i/>
                    </w:rPr>
                  </m:ctrlPr>
                </m:e>
                <m:sub>
                  <m:r>
                    <m:rPr/>
                    <w:rPr>
                      <w:rFonts w:ascii="Cambria Math" w:hAnsi="Cambria Math" w:eastAsia="Cambria Math"/>
                    </w:rPr>
                    <m:t>i</m:t>
                  </m:r>
                  <m:ctrlPr>
                    <w:rPr>
                      <w:rFonts w:ascii="Cambria Math" w:hAnsi="Cambria Math" w:eastAsia="Cambria Math"/>
                      <w:i/>
                    </w:rPr>
                  </m:ctrlPr>
                </m:sub>
                <m:sup>
                  <m:r>
                    <m:rPr/>
                    <w:rPr>
                      <w:rFonts w:ascii="Cambria Math" w:hAnsi="Cambria Math" w:eastAsia="Cambria Math"/>
                    </w:rPr>
                    <m:t>2</m:t>
                  </m:r>
                  <m:ctrlPr>
                    <w:rPr>
                      <w:rFonts w:ascii="Cambria Math" w:hAnsi="Cambria Math" w:eastAsia="Cambria Math"/>
                      <w:i/>
                    </w:rPr>
                  </m:ctrlPr>
                </m:sup>
              </m:sSubSup>
              <m:ctrlPr>
                <w:rPr>
                  <w:rFonts w:ascii="Cambria Math" w:hAnsi="Cambria Math" w:eastAsia="Cambria Math"/>
                  <w:i/>
                </w:rPr>
              </m:ctrlPr>
            </m:e>
          </m:nary>
        </m:oMath>
      </m:oMathPara>
    </w:p>
    <w:p w14:paraId="4B6D4892">
      <w:pPr>
        <w:ind w:firstLine="480"/>
      </w:pPr>
      <w:r>
        <w:t>式中：D-Simpson优势度指数；</w:t>
      </w:r>
    </w:p>
    <w:p w14:paraId="21AFAA6E">
      <w:pPr>
        <w:ind w:firstLine="480"/>
      </w:pPr>
      <w:r>
        <w:t xml:space="preserve">      S－调查区域内物种种类总数；</w:t>
      </w:r>
    </w:p>
    <w:p w14:paraId="6DDDBA78">
      <w:pPr>
        <w:ind w:firstLine="480"/>
      </w:pPr>
      <w:r>
        <w:t xml:space="preserve">      Pi－调查区域内属于第i种的个体比例。</w:t>
      </w:r>
    </w:p>
    <w:p w14:paraId="20384B1A">
      <w:pPr>
        <w:ind w:firstLine="480"/>
      </w:pPr>
      <w:r>
        <w:rPr>
          <w:rFonts w:hint="eastAsia"/>
        </w:rPr>
        <w:t>（2）物种多样性状况</w:t>
      </w:r>
    </w:p>
    <w:p w14:paraId="0A5BBB58">
      <w:pPr>
        <w:ind w:firstLine="480"/>
      </w:pPr>
      <w:r>
        <w:rPr>
          <w:rFonts w:hint="eastAsia"/>
        </w:rPr>
        <w:t>①物种丰富度</w:t>
      </w:r>
    </w:p>
    <w:p w14:paraId="49B16730">
      <w:pPr>
        <w:ind w:firstLine="480"/>
      </w:pPr>
      <w:r>
        <w:rPr>
          <w:rFonts w:hint="eastAsia"/>
        </w:rPr>
        <w:t>物种丰富度指数是描述群落中所含物种丰富程度的数量指标，详见表4.6-22和图4.6-25。</w:t>
      </w:r>
    </w:p>
    <w:p w14:paraId="3B0DA8B1">
      <w:pPr>
        <w:ind w:firstLine="0" w:firstLineChars="0"/>
        <w:jc w:val="center"/>
      </w:pPr>
      <w:r>
        <w:drawing>
          <wp:inline distT="0" distB="0" distL="0" distR="0">
            <wp:extent cx="4572000" cy="2743200"/>
            <wp:effectExtent l="0" t="0" r="0" b="0"/>
            <wp:docPr id="31834961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1F946D6B">
      <w:pPr>
        <w:ind w:firstLine="0" w:firstLineChars="0"/>
        <w:jc w:val="center"/>
        <w:rPr>
          <w:b/>
          <w:bCs/>
        </w:rPr>
      </w:pPr>
      <w:r>
        <w:rPr>
          <w:rFonts w:hint="eastAsia"/>
          <w:b/>
          <w:bCs/>
        </w:rPr>
        <w:t>图4.6-25</w:t>
      </w:r>
      <w:r>
        <w:rPr>
          <w:b/>
          <w:bCs/>
        </w:rPr>
        <w:t xml:space="preserve">  </w:t>
      </w:r>
      <w:r>
        <w:rPr>
          <w:rFonts w:hint="eastAsia"/>
          <w:b/>
          <w:bCs/>
        </w:rPr>
        <w:t>评价区物种丰富度指数图</w:t>
      </w:r>
    </w:p>
    <w:p w14:paraId="062B67FE">
      <w:pPr>
        <w:ind w:firstLine="480"/>
      </w:pPr>
      <w:r>
        <w:rPr>
          <w:rFonts w:hint="eastAsia"/>
        </w:rPr>
        <w:t>②</w:t>
      </w:r>
      <w:r>
        <w:rPr>
          <w:szCs w:val="32"/>
        </w:rPr>
        <w:t>香农</w:t>
      </w:r>
      <w:r>
        <w:rPr>
          <w:rFonts w:hint="eastAsia"/>
          <w:szCs w:val="32"/>
        </w:rPr>
        <w:t>-</w:t>
      </w:r>
      <w:r>
        <w:rPr>
          <w:szCs w:val="32"/>
        </w:rPr>
        <w:t>威纳多样性</w:t>
      </w:r>
    </w:p>
    <w:p w14:paraId="15FABA0A">
      <w:pPr>
        <w:ind w:firstLine="480"/>
      </w:pPr>
      <w:r>
        <w:rPr>
          <w:rFonts w:hint="eastAsia"/>
        </w:rPr>
        <w:t>香农-</w:t>
      </w:r>
      <w:r>
        <w:rPr>
          <w:szCs w:val="32"/>
        </w:rPr>
        <w:t>威</w:t>
      </w:r>
      <w:r>
        <w:rPr>
          <w:rFonts w:hint="eastAsia"/>
        </w:rPr>
        <w:t>纳多样性指数是用于调查植物群落局域</w:t>
      </w:r>
      <w:r>
        <w:rPr>
          <w:rFonts w:hint="eastAsia"/>
          <w:lang w:val="en-US" w:eastAsia="zh-CN"/>
        </w:rPr>
        <w:t>环境</w:t>
      </w:r>
      <w:r>
        <w:rPr>
          <w:rFonts w:hint="eastAsia"/>
        </w:rPr>
        <w:t>内多样性（α-多样性）的指数。评价区香农-威纳多样性指数平均值为0.67，最大值为0.69，最小值为0</w:t>
      </w:r>
      <w:r>
        <w:t>.</w:t>
      </w:r>
      <w:r>
        <w:rPr>
          <w:rFonts w:hint="eastAsia"/>
        </w:rPr>
        <w:t>59，详见表4.6-22和图4.6-26。</w:t>
      </w:r>
    </w:p>
    <w:p w14:paraId="5FCB9925">
      <w:pPr>
        <w:ind w:firstLine="0" w:firstLineChars="0"/>
        <w:jc w:val="center"/>
      </w:pPr>
      <w:r>
        <w:drawing>
          <wp:inline distT="0" distB="0" distL="0" distR="0">
            <wp:extent cx="4572000" cy="2743200"/>
            <wp:effectExtent l="0" t="0" r="0" b="0"/>
            <wp:docPr id="23301212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364E138C">
      <w:pPr>
        <w:ind w:firstLine="0" w:firstLineChars="0"/>
        <w:jc w:val="center"/>
        <w:rPr>
          <w:b/>
          <w:bCs/>
        </w:rPr>
      </w:pPr>
      <w:r>
        <w:rPr>
          <w:rFonts w:hint="eastAsia"/>
          <w:b/>
          <w:bCs/>
        </w:rPr>
        <w:t>图4.6-26</w:t>
      </w:r>
      <w:r>
        <w:rPr>
          <w:b/>
          <w:bCs/>
        </w:rPr>
        <w:t xml:space="preserve">  </w:t>
      </w:r>
      <w:r>
        <w:rPr>
          <w:rFonts w:hint="eastAsia"/>
          <w:b/>
          <w:bCs/>
        </w:rPr>
        <w:t>香农-威纳多样性指数图</w:t>
      </w:r>
    </w:p>
    <w:p w14:paraId="3B56A5F0">
      <w:pPr>
        <w:ind w:firstLine="480"/>
      </w:pPr>
      <w:r>
        <w:rPr>
          <w:rFonts w:hint="eastAsia"/>
        </w:rPr>
        <w:t>③</w:t>
      </w:r>
      <w:r>
        <w:t>Pielou</w:t>
      </w:r>
      <w:r>
        <w:rPr>
          <w:rFonts w:hint="eastAsia"/>
        </w:rPr>
        <w:t>均匀度指数</w:t>
      </w:r>
    </w:p>
    <w:p w14:paraId="30F4B41B">
      <w:pPr>
        <w:ind w:firstLine="480"/>
      </w:pPr>
      <w:r>
        <w:t>Pielou</w:t>
      </w:r>
      <w:r>
        <w:rPr>
          <w:rFonts w:hint="eastAsia"/>
        </w:rPr>
        <w:t>均匀度指数是指某一群落或</w:t>
      </w:r>
      <w:r>
        <w:rPr>
          <w:rFonts w:hint="eastAsia"/>
          <w:lang w:val="en-US" w:eastAsia="zh-CN"/>
        </w:rPr>
        <w:t>环境</w:t>
      </w:r>
      <w:r>
        <w:rPr>
          <w:rFonts w:hint="eastAsia"/>
        </w:rPr>
        <w:t>中全部物种个体数目的分配状况，其反映了各物种个体数目分配的均匀程度。评价区</w:t>
      </w:r>
      <w:r>
        <w:t>Pielou</w:t>
      </w:r>
      <w:r>
        <w:rPr>
          <w:rFonts w:hint="eastAsia"/>
        </w:rPr>
        <w:t>均匀度指数平均值为0.96，最大值为0</w:t>
      </w:r>
      <w:r>
        <w:t>.9</w:t>
      </w:r>
      <w:r>
        <w:rPr>
          <w:rFonts w:hint="eastAsia"/>
        </w:rPr>
        <w:t>9，最小值为0</w:t>
      </w:r>
      <w:r>
        <w:t>.</w:t>
      </w:r>
      <w:r>
        <w:rPr>
          <w:rFonts w:hint="eastAsia"/>
        </w:rPr>
        <w:t>85，详见表4.6-22和图4.6-27。</w:t>
      </w:r>
    </w:p>
    <w:p w14:paraId="45E7C002">
      <w:pPr>
        <w:ind w:firstLine="0" w:firstLineChars="0"/>
        <w:jc w:val="center"/>
      </w:pPr>
      <w:r>
        <w:drawing>
          <wp:inline distT="0" distB="0" distL="0" distR="0">
            <wp:extent cx="4572000" cy="2743200"/>
            <wp:effectExtent l="0" t="0" r="0" b="0"/>
            <wp:docPr id="81831783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44C8FE16">
      <w:pPr>
        <w:ind w:firstLine="0" w:firstLineChars="0"/>
        <w:jc w:val="center"/>
        <w:rPr>
          <w:b/>
          <w:bCs/>
        </w:rPr>
      </w:pPr>
      <w:r>
        <w:rPr>
          <w:rFonts w:hint="eastAsia"/>
          <w:b/>
          <w:bCs/>
        </w:rPr>
        <w:t>图4.6-27</w:t>
      </w:r>
      <w:r>
        <w:rPr>
          <w:b/>
          <w:bCs/>
        </w:rPr>
        <w:t xml:space="preserve"> </w:t>
      </w:r>
      <w:r>
        <w:rPr>
          <w:rFonts w:hint="eastAsia"/>
          <w:b/>
          <w:bCs/>
        </w:rPr>
        <w:t>评价区Pielou均匀度指数</w:t>
      </w:r>
    </w:p>
    <w:p w14:paraId="1BC646D3">
      <w:pPr>
        <w:ind w:firstLine="480"/>
      </w:pPr>
      <w:r>
        <w:rPr>
          <w:rFonts w:hint="eastAsia"/>
        </w:rPr>
        <w:t>④</w:t>
      </w:r>
      <w:r>
        <w:t>Simpson</w:t>
      </w:r>
      <w:r>
        <w:rPr>
          <w:rFonts w:hint="eastAsia"/>
        </w:rPr>
        <w:t>优势度指数</w:t>
      </w:r>
    </w:p>
    <w:p w14:paraId="2102BFE2">
      <w:pPr>
        <w:ind w:firstLine="480"/>
      </w:pPr>
      <w:r>
        <w:t>Simpson</w:t>
      </w:r>
      <w:r>
        <w:rPr>
          <w:rFonts w:hint="eastAsia"/>
        </w:rPr>
        <w:t>优势度指数基于在一个无限大的群落中，随机抽取两个个体，它们属于同一物种的概率是多少这样的假设而推导出来的。评价区</w:t>
      </w:r>
      <w:r>
        <w:t>Simpson</w:t>
      </w:r>
      <w:r>
        <w:rPr>
          <w:rFonts w:hint="eastAsia"/>
        </w:rPr>
        <w:t>优势度指数平均值为0</w:t>
      </w:r>
      <w:r>
        <w:t>.5</w:t>
      </w:r>
      <w:r>
        <w:rPr>
          <w:rFonts w:hint="eastAsia"/>
        </w:rPr>
        <w:t>4，最大值为0.67，最小值为0</w:t>
      </w:r>
      <w:r>
        <w:t>.</w:t>
      </w:r>
      <w:r>
        <w:rPr>
          <w:rFonts w:hint="eastAsia"/>
        </w:rPr>
        <w:t>50，详见表4.6-22和图4.6-28。</w:t>
      </w:r>
    </w:p>
    <w:p w14:paraId="588FD173">
      <w:pPr>
        <w:ind w:firstLine="0" w:firstLineChars="0"/>
        <w:jc w:val="center"/>
      </w:pPr>
      <w:r>
        <w:drawing>
          <wp:inline distT="0" distB="0" distL="0" distR="0">
            <wp:extent cx="4572000" cy="2743200"/>
            <wp:effectExtent l="0" t="0" r="0" b="0"/>
            <wp:docPr id="212332800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4B653BB4">
      <w:pPr>
        <w:ind w:firstLine="0" w:firstLineChars="0"/>
        <w:jc w:val="center"/>
        <w:rPr>
          <w:b/>
          <w:bCs/>
        </w:rPr>
      </w:pPr>
      <w:r>
        <w:rPr>
          <w:rFonts w:hint="eastAsia"/>
          <w:b/>
          <w:bCs/>
        </w:rPr>
        <w:t>图4.6-28</w:t>
      </w:r>
      <w:r>
        <w:rPr>
          <w:b/>
          <w:bCs/>
        </w:rPr>
        <w:t xml:space="preserve">  </w:t>
      </w:r>
      <w:r>
        <w:rPr>
          <w:rFonts w:hint="eastAsia"/>
          <w:b/>
          <w:bCs/>
        </w:rPr>
        <w:t>评价区Simpson优势度指数图</w:t>
      </w:r>
    </w:p>
    <w:p w14:paraId="3F495C28">
      <w:pPr>
        <w:spacing w:line="240" w:lineRule="auto"/>
        <w:ind w:firstLine="0" w:firstLineChars="0"/>
        <w:jc w:val="center"/>
        <w:rPr>
          <w:b/>
          <w:bCs/>
        </w:rPr>
      </w:pPr>
      <w:r>
        <w:rPr>
          <w:rFonts w:hint="eastAsia"/>
          <w:b/>
          <w:bCs/>
        </w:rPr>
        <w:t>表4.6-22</w:t>
      </w:r>
      <w:r>
        <w:rPr>
          <w:b/>
          <w:bCs/>
        </w:rPr>
        <w:t xml:space="preserve">  </w:t>
      </w:r>
      <w:r>
        <w:rPr>
          <w:rFonts w:hint="eastAsia"/>
          <w:b/>
          <w:bCs/>
        </w:rPr>
        <w:t>评价区物种多样性指数</w:t>
      </w:r>
    </w:p>
    <w:tbl>
      <w:tblPr>
        <w:tblStyle w:val="83"/>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1457"/>
        <w:gridCol w:w="2350"/>
        <w:gridCol w:w="2194"/>
        <w:gridCol w:w="1963"/>
      </w:tblGrid>
      <w:tr w14:paraId="0FDD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253" w:type="dxa"/>
            <w:vAlign w:val="center"/>
          </w:tcPr>
          <w:p w14:paraId="3847A6BF">
            <w:pPr>
              <w:spacing w:line="240" w:lineRule="auto"/>
              <w:ind w:firstLine="0" w:firstLineChars="0"/>
              <w:jc w:val="center"/>
              <w:rPr>
                <w:b/>
                <w:bCs/>
                <w:sz w:val="21"/>
                <w:szCs w:val="21"/>
              </w:rPr>
            </w:pPr>
            <w:r>
              <w:rPr>
                <w:b/>
                <w:bCs/>
                <w:sz w:val="21"/>
                <w:szCs w:val="21"/>
              </w:rPr>
              <w:t>样地</w:t>
            </w:r>
            <w:r>
              <w:rPr>
                <w:rFonts w:hint="eastAsia"/>
                <w:b/>
                <w:bCs/>
                <w:sz w:val="21"/>
                <w:szCs w:val="21"/>
              </w:rPr>
              <w:t>编号</w:t>
            </w:r>
          </w:p>
        </w:tc>
        <w:tc>
          <w:tcPr>
            <w:tcW w:w="1457" w:type="dxa"/>
            <w:vAlign w:val="center"/>
          </w:tcPr>
          <w:p w14:paraId="7ECCE083">
            <w:pPr>
              <w:spacing w:line="240" w:lineRule="auto"/>
              <w:ind w:firstLine="0" w:firstLineChars="0"/>
              <w:jc w:val="center"/>
              <w:rPr>
                <w:b/>
                <w:bCs/>
                <w:sz w:val="21"/>
                <w:szCs w:val="21"/>
              </w:rPr>
            </w:pPr>
            <w:r>
              <w:rPr>
                <w:rFonts w:hint="eastAsia"/>
                <w:b/>
                <w:bCs/>
                <w:sz w:val="21"/>
                <w:szCs w:val="21"/>
              </w:rPr>
              <w:t>物种丰富度</w:t>
            </w:r>
          </w:p>
        </w:tc>
        <w:tc>
          <w:tcPr>
            <w:tcW w:w="2350" w:type="dxa"/>
            <w:vAlign w:val="center"/>
          </w:tcPr>
          <w:p w14:paraId="63841368">
            <w:pPr>
              <w:spacing w:line="240" w:lineRule="auto"/>
              <w:ind w:firstLine="0" w:firstLineChars="0"/>
              <w:jc w:val="center"/>
              <w:rPr>
                <w:b/>
                <w:bCs/>
                <w:sz w:val="21"/>
                <w:szCs w:val="21"/>
              </w:rPr>
            </w:pPr>
            <w:r>
              <w:rPr>
                <w:rFonts w:hint="eastAsia"/>
                <w:b/>
                <w:bCs/>
                <w:sz w:val="21"/>
                <w:szCs w:val="21"/>
              </w:rPr>
              <w:t>香农-威纳多样性</w:t>
            </w:r>
          </w:p>
        </w:tc>
        <w:tc>
          <w:tcPr>
            <w:tcW w:w="2194" w:type="dxa"/>
            <w:vAlign w:val="center"/>
          </w:tcPr>
          <w:p w14:paraId="500AA3A9">
            <w:pPr>
              <w:spacing w:line="240" w:lineRule="auto"/>
              <w:ind w:firstLine="0" w:firstLineChars="0"/>
              <w:jc w:val="center"/>
              <w:rPr>
                <w:b/>
                <w:bCs/>
                <w:sz w:val="21"/>
                <w:szCs w:val="21"/>
              </w:rPr>
            </w:pPr>
            <w:r>
              <w:rPr>
                <w:rFonts w:hint="eastAsia"/>
                <w:b/>
                <w:bCs/>
                <w:sz w:val="21"/>
                <w:szCs w:val="21"/>
              </w:rPr>
              <w:t>Pielou均匀度</w:t>
            </w:r>
          </w:p>
        </w:tc>
        <w:tc>
          <w:tcPr>
            <w:tcW w:w="1963" w:type="dxa"/>
            <w:vAlign w:val="center"/>
          </w:tcPr>
          <w:p w14:paraId="67929222">
            <w:pPr>
              <w:spacing w:line="240" w:lineRule="auto"/>
              <w:ind w:firstLine="0" w:firstLineChars="0"/>
              <w:jc w:val="center"/>
              <w:rPr>
                <w:b/>
                <w:bCs/>
                <w:sz w:val="21"/>
                <w:szCs w:val="21"/>
              </w:rPr>
            </w:pPr>
            <w:r>
              <w:rPr>
                <w:rFonts w:hint="eastAsia"/>
                <w:b/>
                <w:bCs/>
                <w:sz w:val="21"/>
                <w:szCs w:val="21"/>
              </w:rPr>
              <w:t>Simpson优势度</w:t>
            </w:r>
          </w:p>
        </w:tc>
      </w:tr>
      <w:tr w14:paraId="68FB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3A2F5CFE">
            <w:pPr>
              <w:spacing w:line="240" w:lineRule="auto"/>
              <w:ind w:firstLine="0" w:firstLineChars="0"/>
              <w:jc w:val="center"/>
              <w:rPr>
                <w:sz w:val="21"/>
                <w:szCs w:val="21"/>
              </w:rPr>
            </w:pPr>
            <w:r>
              <w:rPr>
                <w:rFonts w:hint="eastAsia"/>
                <w:sz w:val="21"/>
                <w:szCs w:val="21"/>
              </w:rPr>
              <w:t>1</w:t>
            </w:r>
          </w:p>
        </w:tc>
        <w:tc>
          <w:tcPr>
            <w:tcW w:w="1457" w:type="dxa"/>
          </w:tcPr>
          <w:p w14:paraId="2CF9FEB6">
            <w:pPr>
              <w:spacing w:line="240" w:lineRule="auto"/>
              <w:ind w:firstLine="0" w:firstLineChars="0"/>
              <w:jc w:val="center"/>
              <w:rPr>
                <w:sz w:val="21"/>
                <w:szCs w:val="21"/>
              </w:rPr>
            </w:pPr>
            <w:r>
              <w:rPr>
                <w:sz w:val="21"/>
                <w:szCs w:val="21"/>
              </w:rPr>
              <w:t>0.417032391</w:t>
            </w:r>
          </w:p>
        </w:tc>
        <w:tc>
          <w:tcPr>
            <w:tcW w:w="2350" w:type="dxa"/>
          </w:tcPr>
          <w:p w14:paraId="55B59E57">
            <w:pPr>
              <w:spacing w:line="240" w:lineRule="auto"/>
              <w:ind w:firstLine="0" w:firstLineChars="0"/>
              <w:jc w:val="center"/>
              <w:rPr>
                <w:sz w:val="21"/>
                <w:szCs w:val="21"/>
              </w:rPr>
            </w:pPr>
            <w:r>
              <w:rPr>
                <w:sz w:val="21"/>
                <w:szCs w:val="21"/>
              </w:rPr>
              <w:t>0.689009238</w:t>
            </w:r>
          </w:p>
        </w:tc>
        <w:tc>
          <w:tcPr>
            <w:tcW w:w="2194" w:type="dxa"/>
          </w:tcPr>
          <w:p w14:paraId="7136598E">
            <w:pPr>
              <w:spacing w:line="240" w:lineRule="auto"/>
              <w:ind w:firstLine="0" w:firstLineChars="0"/>
              <w:jc w:val="center"/>
              <w:rPr>
                <w:sz w:val="21"/>
                <w:szCs w:val="21"/>
              </w:rPr>
            </w:pPr>
            <w:r>
              <w:rPr>
                <w:sz w:val="21"/>
                <w:szCs w:val="21"/>
              </w:rPr>
              <w:t>0.994030211</w:t>
            </w:r>
          </w:p>
        </w:tc>
        <w:tc>
          <w:tcPr>
            <w:tcW w:w="1963" w:type="dxa"/>
          </w:tcPr>
          <w:p w14:paraId="6E1E8216">
            <w:pPr>
              <w:spacing w:line="240" w:lineRule="auto"/>
              <w:ind w:firstLine="0" w:firstLineChars="0"/>
              <w:jc w:val="center"/>
              <w:rPr>
                <w:sz w:val="21"/>
                <w:szCs w:val="21"/>
              </w:rPr>
            </w:pPr>
            <w:r>
              <w:rPr>
                <w:sz w:val="21"/>
                <w:szCs w:val="21"/>
              </w:rPr>
              <w:t>0.563449535</w:t>
            </w:r>
          </w:p>
        </w:tc>
      </w:tr>
      <w:tr w14:paraId="300B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3ADE5599">
            <w:pPr>
              <w:spacing w:line="240" w:lineRule="auto"/>
              <w:ind w:firstLine="0" w:firstLineChars="0"/>
              <w:jc w:val="center"/>
              <w:rPr>
                <w:sz w:val="21"/>
                <w:szCs w:val="21"/>
              </w:rPr>
            </w:pPr>
            <w:r>
              <w:rPr>
                <w:rFonts w:hint="eastAsia"/>
                <w:sz w:val="21"/>
                <w:szCs w:val="21"/>
              </w:rPr>
              <w:t>2</w:t>
            </w:r>
          </w:p>
        </w:tc>
        <w:tc>
          <w:tcPr>
            <w:tcW w:w="1457" w:type="dxa"/>
          </w:tcPr>
          <w:p w14:paraId="2F21C484">
            <w:pPr>
              <w:spacing w:line="240" w:lineRule="auto"/>
              <w:ind w:firstLine="0" w:firstLineChars="0"/>
              <w:jc w:val="center"/>
              <w:rPr>
                <w:sz w:val="21"/>
                <w:szCs w:val="21"/>
              </w:rPr>
            </w:pPr>
            <w:r>
              <w:rPr>
                <w:sz w:val="21"/>
                <w:szCs w:val="21"/>
              </w:rPr>
              <w:t>0.389871245</w:t>
            </w:r>
          </w:p>
        </w:tc>
        <w:tc>
          <w:tcPr>
            <w:tcW w:w="2350" w:type="dxa"/>
          </w:tcPr>
          <w:p w14:paraId="780A619B">
            <w:pPr>
              <w:spacing w:line="240" w:lineRule="auto"/>
              <w:ind w:firstLine="0" w:firstLineChars="0"/>
              <w:jc w:val="center"/>
              <w:rPr>
                <w:sz w:val="21"/>
                <w:szCs w:val="21"/>
              </w:rPr>
            </w:pPr>
            <w:r>
              <w:rPr>
                <w:sz w:val="21"/>
                <w:szCs w:val="21"/>
              </w:rPr>
              <w:t>0.690185676</w:t>
            </w:r>
          </w:p>
        </w:tc>
        <w:tc>
          <w:tcPr>
            <w:tcW w:w="2194" w:type="dxa"/>
          </w:tcPr>
          <w:p w14:paraId="73D2CFD8">
            <w:pPr>
              <w:spacing w:line="240" w:lineRule="auto"/>
              <w:ind w:firstLine="0" w:firstLineChars="0"/>
              <w:jc w:val="center"/>
              <w:rPr>
                <w:sz w:val="21"/>
                <w:szCs w:val="21"/>
              </w:rPr>
            </w:pPr>
            <w:r>
              <w:rPr>
                <w:sz w:val="21"/>
                <w:szCs w:val="21"/>
              </w:rPr>
              <w:t>0.995727452</w:t>
            </w:r>
          </w:p>
        </w:tc>
        <w:tc>
          <w:tcPr>
            <w:tcW w:w="1963" w:type="dxa"/>
          </w:tcPr>
          <w:p w14:paraId="5075A1B1">
            <w:pPr>
              <w:spacing w:line="240" w:lineRule="auto"/>
              <w:ind w:firstLine="0" w:firstLineChars="0"/>
              <w:jc w:val="center"/>
              <w:rPr>
                <w:sz w:val="21"/>
                <w:szCs w:val="21"/>
              </w:rPr>
            </w:pPr>
            <w:r>
              <w:rPr>
                <w:sz w:val="21"/>
                <w:szCs w:val="21"/>
              </w:rPr>
              <w:t>0.536059791</w:t>
            </w:r>
          </w:p>
        </w:tc>
      </w:tr>
      <w:tr w14:paraId="0FD6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176BF226">
            <w:pPr>
              <w:spacing w:line="240" w:lineRule="auto"/>
              <w:ind w:firstLine="0" w:firstLineChars="0"/>
              <w:jc w:val="center"/>
              <w:rPr>
                <w:sz w:val="21"/>
                <w:szCs w:val="21"/>
              </w:rPr>
            </w:pPr>
            <w:r>
              <w:rPr>
                <w:rFonts w:hint="eastAsia"/>
                <w:sz w:val="21"/>
                <w:szCs w:val="21"/>
              </w:rPr>
              <w:t>3</w:t>
            </w:r>
          </w:p>
        </w:tc>
        <w:tc>
          <w:tcPr>
            <w:tcW w:w="1457" w:type="dxa"/>
          </w:tcPr>
          <w:p w14:paraId="289CEC52">
            <w:pPr>
              <w:spacing w:line="240" w:lineRule="auto"/>
              <w:ind w:firstLine="0" w:firstLineChars="0"/>
              <w:jc w:val="center"/>
              <w:rPr>
                <w:sz w:val="21"/>
                <w:szCs w:val="21"/>
              </w:rPr>
            </w:pPr>
            <w:r>
              <w:rPr>
                <w:sz w:val="21"/>
                <w:szCs w:val="21"/>
              </w:rPr>
              <w:t>0.455119613</w:t>
            </w:r>
          </w:p>
        </w:tc>
        <w:tc>
          <w:tcPr>
            <w:tcW w:w="2350" w:type="dxa"/>
          </w:tcPr>
          <w:p w14:paraId="5E1051D9">
            <w:pPr>
              <w:spacing w:line="240" w:lineRule="auto"/>
              <w:ind w:firstLine="0" w:firstLineChars="0"/>
              <w:jc w:val="center"/>
              <w:rPr>
                <w:sz w:val="21"/>
                <w:szCs w:val="21"/>
              </w:rPr>
            </w:pPr>
            <w:r>
              <w:rPr>
                <w:sz w:val="21"/>
                <w:szCs w:val="21"/>
              </w:rPr>
              <w:t>0.636514168</w:t>
            </w:r>
          </w:p>
        </w:tc>
        <w:tc>
          <w:tcPr>
            <w:tcW w:w="2194" w:type="dxa"/>
          </w:tcPr>
          <w:p w14:paraId="62918077">
            <w:pPr>
              <w:spacing w:line="240" w:lineRule="auto"/>
              <w:ind w:firstLine="0" w:firstLineChars="0"/>
              <w:jc w:val="center"/>
              <w:rPr>
                <w:sz w:val="21"/>
                <w:szCs w:val="21"/>
              </w:rPr>
            </w:pPr>
            <w:r>
              <w:rPr>
                <w:sz w:val="21"/>
                <w:szCs w:val="21"/>
              </w:rPr>
              <w:t>0.918295834</w:t>
            </w:r>
          </w:p>
        </w:tc>
        <w:tc>
          <w:tcPr>
            <w:tcW w:w="1963" w:type="dxa"/>
          </w:tcPr>
          <w:p w14:paraId="38562505">
            <w:pPr>
              <w:spacing w:line="240" w:lineRule="auto"/>
              <w:ind w:firstLine="0" w:firstLineChars="0"/>
              <w:jc w:val="center"/>
              <w:rPr>
                <w:sz w:val="21"/>
                <w:szCs w:val="21"/>
              </w:rPr>
            </w:pPr>
            <w:r>
              <w:rPr>
                <w:sz w:val="21"/>
                <w:szCs w:val="21"/>
              </w:rPr>
              <w:t>0.559731749</w:t>
            </w:r>
          </w:p>
        </w:tc>
      </w:tr>
      <w:tr w14:paraId="085A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50F70682">
            <w:pPr>
              <w:spacing w:line="240" w:lineRule="auto"/>
              <w:ind w:firstLine="0" w:firstLineChars="0"/>
              <w:jc w:val="center"/>
              <w:rPr>
                <w:sz w:val="21"/>
                <w:szCs w:val="21"/>
              </w:rPr>
            </w:pPr>
            <w:r>
              <w:rPr>
                <w:rFonts w:hint="eastAsia"/>
                <w:sz w:val="21"/>
                <w:szCs w:val="21"/>
              </w:rPr>
              <w:t>4</w:t>
            </w:r>
          </w:p>
        </w:tc>
        <w:tc>
          <w:tcPr>
            <w:tcW w:w="1457" w:type="dxa"/>
          </w:tcPr>
          <w:p w14:paraId="0EF3B99E">
            <w:pPr>
              <w:spacing w:line="240" w:lineRule="auto"/>
              <w:ind w:firstLine="0" w:firstLineChars="0"/>
              <w:jc w:val="center"/>
              <w:rPr>
                <w:sz w:val="21"/>
                <w:szCs w:val="21"/>
              </w:rPr>
            </w:pPr>
            <w:r>
              <w:rPr>
                <w:sz w:val="21"/>
                <w:szCs w:val="21"/>
              </w:rPr>
              <w:t>0.417032391</w:t>
            </w:r>
          </w:p>
        </w:tc>
        <w:tc>
          <w:tcPr>
            <w:tcW w:w="2350" w:type="dxa"/>
          </w:tcPr>
          <w:p w14:paraId="5D7F2F0E">
            <w:pPr>
              <w:spacing w:line="240" w:lineRule="auto"/>
              <w:ind w:firstLine="0" w:firstLineChars="0"/>
              <w:jc w:val="center"/>
              <w:rPr>
                <w:sz w:val="21"/>
                <w:szCs w:val="21"/>
              </w:rPr>
            </w:pPr>
            <w:r>
              <w:rPr>
                <w:sz w:val="21"/>
                <w:szCs w:val="21"/>
              </w:rPr>
              <w:t>0.655481774</w:t>
            </w:r>
          </w:p>
        </w:tc>
        <w:tc>
          <w:tcPr>
            <w:tcW w:w="2194" w:type="dxa"/>
          </w:tcPr>
          <w:p w14:paraId="1BB11FA4">
            <w:pPr>
              <w:spacing w:line="240" w:lineRule="auto"/>
              <w:ind w:firstLine="0" w:firstLineChars="0"/>
              <w:jc w:val="center"/>
              <w:rPr>
                <w:sz w:val="21"/>
                <w:szCs w:val="21"/>
              </w:rPr>
            </w:pPr>
            <w:r>
              <w:rPr>
                <w:sz w:val="21"/>
                <w:szCs w:val="21"/>
              </w:rPr>
              <w:t>0.945660305</w:t>
            </w:r>
          </w:p>
        </w:tc>
        <w:tc>
          <w:tcPr>
            <w:tcW w:w="1963" w:type="dxa"/>
          </w:tcPr>
          <w:p w14:paraId="2A909761">
            <w:pPr>
              <w:spacing w:line="240" w:lineRule="auto"/>
              <w:ind w:firstLine="0" w:firstLineChars="0"/>
              <w:jc w:val="center"/>
              <w:rPr>
                <w:sz w:val="21"/>
                <w:szCs w:val="21"/>
              </w:rPr>
            </w:pPr>
            <w:r>
              <w:rPr>
                <w:sz w:val="21"/>
                <w:szCs w:val="21"/>
              </w:rPr>
              <w:t>0.540639395</w:t>
            </w:r>
          </w:p>
        </w:tc>
      </w:tr>
      <w:tr w14:paraId="35FE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0839FE50">
            <w:pPr>
              <w:spacing w:line="240" w:lineRule="auto"/>
              <w:ind w:firstLine="0" w:firstLineChars="0"/>
              <w:jc w:val="center"/>
              <w:rPr>
                <w:sz w:val="21"/>
                <w:szCs w:val="21"/>
              </w:rPr>
            </w:pPr>
            <w:r>
              <w:rPr>
                <w:rFonts w:hint="eastAsia"/>
                <w:sz w:val="21"/>
                <w:szCs w:val="21"/>
              </w:rPr>
              <w:t>5</w:t>
            </w:r>
          </w:p>
        </w:tc>
        <w:tc>
          <w:tcPr>
            <w:tcW w:w="1457" w:type="dxa"/>
          </w:tcPr>
          <w:p w14:paraId="0CAEE4AD">
            <w:pPr>
              <w:spacing w:line="240" w:lineRule="auto"/>
              <w:ind w:firstLine="0" w:firstLineChars="0"/>
              <w:jc w:val="center"/>
              <w:rPr>
                <w:sz w:val="21"/>
                <w:szCs w:val="21"/>
              </w:rPr>
            </w:pPr>
            <w:r>
              <w:rPr>
                <w:sz w:val="21"/>
                <w:szCs w:val="21"/>
              </w:rPr>
              <w:t>0.369269373</w:t>
            </w:r>
          </w:p>
        </w:tc>
        <w:tc>
          <w:tcPr>
            <w:tcW w:w="2350" w:type="dxa"/>
          </w:tcPr>
          <w:p w14:paraId="5C4EBF3A">
            <w:pPr>
              <w:spacing w:line="240" w:lineRule="auto"/>
              <w:ind w:firstLine="0" w:firstLineChars="0"/>
              <w:jc w:val="center"/>
              <w:rPr>
                <w:sz w:val="21"/>
                <w:szCs w:val="21"/>
              </w:rPr>
            </w:pPr>
            <w:r>
              <w:rPr>
                <w:sz w:val="21"/>
                <w:szCs w:val="21"/>
              </w:rPr>
              <w:t>0.690923309</w:t>
            </w:r>
          </w:p>
        </w:tc>
        <w:tc>
          <w:tcPr>
            <w:tcW w:w="2194" w:type="dxa"/>
          </w:tcPr>
          <w:p w14:paraId="40DD8335">
            <w:pPr>
              <w:spacing w:line="240" w:lineRule="auto"/>
              <w:ind w:firstLine="0" w:firstLineChars="0"/>
              <w:jc w:val="center"/>
              <w:rPr>
                <w:sz w:val="21"/>
                <w:szCs w:val="21"/>
              </w:rPr>
            </w:pPr>
            <w:r>
              <w:rPr>
                <w:sz w:val="21"/>
                <w:szCs w:val="21"/>
              </w:rPr>
              <w:t>0.996791632</w:t>
            </w:r>
          </w:p>
        </w:tc>
        <w:tc>
          <w:tcPr>
            <w:tcW w:w="1963" w:type="dxa"/>
          </w:tcPr>
          <w:p w14:paraId="1B4F189C">
            <w:pPr>
              <w:spacing w:line="240" w:lineRule="auto"/>
              <w:ind w:firstLine="0" w:firstLineChars="0"/>
              <w:jc w:val="center"/>
              <w:rPr>
                <w:sz w:val="21"/>
                <w:szCs w:val="21"/>
              </w:rPr>
            </w:pPr>
            <w:r>
              <w:rPr>
                <w:sz w:val="21"/>
                <w:szCs w:val="21"/>
              </w:rPr>
              <w:t>0.500144389</w:t>
            </w:r>
          </w:p>
        </w:tc>
      </w:tr>
      <w:tr w14:paraId="5BBC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07ADC66C">
            <w:pPr>
              <w:spacing w:line="240" w:lineRule="auto"/>
              <w:ind w:firstLine="0" w:firstLineChars="0"/>
              <w:jc w:val="center"/>
              <w:rPr>
                <w:sz w:val="21"/>
                <w:szCs w:val="21"/>
              </w:rPr>
            </w:pPr>
            <w:r>
              <w:rPr>
                <w:rFonts w:hint="eastAsia"/>
                <w:sz w:val="21"/>
                <w:szCs w:val="21"/>
              </w:rPr>
              <w:t>6</w:t>
            </w:r>
          </w:p>
        </w:tc>
        <w:tc>
          <w:tcPr>
            <w:tcW w:w="1457" w:type="dxa"/>
          </w:tcPr>
          <w:p w14:paraId="607AAECF">
            <w:pPr>
              <w:spacing w:line="240" w:lineRule="auto"/>
              <w:ind w:firstLine="0" w:firstLineChars="0"/>
              <w:jc w:val="center"/>
              <w:rPr>
                <w:sz w:val="21"/>
                <w:szCs w:val="21"/>
              </w:rPr>
            </w:pPr>
            <w:r>
              <w:rPr>
                <w:sz w:val="21"/>
                <w:szCs w:val="21"/>
              </w:rPr>
              <w:t>0.253084869</w:t>
            </w:r>
          </w:p>
        </w:tc>
        <w:tc>
          <w:tcPr>
            <w:tcW w:w="2350" w:type="dxa"/>
          </w:tcPr>
          <w:p w14:paraId="4E66CD7F">
            <w:pPr>
              <w:spacing w:line="240" w:lineRule="auto"/>
              <w:ind w:firstLine="0" w:firstLineChars="0"/>
              <w:jc w:val="center"/>
              <w:rPr>
                <w:sz w:val="21"/>
                <w:szCs w:val="21"/>
              </w:rPr>
            </w:pPr>
            <w:r>
              <w:rPr>
                <w:sz w:val="21"/>
                <w:szCs w:val="21"/>
              </w:rPr>
              <w:t>0.666278442</w:t>
            </w:r>
          </w:p>
        </w:tc>
        <w:tc>
          <w:tcPr>
            <w:tcW w:w="2194" w:type="dxa"/>
          </w:tcPr>
          <w:p w14:paraId="1A6B2E1F">
            <w:pPr>
              <w:spacing w:line="240" w:lineRule="auto"/>
              <w:ind w:firstLine="0" w:firstLineChars="0"/>
              <w:jc w:val="center"/>
              <w:rPr>
                <w:sz w:val="21"/>
                <w:szCs w:val="21"/>
              </w:rPr>
            </w:pPr>
            <w:r>
              <w:rPr>
                <w:sz w:val="21"/>
                <w:szCs w:val="21"/>
              </w:rPr>
              <w:t>0.961236605</w:t>
            </w:r>
          </w:p>
        </w:tc>
        <w:tc>
          <w:tcPr>
            <w:tcW w:w="1963" w:type="dxa"/>
          </w:tcPr>
          <w:p w14:paraId="49C0D410">
            <w:pPr>
              <w:spacing w:line="240" w:lineRule="auto"/>
              <w:ind w:firstLine="0" w:firstLineChars="0"/>
              <w:jc w:val="center"/>
              <w:rPr>
                <w:sz w:val="21"/>
                <w:szCs w:val="21"/>
              </w:rPr>
            </w:pPr>
            <w:r>
              <w:rPr>
                <w:sz w:val="21"/>
                <w:szCs w:val="21"/>
              </w:rPr>
              <w:t>0.614163077</w:t>
            </w:r>
          </w:p>
        </w:tc>
      </w:tr>
      <w:tr w14:paraId="4D50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00A9C9FD">
            <w:pPr>
              <w:spacing w:line="240" w:lineRule="auto"/>
              <w:ind w:firstLine="0" w:firstLineChars="0"/>
              <w:jc w:val="center"/>
              <w:rPr>
                <w:sz w:val="21"/>
                <w:szCs w:val="21"/>
              </w:rPr>
            </w:pPr>
            <w:r>
              <w:rPr>
                <w:rFonts w:hint="eastAsia"/>
                <w:sz w:val="21"/>
                <w:szCs w:val="21"/>
              </w:rPr>
              <w:t>7</w:t>
            </w:r>
          </w:p>
        </w:tc>
        <w:tc>
          <w:tcPr>
            <w:tcW w:w="1457" w:type="dxa"/>
          </w:tcPr>
          <w:p w14:paraId="3D81CE82">
            <w:pPr>
              <w:spacing w:line="240" w:lineRule="auto"/>
              <w:ind w:firstLine="0" w:firstLineChars="0"/>
              <w:jc w:val="center"/>
              <w:rPr>
                <w:sz w:val="21"/>
                <w:szCs w:val="21"/>
              </w:rPr>
            </w:pPr>
            <w:r>
              <w:rPr>
                <w:sz w:val="21"/>
                <w:szCs w:val="21"/>
              </w:rPr>
              <w:t>0.251870649</w:t>
            </w:r>
          </w:p>
        </w:tc>
        <w:tc>
          <w:tcPr>
            <w:tcW w:w="2350" w:type="dxa"/>
          </w:tcPr>
          <w:p w14:paraId="6EE04E2B">
            <w:pPr>
              <w:spacing w:line="240" w:lineRule="auto"/>
              <w:ind w:firstLine="0" w:firstLineChars="0"/>
              <w:jc w:val="center"/>
              <w:rPr>
                <w:sz w:val="21"/>
                <w:szCs w:val="21"/>
              </w:rPr>
            </w:pPr>
            <w:r>
              <w:rPr>
                <w:sz w:val="21"/>
                <w:szCs w:val="21"/>
              </w:rPr>
              <w:t>0.652544773</w:t>
            </w:r>
          </w:p>
        </w:tc>
        <w:tc>
          <w:tcPr>
            <w:tcW w:w="2194" w:type="dxa"/>
          </w:tcPr>
          <w:p w14:paraId="424B1D47">
            <w:pPr>
              <w:spacing w:line="240" w:lineRule="auto"/>
              <w:ind w:firstLine="0" w:firstLineChars="0"/>
              <w:jc w:val="center"/>
              <w:rPr>
                <w:sz w:val="21"/>
                <w:szCs w:val="21"/>
              </w:rPr>
            </w:pPr>
            <w:r>
              <w:rPr>
                <w:sz w:val="21"/>
                <w:szCs w:val="21"/>
              </w:rPr>
              <w:t>0.941423108</w:t>
            </w:r>
          </w:p>
        </w:tc>
        <w:tc>
          <w:tcPr>
            <w:tcW w:w="1963" w:type="dxa"/>
          </w:tcPr>
          <w:p w14:paraId="23D90899">
            <w:pPr>
              <w:spacing w:line="240" w:lineRule="auto"/>
              <w:ind w:firstLine="0" w:firstLineChars="0"/>
              <w:jc w:val="center"/>
              <w:rPr>
                <w:sz w:val="21"/>
                <w:szCs w:val="21"/>
              </w:rPr>
            </w:pPr>
            <w:r>
              <w:rPr>
                <w:sz w:val="21"/>
                <w:szCs w:val="21"/>
              </w:rPr>
              <w:t>0.500403612</w:t>
            </w:r>
          </w:p>
        </w:tc>
      </w:tr>
      <w:tr w14:paraId="2FBD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2FFB7982">
            <w:pPr>
              <w:spacing w:line="240" w:lineRule="auto"/>
              <w:ind w:firstLine="0" w:firstLineChars="0"/>
              <w:jc w:val="center"/>
              <w:rPr>
                <w:sz w:val="21"/>
                <w:szCs w:val="21"/>
              </w:rPr>
            </w:pPr>
            <w:r>
              <w:rPr>
                <w:rFonts w:hint="eastAsia"/>
                <w:sz w:val="21"/>
                <w:szCs w:val="21"/>
              </w:rPr>
              <w:t>8</w:t>
            </w:r>
          </w:p>
        </w:tc>
        <w:tc>
          <w:tcPr>
            <w:tcW w:w="1457" w:type="dxa"/>
          </w:tcPr>
          <w:p w14:paraId="57E01AE4">
            <w:pPr>
              <w:spacing w:line="240" w:lineRule="auto"/>
              <w:ind w:firstLine="0" w:firstLineChars="0"/>
              <w:jc w:val="center"/>
              <w:rPr>
                <w:sz w:val="21"/>
                <w:szCs w:val="21"/>
              </w:rPr>
            </w:pPr>
            <w:r>
              <w:rPr>
                <w:sz w:val="21"/>
                <w:szCs w:val="21"/>
              </w:rPr>
              <w:t>0.281266414</w:t>
            </w:r>
          </w:p>
        </w:tc>
        <w:tc>
          <w:tcPr>
            <w:tcW w:w="2350" w:type="dxa"/>
          </w:tcPr>
          <w:p w14:paraId="008B1BE6">
            <w:pPr>
              <w:spacing w:line="240" w:lineRule="auto"/>
              <w:ind w:firstLine="0" w:firstLineChars="0"/>
              <w:jc w:val="center"/>
              <w:rPr>
                <w:sz w:val="21"/>
                <w:szCs w:val="21"/>
              </w:rPr>
            </w:pPr>
            <w:r>
              <w:rPr>
                <w:sz w:val="21"/>
                <w:szCs w:val="21"/>
              </w:rPr>
              <w:t>0.6894692</w:t>
            </w:r>
          </w:p>
        </w:tc>
        <w:tc>
          <w:tcPr>
            <w:tcW w:w="2194" w:type="dxa"/>
          </w:tcPr>
          <w:p w14:paraId="174FC072">
            <w:pPr>
              <w:spacing w:line="240" w:lineRule="auto"/>
              <w:ind w:firstLine="0" w:firstLineChars="0"/>
              <w:jc w:val="center"/>
              <w:rPr>
                <w:sz w:val="21"/>
                <w:szCs w:val="21"/>
              </w:rPr>
            </w:pPr>
            <w:r>
              <w:rPr>
                <w:sz w:val="21"/>
                <w:szCs w:val="21"/>
              </w:rPr>
              <w:t>0.994693795</w:t>
            </w:r>
          </w:p>
        </w:tc>
        <w:tc>
          <w:tcPr>
            <w:tcW w:w="1963" w:type="dxa"/>
          </w:tcPr>
          <w:p w14:paraId="44DDF3D7">
            <w:pPr>
              <w:spacing w:line="240" w:lineRule="auto"/>
              <w:ind w:firstLine="0" w:firstLineChars="0"/>
              <w:jc w:val="center"/>
              <w:rPr>
                <w:sz w:val="21"/>
                <w:szCs w:val="21"/>
              </w:rPr>
            </w:pPr>
            <w:r>
              <w:rPr>
                <w:sz w:val="21"/>
                <w:szCs w:val="21"/>
              </w:rPr>
              <w:t>0.528061933</w:t>
            </w:r>
          </w:p>
        </w:tc>
      </w:tr>
      <w:tr w14:paraId="4BAC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018BFD28">
            <w:pPr>
              <w:spacing w:line="240" w:lineRule="auto"/>
              <w:ind w:firstLine="0" w:firstLineChars="0"/>
              <w:jc w:val="center"/>
              <w:rPr>
                <w:sz w:val="21"/>
                <w:szCs w:val="21"/>
              </w:rPr>
            </w:pPr>
            <w:r>
              <w:rPr>
                <w:rFonts w:hint="eastAsia"/>
                <w:sz w:val="21"/>
                <w:szCs w:val="21"/>
              </w:rPr>
              <w:t>9</w:t>
            </w:r>
          </w:p>
        </w:tc>
        <w:tc>
          <w:tcPr>
            <w:tcW w:w="1457" w:type="dxa"/>
          </w:tcPr>
          <w:p w14:paraId="1A23930D">
            <w:pPr>
              <w:spacing w:line="240" w:lineRule="auto"/>
              <w:ind w:firstLine="0" w:firstLineChars="0"/>
              <w:jc w:val="center"/>
              <w:rPr>
                <w:sz w:val="21"/>
                <w:szCs w:val="21"/>
              </w:rPr>
            </w:pPr>
            <w:r>
              <w:rPr>
                <w:sz w:val="21"/>
                <w:szCs w:val="21"/>
              </w:rPr>
              <w:t>0.296974204</w:t>
            </w:r>
          </w:p>
        </w:tc>
        <w:tc>
          <w:tcPr>
            <w:tcW w:w="2350" w:type="dxa"/>
          </w:tcPr>
          <w:p w14:paraId="130323B8">
            <w:pPr>
              <w:spacing w:line="240" w:lineRule="auto"/>
              <w:ind w:firstLine="0" w:firstLineChars="0"/>
              <w:jc w:val="center"/>
              <w:rPr>
                <w:sz w:val="21"/>
                <w:szCs w:val="21"/>
              </w:rPr>
            </w:pPr>
            <w:r>
              <w:rPr>
                <w:sz w:val="21"/>
                <w:szCs w:val="21"/>
              </w:rPr>
              <w:t>0.687786823</w:t>
            </w:r>
          </w:p>
        </w:tc>
        <w:tc>
          <w:tcPr>
            <w:tcW w:w="2194" w:type="dxa"/>
          </w:tcPr>
          <w:p w14:paraId="73EC72C6">
            <w:pPr>
              <w:spacing w:line="240" w:lineRule="auto"/>
              <w:ind w:firstLine="0" w:firstLineChars="0"/>
              <w:jc w:val="center"/>
              <w:rPr>
                <w:sz w:val="21"/>
                <w:szCs w:val="21"/>
              </w:rPr>
            </w:pPr>
            <w:r>
              <w:rPr>
                <w:sz w:val="21"/>
                <w:szCs w:val="21"/>
              </w:rPr>
              <w:t>0.992266639</w:t>
            </w:r>
          </w:p>
        </w:tc>
        <w:tc>
          <w:tcPr>
            <w:tcW w:w="1963" w:type="dxa"/>
          </w:tcPr>
          <w:p w14:paraId="7256A6F4">
            <w:pPr>
              <w:spacing w:line="240" w:lineRule="auto"/>
              <w:ind w:firstLine="0" w:firstLineChars="0"/>
              <w:jc w:val="center"/>
              <w:rPr>
                <w:sz w:val="21"/>
                <w:szCs w:val="21"/>
              </w:rPr>
            </w:pPr>
            <w:r>
              <w:rPr>
                <w:sz w:val="21"/>
                <w:szCs w:val="21"/>
              </w:rPr>
              <w:t>0.51308462</w:t>
            </w:r>
          </w:p>
        </w:tc>
      </w:tr>
      <w:tr w14:paraId="18CC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09E2AC9F">
            <w:pPr>
              <w:spacing w:line="240" w:lineRule="auto"/>
              <w:ind w:firstLine="0" w:firstLineChars="0"/>
              <w:jc w:val="center"/>
              <w:rPr>
                <w:sz w:val="21"/>
                <w:szCs w:val="21"/>
              </w:rPr>
            </w:pPr>
            <w:r>
              <w:rPr>
                <w:rFonts w:hint="eastAsia"/>
                <w:sz w:val="21"/>
                <w:szCs w:val="21"/>
              </w:rPr>
              <w:t>1</w:t>
            </w:r>
            <w:r>
              <w:rPr>
                <w:sz w:val="21"/>
                <w:szCs w:val="21"/>
              </w:rPr>
              <w:t>0</w:t>
            </w:r>
          </w:p>
        </w:tc>
        <w:tc>
          <w:tcPr>
            <w:tcW w:w="1457" w:type="dxa"/>
          </w:tcPr>
          <w:p w14:paraId="7A1CAC70">
            <w:pPr>
              <w:spacing w:line="240" w:lineRule="auto"/>
              <w:ind w:firstLine="0" w:firstLineChars="0"/>
              <w:jc w:val="center"/>
              <w:rPr>
                <w:sz w:val="21"/>
                <w:szCs w:val="21"/>
              </w:rPr>
            </w:pPr>
            <w:r>
              <w:rPr>
                <w:sz w:val="21"/>
                <w:szCs w:val="21"/>
              </w:rPr>
              <w:t>0.31465798</w:t>
            </w:r>
          </w:p>
        </w:tc>
        <w:tc>
          <w:tcPr>
            <w:tcW w:w="2350" w:type="dxa"/>
          </w:tcPr>
          <w:p w14:paraId="500404A1">
            <w:pPr>
              <w:spacing w:line="240" w:lineRule="auto"/>
              <w:ind w:firstLine="0" w:firstLineChars="0"/>
              <w:jc w:val="center"/>
              <w:rPr>
                <w:sz w:val="21"/>
                <w:szCs w:val="21"/>
              </w:rPr>
            </w:pPr>
            <w:r>
              <w:rPr>
                <w:sz w:val="21"/>
                <w:szCs w:val="21"/>
              </w:rPr>
              <w:t>0.689670928</w:t>
            </w:r>
          </w:p>
        </w:tc>
        <w:tc>
          <w:tcPr>
            <w:tcW w:w="2194" w:type="dxa"/>
          </w:tcPr>
          <w:p w14:paraId="610BD9F3">
            <w:pPr>
              <w:spacing w:line="240" w:lineRule="auto"/>
              <w:ind w:firstLine="0" w:firstLineChars="0"/>
              <w:jc w:val="center"/>
              <w:rPr>
                <w:sz w:val="21"/>
                <w:szCs w:val="21"/>
              </w:rPr>
            </w:pPr>
            <w:r>
              <w:rPr>
                <w:sz w:val="21"/>
                <w:szCs w:val="21"/>
              </w:rPr>
              <w:t>0.994984828</w:t>
            </w:r>
          </w:p>
        </w:tc>
        <w:tc>
          <w:tcPr>
            <w:tcW w:w="1963" w:type="dxa"/>
          </w:tcPr>
          <w:p w14:paraId="3498BE87">
            <w:pPr>
              <w:spacing w:line="240" w:lineRule="auto"/>
              <w:ind w:firstLine="0" w:firstLineChars="0"/>
              <w:jc w:val="center"/>
              <w:rPr>
                <w:sz w:val="21"/>
                <w:szCs w:val="21"/>
              </w:rPr>
            </w:pPr>
            <w:r>
              <w:rPr>
                <w:sz w:val="21"/>
                <w:szCs w:val="21"/>
              </w:rPr>
              <w:t>0.502380253</w:t>
            </w:r>
          </w:p>
        </w:tc>
      </w:tr>
      <w:tr w14:paraId="66B2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560DD66F">
            <w:pPr>
              <w:spacing w:line="240" w:lineRule="auto"/>
              <w:ind w:firstLine="0" w:firstLineChars="0"/>
              <w:jc w:val="center"/>
              <w:rPr>
                <w:sz w:val="21"/>
                <w:szCs w:val="21"/>
              </w:rPr>
            </w:pPr>
            <w:r>
              <w:rPr>
                <w:rFonts w:hint="eastAsia"/>
                <w:sz w:val="21"/>
                <w:szCs w:val="21"/>
              </w:rPr>
              <w:t>1</w:t>
            </w:r>
            <w:r>
              <w:rPr>
                <w:sz w:val="21"/>
                <w:szCs w:val="21"/>
              </w:rPr>
              <w:t>1</w:t>
            </w:r>
          </w:p>
        </w:tc>
        <w:tc>
          <w:tcPr>
            <w:tcW w:w="1457" w:type="dxa"/>
          </w:tcPr>
          <w:p w14:paraId="462BC379">
            <w:pPr>
              <w:spacing w:line="240" w:lineRule="auto"/>
              <w:ind w:firstLine="0" w:firstLineChars="0"/>
              <w:jc w:val="center"/>
              <w:rPr>
                <w:sz w:val="21"/>
                <w:szCs w:val="21"/>
              </w:rPr>
            </w:pPr>
            <w:r>
              <w:rPr>
                <w:sz w:val="21"/>
                <w:szCs w:val="21"/>
              </w:rPr>
              <w:t>0.417032391</w:t>
            </w:r>
          </w:p>
        </w:tc>
        <w:tc>
          <w:tcPr>
            <w:tcW w:w="2350" w:type="dxa"/>
          </w:tcPr>
          <w:p w14:paraId="22E4370F">
            <w:pPr>
              <w:spacing w:line="240" w:lineRule="auto"/>
              <w:ind w:firstLine="0" w:firstLineChars="0"/>
              <w:jc w:val="center"/>
              <w:rPr>
                <w:sz w:val="21"/>
                <w:szCs w:val="21"/>
              </w:rPr>
            </w:pPr>
            <w:r>
              <w:rPr>
                <w:sz w:val="21"/>
                <w:szCs w:val="21"/>
              </w:rPr>
              <w:t>0.585952618</w:t>
            </w:r>
          </w:p>
        </w:tc>
        <w:tc>
          <w:tcPr>
            <w:tcW w:w="2194" w:type="dxa"/>
          </w:tcPr>
          <w:p w14:paraId="467D2F9C">
            <w:pPr>
              <w:spacing w:line="240" w:lineRule="auto"/>
              <w:ind w:firstLine="0" w:firstLineChars="0"/>
              <w:jc w:val="center"/>
              <w:rPr>
                <w:sz w:val="21"/>
                <w:szCs w:val="21"/>
              </w:rPr>
            </w:pPr>
            <w:r>
              <w:rPr>
                <w:sz w:val="21"/>
                <w:szCs w:val="21"/>
              </w:rPr>
              <w:t>0.845350937</w:t>
            </w:r>
          </w:p>
        </w:tc>
        <w:tc>
          <w:tcPr>
            <w:tcW w:w="1963" w:type="dxa"/>
          </w:tcPr>
          <w:p w14:paraId="59813A7D">
            <w:pPr>
              <w:spacing w:line="240" w:lineRule="auto"/>
              <w:ind w:firstLine="0" w:firstLineChars="0"/>
              <w:jc w:val="center"/>
              <w:rPr>
                <w:sz w:val="21"/>
                <w:szCs w:val="21"/>
              </w:rPr>
            </w:pPr>
            <w:r>
              <w:rPr>
                <w:sz w:val="21"/>
                <w:szCs w:val="21"/>
              </w:rPr>
              <w:t>0.666023875</w:t>
            </w:r>
          </w:p>
        </w:tc>
      </w:tr>
      <w:tr w14:paraId="5E51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3140F413">
            <w:pPr>
              <w:spacing w:line="240" w:lineRule="auto"/>
              <w:ind w:firstLine="0" w:firstLineChars="0"/>
              <w:jc w:val="center"/>
              <w:rPr>
                <w:sz w:val="21"/>
                <w:szCs w:val="21"/>
              </w:rPr>
            </w:pPr>
            <w:r>
              <w:rPr>
                <w:rFonts w:hint="eastAsia"/>
                <w:sz w:val="21"/>
                <w:szCs w:val="21"/>
              </w:rPr>
              <w:t>1</w:t>
            </w:r>
            <w:r>
              <w:rPr>
                <w:sz w:val="21"/>
                <w:szCs w:val="21"/>
              </w:rPr>
              <w:t>2</w:t>
            </w:r>
          </w:p>
        </w:tc>
        <w:tc>
          <w:tcPr>
            <w:tcW w:w="1457" w:type="dxa"/>
          </w:tcPr>
          <w:p w14:paraId="5E38BA92">
            <w:pPr>
              <w:spacing w:line="240" w:lineRule="auto"/>
              <w:ind w:firstLine="0" w:firstLineChars="0"/>
              <w:jc w:val="center"/>
              <w:rPr>
                <w:sz w:val="21"/>
                <w:szCs w:val="21"/>
              </w:rPr>
            </w:pPr>
            <w:r>
              <w:rPr>
                <w:sz w:val="21"/>
                <w:szCs w:val="21"/>
              </w:rPr>
              <w:t>0.389871245</w:t>
            </w:r>
          </w:p>
        </w:tc>
        <w:tc>
          <w:tcPr>
            <w:tcW w:w="2350" w:type="dxa"/>
          </w:tcPr>
          <w:p w14:paraId="4FFFE300">
            <w:pPr>
              <w:spacing w:line="240" w:lineRule="auto"/>
              <w:ind w:firstLine="0" w:firstLineChars="0"/>
              <w:jc w:val="center"/>
              <w:rPr>
                <w:sz w:val="21"/>
                <w:szCs w:val="21"/>
              </w:rPr>
            </w:pPr>
            <w:r>
              <w:rPr>
                <w:sz w:val="21"/>
                <w:szCs w:val="21"/>
              </w:rPr>
              <w:t>0.690185676</w:t>
            </w:r>
          </w:p>
        </w:tc>
        <w:tc>
          <w:tcPr>
            <w:tcW w:w="2194" w:type="dxa"/>
          </w:tcPr>
          <w:p w14:paraId="31A98A40">
            <w:pPr>
              <w:spacing w:line="240" w:lineRule="auto"/>
              <w:ind w:firstLine="0" w:firstLineChars="0"/>
              <w:jc w:val="center"/>
              <w:rPr>
                <w:sz w:val="21"/>
                <w:szCs w:val="21"/>
              </w:rPr>
            </w:pPr>
            <w:r>
              <w:rPr>
                <w:sz w:val="21"/>
                <w:szCs w:val="21"/>
              </w:rPr>
              <w:t>0.995727452</w:t>
            </w:r>
          </w:p>
        </w:tc>
        <w:tc>
          <w:tcPr>
            <w:tcW w:w="1963" w:type="dxa"/>
          </w:tcPr>
          <w:p w14:paraId="19DB4B02">
            <w:pPr>
              <w:spacing w:line="240" w:lineRule="auto"/>
              <w:ind w:firstLine="0" w:firstLineChars="0"/>
              <w:jc w:val="center"/>
              <w:rPr>
                <w:sz w:val="21"/>
                <w:szCs w:val="21"/>
              </w:rPr>
            </w:pPr>
            <w:r>
              <w:rPr>
                <w:sz w:val="21"/>
                <w:szCs w:val="21"/>
              </w:rPr>
              <w:t>0.500006416</w:t>
            </w:r>
          </w:p>
        </w:tc>
      </w:tr>
      <w:tr w14:paraId="474E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62409721">
            <w:pPr>
              <w:spacing w:line="240" w:lineRule="auto"/>
              <w:ind w:firstLine="0" w:firstLineChars="0"/>
              <w:jc w:val="center"/>
              <w:rPr>
                <w:sz w:val="21"/>
                <w:szCs w:val="21"/>
              </w:rPr>
            </w:pPr>
            <w:r>
              <w:rPr>
                <w:rFonts w:hint="eastAsia"/>
                <w:sz w:val="21"/>
                <w:szCs w:val="21"/>
              </w:rPr>
              <w:t>1</w:t>
            </w:r>
            <w:r>
              <w:rPr>
                <w:sz w:val="21"/>
                <w:szCs w:val="21"/>
              </w:rPr>
              <w:t>3</w:t>
            </w:r>
          </w:p>
        </w:tc>
        <w:tc>
          <w:tcPr>
            <w:tcW w:w="1457" w:type="dxa"/>
          </w:tcPr>
          <w:p w14:paraId="3390CBB0">
            <w:pPr>
              <w:spacing w:line="240" w:lineRule="auto"/>
              <w:ind w:firstLine="0" w:firstLineChars="0"/>
              <w:jc w:val="center"/>
              <w:rPr>
                <w:sz w:val="21"/>
                <w:szCs w:val="21"/>
              </w:rPr>
            </w:pPr>
            <w:r>
              <w:rPr>
                <w:sz w:val="21"/>
                <w:szCs w:val="21"/>
              </w:rPr>
              <w:t>0.378923182</w:t>
            </w:r>
          </w:p>
        </w:tc>
        <w:tc>
          <w:tcPr>
            <w:tcW w:w="2350" w:type="dxa"/>
          </w:tcPr>
          <w:p w14:paraId="3C51AF91">
            <w:pPr>
              <w:spacing w:line="240" w:lineRule="auto"/>
              <w:ind w:firstLine="0" w:firstLineChars="0"/>
              <w:jc w:val="center"/>
              <w:rPr>
                <w:sz w:val="21"/>
                <w:szCs w:val="21"/>
              </w:rPr>
            </w:pPr>
            <w:r>
              <w:rPr>
                <w:sz w:val="21"/>
                <w:szCs w:val="21"/>
              </w:rPr>
              <w:t>0.682908105</w:t>
            </w:r>
          </w:p>
        </w:tc>
        <w:tc>
          <w:tcPr>
            <w:tcW w:w="2194" w:type="dxa"/>
          </w:tcPr>
          <w:p w14:paraId="292F7311">
            <w:pPr>
              <w:spacing w:line="240" w:lineRule="auto"/>
              <w:ind w:firstLine="0" w:firstLineChars="0"/>
              <w:jc w:val="center"/>
              <w:rPr>
                <w:sz w:val="21"/>
                <w:szCs w:val="21"/>
              </w:rPr>
            </w:pPr>
            <w:r>
              <w:rPr>
                <w:sz w:val="21"/>
                <w:szCs w:val="21"/>
              </w:rPr>
              <w:t>0.985228136</w:t>
            </w:r>
          </w:p>
        </w:tc>
        <w:tc>
          <w:tcPr>
            <w:tcW w:w="1963" w:type="dxa"/>
          </w:tcPr>
          <w:p w14:paraId="155D6181">
            <w:pPr>
              <w:spacing w:line="240" w:lineRule="auto"/>
              <w:ind w:firstLine="0" w:firstLineChars="0"/>
              <w:jc w:val="center"/>
              <w:rPr>
                <w:sz w:val="21"/>
                <w:szCs w:val="21"/>
              </w:rPr>
            </w:pPr>
            <w:r>
              <w:rPr>
                <w:sz w:val="21"/>
                <w:szCs w:val="21"/>
              </w:rPr>
              <w:t>0.500055989</w:t>
            </w:r>
          </w:p>
        </w:tc>
      </w:tr>
      <w:tr w14:paraId="0F9A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253" w:type="dxa"/>
            <w:vAlign w:val="center"/>
          </w:tcPr>
          <w:p w14:paraId="04E30654">
            <w:pPr>
              <w:spacing w:line="240" w:lineRule="auto"/>
              <w:ind w:firstLine="0" w:firstLineChars="0"/>
              <w:jc w:val="center"/>
              <w:rPr>
                <w:sz w:val="21"/>
                <w:szCs w:val="21"/>
              </w:rPr>
            </w:pPr>
            <w:r>
              <w:rPr>
                <w:rFonts w:hint="eastAsia"/>
                <w:sz w:val="21"/>
                <w:szCs w:val="21"/>
              </w:rPr>
              <w:t>1</w:t>
            </w:r>
            <w:r>
              <w:rPr>
                <w:sz w:val="21"/>
                <w:szCs w:val="21"/>
              </w:rPr>
              <w:t>4</w:t>
            </w:r>
          </w:p>
        </w:tc>
        <w:tc>
          <w:tcPr>
            <w:tcW w:w="1457" w:type="dxa"/>
          </w:tcPr>
          <w:p w14:paraId="3C9EAA35">
            <w:pPr>
              <w:spacing w:line="240" w:lineRule="auto"/>
              <w:ind w:firstLine="0" w:firstLineChars="0"/>
              <w:jc w:val="center"/>
              <w:rPr>
                <w:sz w:val="21"/>
                <w:szCs w:val="21"/>
              </w:rPr>
            </w:pPr>
            <w:r>
              <w:rPr>
                <w:sz w:val="21"/>
                <w:szCs w:val="21"/>
              </w:rPr>
              <w:t>0.281266414</w:t>
            </w:r>
          </w:p>
        </w:tc>
        <w:tc>
          <w:tcPr>
            <w:tcW w:w="2350" w:type="dxa"/>
          </w:tcPr>
          <w:p w14:paraId="58C2B97F">
            <w:pPr>
              <w:spacing w:line="240" w:lineRule="auto"/>
              <w:ind w:firstLine="0" w:firstLineChars="0"/>
              <w:jc w:val="center"/>
              <w:rPr>
                <w:sz w:val="21"/>
                <w:szCs w:val="21"/>
              </w:rPr>
            </w:pPr>
            <w:r>
              <w:rPr>
                <w:sz w:val="21"/>
                <w:szCs w:val="21"/>
              </w:rPr>
              <w:t>0.64291244</w:t>
            </w:r>
          </w:p>
        </w:tc>
        <w:tc>
          <w:tcPr>
            <w:tcW w:w="2194" w:type="dxa"/>
          </w:tcPr>
          <w:p w14:paraId="42B04A66">
            <w:pPr>
              <w:spacing w:line="240" w:lineRule="auto"/>
              <w:ind w:firstLine="0" w:firstLineChars="0"/>
              <w:jc w:val="center"/>
              <w:rPr>
                <w:sz w:val="21"/>
                <w:szCs w:val="21"/>
              </w:rPr>
            </w:pPr>
            <w:r>
              <w:rPr>
                <w:sz w:val="21"/>
                <w:szCs w:val="21"/>
              </w:rPr>
              <w:t>0.927526588</w:t>
            </w:r>
          </w:p>
        </w:tc>
        <w:tc>
          <w:tcPr>
            <w:tcW w:w="1963" w:type="dxa"/>
          </w:tcPr>
          <w:p w14:paraId="0BF85ED8">
            <w:pPr>
              <w:spacing w:line="240" w:lineRule="auto"/>
              <w:ind w:firstLine="0" w:firstLineChars="0"/>
              <w:jc w:val="center"/>
              <w:rPr>
                <w:sz w:val="21"/>
                <w:szCs w:val="21"/>
              </w:rPr>
            </w:pPr>
            <w:r>
              <w:rPr>
                <w:sz w:val="21"/>
                <w:szCs w:val="21"/>
              </w:rPr>
              <w:t>0.521974688</w:t>
            </w:r>
          </w:p>
        </w:tc>
      </w:tr>
      <w:tr w14:paraId="2FD3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253" w:type="dxa"/>
            <w:vAlign w:val="center"/>
          </w:tcPr>
          <w:p w14:paraId="16EAC9B3">
            <w:pPr>
              <w:spacing w:line="240" w:lineRule="auto"/>
              <w:ind w:firstLine="0" w:firstLineChars="0"/>
              <w:jc w:val="center"/>
              <w:rPr>
                <w:sz w:val="21"/>
                <w:szCs w:val="21"/>
              </w:rPr>
            </w:pPr>
            <w:r>
              <w:rPr>
                <w:rFonts w:hint="eastAsia"/>
                <w:sz w:val="21"/>
                <w:szCs w:val="21"/>
              </w:rPr>
              <w:t>1</w:t>
            </w:r>
            <w:r>
              <w:rPr>
                <w:sz w:val="21"/>
                <w:szCs w:val="21"/>
              </w:rPr>
              <w:t>5</w:t>
            </w:r>
          </w:p>
        </w:tc>
        <w:tc>
          <w:tcPr>
            <w:tcW w:w="1457" w:type="dxa"/>
          </w:tcPr>
          <w:p w14:paraId="4ED51B02">
            <w:pPr>
              <w:spacing w:line="240" w:lineRule="auto"/>
              <w:ind w:firstLine="0" w:firstLineChars="0"/>
              <w:jc w:val="center"/>
              <w:rPr>
                <w:sz w:val="21"/>
                <w:szCs w:val="21"/>
              </w:rPr>
            </w:pPr>
            <w:r>
              <w:rPr>
                <w:sz w:val="21"/>
                <w:szCs w:val="21"/>
              </w:rPr>
              <w:t>0.283578492</w:t>
            </w:r>
          </w:p>
        </w:tc>
        <w:tc>
          <w:tcPr>
            <w:tcW w:w="2350" w:type="dxa"/>
          </w:tcPr>
          <w:p w14:paraId="3588D3F4">
            <w:pPr>
              <w:spacing w:line="240" w:lineRule="auto"/>
              <w:ind w:firstLine="0" w:firstLineChars="0"/>
              <w:jc w:val="center"/>
              <w:rPr>
                <w:sz w:val="21"/>
                <w:szCs w:val="21"/>
              </w:rPr>
            </w:pPr>
            <w:r>
              <w:rPr>
                <w:sz w:val="21"/>
                <w:szCs w:val="21"/>
              </w:rPr>
              <w:t>0.677494404</w:t>
            </w:r>
          </w:p>
        </w:tc>
        <w:tc>
          <w:tcPr>
            <w:tcW w:w="2194" w:type="dxa"/>
          </w:tcPr>
          <w:p w14:paraId="7999A84E">
            <w:pPr>
              <w:spacing w:line="240" w:lineRule="auto"/>
              <w:ind w:firstLine="0" w:firstLineChars="0"/>
              <w:jc w:val="center"/>
              <w:rPr>
                <w:sz w:val="21"/>
                <w:szCs w:val="21"/>
              </w:rPr>
            </w:pPr>
            <w:r>
              <w:rPr>
                <w:sz w:val="21"/>
                <w:szCs w:val="21"/>
              </w:rPr>
              <w:t>0.977417818</w:t>
            </w:r>
          </w:p>
        </w:tc>
        <w:tc>
          <w:tcPr>
            <w:tcW w:w="1963" w:type="dxa"/>
          </w:tcPr>
          <w:p w14:paraId="682C293B">
            <w:pPr>
              <w:spacing w:line="240" w:lineRule="auto"/>
              <w:ind w:firstLine="0" w:firstLineChars="0"/>
              <w:jc w:val="center"/>
              <w:rPr>
                <w:sz w:val="21"/>
                <w:szCs w:val="21"/>
              </w:rPr>
            </w:pPr>
            <w:r>
              <w:rPr>
                <w:sz w:val="21"/>
                <w:szCs w:val="21"/>
              </w:rPr>
              <w:t>0.517574094</w:t>
            </w:r>
          </w:p>
        </w:tc>
      </w:tr>
    </w:tbl>
    <w:p w14:paraId="47ADFEBC">
      <w:pPr>
        <w:ind w:firstLine="480"/>
      </w:pPr>
      <w:r>
        <w:rPr>
          <w:rFonts w:hint="eastAsia"/>
        </w:rPr>
        <w:t>由上表可知，项目区域物种单一，物种多样性低下，抗干扰能力较差。</w:t>
      </w:r>
    </w:p>
    <w:p w14:paraId="416E7D91">
      <w:pPr>
        <w:pStyle w:val="11"/>
      </w:pPr>
      <w:bookmarkStart w:id="350" w:name="_Toc166572314"/>
      <w:r>
        <w:rPr>
          <w:rFonts w:hint="eastAsia"/>
        </w:rPr>
        <w:t>4.6.12</w:t>
      </w:r>
      <w:r>
        <w:t>生态现状综合评价</w:t>
      </w:r>
      <w:bookmarkEnd w:id="350"/>
    </w:p>
    <w:p w14:paraId="73D2B179">
      <w:pPr>
        <w:ind w:firstLine="480"/>
      </w:pPr>
      <w:r>
        <w:t>本项目位于</w:t>
      </w:r>
      <w:r>
        <w:rPr>
          <w:rFonts w:hint="eastAsia"/>
        </w:rPr>
        <w:t>“</w:t>
      </w:r>
      <w:r>
        <w:t>Ⅳ 内蒙古高原荒漠草原生态区</w:t>
      </w:r>
      <w:r>
        <w:rPr>
          <w:rFonts w:hint="eastAsia"/>
        </w:rPr>
        <w:t>”</w:t>
      </w:r>
      <w:r>
        <w:t>中的</w:t>
      </w:r>
      <w:r>
        <w:rPr>
          <w:rFonts w:hint="eastAsia"/>
        </w:rPr>
        <w:t>“</w:t>
      </w:r>
      <w:r>
        <w:t>Ⅳ-3-3西鄂尔多斯四合木、半日花生物多样性生态功能区</w:t>
      </w:r>
      <w:r>
        <w:rPr>
          <w:rFonts w:hint="eastAsia"/>
        </w:rPr>
        <w:t>”</w:t>
      </w:r>
      <w:r>
        <w:t>。项目区域气候</w:t>
      </w:r>
      <w:r>
        <w:rPr>
          <w:rFonts w:hint="eastAsia"/>
        </w:rPr>
        <w:t>属于</w:t>
      </w:r>
      <w:r>
        <w:t>温带温暖型干旱、半干旱大陆性气候区</w:t>
      </w:r>
      <w:r>
        <w:rPr>
          <w:rFonts w:hint="eastAsia"/>
        </w:rPr>
        <w:t>，气候干旱少雨，风大沙多，春迟秋旱，多长夏短，日照充足。</w:t>
      </w:r>
      <w:r>
        <w:t>植物区域为内蒙古植物区系划分图中阿拉善荒漠植物省-东阿拉善州。在内蒙古植被地带划分图中属于欧亚草原植物区-暖温型草原带-荒漠草原亚带</w:t>
      </w:r>
      <w:r>
        <w:rPr>
          <w:rFonts w:hint="eastAsia"/>
        </w:rPr>
        <w:t>，</w:t>
      </w:r>
      <w:r>
        <w:t>总属于泛北植物区域，东部与欧亚草原植物区为邻，西与阿拉善荒漠区相接。</w:t>
      </w:r>
    </w:p>
    <w:p w14:paraId="6138740C">
      <w:pPr>
        <w:ind w:firstLine="480"/>
      </w:pPr>
      <w:r>
        <w:t>根据实地调查和遥感卫星影像，评价区内主要的</w:t>
      </w:r>
      <w:r>
        <w:rPr>
          <w:rFonts w:hint="eastAsia"/>
        </w:rPr>
        <w:t>植物生活型</w:t>
      </w:r>
      <w:r>
        <w:t>为灌木，群落类型为</w:t>
      </w:r>
      <w:r>
        <w:rPr>
          <w:rFonts w:hint="eastAsia"/>
        </w:rPr>
        <w:t>四合木+红砂、四合木+绵刺、绵刺</w:t>
      </w:r>
      <w:r>
        <w:t>+</w:t>
      </w:r>
      <w:r>
        <w:rPr>
          <w:rFonts w:hint="eastAsia"/>
        </w:rPr>
        <w:t>霸王和绵刺+沙冬青等，项目区内主要的植物类型为灌木，群落类型主要为绵刺+霸王和绵刺+沙冬青群落</w:t>
      </w:r>
      <w:r>
        <w:t>。由于受地理、气象因素的影响，鄂托克旗属荒漠化草原向草原化荒漠过渡地带，生态脆弱，植被类型简单</w:t>
      </w:r>
      <w:r>
        <w:rPr>
          <w:rFonts w:hint="eastAsia"/>
        </w:rPr>
        <w:t>，分布的灌木高度均在10-</w:t>
      </w:r>
      <w:r>
        <w:t xml:space="preserve">60 </w:t>
      </w:r>
      <w:r>
        <w:rPr>
          <w:rFonts w:hint="eastAsia"/>
        </w:rPr>
        <w:t>cm。属于荒漠低矮型灌木</w:t>
      </w:r>
      <w:r>
        <w:t>。</w:t>
      </w:r>
    </w:p>
    <w:p w14:paraId="3741064A">
      <w:pPr>
        <w:pStyle w:val="2"/>
      </w:pPr>
      <w:r>
        <w:rPr>
          <w:rFonts w:hint="eastAsia"/>
        </w:rPr>
        <w:t>评价区内主要的生态类型为灌丛生态系统类型，景观类型中灌木林地所占比例为86.13%，其次是干河床，占比为13%；土地利用类型简单，主要为灌木林地和干河床，占比分别为86.13%和13%；植被类型中，四合木+红砂群落占比最多，其次是四合木+绵刺，占比分别为52.96%和22.49%，项目区绵刺+霸王群落占比最多，其次为绵刺+沙冬青，分别占比为72.91%和21.04%。</w:t>
      </w:r>
    </w:p>
    <w:p w14:paraId="1E525F97">
      <w:pPr>
        <w:ind w:firstLine="480"/>
      </w:pPr>
      <w:r>
        <w:rPr>
          <w:rFonts w:hint="eastAsia"/>
        </w:rPr>
        <w:t>在项目评价范围内未发现存活或存活可鉴别的草本植物，经过调查发现</w:t>
      </w:r>
      <w:r>
        <w:rPr>
          <w:rFonts w:hint="eastAsia"/>
          <w:kern w:val="0"/>
        </w:rPr>
        <w:t>评价区</w:t>
      </w:r>
      <w:r>
        <w:rPr>
          <w:kern w:val="0"/>
        </w:rPr>
        <w:t>内</w:t>
      </w:r>
      <w:r>
        <w:rPr>
          <w:rFonts w:hint="eastAsia"/>
          <w:kern w:val="0"/>
        </w:rPr>
        <w:t>共有国家重点保护野生植物3</w:t>
      </w:r>
      <w:r>
        <w:rPr>
          <w:kern w:val="0"/>
        </w:rPr>
        <w:t>种，</w:t>
      </w:r>
      <w:r>
        <w:rPr>
          <w:rFonts w:hint="eastAsia"/>
          <w:kern w:val="0"/>
        </w:rPr>
        <w:t>分别是四合木（国家二级重点保护野生植物）、沙冬青</w:t>
      </w:r>
      <w:r>
        <w:rPr>
          <w:rFonts w:hint="eastAsia"/>
        </w:rPr>
        <w:t>（</w:t>
      </w:r>
      <w:r>
        <w:rPr>
          <w:rFonts w:hint="eastAsia"/>
          <w:kern w:val="0"/>
        </w:rPr>
        <w:t>国家二级重点保护野生植物</w:t>
      </w:r>
      <w:r>
        <w:rPr>
          <w:rFonts w:hint="eastAsia"/>
        </w:rPr>
        <w:t>）</w:t>
      </w:r>
      <w:r>
        <w:rPr>
          <w:rFonts w:hint="eastAsia"/>
          <w:kern w:val="0"/>
        </w:rPr>
        <w:t>和</w:t>
      </w:r>
      <w:r>
        <w:rPr>
          <w:rFonts w:hint="eastAsia"/>
        </w:rPr>
        <w:t>绵刺（</w:t>
      </w:r>
      <w:r>
        <w:rPr>
          <w:rFonts w:hint="eastAsia"/>
          <w:kern w:val="0"/>
        </w:rPr>
        <w:t>国家二级重点保护野生植物</w:t>
      </w:r>
      <w:r>
        <w:rPr>
          <w:rFonts w:hint="eastAsia"/>
        </w:rPr>
        <w:t>）</w:t>
      </w:r>
      <w:r>
        <w:rPr>
          <w:rFonts w:hint="eastAsia"/>
          <w:lang w:val="pt-BR"/>
        </w:rPr>
        <w:t>，</w:t>
      </w:r>
      <w:r>
        <w:rPr>
          <w:rFonts w:hint="eastAsia"/>
        </w:rPr>
        <w:t>未发现古树名木分布。</w:t>
      </w:r>
    </w:p>
    <w:p w14:paraId="0492E75B">
      <w:pPr>
        <w:ind w:firstLine="480"/>
      </w:pPr>
      <w:r>
        <w:rPr>
          <w:rFonts w:hint="eastAsia"/>
        </w:rPr>
        <w:t>项目永久占地面积为28.02</w:t>
      </w:r>
      <w:r>
        <w:t>hm</w:t>
      </w:r>
      <w:r>
        <w:rPr>
          <w:rFonts w:hint="eastAsia"/>
        </w:rPr>
        <w:t>²，占地面积内的保护植物全部异地移栽，本项目的建设不会对保护植物造成影响。</w:t>
      </w:r>
    </w:p>
    <w:p w14:paraId="3182D5D7">
      <w:pPr>
        <w:pStyle w:val="11"/>
      </w:pPr>
      <w:bookmarkStart w:id="351" w:name="_Toc166572315"/>
      <w:r>
        <w:rPr>
          <w:rFonts w:hint="eastAsia"/>
        </w:rPr>
        <w:t>4.6.13生态保护措施</w:t>
      </w:r>
      <w:bookmarkEnd w:id="351"/>
      <w:r>
        <w:tab/>
      </w:r>
    </w:p>
    <w:p w14:paraId="35E2059C">
      <w:pPr>
        <w:widowControl w:val="0"/>
        <w:wordWrap w:val="0"/>
        <w:topLinePunct/>
        <w:adjustRightInd w:val="0"/>
        <w:snapToGrid w:val="0"/>
        <w:ind w:firstLine="480" w:firstLineChars="0"/>
      </w:pPr>
      <w:r>
        <w:rPr>
          <w:rFonts w:hint="eastAsia"/>
        </w:rPr>
        <w:t>控制施工面积项目永久占地面积为28.02</w:t>
      </w:r>
      <w:r>
        <w:t>hm</w:t>
      </w:r>
      <w:r>
        <w:rPr>
          <w:rFonts w:hint="eastAsia"/>
        </w:rPr>
        <w:t>²。在施工过程中采用机械施工与人工施工相结合的方式，减少对施工范围内植被的破坏，同时也有利于施工期结束后植被的恢复。施工人员、施工车辆以及各种设备应按规定的路线行驶、操作，不得随意更改便道，破坏保护区植被。</w:t>
      </w:r>
    </w:p>
    <w:p w14:paraId="6D922E61">
      <w:pPr>
        <w:ind w:firstLine="480"/>
      </w:pPr>
      <w:r>
        <w:rPr>
          <w:rFonts w:hint="eastAsia"/>
        </w:rPr>
        <w:t xml:space="preserve">项目不设临时施工便道和表土临时堆场，施工现场之间车辆运输和表土临时堆存全部在蛋鸡项目场地四周的施工区域内进行。如不可避免需在施工区域以外地段设置，在不增加工程总体投资的前提下，尽可能考虑利用附近现有堆放场地、现有道路等。合理安排施工进度，避免在大风天和雨季施工；提高工程施工效率，缩短施工时间，表土在每个工段完成后尽快回填，减少水土流失。施工场地使用完毕时，及时平整项目区外占用的场地，利用剥离地表土回填后，依据“适地适树”的原则进行植被恢复并应该定期检查恢复效果，可选择 </w:t>
      </w:r>
      <w:r>
        <w:t xml:space="preserve">1 </w:t>
      </w:r>
      <w:r>
        <w:rPr>
          <w:rFonts w:hint="eastAsia"/>
        </w:rPr>
        <w:t>个月、</w:t>
      </w:r>
      <w:r>
        <w:t xml:space="preserve">3 </w:t>
      </w:r>
      <w:r>
        <w:rPr>
          <w:rFonts w:hint="eastAsia"/>
        </w:rPr>
        <w:t>个月、半年、</w:t>
      </w:r>
      <w:r>
        <w:t xml:space="preserve">1 </w:t>
      </w:r>
      <w:r>
        <w:rPr>
          <w:rFonts w:hint="eastAsia"/>
        </w:rPr>
        <w:t>年为宜，若发现恢复效果不理想，应及时进行补栽，严禁任其发展</w:t>
      </w:r>
      <w:r>
        <w:rPr>
          <w:rFonts w:hint="eastAsia" w:ascii="宋体" w:hAnsi="宋体" w:cs="宋体"/>
          <w:kern w:val="0"/>
          <w:szCs w:val="24"/>
          <w:lang w:bidi="ar"/>
        </w:rPr>
        <w:t>。</w:t>
      </w:r>
    </w:p>
    <w:p w14:paraId="7E14F3D0">
      <w:pPr>
        <w:pStyle w:val="789"/>
        <w:ind w:firstLine="480"/>
        <w:rPr>
          <w:rFonts w:cs="Times New Roman"/>
        </w:rPr>
        <w:sectPr>
          <w:pgSz w:w="11907" w:h="16840"/>
          <w:pgMar w:top="1418" w:right="1418" w:bottom="1418" w:left="1418" w:header="964" w:footer="964" w:gutter="0"/>
          <w:cols w:space="720" w:num="1"/>
          <w:docGrid w:linePitch="312" w:charSpace="0"/>
        </w:sectPr>
      </w:pPr>
      <w:r>
        <w:rPr>
          <w:rFonts w:cs="Times New Roman"/>
        </w:rPr>
        <w:tab/>
      </w:r>
    </w:p>
    <w:p w14:paraId="69DEC14C">
      <w:pPr>
        <w:pStyle w:val="103"/>
      </w:pPr>
      <w:bookmarkStart w:id="352" w:name="_Toc166572316"/>
      <w:bookmarkStart w:id="353" w:name="_Toc36234656"/>
      <w:r>
        <w:t>5环境影响预测与评价</w:t>
      </w:r>
      <w:bookmarkEnd w:id="352"/>
      <w:bookmarkEnd w:id="353"/>
    </w:p>
    <w:p w14:paraId="0BE5A736">
      <w:pPr>
        <w:pStyle w:val="10"/>
      </w:pPr>
      <w:bookmarkStart w:id="354" w:name="_Toc189388948"/>
      <w:bookmarkStart w:id="355" w:name="_Toc472068623"/>
      <w:bookmarkStart w:id="356" w:name="_Toc296234077"/>
      <w:bookmarkStart w:id="357" w:name="_Toc404672497"/>
      <w:bookmarkStart w:id="358" w:name="_Toc479341168"/>
      <w:bookmarkStart w:id="359" w:name="_Toc36234657"/>
      <w:bookmarkStart w:id="360" w:name="_Toc166572317"/>
      <w:r>
        <w:t>5.1</w:t>
      </w:r>
      <w:bookmarkEnd w:id="354"/>
      <w:bookmarkEnd w:id="355"/>
      <w:bookmarkEnd w:id="356"/>
      <w:bookmarkEnd w:id="357"/>
      <w:r>
        <w:t>施工期环境影响预测与分析</w:t>
      </w:r>
      <w:bookmarkEnd w:id="358"/>
      <w:bookmarkEnd w:id="359"/>
      <w:bookmarkEnd w:id="360"/>
    </w:p>
    <w:p w14:paraId="373A037A">
      <w:pPr>
        <w:pStyle w:val="11"/>
        <w:snapToGrid w:val="0"/>
        <w:rPr>
          <w:bCs w:val="0"/>
          <w:szCs w:val="28"/>
        </w:rPr>
      </w:pPr>
      <w:bookmarkStart w:id="361" w:name="_Toc166572318"/>
      <w:bookmarkStart w:id="362" w:name="_Toc479754862"/>
      <w:r>
        <w:rPr>
          <w:szCs w:val="28"/>
        </w:rPr>
        <w:t>5.1.1施工期大气环境影响分析</w:t>
      </w:r>
      <w:bookmarkEnd w:id="361"/>
      <w:bookmarkEnd w:id="362"/>
    </w:p>
    <w:p w14:paraId="61EBBF7F">
      <w:pPr>
        <w:pStyle w:val="774"/>
        <w:ind w:firstLine="480"/>
        <w:rPr>
          <w:rFonts w:ascii="Times New Roman" w:hAnsi="Times New Roman" w:cs="Times New Roman"/>
          <w:color w:val="auto"/>
        </w:rPr>
      </w:pPr>
      <w:r>
        <w:rPr>
          <w:rFonts w:ascii="Times New Roman" w:hAnsi="Times New Roman" w:cs="Times New Roman"/>
          <w:color w:val="auto"/>
        </w:rPr>
        <w:t>本项目施工期不设混凝土拌合站，混凝土外购。施工期大气污染物主要是施工过程中产生的扬尘和运输车辆产生的汽车尾气</w:t>
      </w:r>
      <w:r>
        <w:rPr>
          <w:rFonts w:ascii="Times New Roman" w:hAnsi="Times New Roman" w:cs="Times New Roman"/>
          <w:bCs/>
          <w:color w:val="auto"/>
        </w:rPr>
        <w:t>。</w:t>
      </w:r>
    </w:p>
    <w:p w14:paraId="1D5D0E77">
      <w:pPr>
        <w:pStyle w:val="774"/>
        <w:ind w:firstLine="480"/>
        <w:rPr>
          <w:rFonts w:ascii="Times New Roman" w:hAnsi="Times New Roman" w:cs="Times New Roman"/>
          <w:color w:val="auto"/>
        </w:rPr>
      </w:pPr>
      <w:r>
        <w:rPr>
          <w:rFonts w:ascii="Times New Roman" w:hAnsi="Times New Roman" w:cs="Times New Roman"/>
          <w:bCs/>
          <w:color w:val="auto"/>
        </w:rPr>
        <w:t>（1）扬尘影响分析</w:t>
      </w:r>
    </w:p>
    <w:p w14:paraId="23EE698B">
      <w:pPr>
        <w:pStyle w:val="774"/>
        <w:ind w:firstLine="480"/>
        <w:rPr>
          <w:rFonts w:ascii="Times New Roman" w:hAnsi="Times New Roman" w:cs="Times New Roman"/>
          <w:color w:val="auto"/>
        </w:rPr>
      </w:pPr>
      <w:r>
        <w:rPr>
          <w:rFonts w:ascii="Times New Roman" w:hAnsi="Times New Roman" w:cs="Times New Roman"/>
          <w:color w:val="auto"/>
        </w:rPr>
        <w:t>在施工过程中，土石方开挖回填、建筑材料的汽车装卸和堆放等都会产生扬尘，对环境空气质量造成影响。在天气干燥的季节，渣土堆放过程易产生风蚀扬尘，装车是易造成尘土飞扬，运输车辆的夹带和遗洒，在风力和车轮的共同作用下，用易产生扬尘。本项目施工扬尘范围较大，露天作业，施工期扬尘排放源较多，扬尘影响至下风向数百米，在干燥大风天气则扬尘加大。根据同类建筑施工工地扬尘影响范围进行类比，当风速为2.4m/s时，其建筑施工扬尘的影响范围情况见表5</w:t>
      </w:r>
      <w:r>
        <w:rPr>
          <w:rFonts w:hint="eastAsia" w:ascii="Times New Roman" w:hAnsi="Times New Roman" w:cs="Times New Roman"/>
          <w:color w:val="auto"/>
        </w:rPr>
        <w:t>.1</w:t>
      </w:r>
      <w:r>
        <w:rPr>
          <w:rFonts w:ascii="Times New Roman" w:hAnsi="Times New Roman" w:cs="Times New Roman"/>
          <w:color w:val="auto"/>
        </w:rPr>
        <w:t>-1。</w:t>
      </w:r>
    </w:p>
    <w:p w14:paraId="712DC5DC">
      <w:pPr>
        <w:pStyle w:val="369"/>
      </w:pPr>
      <w:r>
        <w:t>表5.1-1      工地扬尘污染影响</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749"/>
        <w:gridCol w:w="1319"/>
        <w:gridCol w:w="1429"/>
        <w:gridCol w:w="1429"/>
        <w:gridCol w:w="1429"/>
      </w:tblGrid>
      <w:tr w14:paraId="253C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473" w:type="dxa"/>
            <w:vMerge w:val="restart"/>
            <w:vAlign w:val="center"/>
          </w:tcPr>
          <w:p w14:paraId="0944C2D6">
            <w:pPr>
              <w:pStyle w:val="766"/>
              <w:rPr>
                <w:color w:val="auto"/>
              </w:rPr>
            </w:pPr>
            <w:r>
              <w:rPr>
                <w:color w:val="auto"/>
              </w:rPr>
              <w:t>污染物</w:t>
            </w:r>
          </w:p>
        </w:tc>
        <w:tc>
          <w:tcPr>
            <w:tcW w:w="7355" w:type="dxa"/>
            <w:gridSpan w:val="5"/>
            <w:vAlign w:val="center"/>
          </w:tcPr>
          <w:p w14:paraId="5E1E4EC7">
            <w:pPr>
              <w:pStyle w:val="766"/>
              <w:rPr>
                <w:color w:val="auto"/>
              </w:rPr>
            </w:pPr>
            <w:r>
              <w:rPr>
                <w:color w:val="auto"/>
              </w:rPr>
              <w:t>总悬浮颗粒物（TSP)mg/m</w:t>
            </w:r>
            <w:r>
              <w:rPr>
                <w:color w:val="auto"/>
                <w:vertAlign w:val="superscript"/>
              </w:rPr>
              <w:t>3</w:t>
            </w:r>
          </w:p>
        </w:tc>
      </w:tr>
      <w:tr w14:paraId="51F6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473" w:type="dxa"/>
            <w:vMerge w:val="continue"/>
            <w:vAlign w:val="center"/>
          </w:tcPr>
          <w:p w14:paraId="19554A79">
            <w:pPr>
              <w:pStyle w:val="766"/>
              <w:rPr>
                <w:color w:val="auto"/>
              </w:rPr>
            </w:pPr>
          </w:p>
        </w:tc>
        <w:tc>
          <w:tcPr>
            <w:tcW w:w="1749" w:type="dxa"/>
            <w:vAlign w:val="center"/>
          </w:tcPr>
          <w:p w14:paraId="4194680D">
            <w:pPr>
              <w:pStyle w:val="766"/>
              <w:rPr>
                <w:color w:val="auto"/>
              </w:rPr>
            </w:pPr>
            <w:r>
              <w:rPr>
                <w:color w:val="auto"/>
              </w:rPr>
              <w:t>上风向（m）</w:t>
            </w:r>
          </w:p>
        </w:tc>
        <w:tc>
          <w:tcPr>
            <w:tcW w:w="5606" w:type="dxa"/>
            <w:gridSpan w:val="4"/>
            <w:vAlign w:val="center"/>
          </w:tcPr>
          <w:p w14:paraId="59C505DC">
            <w:pPr>
              <w:pStyle w:val="766"/>
              <w:rPr>
                <w:color w:val="auto"/>
              </w:rPr>
            </w:pPr>
            <w:r>
              <w:rPr>
                <w:color w:val="auto"/>
              </w:rPr>
              <w:t>下风向（m)</w:t>
            </w:r>
          </w:p>
        </w:tc>
      </w:tr>
      <w:tr w14:paraId="16B9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473" w:type="dxa"/>
            <w:vMerge w:val="continue"/>
            <w:vAlign w:val="center"/>
          </w:tcPr>
          <w:p w14:paraId="66E9D9FC">
            <w:pPr>
              <w:pStyle w:val="766"/>
              <w:rPr>
                <w:color w:val="auto"/>
              </w:rPr>
            </w:pPr>
          </w:p>
        </w:tc>
        <w:tc>
          <w:tcPr>
            <w:tcW w:w="1749" w:type="dxa"/>
            <w:vAlign w:val="center"/>
          </w:tcPr>
          <w:p w14:paraId="08C12D95">
            <w:pPr>
              <w:pStyle w:val="766"/>
              <w:rPr>
                <w:color w:val="auto"/>
              </w:rPr>
            </w:pPr>
            <w:r>
              <w:rPr>
                <w:color w:val="auto"/>
              </w:rPr>
              <w:t>50</w:t>
            </w:r>
          </w:p>
        </w:tc>
        <w:tc>
          <w:tcPr>
            <w:tcW w:w="1319" w:type="dxa"/>
            <w:vAlign w:val="center"/>
          </w:tcPr>
          <w:p w14:paraId="7795BDA6">
            <w:pPr>
              <w:pStyle w:val="766"/>
              <w:rPr>
                <w:color w:val="auto"/>
              </w:rPr>
            </w:pPr>
            <w:r>
              <w:rPr>
                <w:color w:val="auto"/>
              </w:rPr>
              <w:t>50</w:t>
            </w:r>
          </w:p>
        </w:tc>
        <w:tc>
          <w:tcPr>
            <w:tcW w:w="1429" w:type="dxa"/>
            <w:vAlign w:val="center"/>
          </w:tcPr>
          <w:p w14:paraId="71085030">
            <w:pPr>
              <w:pStyle w:val="766"/>
              <w:rPr>
                <w:color w:val="auto"/>
              </w:rPr>
            </w:pPr>
            <w:r>
              <w:rPr>
                <w:color w:val="auto"/>
              </w:rPr>
              <w:t>100</w:t>
            </w:r>
          </w:p>
        </w:tc>
        <w:tc>
          <w:tcPr>
            <w:tcW w:w="1429" w:type="dxa"/>
            <w:vAlign w:val="center"/>
          </w:tcPr>
          <w:p w14:paraId="54D2DD62">
            <w:pPr>
              <w:pStyle w:val="766"/>
              <w:rPr>
                <w:color w:val="auto"/>
              </w:rPr>
            </w:pPr>
            <w:r>
              <w:rPr>
                <w:color w:val="auto"/>
              </w:rPr>
              <w:t>150</w:t>
            </w:r>
          </w:p>
        </w:tc>
        <w:tc>
          <w:tcPr>
            <w:tcW w:w="1429" w:type="dxa"/>
            <w:vAlign w:val="center"/>
          </w:tcPr>
          <w:p w14:paraId="426691AB">
            <w:pPr>
              <w:pStyle w:val="766"/>
              <w:rPr>
                <w:color w:val="auto"/>
              </w:rPr>
            </w:pPr>
            <w:r>
              <w:rPr>
                <w:color w:val="auto"/>
              </w:rPr>
              <w:t>平均值</w:t>
            </w:r>
          </w:p>
        </w:tc>
      </w:tr>
      <w:tr w14:paraId="3A7B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473" w:type="dxa"/>
            <w:vMerge w:val="continue"/>
            <w:vAlign w:val="center"/>
          </w:tcPr>
          <w:p w14:paraId="4DACD81B">
            <w:pPr>
              <w:pStyle w:val="766"/>
              <w:rPr>
                <w:color w:val="auto"/>
              </w:rPr>
            </w:pPr>
          </w:p>
        </w:tc>
        <w:tc>
          <w:tcPr>
            <w:tcW w:w="1749" w:type="dxa"/>
            <w:vAlign w:val="center"/>
          </w:tcPr>
          <w:p w14:paraId="67A2F9B9">
            <w:pPr>
              <w:pStyle w:val="766"/>
              <w:rPr>
                <w:color w:val="auto"/>
              </w:rPr>
            </w:pPr>
            <w:r>
              <w:rPr>
                <w:color w:val="auto"/>
              </w:rPr>
              <w:t>0.320</w:t>
            </w:r>
          </w:p>
        </w:tc>
        <w:tc>
          <w:tcPr>
            <w:tcW w:w="1319" w:type="dxa"/>
            <w:vAlign w:val="center"/>
          </w:tcPr>
          <w:p w14:paraId="624D28D8">
            <w:pPr>
              <w:pStyle w:val="766"/>
              <w:rPr>
                <w:color w:val="auto"/>
              </w:rPr>
            </w:pPr>
            <w:r>
              <w:rPr>
                <w:color w:val="auto"/>
              </w:rPr>
              <w:t>0.607</w:t>
            </w:r>
          </w:p>
        </w:tc>
        <w:tc>
          <w:tcPr>
            <w:tcW w:w="1429" w:type="dxa"/>
            <w:vAlign w:val="center"/>
          </w:tcPr>
          <w:p w14:paraId="2930F212">
            <w:pPr>
              <w:pStyle w:val="766"/>
              <w:rPr>
                <w:color w:val="auto"/>
              </w:rPr>
            </w:pPr>
            <w:r>
              <w:rPr>
                <w:color w:val="auto"/>
              </w:rPr>
              <w:t>0.506</w:t>
            </w:r>
          </w:p>
        </w:tc>
        <w:tc>
          <w:tcPr>
            <w:tcW w:w="1429" w:type="dxa"/>
            <w:vAlign w:val="center"/>
          </w:tcPr>
          <w:p w14:paraId="0408100F">
            <w:pPr>
              <w:pStyle w:val="766"/>
              <w:rPr>
                <w:color w:val="auto"/>
              </w:rPr>
            </w:pPr>
            <w:r>
              <w:rPr>
                <w:color w:val="auto"/>
              </w:rPr>
              <w:t>0.406</w:t>
            </w:r>
          </w:p>
        </w:tc>
        <w:tc>
          <w:tcPr>
            <w:tcW w:w="1429" w:type="dxa"/>
            <w:vAlign w:val="center"/>
          </w:tcPr>
          <w:p w14:paraId="787CC935">
            <w:pPr>
              <w:pStyle w:val="766"/>
              <w:rPr>
                <w:color w:val="auto"/>
              </w:rPr>
            </w:pPr>
            <w:r>
              <w:rPr>
                <w:color w:val="auto"/>
              </w:rPr>
              <w:t>0.506</w:t>
            </w:r>
          </w:p>
        </w:tc>
      </w:tr>
      <w:tr w14:paraId="3E11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473" w:type="dxa"/>
            <w:vMerge w:val="continue"/>
            <w:vAlign w:val="center"/>
          </w:tcPr>
          <w:p w14:paraId="05D2065F">
            <w:pPr>
              <w:pStyle w:val="766"/>
              <w:rPr>
                <w:color w:val="auto"/>
              </w:rPr>
            </w:pPr>
          </w:p>
        </w:tc>
        <w:tc>
          <w:tcPr>
            <w:tcW w:w="1749" w:type="dxa"/>
            <w:vAlign w:val="center"/>
          </w:tcPr>
          <w:p w14:paraId="35974ADC">
            <w:pPr>
              <w:pStyle w:val="766"/>
              <w:rPr>
                <w:color w:val="auto"/>
              </w:rPr>
            </w:pPr>
            <w:r>
              <w:rPr>
                <w:color w:val="auto"/>
              </w:rPr>
              <w:t>0.325</w:t>
            </w:r>
          </w:p>
        </w:tc>
        <w:tc>
          <w:tcPr>
            <w:tcW w:w="1319" w:type="dxa"/>
            <w:vAlign w:val="center"/>
          </w:tcPr>
          <w:p w14:paraId="19D9B21D">
            <w:pPr>
              <w:pStyle w:val="766"/>
              <w:rPr>
                <w:color w:val="auto"/>
              </w:rPr>
            </w:pPr>
            <w:r>
              <w:rPr>
                <w:color w:val="auto"/>
              </w:rPr>
              <w:t>0.586</w:t>
            </w:r>
          </w:p>
        </w:tc>
        <w:tc>
          <w:tcPr>
            <w:tcW w:w="1429" w:type="dxa"/>
            <w:vAlign w:val="center"/>
          </w:tcPr>
          <w:p w14:paraId="7CD6C957">
            <w:pPr>
              <w:pStyle w:val="766"/>
              <w:rPr>
                <w:color w:val="auto"/>
              </w:rPr>
            </w:pPr>
            <w:r>
              <w:rPr>
                <w:color w:val="auto"/>
              </w:rPr>
              <w:t>0.493</w:t>
            </w:r>
          </w:p>
        </w:tc>
        <w:tc>
          <w:tcPr>
            <w:tcW w:w="1429" w:type="dxa"/>
            <w:vAlign w:val="center"/>
          </w:tcPr>
          <w:p w14:paraId="2BACADD0">
            <w:pPr>
              <w:pStyle w:val="766"/>
              <w:rPr>
                <w:color w:val="auto"/>
              </w:rPr>
            </w:pPr>
            <w:r>
              <w:rPr>
                <w:color w:val="auto"/>
              </w:rPr>
              <w:t>0.413</w:t>
            </w:r>
          </w:p>
        </w:tc>
        <w:tc>
          <w:tcPr>
            <w:tcW w:w="1429" w:type="dxa"/>
            <w:vAlign w:val="center"/>
          </w:tcPr>
          <w:p w14:paraId="3A29D765">
            <w:pPr>
              <w:pStyle w:val="766"/>
              <w:rPr>
                <w:color w:val="auto"/>
              </w:rPr>
            </w:pPr>
            <w:r>
              <w:rPr>
                <w:color w:val="auto"/>
              </w:rPr>
              <w:t>0.497</w:t>
            </w:r>
          </w:p>
        </w:tc>
      </w:tr>
      <w:tr w14:paraId="0300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473" w:type="dxa"/>
            <w:vMerge w:val="continue"/>
            <w:vAlign w:val="center"/>
          </w:tcPr>
          <w:p w14:paraId="0227756C">
            <w:pPr>
              <w:pStyle w:val="766"/>
              <w:rPr>
                <w:color w:val="auto"/>
              </w:rPr>
            </w:pPr>
          </w:p>
        </w:tc>
        <w:tc>
          <w:tcPr>
            <w:tcW w:w="1749" w:type="dxa"/>
            <w:vAlign w:val="center"/>
          </w:tcPr>
          <w:p w14:paraId="640053C9">
            <w:pPr>
              <w:pStyle w:val="766"/>
              <w:rPr>
                <w:color w:val="auto"/>
              </w:rPr>
            </w:pPr>
            <w:r>
              <w:rPr>
                <w:color w:val="auto"/>
              </w:rPr>
              <w:t>0.311</w:t>
            </w:r>
          </w:p>
        </w:tc>
        <w:tc>
          <w:tcPr>
            <w:tcW w:w="1319" w:type="dxa"/>
            <w:vAlign w:val="center"/>
          </w:tcPr>
          <w:p w14:paraId="7EA7E98B">
            <w:pPr>
              <w:pStyle w:val="766"/>
              <w:rPr>
                <w:color w:val="auto"/>
              </w:rPr>
            </w:pPr>
            <w:r>
              <w:rPr>
                <w:color w:val="auto"/>
              </w:rPr>
              <w:t>0.527</w:t>
            </w:r>
          </w:p>
        </w:tc>
        <w:tc>
          <w:tcPr>
            <w:tcW w:w="1429" w:type="dxa"/>
            <w:vAlign w:val="center"/>
          </w:tcPr>
          <w:p w14:paraId="5B2B9601">
            <w:pPr>
              <w:pStyle w:val="766"/>
              <w:rPr>
                <w:color w:val="auto"/>
              </w:rPr>
            </w:pPr>
            <w:r>
              <w:rPr>
                <w:color w:val="auto"/>
              </w:rPr>
              <w:t>0.466</w:t>
            </w:r>
          </w:p>
        </w:tc>
        <w:tc>
          <w:tcPr>
            <w:tcW w:w="1429" w:type="dxa"/>
            <w:vAlign w:val="center"/>
          </w:tcPr>
          <w:p w14:paraId="15A4E8F6">
            <w:pPr>
              <w:pStyle w:val="766"/>
              <w:rPr>
                <w:color w:val="auto"/>
              </w:rPr>
            </w:pPr>
            <w:r>
              <w:rPr>
                <w:color w:val="auto"/>
              </w:rPr>
              <w:t>0.425</w:t>
            </w:r>
          </w:p>
        </w:tc>
        <w:tc>
          <w:tcPr>
            <w:tcW w:w="1429" w:type="dxa"/>
            <w:vAlign w:val="center"/>
          </w:tcPr>
          <w:p w14:paraId="44EEF1A9">
            <w:pPr>
              <w:pStyle w:val="766"/>
              <w:rPr>
                <w:color w:val="auto"/>
              </w:rPr>
            </w:pPr>
            <w:r>
              <w:rPr>
                <w:color w:val="auto"/>
              </w:rPr>
              <w:t>0.472</w:t>
            </w:r>
          </w:p>
        </w:tc>
      </w:tr>
      <w:tr w14:paraId="0173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473" w:type="dxa"/>
            <w:vAlign w:val="center"/>
          </w:tcPr>
          <w:p w14:paraId="72B1F71F">
            <w:pPr>
              <w:pStyle w:val="766"/>
              <w:rPr>
                <w:color w:val="auto"/>
              </w:rPr>
            </w:pPr>
            <w:r>
              <w:rPr>
                <w:color w:val="auto"/>
              </w:rPr>
              <w:t>均值</w:t>
            </w:r>
          </w:p>
        </w:tc>
        <w:tc>
          <w:tcPr>
            <w:tcW w:w="1749" w:type="dxa"/>
            <w:vAlign w:val="center"/>
          </w:tcPr>
          <w:p w14:paraId="54D9F1C8">
            <w:pPr>
              <w:pStyle w:val="766"/>
              <w:rPr>
                <w:color w:val="auto"/>
              </w:rPr>
            </w:pPr>
            <w:r>
              <w:rPr>
                <w:color w:val="auto"/>
              </w:rPr>
              <w:t>0.319</w:t>
            </w:r>
          </w:p>
        </w:tc>
        <w:tc>
          <w:tcPr>
            <w:tcW w:w="1319" w:type="dxa"/>
            <w:vAlign w:val="center"/>
          </w:tcPr>
          <w:p w14:paraId="377D4217">
            <w:pPr>
              <w:pStyle w:val="766"/>
              <w:rPr>
                <w:color w:val="auto"/>
              </w:rPr>
            </w:pPr>
            <w:r>
              <w:rPr>
                <w:color w:val="auto"/>
              </w:rPr>
              <w:t>0.573</w:t>
            </w:r>
          </w:p>
        </w:tc>
        <w:tc>
          <w:tcPr>
            <w:tcW w:w="1429" w:type="dxa"/>
            <w:vAlign w:val="center"/>
          </w:tcPr>
          <w:p w14:paraId="2F32CB1D">
            <w:pPr>
              <w:pStyle w:val="766"/>
              <w:rPr>
                <w:color w:val="auto"/>
              </w:rPr>
            </w:pPr>
            <w:r>
              <w:rPr>
                <w:color w:val="auto"/>
              </w:rPr>
              <w:t>0.488</w:t>
            </w:r>
          </w:p>
        </w:tc>
        <w:tc>
          <w:tcPr>
            <w:tcW w:w="1429" w:type="dxa"/>
            <w:vAlign w:val="center"/>
          </w:tcPr>
          <w:p w14:paraId="634CF3F7">
            <w:pPr>
              <w:pStyle w:val="766"/>
              <w:rPr>
                <w:color w:val="auto"/>
              </w:rPr>
            </w:pPr>
            <w:r>
              <w:rPr>
                <w:color w:val="auto"/>
              </w:rPr>
              <w:t>0.414</w:t>
            </w:r>
          </w:p>
        </w:tc>
        <w:tc>
          <w:tcPr>
            <w:tcW w:w="1429" w:type="dxa"/>
            <w:vAlign w:val="center"/>
          </w:tcPr>
          <w:p w14:paraId="1BA3BCCA">
            <w:pPr>
              <w:pStyle w:val="766"/>
              <w:rPr>
                <w:color w:val="auto"/>
              </w:rPr>
            </w:pPr>
            <w:r>
              <w:rPr>
                <w:color w:val="auto"/>
              </w:rPr>
              <w:t>0.491</w:t>
            </w:r>
          </w:p>
        </w:tc>
      </w:tr>
    </w:tbl>
    <w:p w14:paraId="4705FA2F">
      <w:pPr>
        <w:ind w:firstLine="480"/>
      </w:pPr>
      <w:r>
        <w:t>由上表可见，上风向50m内，被影响区域的TSP浓度平均值为0.321mg/m</w:t>
      </w:r>
      <w:r>
        <w:rPr>
          <w:vertAlign w:val="superscript"/>
        </w:rPr>
        <w:t>3</w:t>
      </w:r>
      <w:r>
        <w:t>，下风向150m之内，被影响区域的TSP浓度平均值为0.491mg/m</w:t>
      </w:r>
      <w:r>
        <w:rPr>
          <w:vertAlign w:val="superscript"/>
        </w:rPr>
        <w:t>3</w:t>
      </w:r>
      <w:r>
        <w:t>，本项目500m范围内无居民等环境敏感点，故施工扬尘对周围环境影响较小。</w:t>
      </w:r>
    </w:p>
    <w:p w14:paraId="195C58AC">
      <w:pPr>
        <w:ind w:firstLine="480"/>
      </w:pPr>
      <w:r>
        <w:rPr>
          <w:bCs/>
          <w:kern w:val="0"/>
        </w:rPr>
        <w:t>(2)</w:t>
      </w:r>
      <w:r>
        <w:t>运输车辆尾气的影响</w:t>
      </w:r>
    </w:p>
    <w:p w14:paraId="6301B2DE">
      <w:pPr>
        <w:ind w:firstLine="480"/>
        <w:rPr>
          <w:bCs/>
        </w:rPr>
      </w:pPr>
      <w:r>
        <w:rPr>
          <w:bCs/>
        </w:rPr>
        <w:t>施工机械、机动车辆在燃料燃烧时排放的尾气，含有CO、HC等。</w:t>
      </w:r>
    </w:p>
    <w:p w14:paraId="3E71F323">
      <w:pPr>
        <w:ind w:firstLine="480"/>
        <w:rPr>
          <w:bCs/>
        </w:rPr>
      </w:pPr>
      <w:r>
        <w:rPr>
          <w:bCs/>
        </w:rPr>
        <w:t>在施工过程中施工方应保证施工机械及车辆运行状态的良好。在机械、车辆运转状况良好的条件下，产生的上述污染物质浓度较低，不会对环境空气质量产生较明显的影响；施工期采取逐段施工，增加的车辆数量不多，尾气排放量有限，并且施工机械对环境的影响仅是暂时性的，不会对当地的环境空气质量带来长久的影响。因此，施工期汽车尾气对空气环境的影响较小。</w:t>
      </w:r>
    </w:p>
    <w:p w14:paraId="5C273EAB">
      <w:pPr>
        <w:pStyle w:val="104"/>
      </w:pPr>
    </w:p>
    <w:p w14:paraId="04EA77C3">
      <w:pPr>
        <w:pStyle w:val="104"/>
      </w:pPr>
    </w:p>
    <w:p w14:paraId="0450D77B">
      <w:pPr>
        <w:pStyle w:val="11"/>
      </w:pPr>
      <w:bookmarkStart w:id="363" w:name="_Toc166572319"/>
      <w:r>
        <w:t>5.1.2施工期水环境影响分析</w:t>
      </w:r>
      <w:bookmarkEnd w:id="363"/>
    </w:p>
    <w:p w14:paraId="22C012F0">
      <w:pPr>
        <w:pStyle w:val="774"/>
        <w:ind w:firstLine="480"/>
        <w:rPr>
          <w:rFonts w:ascii="Times New Roman" w:hAnsi="Times New Roman" w:cs="Times New Roman"/>
          <w:color w:val="auto"/>
        </w:rPr>
      </w:pPr>
      <w:r>
        <w:rPr>
          <w:rFonts w:ascii="Times New Roman" w:hAnsi="Times New Roman" w:cs="Times New Roman"/>
          <w:color w:val="auto"/>
        </w:rPr>
        <w:t>（1）施工生活污水</w:t>
      </w:r>
    </w:p>
    <w:p w14:paraId="6F975C69">
      <w:pPr>
        <w:pStyle w:val="774"/>
        <w:ind w:firstLine="480"/>
        <w:rPr>
          <w:rFonts w:ascii="Times New Roman" w:hAnsi="Times New Roman" w:cs="Times New Roman"/>
          <w:color w:val="auto"/>
        </w:rPr>
      </w:pPr>
      <w:r>
        <w:rPr>
          <w:rFonts w:ascii="Times New Roman" w:hAnsi="Times New Roman" w:cs="Times New Roman"/>
          <w:color w:val="auto"/>
        </w:rPr>
        <w:t>施工期生活污水主要来自施工人员日常的生活洗涤、清洁卫生等过程，主要污染物为COD和NH</w:t>
      </w:r>
      <w:r>
        <w:rPr>
          <w:rFonts w:ascii="Times New Roman" w:hAnsi="Times New Roman" w:cs="Times New Roman"/>
          <w:color w:val="auto"/>
          <w:vertAlign w:val="subscript"/>
        </w:rPr>
        <w:t>3</w:t>
      </w:r>
      <w:r>
        <w:rPr>
          <w:rFonts w:ascii="Times New Roman" w:hAnsi="Times New Roman" w:cs="Times New Roman"/>
          <w:color w:val="auto"/>
        </w:rPr>
        <w:t>-N等。</w:t>
      </w:r>
    </w:p>
    <w:p w14:paraId="6893D939">
      <w:pPr>
        <w:pStyle w:val="774"/>
        <w:ind w:firstLine="480"/>
        <w:rPr>
          <w:rFonts w:ascii="Times New Roman" w:hAnsi="Times New Roman" w:cs="Times New Roman"/>
          <w:color w:val="auto"/>
        </w:rPr>
      </w:pPr>
      <w:r>
        <w:rPr>
          <w:rFonts w:ascii="Times New Roman" w:hAnsi="Times New Roman" w:cs="Times New Roman"/>
          <w:color w:val="auto"/>
        </w:rPr>
        <w:t>本项目施工期的时间相对较短，施工人员为当地居民，不设置集中生活区。施工人员会产生一定量的生活污水，排入施工期厂区旱厕。由于采用定点定时供应盒饭的方式，故不存在食堂废水。施工结束污染即将消失，其影响也将消失。</w:t>
      </w:r>
    </w:p>
    <w:p w14:paraId="1CAFE861">
      <w:pPr>
        <w:pStyle w:val="774"/>
        <w:ind w:firstLine="480"/>
        <w:rPr>
          <w:rFonts w:ascii="Times New Roman" w:hAnsi="Times New Roman" w:cs="Times New Roman"/>
          <w:color w:val="auto"/>
        </w:rPr>
      </w:pPr>
      <w:r>
        <w:rPr>
          <w:rFonts w:ascii="Times New Roman" w:hAnsi="Times New Roman" w:cs="Times New Roman"/>
          <w:color w:val="auto"/>
        </w:rPr>
        <w:t>（2）施工生产废水</w:t>
      </w:r>
    </w:p>
    <w:p w14:paraId="0FFEC013">
      <w:pPr>
        <w:pStyle w:val="774"/>
        <w:ind w:firstLine="480"/>
        <w:rPr>
          <w:rFonts w:ascii="Times New Roman" w:hAnsi="Times New Roman" w:cs="Times New Roman"/>
          <w:color w:val="auto"/>
        </w:rPr>
      </w:pPr>
      <w:r>
        <w:rPr>
          <w:rFonts w:ascii="Times New Roman" w:hAnsi="Times New Roman" w:cs="Times New Roman"/>
          <w:color w:val="auto"/>
        </w:rPr>
        <w:t>拟建项目施工过程中会产生少量的泥浆水等生产废水，主要污染物是SS和石油类。施工场地应根据现场条件和废水产生情况修建隔油</w:t>
      </w:r>
      <w:r>
        <w:rPr>
          <w:rFonts w:hint="eastAsia" w:ascii="Times New Roman" w:hAnsi="Times New Roman" w:cs="Times New Roman"/>
          <w:color w:val="auto"/>
        </w:rPr>
        <w:t>、</w:t>
      </w:r>
      <w:r>
        <w:rPr>
          <w:rFonts w:ascii="Times New Roman" w:hAnsi="Times New Roman" w:cs="Times New Roman"/>
          <w:color w:val="auto"/>
        </w:rPr>
        <w:t>沉淀池(作防渗处理)，集中收集各类施工废水，同时采取及时收集残油等方法尽量减少含油污水。施工废水</w:t>
      </w:r>
      <w:r>
        <w:rPr>
          <w:rFonts w:hint="eastAsia" w:ascii="Times New Roman" w:hAnsi="Times New Roman" w:cs="Times New Roman"/>
          <w:color w:val="auto"/>
        </w:rPr>
        <w:t>经简易沉淀池沉淀后</w:t>
      </w:r>
      <w:r>
        <w:rPr>
          <w:rFonts w:ascii="Times New Roman" w:hAnsi="Times New Roman" w:cs="Times New Roman"/>
          <w:color w:val="auto"/>
        </w:rPr>
        <w:t>达到《城市污水再生利用  城市杂用水水质》(GB/T18920-2002)后全部用于施工现场的洒水降尘。施工结束后隔油沉淀池沉渣及时清理，并覆土掩埋，进行绿化。</w:t>
      </w:r>
    </w:p>
    <w:p w14:paraId="13C3468D">
      <w:pPr>
        <w:pStyle w:val="11"/>
      </w:pPr>
      <w:bookmarkStart w:id="364" w:name="_Toc166572320"/>
      <w:bookmarkStart w:id="365" w:name="_Toc479754864"/>
      <w:r>
        <w:t>5.1.3施工期声环境影响分析</w:t>
      </w:r>
      <w:bookmarkEnd w:id="364"/>
      <w:bookmarkEnd w:id="365"/>
    </w:p>
    <w:p w14:paraId="6075E281">
      <w:pPr>
        <w:pStyle w:val="774"/>
        <w:ind w:firstLine="480"/>
        <w:rPr>
          <w:rFonts w:ascii="Times New Roman" w:hAnsi="Times New Roman" w:cs="Times New Roman"/>
          <w:snapToGrid w:val="0"/>
          <w:color w:val="auto"/>
        </w:rPr>
      </w:pPr>
      <w:r>
        <w:rPr>
          <w:rFonts w:ascii="Times New Roman" w:hAnsi="Times New Roman" w:cs="Times New Roman"/>
          <w:snapToGrid w:val="0"/>
          <w:color w:val="auto"/>
        </w:rPr>
        <w:t>本项目工程施工期间，对周围环境的主要噪声影响是施工设备作业时所产生的机械噪声，</w:t>
      </w:r>
      <w:r>
        <w:rPr>
          <w:rFonts w:ascii="Times New Roman" w:hAnsi="Times New Roman" w:cs="Times New Roman"/>
          <w:color w:val="auto"/>
        </w:rPr>
        <w:t>其中推土机、挖掘机等噪声均在85dB(A)以上。据调查，主要施工机械在不同距离的噪声水平见表5.1-2。</w:t>
      </w:r>
    </w:p>
    <w:p w14:paraId="3FD0857A">
      <w:pPr>
        <w:pStyle w:val="369"/>
      </w:pPr>
      <w:r>
        <w:t>表5.1-2  主要施工机械噪声水平  单位：dB(A)</w:t>
      </w:r>
    </w:p>
    <w:tbl>
      <w:tblPr>
        <w:tblStyle w:val="8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485"/>
        <w:gridCol w:w="590"/>
        <w:gridCol w:w="590"/>
        <w:gridCol w:w="590"/>
        <w:gridCol w:w="590"/>
        <w:gridCol w:w="590"/>
        <w:gridCol w:w="695"/>
        <w:gridCol w:w="695"/>
        <w:gridCol w:w="695"/>
        <w:gridCol w:w="695"/>
        <w:gridCol w:w="695"/>
        <w:gridCol w:w="695"/>
        <w:gridCol w:w="695"/>
      </w:tblGrid>
      <w:tr w14:paraId="7D95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6" w:type="pct"/>
            <w:vMerge w:val="restart"/>
            <w:vAlign w:val="center"/>
          </w:tcPr>
          <w:p w14:paraId="017BB93D">
            <w:pPr>
              <w:pStyle w:val="766"/>
              <w:rPr>
                <w:color w:val="auto"/>
              </w:rPr>
            </w:pPr>
            <w:r>
              <w:rPr>
                <w:color w:val="auto"/>
              </w:rPr>
              <w:t>机械类型</w:t>
            </w:r>
          </w:p>
        </w:tc>
        <w:tc>
          <w:tcPr>
            <w:tcW w:w="4353" w:type="pct"/>
            <w:gridSpan w:val="13"/>
            <w:vAlign w:val="center"/>
          </w:tcPr>
          <w:p w14:paraId="1BBEC7F3">
            <w:pPr>
              <w:pStyle w:val="766"/>
              <w:rPr>
                <w:color w:val="auto"/>
              </w:rPr>
            </w:pPr>
            <w:r>
              <w:rPr>
                <w:bCs/>
                <w:color w:val="auto"/>
              </w:rPr>
              <w:t>噪声贡献值</w:t>
            </w:r>
          </w:p>
        </w:tc>
      </w:tr>
      <w:tr w14:paraId="275B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6" w:type="pct"/>
            <w:vMerge w:val="continue"/>
            <w:vAlign w:val="center"/>
          </w:tcPr>
          <w:p w14:paraId="2ADA5E6C">
            <w:pPr>
              <w:pStyle w:val="766"/>
              <w:rPr>
                <w:color w:val="auto"/>
              </w:rPr>
            </w:pPr>
          </w:p>
        </w:tc>
        <w:tc>
          <w:tcPr>
            <w:tcW w:w="258" w:type="pct"/>
            <w:vAlign w:val="center"/>
          </w:tcPr>
          <w:p w14:paraId="598D10F8">
            <w:pPr>
              <w:pStyle w:val="766"/>
              <w:rPr>
                <w:color w:val="auto"/>
              </w:rPr>
            </w:pPr>
            <w:r>
              <w:rPr>
                <w:color w:val="auto"/>
              </w:rPr>
              <w:t>5m</w:t>
            </w:r>
          </w:p>
        </w:tc>
        <w:tc>
          <w:tcPr>
            <w:tcW w:w="310" w:type="pct"/>
            <w:vAlign w:val="center"/>
          </w:tcPr>
          <w:p w14:paraId="5596CC6D">
            <w:pPr>
              <w:pStyle w:val="766"/>
              <w:rPr>
                <w:color w:val="auto"/>
              </w:rPr>
            </w:pPr>
            <w:r>
              <w:rPr>
                <w:color w:val="auto"/>
              </w:rPr>
              <w:t>10m</w:t>
            </w:r>
          </w:p>
        </w:tc>
        <w:tc>
          <w:tcPr>
            <w:tcW w:w="310" w:type="pct"/>
            <w:vAlign w:val="center"/>
          </w:tcPr>
          <w:p w14:paraId="6647F837">
            <w:pPr>
              <w:pStyle w:val="766"/>
              <w:rPr>
                <w:color w:val="auto"/>
              </w:rPr>
            </w:pPr>
            <w:r>
              <w:rPr>
                <w:color w:val="auto"/>
              </w:rPr>
              <w:t>20m</w:t>
            </w:r>
          </w:p>
        </w:tc>
        <w:tc>
          <w:tcPr>
            <w:tcW w:w="310" w:type="pct"/>
            <w:vAlign w:val="center"/>
          </w:tcPr>
          <w:p w14:paraId="122F846D">
            <w:pPr>
              <w:pStyle w:val="766"/>
              <w:rPr>
                <w:color w:val="auto"/>
              </w:rPr>
            </w:pPr>
            <w:r>
              <w:rPr>
                <w:color w:val="auto"/>
              </w:rPr>
              <w:t>30m</w:t>
            </w:r>
          </w:p>
        </w:tc>
        <w:tc>
          <w:tcPr>
            <w:tcW w:w="310" w:type="pct"/>
            <w:vAlign w:val="center"/>
          </w:tcPr>
          <w:p w14:paraId="113A9F4D">
            <w:pPr>
              <w:pStyle w:val="766"/>
              <w:rPr>
                <w:color w:val="auto"/>
              </w:rPr>
            </w:pPr>
            <w:r>
              <w:rPr>
                <w:color w:val="auto"/>
              </w:rPr>
              <w:t>40m</w:t>
            </w:r>
          </w:p>
        </w:tc>
        <w:tc>
          <w:tcPr>
            <w:tcW w:w="310" w:type="pct"/>
            <w:vAlign w:val="center"/>
          </w:tcPr>
          <w:p w14:paraId="1210D8F4">
            <w:pPr>
              <w:pStyle w:val="766"/>
              <w:rPr>
                <w:color w:val="auto"/>
              </w:rPr>
            </w:pPr>
            <w:r>
              <w:rPr>
                <w:color w:val="auto"/>
              </w:rPr>
              <w:t>50m</w:t>
            </w:r>
          </w:p>
        </w:tc>
        <w:tc>
          <w:tcPr>
            <w:tcW w:w="362" w:type="pct"/>
            <w:vAlign w:val="center"/>
          </w:tcPr>
          <w:p w14:paraId="4024E739">
            <w:pPr>
              <w:pStyle w:val="766"/>
              <w:rPr>
                <w:color w:val="auto"/>
              </w:rPr>
            </w:pPr>
            <w:r>
              <w:rPr>
                <w:color w:val="auto"/>
              </w:rPr>
              <w:t>100m</w:t>
            </w:r>
          </w:p>
        </w:tc>
        <w:tc>
          <w:tcPr>
            <w:tcW w:w="362" w:type="pct"/>
            <w:vAlign w:val="center"/>
          </w:tcPr>
          <w:p w14:paraId="1FF7A436">
            <w:pPr>
              <w:pStyle w:val="766"/>
              <w:rPr>
                <w:color w:val="auto"/>
              </w:rPr>
            </w:pPr>
            <w:r>
              <w:rPr>
                <w:color w:val="auto"/>
              </w:rPr>
              <w:t>150m</w:t>
            </w:r>
          </w:p>
        </w:tc>
        <w:tc>
          <w:tcPr>
            <w:tcW w:w="362" w:type="pct"/>
            <w:vAlign w:val="center"/>
          </w:tcPr>
          <w:p w14:paraId="6891D768">
            <w:pPr>
              <w:pStyle w:val="766"/>
              <w:rPr>
                <w:color w:val="auto"/>
              </w:rPr>
            </w:pPr>
            <w:r>
              <w:rPr>
                <w:color w:val="auto"/>
              </w:rPr>
              <w:t>200m</w:t>
            </w:r>
          </w:p>
        </w:tc>
        <w:tc>
          <w:tcPr>
            <w:tcW w:w="362" w:type="pct"/>
            <w:vAlign w:val="center"/>
          </w:tcPr>
          <w:p w14:paraId="6E9B2CF7">
            <w:pPr>
              <w:pStyle w:val="766"/>
              <w:rPr>
                <w:color w:val="auto"/>
              </w:rPr>
            </w:pPr>
            <w:r>
              <w:rPr>
                <w:color w:val="auto"/>
              </w:rPr>
              <w:t>300m</w:t>
            </w:r>
          </w:p>
        </w:tc>
        <w:tc>
          <w:tcPr>
            <w:tcW w:w="362" w:type="pct"/>
            <w:vAlign w:val="center"/>
          </w:tcPr>
          <w:p w14:paraId="603BF6C5">
            <w:pPr>
              <w:pStyle w:val="766"/>
              <w:rPr>
                <w:color w:val="auto"/>
              </w:rPr>
            </w:pPr>
            <w:r>
              <w:rPr>
                <w:color w:val="auto"/>
              </w:rPr>
              <w:t>400m</w:t>
            </w:r>
          </w:p>
        </w:tc>
        <w:tc>
          <w:tcPr>
            <w:tcW w:w="362" w:type="pct"/>
            <w:vAlign w:val="center"/>
          </w:tcPr>
          <w:p w14:paraId="74E0154C">
            <w:pPr>
              <w:pStyle w:val="766"/>
              <w:rPr>
                <w:color w:val="auto"/>
              </w:rPr>
            </w:pPr>
            <w:r>
              <w:rPr>
                <w:color w:val="auto"/>
              </w:rPr>
              <w:t>500m</w:t>
            </w:r>
          </w:p>
        </w:tc>
        <w:tc>
          <w:tcPr>
            <w:tcW w:w="366" w:type="pct"/>
            <w:vAlign w:val="center"/>
          </w:tcPr>
          <w:p w14:paraId="3CCCDD77">
            <w:pPr>
              <w:pStyle w:val="766"/>
              <w:rPr>
                <w:color w:val="auto"/>
              </w:rPr>
            </w:pPr>
            <w:r>
              <w:rPr>
                <w:color w:val="auto"/>
              </w:rPr>
              <w:t>600m</w:t>
            </w:r>
          </w:p>
        </w:tc>
      </w:tr>
      <w:tr w14:paraId="7AF4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6" w:type="pct"/>
            <w:vAlign w:val="center"/>
          </w:tcPr>
          <w:p w14:paraId="2FFD9155">
            <w:pPr>
              <w:pStyle w:val="766"/>
              <w:rPr>
                <w:color w:val="auto"/>
              </w:rPr>
            </w:pPr>
            <w:r>
              <w:rPr>
                <w:color w:val="auto"/>
              </w:rPr>
              <w:t>推土机</w:t>
            </w:r>
          </w:p>
        </w:tc>
        <w:tc>
          <w:tcPr>
            <w:tcW w:w="258" w:type="pct"/>
            <w:vAlign w:val="center"/>
          </w:tcPr>
          <w:p w14:paraId="6E50C8CA">
            <w:pPr>
              <w:pStyle w:val="766"/>
              <w:rPr>
                <w:color w:val="auto"/>
              </w:rPr>
            </w:pPr>
            <w:r>
              <w:rPr>
                <w:color w:val="auto"/>
              </w:rPr>
              <w:t>87</w:t>
            </w:r>
          </w:p>
        </w:tc>
        <w:tc>
          <w:tcPr>
            <w:tcW w:w="310" w:type="pct"/>
            <w:vAlign w:val="center"/>
          </w:tcPr>
          <w:p w14:paraId="020586A9">
            <w:pPr>
              <w:pStyle w:val="766"/>
              <w:rPr>
                <w:color w:val="auto"/>
              </w:rPr>
            </w:pPr>
            <w:r>
              <w:rPr>
                <w:color w:val="auto"/>
              </w:rPr>
              <w:t>67</w:t>
            </w:r>
          </w:p>
        </w:tc>
        <w:tc>
          <w:tcPr>
            <w:tcW w:w="310" w:type="pct"/>
            <w:vAlign w:val="center"/>
          </w:tcPr>
          <w:p w14:paraId="681AE8E7">
            <w:pPr>
              <w:pStyle w:val="766"/>
              <w:rPr>
                <w:color w:val="auto"/>
              </w:rPr>
            </w:pPr>
            <w:r>
              <w:rPr>
                <w:color w:val="auto"/>
              </w:rPr>
              <w:t>61</w:t>
            </w:r>
          </w:p>
        </w:tc>
        <w:tc>
          <w:tcPr>
            <w:tcW w:w="310" w:type="pct"/>
            <w:vAlign w:val="center"/>
          </w:tcPr>
          <w:p w14:paraId="5A9E029D">
            <w:pPr>
              <w:pStyle w:val="766"/>
              <w:rPr>
                <w:color w:val="auto"/>
              </w:rPr>
            </w:pPr>
            <w:r>
              <w:rPr>
                <w:color w:val="auto"/>
              </w:rPr>
              <w:t>57.5</w:t>
            </w:r>
          </w:p>
        </w:tc>
        <w:tc>
          <w:tcPr>
            <w:tcW w:w="310" w:type="pct"/>
            <w:vAlign w:val="center"/>
          </w:tcPr>
          <w:p w14:paraId="3A2A44C3">
            <w:pPr>
              <w:pStyle w:val="766"/>
              <w:rPr>
                <w:color w:val="auto"/>
              </w:rPr>
            </w:pPr>
            <w:r>
              <w:rPr>
                <w:color w:val="auto"/>
              </w:rPr>
              <w:t>55</w:t>
            </w:r>
          </w:p>
        </w:tc>
        <w:tc>
          <w:tcPr>
            <w:tcW w:w="310" w:type="pct"/>
            <w:vAlign w:val="center"/>
          </w:tcPr>
          <w:p w14:paraId="36BBF1C3">
            <w:pPr>
              <w:pStyle w:val="766"/>
              <w:rPr>
                <w:color w:val="auto"/>
              </w:rPr>
            </w:pPr>
            <w:r>
              <w:rPr>
                <w:color w:val="auto"/>
              </w:rPr>
              <w:t>53</w:t>
            </w:r>
          </w:p>
        </w:tc>
        <w:tc>
          <w:tcPr>
            <w:tcW w:w="362" w:type="pct"/>
            <w:vAlign w:val="center"/>
          </w:tcPr>
          <w:p w14:paraId="125C28CC">
            <w:pPr>
              <w:pStyle w:val="766"/>
              <w:rPr>
                <w:color w:val="auto"/>
              </w:rPr>
            </w:pPr>
            <w:r>
              <w:rPr>
                <w:color w:val="auto"/>
              </w:rPr>
              <w:t>47</w:t>
            </w:r>
          </w:p>
        </w:tc>
        <w:tc>
          <w:tcPr>
            <w:tcW w:w="362" w:type="pct"/>
            <w:vAlign w:val="center"/>
          </w:tcPr>
          <w:p w14:paraId="4FA422DA">
            <w:pPr>
              <w:pStyle w:val="766"/>
              <w:rPr>
                <w:color w:val="auto"/>
              </w:rPr>
            </w:pPr>
            <w:r>
              <w:rPr>
                <w:color w:val="auto"/>
              </w:rPr>
              <w:t>43</w:t>
            </w:r>
          </w:p>
        </w:tc>
        <w:tc>
          <w:tcPr>
            <w:tcW w:w="362" w:type="pct"/>
            <w:vAlign w:val="center"/>
          </w:tcPr>
          <w:p w14:paraId="051AAE2C">
            <w:pPr>
              <w:pStyle w:val="766"/>
              <w:rPr>
                <w:color w:val="auto"/>
              </w:rPr>
            </w:pPr>
            <w:r>
              <w:rPr>
                <w:color w:val="auto"/>
              </w:rPr>
              <w:t>41</w:t>
            </w:r>
          </w:p>
        </w:tc>
        <w:tc>
          <w:tcPr>
            <w:tcW w:w="362" w:type="pct"/>
            <w:vAlign w:val="center"/>
          </w:tcPr>
          <w:p w14:paraId="20EB4241">
            <w:pPr>
              <w:pStyle w:val="766"/>
              <w:rPr>
                <w:color w:val="auto"/>
              </w:rPr>
            </w:pPr>
            <w:r>
              <w:rPr>
                <w:color w:val="auto"/>
              </w:rPr>
              <w:t>37</w:t>
            </w:r>
          </w:p>
        </w:tc>
        <w:tc>
          <w:tcPr>
            <w:tcW w:w="362" w:type="pct"/>
            <w:vAlign w:val="center"/>
          </w:tcPr>
          <w:p w14:paraId="5E32173D">
            <w:pPr>
              <w:pStyle w:val="766"/>
              <w:rPr>
                <w:color w:val="auto"/>
              </w:rPr>
            </w:pPr>
            <w:r>
              <w:rPr>
                <w:color w:val="auto"/>
              </w:rPr>
              <w:t>35</w:t>
            </w:r>
          </w:p>
        </w:tc>
        <w:tc>
          <w:tcPr>
            <w:tcW w:w="362" w:type="pct"/>
            <w:vAlign w:val="center"/>
          </w:tcPr>
          <w:p w14:paraId="69765B1A">
            <w:pPr>
              <w:pStyle w:val="766"/>
              <w:rPr>
                <w:color w:val="auto"/>
              </w:rPr>
            </w:pPr>
            <w:r>
              <w:rPr>
                <w:color w:val="auto"/>
              </w:rPr>
              <w:t>33</w:t>
            </w:r>
          </w:p>
        </w:tc>
        <w:tc>
          <w:tcPr>
            <w:tcW w:w="366" w:type="pct"/>
            <w:vAlign w:val="center"/>
          </w:tcPr>
          <w:p w14:paraId="5496B5F9">
            <w:pPr>
              <w:pStyle w:val="766"/>
              <w:rPr>
                <w:color w:val="auto"/>
              </w:rPr>
            </w:pPr>
            <w:r>
              <w:rPr>
                <w:color w:val="auto"/>
              </w:rPr>
              <w:t>31</w:t>
            </w:r>
          </w:p>
        </w:tc>
      </w:tr>
      <w:tr w14:paraId="0B30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6" w:type="pct"/>
            <w:vAlign w:val="center"/>
          </w:tcPr>
          <w:p w14:paraId="0F87D62E">
            <w:pPr>
              <w:pStyle w:val="766"/>
              <w:rPr>
                <w:color w:val="auto"/>
              </w:rPr>
            </w:pPr>
            <w:r>
              <w:rPr>
                <w:color w:val="auto"/>
              </w:rPr>
              <w:t>车载起重机</w:t>
            </w:r>
          </w:p>
        </w:tc>
        <w:tc>
          <w:tcPr>
            <w:tcW w:w="258" w:type="pct"/>
            <w:vAlign w:val="center"/>
          </w:tcPr>
          <w:p w14:paraId="20D431E6">
            <w:pPr>
              <w:pStyle w:val="766"/>
              <w:rPr>
                <w:color w:val="auto"/>
              </w:rPr>
            </w:pPr>
            <w:r>
              <w:rPr>
                <w:color w:val="auto"/>
              </w:rPr>
              <w:t>96</w:t>
            </w:r>
          </w:p>
        </w:tc>
        <w:tc>
          <w:tcPr>
            <w:tcW w:w="310" w:type="pct"/>
            <w:vAlign w:val="center"/>
          </w:tcPr>
          <w:p w14:paraId="3C9EACF4">
            <w:pPr>
              <w:pStyle w:val="766"/>
              <w:rPr>
                <w:color w:val="auto"/>
              </w:rPr>
            </w:pPr>
            <w:r>
              <w:rPr>
                <w:color w:val="auto"/>
              </w:rPr>
              <w:t>76</w:t>
            </w:r>
          </w:p>
        </w:tc>
        <w:tc>
          <w:tcPr>
            <w:tcW w:w="310" w:type="pct"/>
            <w:vAlign w:val="center"/>
          </w:tcPr>
          <w:p w14:paraId="021BE9B5">
            <w:pPr>
              <w:pStyle w:val="766"/>
              <w:rPr>
                <w:color w:val="auto"/>
              </w:rPr>
            </w:pPr>
            <w:r>
              <w:rPr>
                <w:color w:val="auto"/>
              </w:rPr>
              <w:t>70</w:t>
            </w:r>
          </w:p>
        </w:tc>
        <w:tc>
          <w:tcPr>
            <w:tcW w:w="310" w:type="pct"/>
            <w:vAlign w:val="center"/>
          </w:tcPr>
          <w:p w14:paraId="3CF4755B">
            <w:pPr>
              <w:pStyle w:val="766"/>
              <w:rPr>
                <w:color w:val="auto"/>
              </w:rPr>
            </w:pPr>
            <w:r>
              <w:rPr>
                <w:color w:val="auto"/>
              </w:rPr>
              <w:t>66.5</w:t>
            </w:r>
          </w:p>
        </w:tc>
        <w:tc>
          <w:tcPr>
            <w:tcW w:w="310" w:type="pct"/>
            <w:vAlign w:val="center"/>
          </w:tcPr>
          <w:p w14:paraId="66541665">
            <w:pPr>
              <w:pStyle w:val="766"/>
              <w:rPr>
                <w:color w:val="auto"/>
              </w:rPr>
            </w:pPr>
            <w:r>
              <w:rPr>
                <w:color w:val="auto"/>
              </w:rPr>
              <w:t>64</w:t>
            </w:r>
          </w:p>
        </w:tc>
        <w:tc>
          <w:tcPr>
            <w:tcW w:w="310" w:type="pct"/>
            <w:vAlign w:val="center"/>
          </w:tcPr>
          <w:p w14:paraId="3AF175B0">
            <w:pPr>
              <w:pStyle w:val="766"/>
              <w:rPr>
                <w:color w:val="auto"/>
              </w:rPr>
            </w:pPr>
            <w:r>
              <w:rPr>
                <w:color w:val="auto"/>
              </w:rPr>
              <w:t>62</w:t>
            </w:r>
          </w:p>
        </w:tc>
        <w:tc>
          <w:tcPr>
            <w:tcW w:w="362" w:type="pct"/>
            <w:vAlign w:val="center"/>
          </w:tcPr>
          <w:p w14:paraId="35381759">
            <w:pPr>
              <w:pStyle w:val="766"/>
              <w:rPr>
                <w:color w:val="auto"/>
              </w:rPr>
            </w:pPr>
            <w:r>
              <w:rPr>
                <w:color w:val="auto"/>
              </w:rPr>
              <w:t>56</w:t>
            </w:r>
          </w:p>
        </w:tc>
        <w:tc>
          <w:tcPr>
            <w:tcW w:w="362" w:type="pct"/>
            <w:vAlign w:val="center"/>
          </w:tcPr>
          <w:p w14:paraId="485B0E9A">
            <w:pPr>
              <w:pStyle w:val="766"/>
              <w:rPr>
                <w:color w:val="auto"/>
              </w:rPr>
            </w:pPr>
            <w:r>
              <w:rPr>
                <w:color w:val="auto"/>
              </w:rPr>
              <w:t>52</w:t>
            </w:r>
          </w:p>
        </w:tc>
        <w:tc>
          <w:tcPr>
            <w:tcW w:w="362" w:type="pct"/>
            <w:vAlign w:val="center"/>
          </w:tcPr>
          <w:p w14:paraId="5BA5D060">
            <w:pPr>
              <w:pStyle w:val="766"/>
              <w:rPr>
                <w:color w:val="auto"/>
              </w:rPr>
            </w:pPr>
            <w:r>
              <w:rPr>
                <w:color w:val="auto"/>
              </w:rPr>
              <w:t>50</w:t>
            </w:r>
          </w:p>
        </w:tc>
        <w:tc>
          <w:tcPr>
            <w:tcW w:w="362" w:type="pct"/>
            <w:vAlign w:val="center"/>
          </w:tcPr>
          <w:p w14:paraId="456078E3">
            <w:pPr>
              <w:pStyle w:val="766"/>
              <w:rPr>
                <w:color w:val="auto"/>
              </w:rPr>
            </w:pPr>
            <w:r>
              <w:rPr>
                <w:color w:val="auto"/>
              </w:rPr>
              <w:t>46</w:t>
            </w:r>
          </w:p>
        </w:tc>
        <w:tc>
          <w:tcPr>
            <w:tcW w:w="362" w:type="pct"/>
            <w:vAlign w:val="center"/>
          </w:tcPr>
          <w:p w14:paraId="0BFEC634">
            <w:pPr>
              <w:pStyle w:val="766"/>
              <w:rPr>
                <w:color w:val="auto"/>
              </w:rPr>
            </w:pPr>
            <w:r>
              <w:rPr>
                <w:color w:val="auto"/>
              </w:rPr>
              <w:t>44</w:t>
            </w:r>
          </w:p>
        </w:tc>
        <w:tc>
          <w:tcPr>
            <w:tcW w:w="362" w:type="pct"/>
            <w:vAlign w:val="center"/>
          </w:tcPr>
          <w:p w14:paraId="5B874146">
            <w:pPr>
              <w:pStyle w:val="766"/>
              <w:rPr>
                <w:color w:val="auto"/>
              </w:rPr>
            </w:pPr>
            <w:r>
              <w:rPr>
                <w:color w:val="auto"/>
              </w:rPr>
              <w:t>42</w:t>
            </w:r>
          </w:p>
        </w:tc>
        <w:tc>
          <w:tcPr>
            <w:tcW w:w="366" w:type="pct"/>
            <w:vAlign w:val="center"/>
          </w:tcPr>
          <w:p w14:paraId="15EDB832">
            <w:pPr>
              <w:pStyle w:val="766"/>
              <w:rPr>
                <w:color w:val="auto"/>
              </w:rPr>
            </w:pPr>
            <w:r>
              <w:rPr>
                <w:color w:val="auto"/>
              </w:rPr>
              <w:t>40</w:t>
            </w:r>
          </w:p>
        </w:tc>
      </w:tr>
      <w:tr w14:paraId="3E44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6" w:type="pct"/>
            <w:vAlign w:val="center"/>
          </w:tcPr>
          <w:p w14:paraId="7DF0A147">
            <w:pPr>
              <w:pStyle w:val="766"/>
              <w:rPr>
                <w:color w:val="auto"/>
              </w:rPr>
            </w:pPr>
            <w:r>
              <w:rPr>
                <w:color w:val="auto"/>
              </w:rPr>
              <w:t>液压挖土机</w:t>
            </w:r>
          </w:p>
        </w:tc>
        <w:tc>
          <w:tcPr>
            <w:tcW w:w="258" w:type="pct"/>
            <w:vAlign w:val="center"/>
          </w:tcPr>
          <w:p w14:paraId="001C656D">
            <w:pPr>
              <w:pStyle w:val="766"/>
              <w:rPr>
                <w:color w:val="auto"/>
              </w:rPr>
            </w:pPr>
            <w:r>
              <w:rPr>
                <w:color w:val="auto"/>
              </w:rPr>
              <w:t>85</w:t>
            </w:r>
          </w:p>
        </w:tc>
        <w:tc>
          <w:tcPr>
            <w:tcW w:w="310" w:type="pct"/>
            <w:vAlign w:val="center"/>
          </w:tcPr>
          <w:p w14:paraId="23418134">
            <w:pPr>
              <w:pStyle w:val="766"/>
              <w:rPr>
                <w:color w:val="auto"/>
              </w:rPr>
            </w:pPr>
            <w:r>
              <w:rPr>
                <w:color w:val="auto"/>
              </w:rPr>
              <w:t>65</w:t>
            </w:r>
          </w:p>
        </w:tc>
        <w:tc>
          <w:tcPr>
            <w:tcW w:w="310" w:type="pct"/>
            <w:vAlign w:val="center"/>
          </w:tcPr>
          <w:p w14:paraId="36F13408">
            <w:pPr>
              <w:pStyle w:val="766"/>
              <w:rPr>
                <w:color w:val="auto"/>
              </w:rPr>
            </w:pPr>
            <w:r>
              <w:rPr>
                <w:color w:val="auto"/>
              </w:rPr>
              <w:t>59</w:t>
            </w:r>
          </w:p>
        </w:tc>
        <w:tc>
          <w:tcPr>
            <w:tcW w:w="310" w:type="pct"/>
            <w:vAlign w:val="center"/>
          </w:tcPr>
          <w:p w14:paraId="2916B811">
            <w:pPr>
              <w:pStyle w:val="766"/>
              <w:rPr>
                <w:color w:val="auto"/>
              </w:rPr>
            </w:pPr>
            <w:r>
              <w:rPr>
                <w:color w:val="auto"/>
              </w:rPr>
              <w:t>55.5</w:t>
            </w:r>
          </w:p>
        </w:tc>
        <w:tc>
          <w:tcPr>
            <w:tcW w:w="310" w:type="pct"/>
            <w:vAlign w:val="center"/>
          </w:tcPr>
          <w:p w14:paraId="2EC86E7E">
            <w:pPr>
              <w:pStyle w:val="766"/>
              <w:rPr>
                <w:color w:val="auto"/>
              </w:rPr>
            </w:pPr>
            <w:r>
              <w:rPr>
                <w:color w:val="auto"/>
              </w:rPr>
              <w:t>53</w:t>
            </w:r>
          </w:p>
        </w:tc>
        <w:tc>
          <w:tcPr>
            <w:tcW w:w="310" w:type="pct"/>
            <w:vAlign w:val="center"/>
          </w:tcPr>
          <w:p w14:paraId="67219CC6">
            <w:pPr>
              <w:pStyle w:val="766"/>
              <w:rPr>
                <w:color w:val="auto"/>
              </w:rPr>
            </w:pPr>
            <w:r>
              <w:rPr>
                <w:color w:val="auto"/>
              </w:rPr>
              <w:t>51</w:t>
            </w:r>
          </w:p>
        </w:tc>
        <w:tc>
          <w:tcPr>
            <w:tcW w:w="362" w:type="pct"/>
            <w:vAlign w:val="center"/>
          </w:tcPr>
          <w:p w14:paraId="2AD83104">
            <w:pPr>
              <w:pStyle w:val="766"/>
              <w:rPr>
                <w:color w:val="auto"/>
              </w:rPr>
            </w:pPr>
            <w:r>
              <w:rPr>
                <w:color w:val="auto"/>
              </w:rPr>
              <w:t>45</w:t>
            </w:r>
          </w:p>
        </w:tc>
        <w:tc>
          <w:tcPr>
            <w:tcW w:w="362" w:type="pct"/>
            <w:vAlign w:val="center"/>
          </w:tcPr>
          <w:p w14:paraId="09BCC4BF">
            <w:pPr>
              <w:pStyle w:val="766"/>
              <w:rPr>
                <w:color w:val="auto"/>
              </w:rPr>
            </w:pPr>
            <w:r>
              <w:rPr>
                <w:color w:val="auto"/>
              </w:rPr>
              <w:t>41</w:t>
            </w:r>
          </w:p>
        </w:tc>
        <w:tc>
          <w:tcPr>
            <w:tcW w:w="362" w:type="pct"/>
            <w:vAlign w:val="center"/>
          </w:tcPr>
          <w:p w14:paraId="1FF4BF67">
            <w:pPr>
              <w:pStyle w:val="766"/>
              <w:rPr>
                <w:color w:val="auto"/>
              </w:rPr>
            </w:pPr>
            <w:r>
              <w:rPr>
                <w:color w:val="auto"/>
              </w:rPr>
              <w:t>39</w:t>
            </w:r>
          </w:p>
        </w:tc>
        <w:tc>
          <w:tcPr>
            <w:tcW w:w="362" w:type="pct"/>
            <w:vAlign w:val="center"/>
          </w:tcPr>
          <w:p w14:paraId="26639FF2">
            <w:pPr>
              <w:pStyle w:val="766"/>
              <w:rPr>
                <w:color w:val="auto"/>
              </w:rPr>
            </w:pPr>
            <w:r>
              <w:rPr>
                <w:color w:val="auto"/>
              </w:rPr>
              <w:t>35</w:t>
            </w:r>
          </w:p>
        </w:tc>
        <w:tc>
          <w:tcPr>
            <w:tcW w:w="362" w:type="pct"/>
            <w:vAlign w:val="center"/>
          </w:tcPr>
          <w:p w14:paraId="655EB76A">
            <w:pPr>
              <w:pStyle w:val="766"/>
              <w:rPr>
                <w:color w:val="auto"/>
              </w:rPr>
            </w:pPr>
            <w:r>
              <w:rPr>
                <w:color w:val="auto"/>
              </w:rPr>
              <w:t>33</w:t>
            </w:r>
          </w:p>
        </w:tc>
        <w:tc>
          <w:tcPr>
            <w:tcW w:w="362" w:type="pct"/>
            <w:vAlign w:val="center"/>
          </w:tcPr>
          <w:p w14:paraId="4285DAA1">
            <w:pPr>
              <w:pStyle w:val="766"/>
              <w:rPr>
                <w:color w:val="auto"/>
              </w:rPr>
            </w:pPr>
            <w:r>
              <w:rPr>
                <w:color w:val="auto"/>
              </w:rPr>
              <w:t>31</w:t>
            </w:r>
          </w:p>
        </w:tc>
        <w:tc>
          <w:tcPr>
            <w:tcW w:w="366" w:type="pct"/>
            <w:vAlign w:val="center"/>
          </w:tcPr>
          <w:p w14:paraId="44BF0606">
            <w:pPr>
              <w:pStyle w:val="766"/>
              <w:rPr>
                <w:color w:val="auto"/>
              </w:rPr>
            </w:pPr>
            <w:r>
              <w:rPr>
                <w:color w:val="auto"/>
              </w:rPr>
              <w:t>29</w:t>
            </w:r>
          </w:p>
        </w:tc>
      </w:tr>
      <w:tr w14:paraId="6066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6" w:type="pct"/>
            <w:vAlign w:val="center"/>
          </w:tcPr>
          <w:p w14:paraId="6F08CA49">
            <w:pPr>
              <w:pStyle w:val="766"/>
              <w:rPr>
                <w:color w:val="auto"/>
              </w:rPr>
            </w:pPr>
            <w:r>
              <w:rPr>
                <w:color w:val="auto"/>
              </w:rPr>
              <w:t>卡车</w:t>
            </w:r>
          </w:p>
        </w:tc>
        <w:tc>
          <w:tcPr>
            <w:tcW w:w="258" w:type="pct"/>
            <w:vAlign w:val="center"/>
          </w:tcPr>
          <w:p w14:paraId="2D5A0E6F">
            <w:pPr>
              <w:pStyle w:val="766"/>
              <w:rPr>
                <w:color w:val="auto"/>
              </w:rPr>
            </w:pPr>
            <w:r>
              <w:rPr>
                <w:color w:val="auto"/>
              </w:rPr>
              <w:t>91</w:t>
            </w:r>
          </w:p>
        </w:tc>
        <w:tc>
          <w:tcPr>
            <w:tcW w:w="310" w:type="pct"/>
            <w:vAlign w:val="center"/>
          </w:tcPr>
          <w:p w14:paraId="7FCC1D1A">
            <w:pPr>
              <w:pStyle w:val="766"/>
              <w:rPr>
                <w:color w:val="auto"/>
              </w:rPr>
            </w:pPr>
            <w:r>
              <w:rPr>
                <w:color w:val="auto"/>
              </w:rPr>
              <w:t>71</w:t>
            </w:r>
          </w:p>
        </w:tc>
        <w:tc>
          <w:tcPr>
            <w:tcW w:w="310" w:type="pct"/>
            <w:vAlign w:val="center"/>
          </w:tcPr>
          <w:p w14:paraId="53755FC0">
            <w:pPr>
              <w:pStyle w:val="766"/>
              <w:rPr>
                <w:color w:val="auto"/>
              </w:rPr>
            </w:pPr>
            <w:r>
              <w:rPr>
                <w:color w:val="auto"/>
              </w:rPr>
              <w:t>65</w:t>
            </w:r>
          </w:p>
        </w:tc>
        <w:tc>
          <w:tcPr>
            <w:tcW w:w="310" w:type="pct"/>
            <w:vAlign w:val="center"/>
          </w:tcPr>
          <w:p w14:paraId="43F0EAA7">
            <w:pPr>
              <w:pStyle w:val="766"/>
              <w:rPr>
                <w:color w:val="auto"/>
              </w:rPr>
            </w:pPr>
            <w:r>
              <w:rPr>
                <w:color w:val="auto"/>
              </w:rPr>
              <w:t>61.5</w:t>
            </w:r>
          </w:p>
        </w:tc>
        <w:tc>
          <w:tcPr>
            <w:tcW w:w="310" w:type="pct"/>
            <w:vAlign w:val="center"/>
          </w:tcPr>
          <w:p w14:paraId="03A2CDF1">
            <w:pPr>
              <w:pStyle w:val="766"/>
              <w:rPr>
                <w:color w:val="auto"/>
              </w:rPr>
            </w:pPr>
            <w:r>
              <w:rPr>
                <w:color w:val="auto"/>
              </w:rPr>
              <w:t>59</w:t>
            </w:r>
          </w:p>
        </w:tc>
        <w:tc>
          <w:tcPr>
            <w:tcW w:w="310" w:type="pct"/>
            <w:vAlign w:val="center"/>
          </w:tcPr>
          <w:p w14:paraId="1F62E070">
            <w:pPr>
              <w:pStyle w:val="766"/>
              <w:rPr>
                <w:color w:val="auto"/>
              </w:rPr>
            </w:pPr>
            <w:r>
              <w:rPr>
                <w:color w:val="auto"/>
              </w:rPr>
              <w:t>57</w:t>
            </w:r>
          </w:p>
        </w:tc>
        <w:tc>
          <w:tcPr>
            <w:tcW w:w="362" w:type="pct"/>
            <w:vAlign w:val="center"/>
          </w:tcPr>
          <w:p w14:paraId="42758076">
            <w:pPr>
              <w:pStyle w:val="766"/>
              <w:rPr>
                <w:color w:val="auto"/>
              </w:rPr>
            </w:pPr>
            <w:r>
              <w:rPr>
                <w:color w:val="auto"/>
              </w:rPr>
              <w:t>51</w:t>
            </w:r>
          </w:p>
        </w:tc>
        <w:tc>
          <w:tcPr>
            <w:tcW w:w="362" w:type="pct"/>
            <w:vAlign w:val="center"/>
          </w:tcPr>
          <w:p w14:paraId="09A38EF6">
            <w:pPr>
              <w:pStyle w:val="766"/>
              <w:rPr>
                <w:color w:val="auto"/>
              </w:rPr>
            </w:pPr>
            <w:r>
              <w:rPr>
                <w:color w:val="auto"/>
              </w:rPr>
              <w:t>47</w:t>
            </w:r>
          </w:p>
        </w:tc>
        <w:tc>
          <w:tcPr>
            <w:tcW w:w="362" w:type="pct"/>
            <w:vAlign w:val="center"/>
          </w:tcPr>
          <w:p w14:paraId="225D7F11">
            <w:pPr>
              <w:pStyle w:val="766"/>
              <w:rPr>
                <w:color w:val="auto"/>
              </w:rPr>
            </w:pPr>
            <w:r>
              <w:rPr>
                <w:color w:val="auto"/>
              </w:rPr>
              <w:t>45</w:t>
            </w:r>
          </w:p>
        </w:tc>
        <w:tc>
          <w:tcPr>
            <w:tcW w:w="362" w:type="pct"/>
            <w:vAlign w:val="center"/>
          </w:tcPr>
          <w:p w14:paraId="43671FBF">
            <w:pPr>
              <w:pStyle w:val="766"/>
              <w:rPr>
                <w:color w:val="auto"/>
              </w:rPr>
            </w:pPr>
            <w:r>
              <w:rPr>
                <w:color w:val="auto"/>
              </w:rPr>
              <w:t>41</w:t>
            </w:r>
          </w:p>
        </w:tc>
        <w:tc>
          <w:tcPr>
            <w:tcW w:w="362" w:type="pct"/>
            <w:vAlign w:val="center"/>
          </w:tcPr>
          <w:p w14:paraId="7CBF1C4A">
            <w:pPr>
              <w:pStyle w:val="766"/>
              <w:rPr>
                <w:color w:val="auto"/>
              </w:rPr>
            </w:pPr>
            <w:r>
              <w:rPr>
                <w:color w:val="auto"/>
              </w:rPr>
              <w:t>39</w:t>
            </w:r>
          </w:p>
        </w:tc>
        <w:tc>
          <w:tcPr>
            <w:tcW w:w="362" w:type="pct"/>
            <w:vAlign w:val="center"/>
          </w:tcPr>
          <w:p w14:paraId="49DF41A0">
            <w:pPr>
              <w:pStyle w:val="766"/>
              <w:rPr>
                <w:color w:val="auto"/>
              </w:rPr>
            </w:pPr>
            <w:r>
              <w:rPr>
                <w:color w:val="auto"/>
              </w:rPr>
              <w:t>37</w:t>
            </w:r>
          </w:p>
        </w:tc>
        <w:tc>
          <w:tcPr>
            <w:tcW w:w="366" w:type="pct"/>
            <w:vAlign w:val="center"/>
          </w:tcPr>
          <w:p w14:paraId="60E56848">
            <w:pPr>
              <w:pStyle w:val="766"/>
              <w:rPr>
                <w:color w:val="auto"/>
              </w:rPr>
            </w:pPr>
            <w:r>
              <w:rPr>
                <w:color w:val="auto"/>
              </w:rPr>
              <w:t>35</w:t>
            </w:r>
          </w:p>
        </w:tc>
      </w:tr>
      <w:tr w14:paraId="6E28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6" w:type="pct"/>
            <w:vAlign w:val="center"/>
          </w:tcPr>
          <w:p w14:paraId="327D771C">
            <w:pPr>
              <w:pStyle w:val="766"/>
              <w:rPr>
                <w:color w:val="auto"/>
              </w:rPr>
            </w:pPr>
            <w:r>
              <w:rPr>
                <w:color w:val="auto"/>
              </w:rPr>
              <w:t>切割机</w:t>
            </w:r>
          </w:p>
        </w:tc>
        <w:tc>
          <w:tcPr>
            <w:tcW w:w="258" w:type="pct"/>
            <w:vAlign w:val="center"/>
          </w:tcPr>
          <w:p w14:paraId="4ACDED74">
            <w:pPr>
              <w:pStyle w:val="766"/>
              <w:rPr>
                <w:color w:val="auto"/>
              </w:rPr>
            </w:pPr>
            <w:r>
              <w:rPr>
                <w:color w:val="auto"/>
              </w:rPr>
              <w:t>91</w:t>
            </w:r>
          </w:p>
        </w:tc>
        <w:tc>
          <w:tcPr>
            <w:tcW w:w="310" w:type="pct"/>
            <w:vAlign w:val="center"/>
          </w:tcPr>
          <w:p w14:paraId="77D3EA73">
            <w:pPr>
              <w:pStyle w:val="766"/>
              <w:rPr>
                <w:color w:val="auto"/>
              </w:rPr>
            </w:pPr>
            <w:r>
              <w:rPr>
                <w:color w:val="auto"/>
              </w:rPr>
              <w:t>71</w:t>
            </w:r>
          </w:p>
        </w:tc>
        <w:tc>
          <w:tcPr>
            <w:tcW w:w="310" w:type="pct"/>
            <w:vAlign w:val="center"/>
          </w:tcPr>
          <w:p w14:paraId="3E35C878">
            <w:pPr>
              <w:pStyle w:val="766"/>
              <w:rPr>
                <w:color w:val="auto"/>
              </w:rPr>
            </w:pPr>
            <w:r>
              <w:rPr>
                <w:color w:val="auto"/>
              </w:rPr>
              <w:t>65</w:t>
            </w:r>
          </w:p>
        </w:tc>
        <w:tc>
          <w:tcPr>
            <w:tcW w:w="310" w:type="pct"/>
            <w:vAlign w:val="center"/>
          </w:tcPr>
          <w:p w14:paraId="05288734">
            <w:pPr>
              <w:pStyle w:val="766"/>
              <w:rPr>
                <w:color w:val="auto"/>
              </w:rPr>
            </w:pPr>
            <w:r>
              <w:rPr>
                <w:color w:val="auto"/>
              </w:rPr>
              <w:t>61.5</w:t>
            </w:r>
          </w:p>
        </w:tc>
        <w:tc>
          <w:tcPr>
            <w:tcW w:w="310" w:type="pct"/>
            <w:vAlign w:val="center"/>
          </w:tcPr>
          <w:p w14:paraId="62DF2DB9">
            <w:pPr>
              <w:pStyle w:val="766"/>
              <w:rPr>
                <w:color w:val="auto"/>
              </w:rPr>
            </w:pPr>
            <w:r>
              <w:rPr>
                <w:color w:val="auto"/>
              </w:rPr>
              <w:t>59</w:t>
            </w:r>
          </w:p>
        </w:tc>
        <w:tc>
          <w:tcPr>
            <w:tcW w:w="310" w:type="pct"/>
            <w:vAlign w:val="center"/>
          </w:tcPr>
          <w:p w14:paraId="05E52984">
            <w:pPr>
              <w:pStyle w:val="766"/>
              <w:rPr>
                <w:color w:val="auto"/>
              </w:rPr>
            </w:pPr>
            <w:r>
              <w:rPr>
                <w:color w:val="auto"/>
              </w:rPr>
              <w:t>57</w:t>
            </w:r>
          </w:p>
        </w:tc>
        <w:tc>
          <w:tcPr>
            <w:tcW w:w="362" w:type="pct"/>
            <w:vAlign w:val="center"/>
          </w:tcPr>
          <w:p w14:paraId="55727F0C">
            <w:pPr>
              <w:pStyle w:val="766"/>
              <w:rPr>
                <w:color w:val="auto"/>
              </w:rPr>
            </w:pPr>
            <w:r>
              <w:rPr>
                <w:color w:val="auto"/>
              </w:rPr>
              <w:t>51</w:t>
            </w:r>
          </w:p>
        </w:tc>
        <w:tc>
          <w:tcPr>
            <w:tcW w:w="362" w:type="pct"/>
            <w:vAlign w:val="center"/>
          </w:tcPr>
          <w:p w14:paraId="318C63D8">
            <w:pPr>
              <w:pStyle w:val="766"/>
              <w:rPr>
                <w:color w:val="auto"/>
              </w:rPr>
            </w:pPr>
            <w:r>
              <w:rPr>
                <w:color w:val="auto"/>
              </w:rPr>
              <w:t>47</w:t>
            </w:r>
          </w:p>
        </w:tc>
        <w:tc>
          <w:tcPr>
            <w:tcW w:w="362" w:type="pct"/>
            <w:vAlign w:val="center"/>
          </w:tcPr>
          <w:p w14:paraId="5B829B71">
            <w:pPr>
              <w:pStyle w:val="766"/>
              <w:rPr>
                <w:color w:val="auto"/>
              </w:rPr>
            </w:pPr>
            <w:r>
              <w:rPr>
                <w:color w:val="auto"/>
              </w:rPr>
              <w:t>45</w:t>
            </w:r>
          </w:p>
        </w:tc>
        <w:tc>
          <w:tcPr>
            <w:tcW w:w="362" w:type="pct"/>
            <w:vAlign w:val="center"/>
          </w:tcPr>
          <w:p w14:paraId="4F28E3CA">
            <w:pPr>
              <w:pStyle w:val="766"/>
              <w:rPr>
                <w:color w:val="auto"/>
              </w:rPr>
            </w:pPr>
            <w:r>
              <w:rPr>
                <w:color w:val="auto"/>
              </w:rPr>
              <w:t>41</w:t>
            </w:r>
          </w:p>
        </w:tc>
        <w:tc>
          <w:tcPr>
            <w:tcW w:w="362" w:type="pct"/>
            <w:vAlign w:val="center"/>
          </w:tcPr>
          <w:p w14:paraId="45F731AA">
            <w:pPr>
              <w:pStyle w:val="766"/>
              <w:rPr>
                <w:color w:val="auto"/>
              </w:rPr>
            </w:pPr>
            <w:r>
              <w:rPr>
                <w:color w:val="auto"/>
              </w:rPr>
              <w:t>39</w:t>
            </w:r>
          </w:p>
        </w:tc>
        <w:tc>
          <w:tcPr>
            <w:tcW w:w="362" w:type="pct"/>
            <w:vAlign w:val="center"/>
          </w:tcPr>
          <w:p w14:paraId="7AC4B9AB">
            <w:pPr>
              <w:pStyle w:val="766"/>
              <w:rPr>
                <w:color w:val="auto"/>
              </w:rPr>
            </w:pPr>
            <w:r>
              <w:rPr>
                <w:color w:val="auto"/>
              </w:rPr>
              <w:t>37</w:t>
            </w:r>
          </w:p>
        </w:tc>
        <w:tc>
          <w:tcPr>
            <w:tcW w:w="366" w:type="pct"/>
            <w:vAlign w:val="center"/>
          </w:tcPr>
          <w:p w14:paraId="0DB8701E">
            <w:pPr>
              <w:pStyle w:val="766"/>
              <w:rPr>
                <w:color w:val="auto"/>
              </w:rPr>
            </w:pPr>
            <w:r>
              <w:rPr>
                <w:color w:val="auto"/>
              </w:rPr>
              <w:t>35</w:t>
            </w:r>
          </w:p>
        </w:tc>
      </w:tr>
    </w:tbl>
    <w:p w14:paraId="51F3EB81">
      <w:pPr>
        <w:pStyle w:val="774"/>
        <w:ind w:firstLine="480"/>
        <w:rPr>
          <w:rFonts w:ascii="Times New Roman" w:hAnsi="Times New Roman" w:cs="Times New Roman"/>
          <w:color w:val="auto"/>
        </w:rPr>
      </w:pPr>
      <w:r>
        <w:rPr>
          <w:rFonts w:ascii="Times New Roman" w:hAnsi="Times New Roman" w:cs="Times New Roman"/>
          <w:color w:val="auto"/>
        </w:rPr>
        <w:t>本项目施工期噪声源强是各种机械设备作业噪声和车辆运输(运送物料及清运建筑垃圾)噪声的合成噪声。其噪声合成计算公式见下式：</w:t>
      </w:r>
    </w:p>
    <w:p w14:paraId="0DA8B0B8">
      <w:pPr>
        <w:pStyle w:val="774"/>
        <w:ind w:firstLine="480"/>
        <w:rPr>
          <w:rFonts w:ascii="Times New Roman" w:hAnsi="Times New Roman" w:cs="Times New Roman"/>
          <w:color w:val="auto"/>
        </w:rPr>
      </w:pPr>
      <w:r>
        <w:rPr>
          <w:rFonts w:ascii="Times New Roman" w:hAnsi="Times New Roman" w:cs="Times New Roman"/>
          <w:color w:val="auto"/>
        </w:rPr>
        <w:pict>
          <v:shape id="_x0000_s1276" o:spid="_x0000_s1276" o:spt="75" type="#_x0000_t75" style="position:absolute;left:0pt;margin-left:117pt;margin-top:7.75pt;height:36pt;width:111.65pt;mso-wrap-distance-bottom:0pt;mso-wrap-distance-left:9pt;mso-wrap-distance-right:9pt;mso-wrap-distance-top:0pt;z-index:251669504;mso-width-relative:page;mso-height-relative:page;" o:ole="t" filled="f" o:preferrelative="t" stroked="f" coordsize="21600,21600">
            <v:path/>
            <v:fill on="f" focussize="0,0"/>
            <v:stroke on="f" joinstyle="miter"/>
            <v:imagedata r:id="rId104" o:title=""/>
            <o:lock v:ext="edit" aspectratio="t"/>
            <w10:wrap type="square" side="right"/>
          </v:shape>
          <o:OLEObject Type="Embed" ProgID="Equation.3" ShapeID="_x0000_s1276" DrawAspect="Content" ObjectID="_1468075729" r:id="rId103">
            <o:LockedField>false</o:LockedField>
          </o:OLEObject>
        </w:pict>
      </w:r>
    </w:p>
    <w:p w14:paraId="1E76321B">
      <w:pPr>
        <w:pStyle w:val="774"/>
        <w:ind w:firstLine="480"/>
        <w:rPr>
          <w:rFonts w:ascii="Times New Roman" w:hAnsi="Times New Roman" w:cs="Times New Roman"/>
          <w:color w:val="auto"/>
        </w:rPr>
      </w:pPr>
    </w:p>
    <w:p w14:paraId="20EBB07A">
      <w:pPr>
        <w:pStyle w:val="774"/>
        <w:ind w:firstLine="480"/>
        <w:rPr>
          <w:rFonts w:ascii="Times New Roman" w:hAnsi="Times New Roman" w:cs="Times New Roman"/>
          <w:color w:val="auto"/>
        </w:rPr>
      </w:pPr>
      <w:r>
        <w:rPr>
          <w:rFonts w:ascii="Times New Roman" w:hAnsi="Times New Roman" w:cs="Times New Roman"/>
          <w:color w:val="auto"/>
        </w:rPr>
        <w:t>式中：Li——第i个声源的源强，dB(A)；</w:t>
      </w:r>
    </w:p>
    <w:p w14:paraId="4011FF0A">
      <w:pPr>
        <w:pStyle w:val="774"/>
        <w:ind w:firstLine="480"/>
        <w:rPr>
          <w:rFonts w:ascii="Times New Roman" w:hAnsi="Times New Roman" w:cs="Times New Roman"/>
          <w:color w:val="auto"/>
        </w:rPr>
      </w:pPr>
      <w:r>
        <w:rPr>
          <w:rFonts w:ascii="Times New Roman" w:hAnsi="Times New Roman" w:cs="Times New Roman"/>
          <w:color w:val="auto"/>
        </w:rPr>
        <w:t>L</w:t>
      </w:r>
      <w:r>
        <w:rPr>
          <w:rFonts w:ascii="Times New Roman" w:hAnsi="Times New Roman" w:cs="Times New Roman"/>
          <w:color w:val="auto"/>
          <w:vertAlign w:val="subscript"/>
        </w:rPr>
        <w:t>合</w:t>
      </w:r>
      <w:r>
        <w:rPr>
          <w:rFonts w:ascii="Times New Roman" w:hAnsi="Times New Roman" w:cs="Times New Roman"/>
          <w:color w:val="auto"/>
        </w:rPr>
        <w:t>——合成声压级，dB(A)；</w:t>
      </w:r>
    </w:p>
    <w:p w14:paraId="7F85D246">
      <w:pPr>
        <w:pStyle w:val="774"/>
        <w:ind w:firstLine="480"/>
        <w:rPr>
          <w:rFonts w:ascii="Times New Roman" w:hAnsi="Times New Roman" w:cs="Times New Roman"/>
          <w:color w:val="auto"/>
        </w:rPr>
      </w:pPr>
      <w:r>
        <w:rPr>
          <w:rFonts w:ascii="Times New Roman" w:hAnsi="Times New Roman" w:cs="Times New Roman"/>
          <w:color w:val="auto"/>
        </w:rPr>
        <w:t>n ——声源个数。</w:t>
      </w:r>
    </w:p>
    <w:p w14:paraId="1995F099">
      <w:pPr>
        <w:pStyle w:val="774"/>
        <w:ind w:firstLine="480"/>
        <w:rPr>
          <w:rFonts w:ascii="Times New Roman" w:hAnsi="Times New Roman" w:cs="Times New Roman"/>
          <w:bCs/>
          <w:color w:val="auto"/>
        </w:rPr>
      </w:pPr>
      <w:r>
        <w:rPr>
          <w:rFonts w:ascii="Times New Roman" w:hAnsi="Times New Roman" w:cs="Times New Roman"/>
          <w:bCs/>
          <w:color w:val="auto"/>
        </w:rPr>
        <w:t>施工噪声可近似看作点声源处理，利用点声源噪声衰减模式，因此，采用点声源距离衰减公式：</w:t>
      </w:r>
    </w:p>
    <w:p w14:paraId="2FF6132E">
      <w:pPr>
        <w:pStyle w:val="774"/>
        <w:ind w:firstLine="480"/>
        <w:rPr>
          <w:rFonts w:ascii="Times New Roman" w:hAnsi="Times New Roman" w:cs="Times New Roman"/>
          <w:color w:val="auto"/>
        </w:rPr>
      </w:pPr>
      <w:r>
        <w:rPr>
          <w:rFonts w:ascii="Times New Roman" w:hAnsi="Times New Roman" w:cs="Times New Roman"/>
          <w:color w:val="auto"/>
        </w:rPr>
        <w:drawing>
          <wp:inline distT="0" distB="0" distL="114300" distR="114300">
            <wp:extent cx="1773555" cy="228600"/>
            <wp:effectExtent l="0" t="0" r="17145" b="0"/>
            <wp:docPr id="31"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9"/>
                    <pic:cNvPicPr>
                      <a:picLocks noChangeAspect="1"/>
                    </pic:cNvPicPr>
                  </pic:nvPicPr>
                  <pic:blipFill>
                    <a:blip r:embed="rId105"/>
                    <a:stretch>
                      <a:fillRect/>
                    </a:stretch>
                  </pic:blipFill>
                  <pic:spPr>
                    <a:xfrm>
                      <a:off x="0" y="0"/>
                      <a:ext cx="1773555" cy="228600"/>
                    </a:xfrm>
                    <a:prstGeom prst="rect">
                      <a:avLst/>
                    </a:prstGeom>
                    <a:noFill/>
                    <a:ln>
                      <a:noFill/>
                    </a:ln>
                  </pic:spPr>
                </pic:pic>
              </a:graphicData>
            </a:graphic>
          </wp:inline>
        </w:drawing>
      </w:r>
    </w:p>
    <w:p w14:paraId="65AD929C">
      <w:pPr>
        <w:pStyle w:val="774"/>
        <w:ind w:firstLine="480"/>
        <w:rPr>
          <w:rFonts w:ascii="Times New Roman" w:hAnsi="Times New Roman" w:cs="Times New Roman"/>
          <w:color w:val="auto"/>
        </w:rPr>
      </w:pPr>
      <w:r>
        <w:rPr>
          <w:rFonts w:ascii="Times New Roman" w:hAnsi="Times New Roman" w:cs="Times New Roman"/>
          <w:color w:val="auto"/>
        </w:rPr>
        <w:t>式中：</w:t>
      </w:r>
      <w:r>
        <w:rPr>
          <w:rFonts w:ascii="Times New Roman" w:hAnsi="Times New Roman" w:cs="Times New Roman"/>
          <w:color w:val="auto"/>
        </w:rPr>
        <w:drawing>
          <wp:inline distT="0" distB="0" distL="114300" distR="114300">
            <wp:extent cx="390525" cy="219075"/>
            <wp:effectExtent l="0" t="0" r="8890" b="6985"/>
            <wp:docPr id="226"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40"/>
                    <pic:cNvPicPr>
                      <a:picLocks noChangeAspect="1"/>
                    </pic:cNvPicPr>
                  </pic:nvPicPr>
                  <pic:blipFill>
                    <a:blip r:embed="rId106"/>
                    <a:stretch>
                      <a:fillRect/>
                    </a:stretch>
                  </pic:blipFill>
                  <pic:spPr>
                    <a:xfrm>
                      <a:off x="0" y="0"/>
                      <a:ext cx="390525" cy="219075"/>
                    </a:xfrm>
                    <a:prstGeom prst="rect">
                      <a:avLst/>
                    </a:prstGeom>
                    <a:noFill/>
                    <a:ln>
                      <a:noFill/>
                    </a:ln>
                  </pic:spPr>
                </pic:pic>
              </a:graphicData>
            </a:graphic>
          </wp:inline>
        </w:drawing>
      </w:r>
      <w:r>
        <w:rPr>
          <w:rFonts w:ascii="Times New Roman" w:hAnsi="Times New Roman" w:cs="Times New Roman"/>
          <w:color w:val="auto"/>
        </w:rPr>
        <w:sym w:font="Times New Roman" w:char="2014"/>
      </w:r>
      <w:r>
        <w:rPr>
          <w:rFonts w:ascii="Times New Roman" w:hAnsi="Times New Roman" w:cs="Times New Roman"/>
          <w:color w:val="auto"/>
        </w:rPr>
        <w:sym w:font="Times New Roman" w:char="2014"/>
      </w:r>
      <w:r>
        <w:rPr>
          <w:rFonts w:ascii="Times New Roman" w:hAnsi="Times New Roman" w:cs="Times New Roman"/>
          <w:color w:val="auto"/>
        </w:rPr>
        <w:t>距声源r处的A声级，dB(A)；</w:t>
      </w:r>
    </w:p>
    <w:p w14:paraId="3723EE3F">
      <w:pPr>
        <w:pStyle w:val="774"/>
        <w:ind w:firstLine="480"/>
        <w:rPr>
          <w:rFonts w:ascii="Times New Roman" w:hAnsi="Times New Roman" w:cs="Times New Roman"/>
          <w:color w:val="auto"/>
        </w:rPr>
      </w:pPr>
      <w:r>
        <w:rPr>
          <w:rFonts w:ascii="Times New Roman" w:hAnsi="Times New Roman" w:cs="Times New Roman"/>
          <w:color w:val="auto"/>
        </w:rPr>
        <w:drawing>
          <wp:inline distT="0" distB="0" distL="114300" distR="114300">
            <wp:extent cx="447675" cy="228600"/>
            <wp:effectExtent l="0" t="0" r="8890" b="0"/>
            <wp:docPr id="229"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41"/>
                    <pic:cNvPicPr>
                      <a:picLocks noChangeAspect="1"/>
                    </pic:cNvPicPr>
                  </pic:nvPicPr>
                  <pic:blipFill>
                    <a:blip r:embed="rId107"/>
                    <a:stretch>
                      <a:fillRect/>
                    </a:stretch>
                  </pic:blipFill>
                  <pic:spPr>
                    <a:xfrm>
                      <a:off x="0" y="0"/>
                      <a:ext cx="447675" cy="228600"/>
                    </a:xfrm>
                    <a:prstGeom prst="rect">
                      <a:avLst/>
                    </a:prstGeom>
                    <a:noFill/>
                    <a:ln>
                      <a:noFill/>
                    </a:ln>
                  </pic:spPr>
                </pic:pic>
              </a:graphicData>
            </a:graphic>
          </wp:inline>
        </w:drawing>
      </w:r>
      <w:r>
        <w:rPr>
          <w:rFonts w:ascii="Times New Roman" w:hAnsi="Times New Roman" w:cs="Times New Roman"/>
          <w:color w:val="auto"/>
        </w:rPr>
        <w:sym w:font="Times New Roman" w:char="2014"/>
      </w:r>
      <w:r>
        <w:rPr>
          <w:rFonts w:ascii="Times New Roman" w:hAnsi="Times New Roman" w:cs="Times New Roman"/>
          <w:color w:val="auto"/>
        </w:rPr>
        <w:sym w:font="Times New Roman" w:char="2014"/>
      </w:r>
      <w:r>
        <w:rPr>
          <w:rFonts w:ascii="Times New Roman" w:hAnsi="Times New Roman" w:cs="Times New Roman"/>
          <w:color w:val="auto"/>
        </w:rPr>
        <w:t>参考位置r</w:t>
      </w:r>
      <w:r>
        <w:rPr>
          <w:rFonts w:ascii="Times New Roman" w:hAnsi="Times New Roman" w:cs="Times New Roman"/>
          <w:color w:val="auto"/>
          <w:vertAlign w:val="subscript"/>
        </w:rPr>
        <w:t>0</w:t>
      </w:r>
      <w:r>
        <w:rPr>
          <w:rFonts w:ascii="Times New Roman" w:hAnsi="Times New Roman" w:cs="Times New Roman"/>
          <w:color w:val="auto"/>
        </w:rPr>
        <w:t>处的A声级，dB(A)；</w:t>
      </w:r>
    </w:p>
    <w:p w14:paraId="0E2DF648">
      <w:pPr>
        <w:pStyle w:val="774"/>
        <w:ind w:firstLine="480"/>
        <w:rPr>
          <w:rFonts w:ascii="Times New Roman" w:hAnsi="Times New Roman" w:cs="Times New Roman"/>
          <w:color w:val="auto"/>
        </w:rPr>
      </w:pPr>
      <w:r>
        <w:rPr>
          <w:rFonts w:ascii="Times New Roman" w:hAnsi="Times New Roman" w:cs="Times New Roman"/>
          <w:color w:val="auto"/>
        </w:rPr>
        <w:t>r、r</w:t>
      </w:r>
      <w:r>
        <w:rPr>
          <w:rFonts w:ascii="Times New Roman" w:hAnsi="Times New Roman" w:cs="Times New Roman"/>
          <w:color w:val="auto"/>
          <w:vertAlign w:val="subscript"/>
        </w:rPr>
        <w:t>0</w:t>
      </w:r>
      <w:r>
        <w:rPr>
          <w:rFonts w:ascii="Times New Roman" w:hAnsi="Times New Roman" w:cs="Times New Roman"/>
          <w:color w:val="auto"/>
        </w:rPr>
        <w:sym w:font="Times New Roman" w:char="2014"/>
      </w:r>
      <w:r>
        <w:rPr>
          <w:rFonts w:ascii="Times New Roman" w:hAnsi="Times New Roman" w:cs="Times New Roman"/>
          <w:color w:val="auto"/>
        </w:rPr>
        <w:sym w:font="Times New Roman" w:char="2014"/>
      </w:r>
      <w:r>
        <w:rPr>
          <w:rFonts w:ascii="Times New Roman" w:hAnsi="Times New Roman" w:cs="Times New Roman"/>
          <w:color w:val="auto"/>
        </w:rPr>
        <w:t>距离，m。</w:t>
      </w:r>
    </w:p>
    <w:p w14:paraId="4CADDA31">
      <w:pPr>
        <w:pStyle w:val="774"/>
        <w:ind w:firstLine="480"/>
        <w:rPr>
          <w:rFonts w:ascii="Times New Roman" w:hAnsi="Times New Roman" w:cs="Times New Roman"/>
          <w:color w:val="auto"/>
        </w:rPr>
      </w:pPr>
      <w:r>
        <w:rPr>
          <w:rFonts w:ascii="Times New Roman" w:hAnsi="Times New Roman" w:cs="Times New Roman"/>
          <w:color w:val="auto"/>
        </w:rPr>
        <w:t>施工期多台机械设备同时运转噪声预测值见表5.1-3。</w:t>
      </w:r>
    </w:p>
    <w:p w14:paraId="253FDD33">
      <w:pPr>
        <w:pStyle w:val="369"/>
      </w:pPr>
      <w:r>
        <w:t>表5.1-3  多台机械设备同时运转噪声预测值  单位：dB(A)</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601"/>
        <w:gridCol w:w="606"/>
        <w:gridCol w:w="606"/>
        <w:gridCol w:w="606"/>
        <w:gridCol w:w="606"/>
        <w:gridCol w:w="605"/>
        <w:gridCol w:w="707"/>
        <w:gridCol w:w="707"/>
        <w:gridCol w:w="707"/>
        <w:gridCol w:w="707"/>
        <w:gridCol w:w="707"/>
        <w:gridCol w:w="707"/>
        <w:gridCol w:w="707"/>
      </w:tblGrid>
      <w:tr w14:paraId="56F3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1" w:type="dxa"/>
            <w:vAlign w:val="center"/>
          </w:tcPr>
          <w:p w14:paraId="39D95779">
            <w:pPr>
              <w:pStyle w:val="766"/>
              <w:rPr>
                <w:color w:val="auto"/>
              </w:rPr>
            </w:pPr>
            <w:r>
              <w:rPr>
                <w:color w:val="auto"/>
              </w:rPr>
              <w:t>距离</w:t>
            </w:r>
          </w:p>
        </w:tc>
        <w:tc>
          <w:tcPr>
            <w:tcW w:w="601" w:type="dxa"/>
            <w:vAlign w:val="center"/>
          </w:tcPr>
          <w:p w14:paraId="15350298">
            <w:pPr>
              <w:pStyle w:val="766"/>
              <w:rPr>
                <w:color w:val="auto"/>
              </w:rPr>
            </w:pPr>
            <w:r>
              <w:rPr>
                <w:color w:val="auto"/>
              </w:rPr>
              <w:t>5m</w:t>
            </w:r>
          </w:p>
        </w:tc>
        <w:tc>
          <w:tcPr>
            <w:tcW w:w="606" w:type="dxa"/>
            <w:vAlign w:val="center"/>
          </w:tcPr>
          <w:p w14:paraId="7B65317D">
            <w:pPr>
              <w:pStyle w:val="766"/>
              <w:rPr>
                <w:color w:val="auto"/>
              </w:rPr>
            </w:pPr>
            <w:r>
              <w:rPr>
                <w:color w:val="auto"/>
              </w:rPr>
              <w:t>10m</w:t>
            </w:r>
          </w:p>
        </w:tc>
        <w:tc>
          <w:tcPr>
            <w:tcW w:w="606" w:type="dxa"/>
            <w:vAlign w:val="center"/>
          </w:tcPr>
          <w:p w14:paraId="66E70ED1">
            <w:pPr>
              <w:pStyle w:val="766"/>
              <w:rPr>
                <w:color w:val="auto"/>
              </w:rPr>
            </w:pPr>
            <w:r>
              <w:rPr>
                <w:color w:val="auto"/>
              </w:rPr>
              <w:t>20m</w:t>
            </w:r>
          </w:p>
        </w:tc>
        <w:tc>
          <w:tcPr>
            <w:tcW w:w="606" w:type="dxa"/>
            <w:vAlign w:val="center"/>
          </w:tcPr>
          <w:p w14:paraId="5E077C5E">
            <w:pPr>
              <w:pStyle w:val="766"/>
              <w:rPr>
                <w:color w:val="auto"/>
              </w:rPr>
            </w:pPr>
            <w:r>
              <w:rPr>
                <w:color w:val="auto"/>
              </w:rPr>
              <w:t>30m</w:t>
            </w:r>
          </w:p>
        </w:tc>
        <w:tc>
          <w:tcPr>
            <w:tcW w:w="606" w:type="dxa"/>
            <w:vAlign w:val="center"/>
          </w:tcPr>
          <w:p w14:paraId="6FFC5F67">
            <w:pPr>
              <w:pStyle w:val="766"/>
              <w:rPr>
                <w:color w:val="auto"/>
              </w:rPr>
            </w:pPr>
            <w:r>
              <w:rPr>
                <w:color w:val="auto"/>
              </w:rPr>
              <w:t>40m</w:t>
            </w:r>
          </w:p>
        </w:tc>
        <w:tc>
          <w:tcPr>
            <w:tcW w:w="605" w:type="dxa"/>
            <w:vAlign w:val="center"/>
          </w:tcPr>
          <w:p w14:paraId="164C1301">
            <w:pPr>
              <w:pStyle w:val="766"/>
              <w:rPr>
                <w:color w:val="auto"/>
              </w:rPr>
            </w:pPr>
            <w:r>
              <w:rPr>
                <w:color w:val="auto"/>
              </w:rPr>
              <w:t>50m</w:t>
            </w:r>
          </w:p>
        </w:tc>
        <w:tc>
          <w:tcPr>
            <w:tcW w:w="707" w:type="dxa"/>
            <w:vAlign w:val="center"/>
          </w:tcPr>
          <w:p w14:paraId="19BBFC50">
            <w:pPr>
              <w:pStyle w:val="766"/>
              <w:rPr>
                <w:color w:val="auto"/>
              </w:rPr>
            </w:pPr>
            <w:r>
              <w:rPr>
                <w:color w:val="auto"/>
              </w:rPr>
              <w:t>100m</w:t>
            </w:r>
          </w:p>
        </w:tc>
        <w:tc>
          <w:tcPr>
            <w:tcW w:w="707" w:type="dxa"/>
            <w:vAlign w:val="center"/>
          </w:tcPr>
          <w:p w14:paraId="6D81DA49">
            <w:pPr>
              <w:pStyle w:val="766"/>
              <w:rPr>
                <w:color w:val="auto"/>
              </w:rPr>
            </w:pPr>
            <w:r>
              <w:rPr>
                <w:color w:val="auto"/>
              </w:rPr>
              <w:t>150m</w:t>
            </w:r>
          </w:p>
        </w:tc>
        <w:tc>
          <w:tcPr>
            <w:tcW w:w="707" w:type="dxa"/>
            <w:vAlign w:val="center"/>
          </w:tcPr>
          <w:p w14:paraId="0C2204DF">
            <w:pPr>
              <w:pStyle w:val="766"/>
              <w:rPr>
                <w:color w:val="auto"/>
              </w:rPr>
            </w:pPr>
            <w:r>
              <w:rPr>
                <w:color w:val="auto"/>
              </w:rPr>
              <w:t>200m</w:t>
            </w:r>
          </w:p>
        </w:tc>
        <w:tc>
          <w:tcPr>
            <w:tcW w:w="707" w:type="dxa"/>
            <w:vAlign w:val="center"/>
          </w:tcPr>
          <w:p w14:paraId="765F1DC4">
            <w:pPr>
              <w:pStyle w:val="766"/>
              <w:rPr>
                <w:color w:val="auto"/>
              </w:rPr>
            </w:pPr>
            <w:r>
              <w:rPr>
                <w:color w:val="auto"/>
              </w:rPr>
              <w:t>300m</w:t>
            </w:r>
          </w:p>
        </w:tc>
        <w:tc>
          <w:tcPr>
            <w:tcW w:w="707" w:type="dxa"/>
            <w:vAlign w:val="center"/>
          </w:tcPr>
          <w:p w14:paraId="7FDBF584">
            <w:pPr>
              <w:pStyle w:val="766"/>
              <w:rPr>
                <w:color w:val="auto"/>
              </w:rPr>
            </w:pPr>
            <w:r>
              <w:rPr>
                <w:color w:val="auto"/>
              </w:rPr>
              <w:t>400m</w:t>
            </w:r>
          </w:p>
        </w:tc>
        <w:tc>
          <w:tcPr>
            <w:tcW w:w="707" w:type="dxa"/>
            <w:vAlign w:val="center"/>
          </w:tcPr>
          <w:p w14:paraId="52E41F73">
            <w:pPr>
              <w:pStyle w:val="766"/>
              <w:rPr>
                <w:color w:val="auto"/>
              </w:rPr>
            </w:pPr>
            <w:r>
              <w:rPr>
                <w:color w:val="auto"/>
              </w:rPr>
              <w:t>500m</w:t>
            </w:r>
          </w:p>
        </w:tc>
        <w:tc>
          <w:tcPr>
            <w:tcW w:w="707" w:type="dxa"/>
            <w:vAlign w:val="center"/>
          </w:tcPr>
          <w:p w14:paraId="58E2A6FA">
            <w:pPr>
              <w:pStyle w:val="766"/>
              <w:rPr>
                <w:color w:val="auto"/>
              </w:rPr>
            </w:pPr>
            <w:r>
              <w:rPr>
                <w:color w:val="auto"/>
              </w:rPr>
              <w:t>600m</w:t>
            </w:r>
          </w:p>
        </w:tc>
      </w:tr>
      <w:tr w14:paraId="5C61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1" w:type="dxa"/>
            <w:vAlign w:val="center"/>
          </w:tcPr>
          <w:p w14:paraId="28B9899A">
            <w:pPr>
              <w:pStyle w:val="766"/>
              <w:rPr>
                <w:bCs/>
                <w:color w:val="auto"/>
              </w:rPr>
            </w:pPr>
            <w:r>
              <w:rPr>
                <w:bCs/>
                <w:color w:val="auto"/>
              </w:rPr>
              <w:t>噪声</w:t>
            </w:r>
          </w:p>
          <w:p w14:paraId="138A8839">
            <w:pPr>
              <w:pStyle w:val="766"/>
              <w:rPr>
                <w:color w:val="auto"/>
              </w:rPr>
            </w:pPr>
            <w:r>
              <w:rPr>
                <w:bCs/>
                <w:color w:val="auto"/>
              </w:rPr>
              <w:t>预测</w:t>
            </w:r>
          </w:p>
        </w:tc>
        <w:tc>
          <w:tcPr>
            <w:tcW w:w="601" w:type="dxa"/>
            <w:vAlign w:val="center"/>
          </w:tcPr>
          <w:p w14:paraId="0A796EDA">
            <w:pPr>
              <w:pStyle w:val="766"/>
              <w:rPr>
                <w:color w:val="auto"/>
              </w:rPr>
            </w:pPr>
            <w:r>
              <w:rPr>
                <w:color w:val="auto"/>
              </w:rPr>
              <w:t>98.6</w:t>
            </w:r>
          </w:p>
        </w:tc>
        <w:tc>
          <w:tcPr>
            <w:tcW w:w="606" w:type="dxa"/>
            <w:vAlign w:val="center"/>
          </w:tcPr>
          <w:p w14:paraId="3C97350B">
            <w:pPr>
              <w:pStyle w:val="766"/>
              <w:rPr>
                <w:color w:val="auto"/>
              </w:rPr>
            </w:pPr>
            <w:r>
              <w:rPr>
                <w:color w:val="auto"/>
              </w:rPr>
              <w:t>78.6</w:t>
            </w:r>
          </w:p>
        </w:tc>
        <w:tc>
          <w:tcPr>
            <w:tcW w:w="606" w:type="dxa"/>
            <w:vAlign w:val="center"/>
          </w:tcPr>
          <w:p w14:paraId="0F4F5D56">
            <w:pPr>
              <w:pStyle w:val="766"/>
              <w:rPr>
                <w:color w:val="auto"/>
              </w:rPr>
            </w:pPr>
            <w:r>
              <w:rPr>
                <w:color w:val="auto"/>
              </w:rPr>
              <w:t>72.6</w:t>
            </w:r>
          </w:p>
        </w:tc>
        <w:tc>
          <w:tcPr>
            <w:tcW w:w="606" w:type="dxa"/>
            <w:vAlign w:val="center"/>
          </w:tcPr>
          <w:p w14:paraId="77341330">
            <w:pPr>
              <w:pStyle w:val="766"/>
              <w:rPr>
                <w:color w:val="auto"/>
              </w:rPr>
            </w:pPr>
            <w:r>
              <w:rPr>
                <w:color w:val="auto"/>
              </w:rPr>
              <w:t>69.1</w:t>
            </w:r>
          </w:p>
        </w:tc>
        <w:tc>
          <w:tcPr>
            <w:tcW w:w="606" w:type="dxa"/>
            <w:vAlign w:val="center"/>
          </w:tcPr>
          <w:p w14:paraId="5316C435">
            <w:pPr>
              <w:pStyle w:val="766"/>
              <w:rPr>
                <w:color w:val="auto"/>
              </w:rPr>
            </w:pPr>
            <w:r>
              <w:rPr>
                <w:color w:val="auto"/>
              </w:rPr>
              <w:t>66.6</w:t>
            </w:r>
          </w:p>
        </w:tc>
        <w:tc>
          <w:tcPr>
            <w:tcW w:w="605" w:type="dxa"/>
            <w:vAlign w:val="center"/>
          </w:tcPr>
          <w:p w14:paraId="5EE3566E">
            <w:pPr>
              <w:pStyle w:val="766"/>
              <w:rPr>
                <w:color w:val="auto"/>
              </w:rPr>
            </w:pPr>
            <w:r>
              <w:rPr>
                <w:color w:val="auto"/>
              </w:rPr>
              <w:t>64.6</w:t>
            </w:r>
          </w:p>
        </w:tc>
        <w:tc>
          <w:tcPr>
            <w:tcW w:w="707" w:type="dxa"/>
            <w:vAlign w:val="center"/>
          </w:tcPr>
          <w:p w14:paraId="2D8BFCA9">
            <w:pPr>
              <w:pStyle w:val="766"/>
              <w:rPr>
                <w:color w:val="auto"/>
              </w:rPr>
            </w:pPr>
            <w:r>
              <w:rPr>
                <w:color w:val="auto"/>
              </w:rPr>
              <w:t>58.6</w:t>
            </w:r>
          </w:p>
        </w:tc>
        <w:tc>
          <w:tcPr>
            <w:tcW w:w="707" w:type="dxa"/>
            <w:vAlign w:val="center"/>
          </w:tcPr>
          <w:p w14:paraId="5ED9FAB8">
            <w:pPr>
              <w:pStyle w:val="766"/>
              <w:rPr>
                <w:color w:val="auto"/>
              </w:rPr>
            </w:pPr>
            <w:r>
              <w:rPr>
                <w:color w:val="auto"/>
              </w:rPr>
              <w:t>55.1</w:t>
            </w:r>
          </w:p>
        </w:tc>
        <w:tc>
          <w:tcPr>
            <w:tcW w:w="707" w:type="dxa"/>
            <w:vAlign w:val="center"/>
          </w:tcPr>
          <w:p w14:paraId="2CA065C3">
            <w:pPr>
              <w:pStyle w:val="766"/>
              <w:rPr>
                <w:color w:val="auto"/>
              </w:rPr>
            </w:pPr>
            <w:r>
              <w:rPr>
                <w:color w:val="auto"/>
              </w:rPr>
              <w:t>52.6</w:t>
            </w:r>
          </w:p>
        </w:tc>
        <w:tc>
          <w:tcPr>
            <w:tcW w:w="707" w:type="dxa"/>
            <w:vAlign w:val="center"/>
          </w:tcPr>
          <w:p w14:paraId="19F44B07">
            <w:pPr>
              <w:pStyle w:val="766"/>
              <w:rPr>
                <w:color w:val="auto"/>
              </w:rPr>
            </w:pPr>
            <w:r>
              <w:rPr>
                <w:color w:val="auto"/>
              </w:rPr>
              <w:t>49.1</w:t>
            </w:r>
          </w:p>
        </w:tc>
        <w:tc>
          <w:tcPr>
            <w:tcW w:w="707" w:type="dxa"/>
            <w:vAlign w:val="center"/>
          </w:tcPr>
          <w:p w14:paraId="1D9279B1">
            <w:pPr>
              <w:pStyle w:val="766"/>
              <w:rPr>
                <w:color w:val="auto"/>
              </w:rPr>
            </w:pPr>
            <w:r>
              <w:rPr>
                <w:color w:val="auto"/>
              </w:rPr>
              <w:t>46.6</w:t>
            </w:r>
          </w:p>
        </w:tc>
        <w:tc>
          <w:tcPr>
            <w:tcW w:w="707" w:type="dxa"/>
            <w:vAlign w:val="center"/>
          </w:tcPr>
          <w:p w14:paraId="43C7B79F">
            <w:pPr>
              <w:pStyle w:val="766"/>
              <w:rPr>
                <w:color w:val="auto"/>
              </w:rPr>
            </w:pPr>
            <w:r>
              <w:rPr>
                <w:color w:val="auto"/>
              </w:rPr>
              <w:t>44.6</w:t>
            </w:r>
          </w:p>
        </w:tc>
        <w:tc>
          <w:tcPr>
            <w:tcW w:w="707" w:type="dxa"/>
            <w:vAlign w:val="center"/>
          </w:tcPr>
          <w:p w14:paraId="45E2F92A">
            <w:pPr>
              <w:pStyle w:val="766"/>
              <w:rPr>
                <w:color w:val="auto"/>
              </w:rPr>
            </w:pPr>
            <w:r>
              <w:rPr>
                <w:color w:val="auto"/>
              </w:rPr>
              <w:t>43.0</w:t>
            </w:r>
          </w:p>
        </w:tc>
      </w:tr>
    </w:tbl>
    <w:p w14:paraId="790F869A">
      <w:pPr>
        <w:pStyle w:val="25"/>
        <w:spacing w:line="360" w:lineRule="auto"/>
        <w:ind w:firstLine="508" w:firstLineChars="212"/>
        <w:rPr>
          <w:color w:val="auto"/>
        </w:rPr>
      </w:pPr>
      <w:r>
        <w:rPr>
          <w:bCs/>
          <w:color w:val="auto"/>
        </w:rPr>
        <w:t>从表5.1-2和表5.1-3的预测结果可知，多台机械设备同时运转时，昼间距离噪声源30m左右才能达到建筑施工场界环境噪声排放限值，在场地外围约150m范围内的人员受到不同程度的影响，</w:t>
      </w:r>
      <w:r>
        <w:rPr>
          <w:color w:val="auto"/>
        </w:rPr>
        <w:t>本项目500m范围内无居民等环境敏感点，故施工噪声对周围环境影响较小。</w:t>
      </w:r>
    </w:p>
    <w:p w14:paraId="28BA6AFE">
      <w:pPr>
        <w:pStyle w:val="11"/>
        <w:rPr>
          <w:bCs w:val="0"/>
        </w:rPr>
      </w:pPr>
      <w:bookmarkStart w:id="366" w:name="_Toc479754865"/>
      <w:bookmarkStart w:id="367" w:name="_Toc166572321"/>
      <w:r>
        <w:t>5.1.4施工期固体废物环境影响分析</w:t>
      </w:r>
      <w:bookmarkEnd w:id="366"/>
      <w:bookmarkEnd w:id="367"/>
    </w:p>
    <w:p w14:paraId="080A2683">
      <w:pPr>
        <w:pStyle w:val="774"/>
        <w:ind w:firstLine="480"/>
        <w:rPr>
          <w:rFonts w:ascii="Times New Roman" w:hAnsi="Times New Roman" w:cs="Times New Roman"/>
          <w:color w:val="auto"/>
        </w:rPr>
      </w:pPr>
      <w:r>
        <w:rPr>
          <w:rFonts w:ascii="Times New Roman" w:hAnsi="Times New Roman" w:cs="Times New Roman"/>
          <w:color w:val="auto"/>
        </w:rPr>
        <w:t>施工期固体废物主要包括施工中产生的弃土、建筑过程中产生的建筑垃圾和施工人员产生的生活垃圾。</w:t>
      </w:r>
    </w:p>
    <w:p w14:paraId="4F0A3EBC">
      <w:pPr>
        <w:pStyle w:val="774"/>
        <w:ind w:firstLine="480"/>
        <w:rPr>
          <w:rFonts w:ascii="Times New Roman" w:hAnsi="Times New Roman" w:cs="Times New Roman"/>
          <w:color w:val="auto"/>
        </w:rPr>
      </w:pPr>
      <w:r>
        <w:rPr>
          <w:rFonts w:ascii="Times New Roman" w:hAnsi="Times New Roman" w:cs="Times New Roman"/>
          <w:color w:val="auto"/>
        </w:rPr>
        <w:t>建设过程中土石方主要是土地平整、地基开挖的土方量，开挖</w:t>
      </w:r>
      <w:r>
        <w:rPr>
          <w:rFonts w:ascii="Times New Roman" w:hAnsi="Times New Roman" w:cs="Times New Roman"/>
          <w:bCs/>
          <w:color w:val="auto"/>
        </w:rPr>
        <w:t>剩余土石方</w:t>
      </w:r>
      <w:r>
        <w:rPr>
          <w:rFonts w:ascii="Times New Roman" w:hAnsi="Times New Roman" w:cs="Times New Roman"/>
          <w:color w:val="auto"/>
        </w:rPr>
        <w:t>用于场区土地平整，施工人员产生的生活垃圾送往附近垃圾点堆存，最终由环卫部门送城市垃圾填埋场，</w:t>
      </w:r>
      <w:r>
        <w:rPr>
          <w:rFonts w:hint="eastAsia" w:ascii="Times New Roman" w:hAnsi="Times New Roman" w:cs="Times New Roman"/>
          <w:color w:val="auto"/>
        </w:rPr>
        <w:t>建筑垃圾运送至固定的建筑垃圾收集存放点处置。</w:t>
      </w:r>
      <w:r>
        <w:rPr>
          <w:rFonts w:ascii="Times New Roman" w:hAnsi="Times New Roman" w:cs="Times New Roman"/>
          <w:color w:val="auto"/>
        </w:rPr>
        <w:t>不会对项目所在地环境造成污染影响。</w:t>
      </w:r>
    </w:p>
    <w:p w14:paraId="22587D65">
      <w:pPr>
        <w:pStyle w:val="774"/>
        <w:ind w:firstLine="480"/>
        <w:rPr>
          <w:rFonts w:ascii="Times New Roman" w:hAnsi="Times New Roman" w:cs="Times New Roman"/>
          <w:color w:val="auto"/>
        </w:rPr>
      </w:pPr>
      <w:r>
        <w:rPr>
          <w:rFonts w:ascii="Times New Roman" w:hAnsi="Times New Roman" w:cs="Times New Roman"/>
          <w:color w:val="auto"/>
        </w:rPr>
        <w:t>施工期产生的固体废物不会对周围环境造成较大影响，另外，其影响是暂时的，施工结束后便会消失。</w:t>
      </w:r>
    </w:p>
    <w:p w14:paraId="4A21AAFC">
      <w:pPr>
        <w:pStyle w:val="774"/>
        <w:ind w:firstLine="480"/>
        <w:rPr>
          <w:rFonts w:ascii="Times New Roman" w:hAnsi="Times New Roman" w:cs="Times New Roman"/>
          <w:color w:val="auto"/>
        </w:rPr>
      </w:pPr>
      <w:r>
        <w:rPr>
          <w:rFonts w:ascii="Times New Roman" w:hAnsi="Times New Roman" w:cs="Times New Roman"/>
          <w:color w:val="auto"/>
        </w:rPr>
        <w:t>本项目施工期土石方主要来源于土地平整及地基开挖等，挖方全部用于场地平整，不外排，不设取弃土场。</w:t>
      </w:r>
    </w:p>
    <w:p w14:paraId="58AB821F">
      <w:pPr>
        <w:pStyle w:val="11"/>
      </w:pPr>
      <w:bookmarkStart w:id="368" w:name="_Toc67403535"/>
      <w:bookmarkStart w:id="369" w:name="_Toc166572322"/>
      <w:r>
        <w:t>5.1.5施工期生态环境影响预测分析</w:t>
      </w:r>
      <w:bookmarkEnd w:id="368"/>
      <w:bookmarkEnd w:id="369"/>
    </w:p>
    <w:p w14:paraId="5E269872">
      <w:pPr>
        <w:ind w:firstLine="480"/>
      </w:pPr>
      <w:r>
        <w:rPr>
          <w:kern w:val="0"/>
          <w:szCs w:val="24"/>
          <w:lang w:bidi="ar"/>
        </w:rPr>
        <w:t xml:space="preserve">1、建设期对植被的影响 </w:t>
      </w:r>
    </w:p>
    <w:p w14:paraId="758AED13">
      <w:pPr>
        <w:ind w:firstLine="480"/>
      </w:pPr>
      <w:r>
        <w:rPr>
          <w:kern w:val="0"/>
          <w:szCs w:val="24"/>
          <w:lang w:bidi="ar"/>
        </w:rPr>
        <w:t xml:space="preserve">项目建设对植被的影响主要发生在部分公辅工程的修建等，这些施工活动过程均要进行清除植被和开挖地表，造成施工区域内的地表植被完全破坏。 </w:t>
      </w:r>
    </w:p>
    <w:p w14:paraId="3DEA5519">
      <w:pPr>
        <w:ind w:firstLine="480"/>
        <w:rPr>
          <w:kern w:val="0"/>
          <w:szCs w:val="24"/>
          <w:lang w:bidi="ar"/>
        </w:rPr>
      </w:pPr>
      <w:r>
        <w:rPr>
          <w:kern w:val="0"/>
          <w:szCs w:val="24"/>
          <w:lang w:bidi="ar"/>
        </w:rPr>
        <w:t>施工期临时工程全部设置在永久占地范围内，不新增临时占地</w:t>
      </w:r>
      <w:r>
        <w:rPr>
          <w:rFonts w:hint="eastAsia"/>
          <w:kern w:val="0"/>
          <w:szCs w:val="24"/>
          <w:lang w:bidi="ar"/>
        </w:rPr>
        <w:t>，可避免临时占地对植被资源的破坏。</w:t>
      </w:r>
    </w:p>
    <w:p w14:paraId="5EDF20C7">
      <w:pPr>
        <w:ind w:firstLine="480"/>
      </w:pPr>
      <w:r>
        <w:rPr>
          <w:rFonts w:hint="eastAsia"/>
        </w:rPr>
        <w:t>根据相关资料和现场调查，本项目不在自然保护区内，本项目施工区内有保护物种沙冬青、绵刺，零散分布，在项目区内涉及的保护物种需进行移植。施工前需将项目区内的保护物种无法原地保存的，对其进行就地移植。根据内林草</w:t>
      </w:r>
      <w:r>
        <w:t>护许准〔2023〕43号</w:t>
      </w:r>
      <w:r>
        <w:rPr>
          <w:rFonts w:hint="eastAsia" w:ascii="宋体" w:hAnsi="宋体" w:cs="宋体"/>
        </w:rPr>
        <w:t>文，项目区域涉及沙冬</w:t>
      </w:r>
      <w:r>
        <w:t>青1279株、</w:t>
      </w:r>
      <w:r>
        <w:rPr>
          <w:rFonts w:hint="eastAsia"/>
        </w:rPr>
        <w:t>绵刺</w:t>
      </w:r>
      <w:r>
        <w:t>7023株，</w:t>
      </w:r>
      <w:r>
        <w:rPr>
          <w:rFonts w:hint="eastAsia" w:ascii="宋体" w:hAnsi="宋体" w:cs="宋体"/>
        </w:rPr>
        <w:t>由鄂托克旗林草局要按照《实施方案》开展全过程监管，严格控制采集株数，严禁超许可范围采集，监督采集工作正常有序开展；要督促建设单位按照《实施方案》及时进行临时占地的植被恢复，在施工过程中发现有违法行为及时制止，并向鄂尔多斯市林草局汇报。</w:t>
      </w:r>
    </w:p>
    <w:p w14:paraId="69D2178B">
      <w:pPr>
        <w:ind w:firstLine="480"/>
      </w:pPr>
      <w:r>
        <w:rPr>
          <w:kern w:val="0"/>
          <w:szCs w:val="24"/>
          <w:lang w:bidi="ar"/>
        </w:rPr>
        <w:t xml:space="preserve">2、建设期对野生动物的影响 </w:t>
      </w:r>
    </w:p>
    <w:p w14:paraId="04411792">
      <w:pPr>
        <w:ind w:firstLine="480"/>
      </w:pPr>
      <w:r>
        <w:rPr>
          <w:kern w:val="0"/>
          <w:szCs w:val="24"/>
          <w:lang w:bidi="ar"/>
        </w:rPr>
        <w:t xml:space="preserve">由于厂区的建设工程将破坏地表植被，必将对野生动物的生存与繁衍产生不利影 </w:t>
      </w:r>
    </w:p>
    <w:p w14:paraId="0172AA09">
      <w:pPr>
        <w:ind w:firstLine="0" w:firstLineChars="0"/>
      </w:pPr>
      <w:r>
        <w:rPr>
          <w:kern w:val="0"/>
          <w:szCs w:val="24"/>
          <w:lang w:bidi="ar"/>
        </w:rPr>
        <w:t xml:space="preserve">响，使其群落组成和数量发生变化。此外，施工过程中，人为干扰如施工人员滥捕乱猎等现象的出现，将直接影响到这一地区的某些野生动物种群数量，但这种影响可以通过加强对施工人员的宣传教育和管理得到消除。 </w:t>
      </w:r>
    </w:p>
    <w:p w14:paraId="59E0AC63">
      <w:pPr>
        <w:ind w:firstLine="480"/>
      </w:pPr>
      <w:r>
        <w:rPr>
          <w:kern w:val="0"/>
          <w:szCs w:val="24"/>
          <w:lang w:bidi="ar"/>
        </w:rPr>
        <w:t xml:space="preserve">总之，项目建设期不会使评价区野生动物物种数发生变化，其种群数量也不会发生明显变化。况且，评价区野生动物种类较少，缺少大型野生哺乳动物，现有的野生动物多为一些常见的鸟类、啮齿类等。只要加强对施工人员的管理，不会造成大的负面影响。 </w:t>
      </w:r>
    </w:p>
    <w:p w14:paraId="6F51D664">
      <w:pPr>
        <w:ind w:firstLine="480"/>
      </w:pPr>
      <w:r>
        <w:rPr>
          <w:kern w:val="0"/>
          <w:szCs w:val="24"/>
          <w:lang w:bidi="ar"/>
        </w:rPr>
        <w:t xml:space="preserve">3、土地利用变化   </w:t>
      </w:r>
    </w:p>
    <w:p w14:paraId="208518AE">
      <w:pPr>
        <w:ind w:firstLine="480"/>
      </w:pPr>
      <w:r>
        <w:rPr>
          <w:kern w:val="0"/>
          <w:szCs w:val="24"/>
          <w:lang w:bidi="ar"/>
        </w:rPr>
        <w:t xml:space="preserve">本项目的建设，改变了土地利用类型，使天然草地、林地变为工业用地，改变了当地的生态系统，使生态系统的组成和结构发生了根本变化。 </w:t>
      </w:r>
    </w:p>
    <w:p w14:paraId="0DA71A69">
      <w:pPr>
        <w:ind w:firstLine="480"/>
      </w:pPr>
      <w:r>
        <w:rPr>
          <w:kern w:val="0"/>
          <w:szCs w:val="24"/>
          <w:lang w:bidi="ar"/>
        </w:rPr>
        <w:t xml:space="preserve">4、建设期对保护区的影响 </w:t>
      </w:r>
    </w:p>
    <w:p w14:paraId="5930C2BC">
      <w:pPr>
        <w:ind w:firstLine="480"/>
      </w:pPr>
      <w:r>
        <w:rPr>
          <w:kern w:val="0"/>
          <w:szCs w:val="24"/>
          <w:lang w:bidi="ar"/>
        </w:rPr>
        <w:t xml:space="preserve">（1）本项目的建设严格要求不在保护区内建设，加强施工管理，尽量缩小施工范围，各种施工活动应严格控制在施工区域内，将对保护区的影响控制在最低限度。 </w:t>
      </w:r>
    </w:p>
    <w:p w14:paraId="3F7C3BDC">
      <w:pPr>
        <w:ind w:firstLine="480"/>
      </w:pPr>
      <w:r>
        <w:rPr>
          <w:kern w:val="0"/>
          <w:szCs w:val="24"/>
          <w:lang w:bidi="ar"/>
        </w:rPr>
        <w:t xml:space="preserve">（2）严格落实水土流失防治措施，对于已经结束施工的区域清理现场，完成地面硬化或绿化工作，减少水土流失。 </w:t>
      </w:r>
    </w:p>
    <w:p w14:paraId="5F4AF26C">
      <w:pPr>
        <w:ind w:firstLine="480"/>
      </w:pPr>
      <w:r>
        <w:rPr>
          <w:kern w:val="0"/>
          <w:szCs w:val="24"/>
          <w:lang w:bidi="ar"/>
        </w:rPr>
        <w:t>（</w:t>
      </w:r>
      <w:r>
        <w:rPr>
          <w:rFonts w:hint="eastAsia"/>
          <w:kern w:val="0"/>
          <w:szCs w:val="24"/>
          <w:lang w:bidi="ar"/>
        </w:rPr>
        <w:t>3</w:t>
      </w:r>
      <w:r>
        <w:rPr>
          <w:kern w:val="0"/>
          <w:szCs w:val="24"/>
          <w:lang w:bidi="ar"/>
        </w:rPr>
        <w:t>）对项目施工期排放废水</w:t>
      </w:r>
      <w:r>
        <w:t>排入现场简易防渗化粪池内，施工结束后清掏至堆粪平台堆肥。</w:t>
      </w:r>
      <w:r>
        <w:rPr>
          <w:kern w:val="0"/>
          <w:szCs w:val="24"/>
          <w:lang w:bidi="ar"/>
        </w:rPr>
        <w:t xml:space="preserve"> </w:t>
      </w:r>
    </w:p>
    <w:p w14:paraId="2BC3E386">
      <w:pPr>
        <w:ind w:firstLine="480"/>
      </w:pPr>
      <w:r>
        <w:rPr>
          <w:rFonts w:hint="eastAsia"/>
          <w:kern w:val="0"/>
          <w:szCs w:val="24"/>
          <w:lang w:bidi="ar"/>
        </w:rPr>
        <w:t>（4）</w:t>
      </w:r>
      <w:r>
        <w:rPr>
          <w:kern w:val="0"/>
          <w:szCs w:val="24"/>
          <w:lang w:bidi="ar"/>
        </w:rPr>
        <w:t xml:space="preserve">加强施工人员生活垃圾集中处置管理，定期送交当地环卫部门处理，企业承担相应费用。 </w:t>
      </w:r>
    </w:p>
    <w:p w14:paraId="5807071D">
      <w:pPr>
        <w:ind w:firstLine="480"/>
        <w:rPr>
          <w:kern w:val="0"/>
          <w:szCs w:val="24"/>
          <w:lang w:bidi="ar"/>
        </w:rPr>
      </w:pPr>
      <w:r>
        <w:rPr>
          <w:rFonts w:hint="eastAsia"/>
          <w:kern w:val="0"/>
          <w:szCs w:val="24"/>
          <w:lang w:bidi="ar"/>
        </w:rPr>
        <w:t>（5）</w:t>
      </w:r>
      <w:r>
        <w:rPr>
          <w:kern w:val="0"/>
          <w:szCs w:val="24"/>
          <w:lang w:bidi="ar"/>
        </w:rPr>
        <w:t>购买洒水车，施工洒水要及时、到位。</w:t>
      </w:r>
    </w:p>
    <w:p w14:paraId="5F45F39C">
      <w:pPr>
        <w:ind w:firstLine="480"/>
      </w:pPr>
      <w:r>
        <w:rPr>
          <w:rFonts w:hint="eastAsia"/>
          <w:kern w:val="0"/>
          <w:szCs w:val="24"/>
          <w:lang w:bidi="ar"/>
        </w:rPr>
        <w:t>（6）</w:t>
      </w:r>
      <w:r>
        <w:rPr>
          <w:kern w:val="0"/>
          <w:szCs w:val="24"/>
          <w:lang w:bidi="ar"/>
        </w:rPr>
        <w:t xml:space="preserve">应在本项目厂区靠近保护区一侧设置围栏，阻挡施工人员进入保护区，加强宣传教育，严禁本厂工人和外来人员从本厂属范围进入保护区，严禁将垃圾排入保护区。在显眼的位置设置警示牌，提示施工人员禁止进入保护区。 </w:t>
      </w:r>
    </w:p>
    <w:p w14:paraId="50D44B78">
      <w:pPr>
        <w:ind w:firstLine="480"/>
      </w:pPr>
      <w:r>
        <w:rPr>
          <w:kern w:val="0"/>
          <w:szCs w:val="24"/>
          <w:lang w:bidi="ar"/>
        </w:rPr>
        <w:t xml:space="preserve">（7）施工期运输车辆不能进入保护区。 </w:t>
      </w:r>
    </w:p>
    <w:p w14:paraId="6256E9CA">
      <w:pPr>
        <w:pStyle w:val="10"/>
      </w:pPr>
      <w:bookmarkStart w:id="370" w:name="_Toc166572323"/>
      <w:bookmarkStart w:id="371" w:name="_Toc36234658"/>
      <w:bookmarkStart w:id="372" w:name="_Toc479341169"/>
      <w:r>
        <w:t>5.2运营期环境影响预测与分析</w:t>
      </w:r>
      <w:bookmarkEnd w:id="370"/>
      <w:bookmarkEnd w:id="371"/>
      <w:bookmarkEnd w:id="372"/>
    </w:p>
    <w:p w14:paraId="5E26D3F4">
      <w:pPr>
        <w:pStyle w:val="11"/>
      </w:pPr>
      <w:bookmarkStart w:id="373" w:name="_Toc166572324"/>
      <w:r>
        <w:t>5.2.1气象资料</w:t>
      </w:r>
      <w:bookmarkEnd w:id="373"/>
    </w:p>
    <w:p w14:paraId="62DEF0BF">
      <w:pPr>
        <w:pStyle w:val="104"/>
      </w:pPr>
      <w:r>
        <w:t>项目位于内蒙古鄂尔多斯市鄂托克旗蒙西镇伊克布拉格嘎查，本次评价采用地面距离最近的乌海市气象站数据。乌海市气象局位于海勃湾区，地理位置坐标为北纬39°48′，东经106°48′，观测场海拔高度1105.6m，2003年12月31日迁站前位于乌海市渤海湾区“市区”，地理位置坐标为北纬39°41′，东经106°49′，观测场海拔高度1091.6m。迁站前两地做了同步气象因子比对观测，经国家气象局审批准予迁站。项目气象资料利用乌海市气象站数据。</w:t>
      </w:r>
    </w:p>
    <w:p w14:paraId="0B914289">
      <w:pPr>
        <w:pStyle w:val="12"/>
      </w:pPr>
      <w:bookmarkStart w:id="374" w:name="_Toc89169917"/>
      <w:bookmarkStart w:id="375" w:name="_Toc231058801"/>
      <w:bookmarkStart w:id="376" w:name="_Toc89232723"/>
      <w:bookmarkStart w:id="377" w:name="_Toc249407498"/>
      <w:bookmarkStart w:id="378" w:name="_Toc249964389"/>
      <w:bookmarkStart w:id="379" w:name="_Toc225053635"/>
      <w:bookmarkStart w:id="380" w:name="_Toc224927968"/>
      <w:bookmarkStart w:id="381" w:name="_Toc144827935"/>
      <w:bookmarkStart w:id="382" w:name="_Toc249964080"/>
      <w:bookmarkStart w:id="383" w:name="_Toc224617183"/>
      <w:bookmarkStart w:id="384" w:name="_Toc148841377"/>
      <w:bookmarkStart w:id="385" w:name="_Toc224959426"/>
      <w:bookmarkStart w:id="386" w:name="_Toc88996269"/>
      <w:bookmarkStart w:id="387" w:name="_Toc296529247"/>
      <w:bookmarkStart w:id="388" w:name="_Toc140378373"/>
      <w:bookmarkStart w:id="389" w:name="_Toc226660200"/>
      <w:bookmarkStart w:id="390" w:name="_Toc301454829"/>
      <w:bookmarkStart w:id="391" w:name="_Toc104635699"/>
      <w:bookmarkStart w:id="392" w:name="_Toc286955676"/>
      <w:bookmarkStart w:id="393" w:name="_Toc249354853"/>
      <w:r>
        <w:t>5.2.1.1气候特征</w:t>
      </w:r>
    </w:p>
    <w:p w14:paraId="030DC058">
      <w:pPr>
        <w:pStyle w:val="104"/>
      </w:pPr>
      <w:r>
        <w:t>项目选用的地面气象资料来源于乌海市气象局近30年（1992～2022年）的气象数据。乌海气象站地处内蒙古自治区乌海市海勃湾区“飞机场”（郊区），地理坐标为39º48′N，106º48′E，观测场拔海高度1105.6米。该地属于中温带半干旱大陆性季风气候。其气候特征主要表现为冬季漫长寒冷、春季干旱多风、夏季短促、秋季气温剧降。根据乌海地区近三十年的气象资料显示：乌海地区年平均气温为10.1℃，极端最高气温为40.2℃，极端最低气温为-28.9℃；年平均气压为891.6hPa；年平均相对湿度为41%；年降水量为161.0mm，年极端最高降水量为264.4mm；年蒸发量为3025.1mm。年平均风速为2.7m/s，年主导风向为SSE风，其出现频率为10.9%，SE风的出现频率也较高，为7.6%，静风的年出现频率为15.0%。全年以SSE方向的风平均风速最大，为4.2m/s。</w:t>
      </w:r>
    </w:p>
    <w:p w14:paraId="05379301">
      <w:pPr>
        <w:pStyle w:val="104"/>
      </w:pPr>
      <w:r>
        <w:t>乌海气象站近30年气象要素特征见表5.2-1。</w:t>
      </w:r>
    </w:p>
    <w:p w14:paraId="42279D35">
      <w:pPr>
        <w:pStyle w:val="756"/>
      </w:pPr>
      <w:r>
        <w:t>表5.2-1  乌海市气象站近30年气象要素特征表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2314"/>
        <w:gridCol w:w="776"/>
        <w:gridCol w:w="841"/>
        <w:gridCol w:w="776"/>
        <w:gridCol w:w="2058"/>
        <w:gridCol w:w="776"/>
        <w:gridCol w:w="969"/>
      </w:tblGrid>
      <w:tr w14:paraId="443A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62C354D0">
            <w:pPr>
              <w:pStyle w:val="751"/>
              <w:rPr>
                <w:color w:val="auto"/>
              </w:rPr>
            </w:pPr>
            <w:r>
              <w:rPr>
                <w:color w:val="auto"/>
              </w:rPr>
              <w:t>序号</w:t>
            </w:r>
          </w:p>
        </w:tc>
        <w:tc>
          <w:tcPr>
            <w:tcW w:w="1246" w:type="pct"/>
            <w:vAlign w:val="center"/>
          </w:tcPr>
          <w:p w14:paraId="51892C41">
            <w:pPr>
              <w:pStyle w:val="751"/>
              <w:rPr>
                <w:color w:val="auto"/>
              </w:rPr>
            </w:pPr>
            <w:r>
              <w:rPr>
                <w:color w:val="auto"/>
              </w:rPr>
              <w:t>项目</w:t>
            </w:r>
          </w:p>
        </w:tc>
        <w:tc>
          <w:tcPr>
            <w:tcW w:w="418" w:type="pct"/>
            <w:vAlign w:val="center"/>
          </w:tcPr>
          <w:p w14:paraId="71789ABC">
            <w:pPr>
              <w:pStyle w:val="751"/>
              <w:rPr>
                <w:color w:val="auto"/>
              </w:rPr>
            </w:pPr>
            <w:r>
              <w:rPr>
                <w:color w:val="auto"/>
              </w:rPr>
              <w:t>单位</w:t>
            </w:r>
          </w:p>
        </w:tc>
        <w:tc>
          <w:tcPr>
            <w:tcW w:w="453" w:type="pct"/>
            <w:vAlign w:val="center"/>
          </w:tcPr>
          <w:p w14:paraId="2B637B20">
            <w:pPr>
              <w:pStyle w:val="751"/>
              <w:rPr>
                <w:color w:val="auto"/>
              </w:rPr>
            </w:pPr>
            <w:r>
              <w:rPr>
                <w:color w:val="auto"/>
              </w:rPr>
              <w:t>数据</w:t>
            </w:r>
          </w:p>
        </w:tc>
        <w:tc>
          <w:tcPr>
            <w:tcW w:w="418" w:type="pct"/>
            <w:vAlign w:val="center"/>
          </w:tcPr>
          <w:p w14:paraId="019C905A">
            <w:pPr>
              <w:pStyle w:val="751"/>
              <w:rPr>
                <w:color w:val="auto"/>
              </w:rPr>
            </w:pPr>
            <w:r>
              <w:rPr>
                <w:color w:val="auto"/>
              </w:rPr>
              <w:t>序号</w:t>
            </w:r>
          </w:p>
        </w:tc>
        <w:tc>
          <w:tcPr>
            <w:tcW w:w="1108" w:type="pct"/>
            <w:vAlign w:val="center"/>
          </w:tcPr>
          <w:p w14:paraId="3A7FD8A5">
            <w:pPr>
              <w:pStyle w:val="751"/>
              <w:rPr>
                <w:color w:val="auto"/>
              </w:rPr>
            </w:pPr>
            <w:r>
              <w:rPr>
                <w:color w:val="auto"/>
              </w:rPr>
              <w:t>项目</w:t>
            </w:r>
          </w:p>
        </w:tc>
        <w:tc>
          <w:tcPr>
            <w:tcW w:w="418" w:type="pct"/>
            <w:vAlign w:val="center"/>
          </w:tcPr>
          <w:p w14:paraId="3F568645">
            <w:pPr>
              <w:pStyle w:val="751"/>
              <w:rPr>
                <w:color w:val="auto"/>
              </w:rPr>
            </w:pPr>
            <w:r>
              <w:rPr>
                <w:color w:val="auto"/>
              </w:rPr>
              <w:t>单位</w:t>
            </w:r>
          </w:p>
        </w:tc>
        <w:tc>
          <w:tcPr>
            <w:tcW w:w="522" w:type="pct"/>
            <w:vAlign w:val="center"/>
          </w:tcPr>
          <w:p w14:paraId="0CED5A09">
            <w:pPr>
              <w:pStyle w:val="751"/>
              <w:rPr>
                <w:color w:val="auto"/>
              </w:rPr>
            </w:pPr>
            <w:r>
              <w:rPr>
                <w:color w:val="auto"/>
              </w:rPr>
              <w:t>数据</w:t>
            </w:r>
          </w:p>
        </w:tc>
      </w:tr>
      <w:tr w14:paraId="02C2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409FC964">
            <w:pPr>
              <w:pStyle w:val="751"/>
              <w:rPr>
                <w:color w:val="auto"/>
              </w:rPr>
            </w:pPr>
            <w:r>
              <w:rPr>
                <w:color w:val="auto"/>
              </w:rPr>
              <w:t>1</w:t>
            </w:r>
          </w:p>
        </w:tc>
        <w:tc>
          <w:tcPr>
            <w:tcW w:w="1246" w:type="pct"/>
            <w:vAlign w:val="center"/>
          </w:tcPr>
          <w:p w14:paraId="51CC718A">
            <w:pPr>
              <w:pStyle w:val="751"/>
              <w:rPr>
                <w:color w:val="auto"/>
              </w:rPr>
            </w:pPr>
            <w:r>
              <w:rPr>
                <w:color w:val="auto"/>
              </w:rPr>
              <w:t>年平均气温</w:t>
            </w:r>
          </w:p>
        </w:tc>
        <w:tc>
          <w:tcPr>
            <w:tcW w:w="418" w:type="pct"/>
            <w:vAlign w:val="center"/>
          </w:tcPr>
          <w:p w14:paraId="62228E22">
            <w:pPr>
              <w:pStyle w:val="751"/>
              <w:rPr>
                <w:color w:val="auto"/>
              </w:rPr>
            </w:pPr>
            <w:r>
              <w:rPr>
                <w:color w:val="auto"/>
              </w:rPr>
              <w:t>℃</w:t>
            </w:r>
          </w:p>
        </w:tc>
        <w:tc>
          <w:tcPr>
            <w:tcW w:w="453" w:type="pct"/>
            <w:vAlign w:val="center"/>
          </w:tcPr>
          <w:p w14:paraId="3BC74DDA">
            <w:pPr>
              <w:pStyle w:val="751"/>
              <w:rPr>
                <w:color w:val="auto"/>
              </w:rPr>
            </w:pPr>
            <w:r>
              <w:rPr>
                <w:color w:val="auto"/>
              </w:rPr>
              <w:t>10.1</w:t>
            </w:r>
          </w:p>
        </w:tc>
        <w:tc>
          <w:tcPr>
            <w:tcW w:w="418" w:type="pct"/>
            <w:vAlign w:val="center"/>
          </w:tcPr>
          <w:p w14:paraId="12E810CE">
            <w:pPr>
              <w:pStyle w:val="751"/>
              <w:rPr>
                <w:color w:val="auto"/>
              </w:rPr>
            </w:pPr>
            <w:r>
              <w:rPr>
                <w:color w:val="auto"/>
              </w:rPr>
              <w:t>9</w:t>
            </w:r>
          </w:p>
        </w:tc>
        <w:tc>
          <w:tcPr>
            <w:tcW w:w="1108" w:type="pct"/>
            <w:vAlign w:val="center"/>
          </w:tcPr>
          <w:p w14:paraId="09C0C729">
            <w:pPr>
              <w:pStyle w:val="751"/>
              <w:rPr>
                <w:color w:val="auto"/>
              </w:rPr>
            </w:pPr>
            <w:r>
              <w:rPr>
                <w:color w:val="auto"/>
              </w:rPr>
              <w:t>年日照时数</w:t>
            </w:r>
          </w:p>
        </w:tc>
        <w:tc>
          <w:tcPr>
            <w:tcW w:w="418" w:type="pct"/>
            <w:vAlign w:val="center"/>
          </w:tcPr>
          <w:p w14:paraId="62366A54">
            <w:pPr>
              <w:pStyle w:val="751"/>
              <w:rPr>
                <w:color w:val="auto"/>
              </w:rPr>
            </w:pPr>
            <w:r>
              <w:rPr>
                <w:color w:val="auto"/>
              </w:rPr>
              <w:t>h</w:t>
            </w:r>
          </w:p>
        </w:tc>
        <w:tc>
          <w:tcPr>
            <w:tcW w:w="522" w:type="pct"/>
            <w:vAlign w:val="center"/>
          </w:tcPr>
          <w:p w14:paraId="17633F3A">
            <w:pPr>
              <w:pStyle w:val="751"/>
              <w:rPr>
                <w:color w:val="auto"/>
              </w:rPr>
            </w:pPr>
            <w:r>
              <w:rPr>
                <w:color w:val="auto"/>
              </w:rPr>
              <w:t>3176.6</w:t>
            </w:r>
          </w:p>
        </w:tc>
      </w:tr>
      <w:tr w14:paraId="7AFA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1E5E3989">
            <w:pPr>
              <w:pStyle w:val="751"/>
              <w:rPr>
                <w:color w:val="auto"/>
              </w:rPr>
            </w:pPr>
            <w:r>
              <w:rPr>
                <w:color w:val="auto"/>
              </w:rPr>
              <w:t>2</w:t>
            </w:r>
          </w:p>
        </w:tc>
        <w:tc>
          <w:tcPr>
            <w:tcW w:w="1246" w:type="pct"/>
            <w:vAlign w:val="center"/>
          </w:tcPr>
          <w:p w14:paraId="3F908DB4">
            <w:pPr>
              <w:pStyle w:val="751"/>
              <w:rPr>
                <w:color w:val="auto"/>
              </w:rPr>
            </w:pPr>
            <w:r>
              <w:rPr>
                <w:color w:val="auto"/>
              </w:rPr>
              <w:t>极端最高气温</w:t>
            </w:r>
          </w:p>
        </w:tc>
        <w:tc>
          <w:tcPr>
            <w:tcW w:w="418" w:type="pct"/>
            <w:vAlign w:val="center"/>
          </w:tcPr>
          <w:p w14:paraId="7E0BAF5A">
            <w:pPr>
              <w:pStyle w:val="751"/>
              <w:rPr>
                <w:color w:val="auto"/>
              </w:rPr>
            </w:pPr>
            <w:r>
              <w:rPr>
                <w:color w:val="auto"/>
              </w:rPr>
              <w:t>℃</w:t>
            </w:r>
          </w:p>
        </w:tc>
        <w:tc>
          <w:tcPr>
            <w:tcW w:w="453" w:type="pct"/>
            <w:vAlign w:val="center"/>
          </w:tcPr>
          <w:p w14:paraId="506FF7CE">
            <w:pPr>
              <w:pStyle w:val="751"/>
              <w:rPr>
                <w:color w:val="auto"/>
              </w:rPr>
            </w:pPr>
            <w:r>
              <w:rPr>
                <w:color w:val="auto"/>
              </w:rPr>
              <w:t>40.2</w:t>
            </w:r>
          </w:p>
        </w:tc>
        <w:tc>
          <w:tcPr>
            <w:tcW w:w="418" w:type="pct"/>
            <w:vAlign w:val="center"/>
          </w:tcPr>
          <w:p w14:paraId="3AB71518">
            <w:pPr>
              <w:pStyle w:val="751"/>
              <w:rPr>
                <w:color w:val="auto"/>
              </w:rPr>
            </w:pPr>
            <w:r>
              <w:rPr>
                <w:color w:val="auto"/>
              </w:rPr>
              <w:t>10</w:t>
            </w:r>
          </w:p>
        </w:tc>
        <w:tc>
          <w:tcPr>
            <w:tcW w:w="1108" w:type="pct"/>
            <w:vAlign w:val="center"/>
          </w:tcPr>
          <w:p w14:paraId="606BC6A8">
            <w:pPr>
              <w:pStyle w:val="751"/>
              <w:rPr>
                <w:color w:val="auto"/>
              </w:rPr>
            </w:pPr>
            <w:r>
              <w:rPr>
                <w:color w:val="auto"/>
              </w:rPr>
              <w:t>年最大冻土深度</w:t>
            </w:r>
          </w:p>
        </w:tc>
        <w:tc>
          <w:tcPr>
            <w:tcW w:w="418" w:type="pct"/>
            <w:vAlign w:val="center"/>
          </w:tcPr>
          <w:p w14:paraId="0E3F32EC">
            <w:pPr>
              <w:pStyle w:val="751"/>
              <w:rPr>
                <w:color w:val="auto"/>
              </w:rPr>
            </w:pPr>
            <w:r>
              <w:rPr>
                <w:color w:val="auto"/>
              </w:rPr>
              <w:t>cm</w:t>
            </w:r>
          </w:p>
        </w:tc>
        <w:tc>
          <w:tcPr>
            <w:tcW w:w="522" w:type="pct"/>
            <w:vAlign w:val="center"/>
          </w:tcPr>
          <w:p w14:paraId="2A22127D">
            <w:pPr>
              <w:pStyle w:val="751"/>
              <w:rPr>
                <w:color w:val="auto"/>
              </w:rPr>
            </w:pPr>
            <w:r>
              <w:rPr>
                <w:color w:val="auto"/>
              </w:rPr>
              <w:t>108</w:t>
            </w:r>
          </w:p>
        </w:tc>
      </w:tr>
      <w:tr w14:paraId="6901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4121C827">
            <w:pPr>
              <w:pStyle w:val="751"/>
              <w:rPr>
                <w:color w:val="auto"/>
              </w:rPr>
            </w:pPr>
            <w:r>
              <w:rPr>
                <w:color w:val="auto"/>
              </w:rPr>
              <w:t>3</w:t>
            </w:r>
          </w:p>
        </w:tc>
        <w:tc>
          <w:tcPr>
            <w:tcW w:w="1246" w:type="pct"/>
            <w:vAlign w:val="center"/>
          </w:tcPr>
          <w:p w14:paraId="7243FB2B">
            <w:pPr>
              <w:pStyle w:val="751"/>
              <w:rPr>
                <w:color w:val="auto"/>
              </w:rPr>
            </w:pPr>
            <w:r>
              <w:rPr>
                <w:color w:val="auto"/>
              </w:rPr>
              <w:t>极端最低气温</w:t>
            </w:r>
          </w:p>
        </w:tc>
        <w:tc>
          <w:tcPr>
            <w:tcW w:w="418" w:type="pct"/>
            <w:vAlign w:val="center"/>
          </w:tcPr>
          <w:p w14:paraId="62973272">
            <w:pPr>
              <w:pStyle w:val="751"/>
              <w:rPr>
                <w:color w:val="auto"/>
              </w:rPr>
            </w:pPr>
            <w:r>
              <w:rPr>
                <w:color w:val="auto"/>
              </w:rPr>
              <w:t>℃</w:t>
            </w:r>
          </w:p>
        </w:tc>
        <w:tc>
          <w:tcPr>
            <w:tcW w:w="453" w:type="pct"/>
            <w:vAlign w:val="center"/>
          </w:tcPr>
          <w:p w14:paraId="71FF5C48">
            <w:pPr>
              <w:pStyle w:val="751"/>
              <w:rPr>
                <w:color w:val="auto"/>
              </w:rPr>
            </w:pPr>
            <w:r>
              <w:rPr>
                <w:color w:val="auto"/>
              </w:rPr>
              <w:t>-28.9</w:t>
            </w:r>
          </w:p>
        </w:tc>
        <w:tc>
          <w:tcPr>
            <w:tcW w:w="418" w:type="pct"/>
            <w:vAlign w:val="center"/>
          </w:tcPr>
          <w:p w14:paraId="63A80D18">
            <w:pPr>
              <w:pStyle w:val="751"/>
              <w:rPr>
                <w:color w:val="auto"/>
              </w:rPr>
            </w:pPr>
            <w:r>
              <w:rPr>
                <w:color w:val="auto"/>
              </w:rPr>
              <w:t>11</w:t>
            </w:r>
          </w:p>
        </w:tc>
        <w:tc>
          <w:tcPr>
            <w:tcW w:w="1108" w:type="pct"/>
            <w:vAlign w:val="center"/>
          </w:tcPr>
          <w:p w14:paraId="7EDF202E">
            <w:pPr>
              <w:pStyle w:val="751"/>
              <w:rPr>
                <w:color w:val="auto"/>
              </w:rPr>
            </w:pPr>
            <w:r>
              <w:rPr>
                <w:color w:val="auto"/>
              </w:rPr>
              <w:t>年最大积雪深度</w:t>
            </w:r>
          </w:p>
        </w:tc>
        <w:tc>
          <w:tcPr>
            <w:tcW w:w="418" w:type="pct"/>
            <w:vAlign w:val="center"/>
          </w:tcPr>
          <w:p w14:paraId="402B67D2">
            <w:pPr>
              <w:pStyle w:val="751"/>
              <w:rPr>
                <w:color w:val="auto"/>
              </w:rPr>
            </w:pPr>
            <w:r>
              <w:rPr>
                <w:color w:val="auto"/>
              </w:rPr>
              <w:t>cm</w:t>
            </w:r>
          </w:p>
        </w:tc>
        <w:tc>
          <w:tcPr>
            <w:tcW w:w="522" w:type="pct"/>
            <w:vAlign w:val="center"/>
          </w:tcPr>
          <w:p w14:paraId="79B6E590">
            <w:pPr>
              <w:pStyle w:val="751"/>
              <w:rPr>
                <w:color w:val="auto"/>
              </w:rPr>
            </w:pPr>
            <w:r>
              <w:rPr>
                <w:color w:val="auto"/>
              </w:rPr>
              <w:t>8</w:t>
            </w:r>
          </w:p>
        </w:tc>
      </w:tr>
      <w:tr w14:paraId="2270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1E017F80">
            <w:pPr>
              <w:pStyle w:val="751"/>
              <w:rPr>
                <w:color w:val="auto"/>
              </w:rPr>
            </w:pPr>
            <w:r>
              <w:rPr>
                <w:color w:val="auto"/>
              </w:rPr>
              <w:t>4</w:t>
            </w:r>
          </w:p>
        </w:tc>
        <w:tc>
          <w:tcPr>
            <w:tcW w:w="1246" w:type="pct"/>
            <w:vAlign w:val="center"/>
          </w:tcPr>
          <w:p w14:paraId="2F9020AA">
            <w:pPr>
              <w:pStyle w:val="751"/>
              <w:rPr>
                <w:color w:val="auto"/>
              </w:rPr>
            </w:pPr>
            <w:r>
              <w:rPr>
                <w:color w:val="auto"/>
              </w:rPr>
              <w:t>年平均气压</w:t>
            </w:r>
          </w:p>
        </w:tc>
        <w:tc>
          <w:tcPr>
            <w:tcW w:w="418" w:type="pct"/>
            <w:vAlign w:val="center"/>
          </w:tcPr>
          <w:p w14:paraId="5CC64812">
            <w:pPr>
              <w:pStyle w:val="751"/>
              <w:rPr>
                <w:color w:val="auto"/>
              </w:rPr>
            </w:pPr>
            <w:r>
              <w:rPr>
                <w:color w:val="auto"/>
              </w:rPr>
              <w:t>hPa</w:t>
            </w:r>
          </w:p>
        </w:tc>
        <w:tc>
          <w:tcPr>
            <w:tcW w:w="453" w:type="pct"/>
            <w:vAlign w:val="center"/>
          </w:tcPr>
          <w:p w14:paraId="6C5F56AA">
            <w:pPr>
              <w:pStyle w:val="751"/>
              <w:rPr>
                <w:color w:val="auto"/>
              </w:rPr>
            </w:pPr>
            <w:r>
              <w:rPr>
                <w:color w:val="auto"/>
              </w:rPr>
              <w:t>891.6</w:t>
            </w:r>
          </w:p>
        </w:tc>
        <w:tc>
          <w:tcPr>
            <w:tcW w:w="418" w:type="pct"/>
            <w:vAlign w:val="center"/>
          </w:tcPr>
          <w:p w14:paraId="04D4A33D">
            <w:pPr>
              <w:pStyle w:val="751"/>
              <w:rPr>
                <w:color w:val="auto"/>
              </w:rPr>
            </w:pPr>
            <w:r>
              <w:rPr>
                <w:color w:val="auto"/>
              </w:rPr>
              <w:t>12</w:t>
            </w:r>
          </w:p>
        </w:tc>
        <w:tc>
          <w:tcPr>
            <w:tcW w:w="1108" w:type="pct"/>
            <w:vAlign w:val="center"/>
          </w:tcPr>
          <w:p w14:paraId="5F4F2167">
            <w:pPr>
              <w:pStyle w:val="751"/>
              <w:rPr>
                <w:color w:val="auto"/>
              </w:rPr>
            </w:pPr>
            <w:r>
              <w:rPr>
                <w:color w:val="auto"/>
              </w:rPr>
              <w:t>年沙暴日数</w:t>
            </w:r>
          </w:p>
        </w:tc>
        <w:tc>
          <w:tcPr>
            <w:tcW w:w="418" w:type="pct"/>
            <w:vAlign w:val="center"/>
          </w:tcPr>
          <w:p w14:paraId="62658B95">
            <w:pPr>
              <w:pStyle w:val="751"/>
              <w:rPr>
                <w:color w:val="auto"/>
              </w:rPr>
            </w:pPr>
            <w:r>
              <w:rPr>
                <w:color w:val="auto"/>
              </w:rPr>
              <w:t>天</w:t>
            </w:r>
          </w:p>
        </w:tc>
        <w:tc>
          <w:tcPr>
            <w:tcW w:w="522" w:type="pct"/>
            <w:vAlign w:val="center"/>
          </w:tcPr>
          <w:p w14:paraId="379E279F">
            <w:pPr>
              <w:pStyle w:val="751"/>
              <w:rPr>
                <w:color w:val="auto"/>
              </w:rPr>
            </w:pPr>
            <w:r>
              <w:rPr>
                <w:color w:val="auto"/>
              </w:rPr>
              <w:t>7.6</w:t>
            </w:r>
          </w:p>
        </w:tc>
      </w:tr>
      <w:tr w14:paraId="02DB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636E42A6">
            <w:pPr>
              <w:pStyle w:val="751"/>
              <w:rPr>
                <w:color w:val="auto"/>
              </w:rPr>
            </w:pPr>
            <w:r>
              <w:rPr>
                <w:color w:val="auto"/>
              </w:rPr>
              <w:t>5</w:t>
            </w:r>
          </w:p>
        </w:tc>
        <w:tc>
          <w:tcPr>
            <w:tcW w:w="1246" w:type="pct"/>
            <w:vAlign w:val="center"/>
          </w:tcPr>
          <w:p w14:paraId="2E272A7D">
            <w:pPr>
              <w:pStyle w:val="751"/>
              <w:rPr>
                <w:color w:val="auto"/>
              </w:rPr>
            </w:pPr>
            <w:r>
              <w:rPr>
                <w:color w:val="auto"/>
              </w:rPr>
              <w:t>年平均相对湿度</w:t>
            </w:r>
          </w:p>
        </w:tc>
        <w:tc>
          <w:tcPr>
            <w:tcW w:w="418" w:type="pct"/>
            <w:vAlign w:val="center"/>
          </w:tcPr>
          <w:p w14:paraId="7A49C9E8">
            <w:pPr>
              <w:pStyle w:val="751"/>
              <w:rPr>
                <w:color w:val="auto"/>
              </w:rPr>
            </w:pPr>
            <w:r>
              <w:rPr>
                <w:color w:val="auto"/>
              </w:rPr>
              <w:t>%</w:t>
            </w:r>
          </w:p>
        </w:tc>
        <w:tc>
          <w:tcPr>
            <w:tcW w:w="453" w:type="pct"/>
            <w:vAlign w:val="center"/>
          </w:tcPr>
          <w:p w14:paraId="221FCEAD">
            <w:pPr>
              <w:pStyle w:val="751"/>
              <w:rPr>
                <w:color w:val="auto"/>
              </w:rPr>
            </w:pPr>
            <w:r>
              <w:rPr>
                <w:color w:val="auto"/>
              </w:rPr>
              <w:t>41</w:t>
            </w:r>
          </w:p>
        </w:tc>
        <w:tc>
          <w:tcPr>
            <w:tcW w:w="418" w:type="pct"/>
            <w:vAlign w:val="center"/>
          </w:tcPr>
          <w:p w14:paraId="50F208BE">
            <w:pPr>
              <w:pStyle w:val="751"/>
              <w:rPr>
                <w:color w:val="auto"/>
              </w:rPr>
            </w:pPr>
            <w:r>
              <w:rPr>
                <w:color w:val="auto"/>
              </w:rPr>
              <w:t>13</w:t>
            </w:r>
          </w:p>
        </w:tc>
        <w:tc>
          <w:tcPr>
            <w:tcW w:w="1108" w:type="pct"/>
            <w:vAlign w:val="center"/>
          </w:tcPr>
          <w:p w14:paraId="1CC9584B">
            <w:pPr>
              <w:pStyle w:val="751"/>
              <w:rPr>
                <w:color w:val="auto"/>
              </w:rPr>
            </w:pPr>
            <w:r>
              <w:rPr>
                <w:color w:val="auto"/>
              </w:rPr>
              <w:t>年雷暴日数</w:t>
            </w:r>
          </w:p>
        </w:tc>
        <w:tc>
          <w:tcPr>
            <w:tcW w:w="418" w:type="pct"/>
            <w:vAlign w:val="center"/>
          </w:tcPr>
          <w:p w14:paraId="7D75266C">
            <w:pPr>
              <w:pStyle w:val="751"/>
              <w:rPr>
                <w:color w:val="auto"/>
              </w:rPr>
            </w:pPr>
            <w:r>
              <w:rPr>
                <w:color w:val="auto"/>
              </w:rPr>
              <w:t>天</w:t>
            </w:r>
          </w:p>
        </w:tc>
        <w:tc>
          <w:tcPr>
            <w:tcW w:w="522" w:type="pct"/>
            <w:vAlign w:val="center"/>
          </w:tcPr>
          <w:p w14:paraId="4C9817AF">
            <w:pPr>
              <w:pStyle w:val="751"/>
              <w:rPr>
                <w:color w:val="auto"/>
              </w:rPr>
            </w:pPr>
            <w:r>
              <w:rPr>
                <w:color w:val="auto"/>
              </w:rPr>
              <w:t>18.2</w:t>
            </w:r>
          </w:p>
        </w:tc>
      </w:tr>
      <w:tr w14:paraId="42629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4EA8AB2A">
            <w:pPr>
              <w:pStyle w:val="751"/>
              <w:rPr>
                <w:color w:val="auto"/>
              </w:rPr>
            </w:pPr>
            <w:r>
              <w:rPr>
                <w:color w:val="auto"/>
              </w:rPr>
              <w:t>6</w:t>
            </w:r>
          </w:p>
        </w:tc>
        <w:tc>
          <w:tcPr>
            <w:tcW w:w="1246" w:type="pct"/>
            <w:vAlign w:val="center"/>
          </w:tcPr>
          <w:p w14:paraId="0B5C3D4A">
            <w:pPr>
              <w:pStyle w:val="751"/>
              <w:rPr>
                <w:color w:val="auto"/>
              </w:rPr>
            </w:pPr>
            <w:r>
              <w:rPr>
                <w:color w:val="auto"/>
              </w:rPr>
              <w:t>年平均水汽压</w:t>
            </w:r>
          </w:p>
        </w:tc>
        <w:tc>
          <w:tcPr>
            <w:tcW w:w="418" w:type="pct"/>
            <w:vAlign w:val="center"/>
          </w:tcPr>
          <w:p w14:paraId="3ED7F123">
            <w:pPr>
              <w:pStyle w:val="751"/>
              <w:rPr>
                <w:color w:val="auto"/>
              </w:rPr>
            </w:pPr>
            <w:r>
              <w:rPr>
                <w:color w:val="auto"/>
              </w:rPr>
              <w:t>hPa</w:t>
            </w:r>
          </w:p>
        </w:tc>
        <w:tc>
          <w:tcPr>
            <w:tcW w:w="453" w:type="pct"/>
            <w:vAlign w:val="center"/>
          </w:tcPr>
          <w:p w14:paraId="18F2129A">
            <w:pPr>
              <w:pStyle w:val="751"/>
              <w:rPr>
                <w:color w:val="auto"/>
              </w:rPr>
            </w:pPr>
            <w:r>
              <w:rPr>
                <w:color w:val="auto"/>
              </w:rPr>
              <w:t>6.0</w:t>
            </w:r>
          </w:p>
        </w:tc>
        <w:tc>
          <w:tcPr>
            <w:tcW w:w="418" w:type="pct"/>
            <w:vAlign w:val="center"/>
          </w:tcPr>
          <w:p w14:paraId="77D02274">
            <w:pPr>
              <w:pStyle w:val="751"/>
              <w:rPr>
                <w:color w:val="auto"/>
              </w:rPr>
            </w:pPr>
            <w:r>
              <w:rPr>
                <w:color w:val="auto"/>
              </w:rPr>
              <w:t>14</w:t>
            </w:r>
          </w:p>
        </w:tc>
        <w:tc>
          <w:tcPr>
            <w:tcW w:w="1108" w:type="pct"/>
            <w:vAlign w:val="center"/>
          </w:tcPr>
          <w:p w14:paraId="4221961E">
            <w:pPr>
              <w:pStyle w:val="751"/>
              <w:rPr>
                <w:color w:val="auto"/>
              </w:rPr>
            </w:pPr>
            <w:r>
              <w:rPr>
                <w:color w:val="auto"/>
              </w:rPr>
              <w:t>年冰雹日数</w:t>
            </w:r>
          </w:p>
        </w:tc>
        <w:tc>
          <w:tcPr>
            <w:tcW w:w="418" w:type="pct"/>
            <w:vAlign w:val="center"/>
          </w:tcPr>
          <w:p w14:paraId="4CF97EBD">
            <w:pPr>
              <w:pStyle w:val="751"/>
              <w:rPr>
                <w:color w:val="auto"/>
              </w:rPr>
            </w:pPr>
            <w:r>
              <w:rPr>
                <w:color w:val="auto"/>
              </w:rPr>
              <w:t>天</w:t>
            </w:r>
          </w:p>
        </w:tc>
        <w:tc>
          <w:tcPr>
            <w:tcW w:w="522" w:type="pct"/>
            <w:vAlign w:val="center"/>
          </w:tcPr>
          <w:p w14:paraId="54B3534A">
            <w:pPr>
              <w:pStyle w:val="751"/>
              <w:rPr>
                <w:color w:val="auto"/>
              </w:rPr>
            </w:pPr>
            <w:r>
              <w:rPr>
                <w:color w:val="auto"/>
              </w:rPr>
              <w:t>0.7</w:t>
            </w:r>
          </w:p>
        </w:tc>
      </w:tr>
      <w:tr w14:paraId="18FA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3BB08E74">
            <w:pPr>
              <w:pStyle w:val="751"/>
              <w:rPr>
                <w:color w:val="auto"/>
              </w:rPr>
            </w:pPr>
            <w:r>
              <w:rPr>
                <w:color w:val="auto"/>
              </w:rPr>
              <w:t>7</w:t>
            </w:r>
          </w:p>
        </w:tc>
        <w:tc>
          <w:tcPr>
            <w:tcW w:w="1246" w:type="pct"/>
            <w:vAlign w:val="center"/>
          </w:tcPr>
          <w:p w14:paraId="22DB691B">
            <w:pPr>
              <w:pStyle w:val="751"/>
              <w:rPr>
                <w:color w:val="auto"/>
              </w:rPr>
            </w:pPr>
            <w:r>
              <w:rPr>
                <w:color w:val="auto"/>
              </w:rPr>
              <w:t>年平均降水量</w:t>
            </w:r>
          </w:p>
        </w:tc>
        <w:tc>
          <w:tcPr>
            <w:tcW w:w="418" w:type="pct"/>
            <w:vAlign w:val="center"/>
          </w:tcPr>
          <w:p w14:paraId="571B7201">
            <w:pPr>
              <w:pStyle w:val="751"/>
              <w:rPr>
                <w:color w:val="auto"/>
              </w:rPr>
            </w:pPr>
            <w:r>
              <w:rPr>
                <w:color w:val="auto"/>
              </w:rPr>
              <w:t>mm</w:t>
            </w:r>
          </w:p>
        </w:tc>
        <w:tc>
          <w:tcPr>
            <w:tcW w:w="453" w:type="pct"/>
            <w:vAlign w:val="center"/>
          </w:tcPr>
          <w:p w14:paraId="4CF1F3C4">
            <w:pPr>
              <w:pStyle w:val="751"/>
              <w:rPr>
                <w:color w:val="auto"/>
              </w:rPr>
            </w:pPr>
            <w:r>
              <w:rPr>
                <w:color w:val="auto"/>
              </w:rPr>
              <w:t>161.0</w:t>
            </w:r>
          </w:p>
        </w:tc>
        <w:tc>
          <w:tcPr>
            <w:tcW w:w="418" w:type="pct"/>
            <w:vAlign w:val="center"/>
          </w:tcPr>
          <w:p w14:paraId="2BABB73E">
            <w:pPr>
              <w:pStyle w:val="751"/>
              <w:rPr>
                <w:color w:val="auto"/>
              </w:rPr>
            </w:pPr>
            <w:r>
              <w:rPr>
                <w:color w:val="auto"/>
              </w:rPr>
              <w:t>15</w:t>
            </w:r>
          </w:p>
        </w:tc>
        <w:tc>
          <w:tcPr>
            <w:tcW w:w="1108" w:type="pct"/>
            <w:vAlign w:val="center"/>
          </w:tcPr>
          <w:p w14:paraId="2DF1D5C8">
            <w:pPr>
              <w:pStyle w:val="751"/>
              <w:rPr>
                <w:color w:val="auto"/>
              </w:rPr>
            </w:pPr>
            <w:r>
              <w:rPr>
                <w:color w:val="auto"/>
              </w:rPr>
              <w:t>年平均蒸发量</w:t>
            </w:r>
          </w:p>
        </w:tc>
        <w:tc>
          <w:tcPr>
            <w:tcW w:w="418" w:type="pct"/>
            <w:vAlign w:val="center"/>
          </w:tcPr>
          <w:p w14:paraId="225762DF">
            <w:pPr>
              <w:pStyle w:val="751"/>
              <w:rPr>
                <w:color w:val="auto"/>
              </w:rPr>
            </w:pPr>
            <w:r>
              <w:rPr>
                <w:color w:val="auto"/>
              </w:rPr>
              <w:t>mm</w:t>
            </w:r>
          </w:p>
        </w:tc>
        <w:tc>
          <w:tcPr>
            <w:tcW w:w="522" w:type="pct"/>
            <w:vAlign w:val="center"/>
          </w:tcPr>
          <w:p w14:paraId="4CAC7B2A">
            <w:pPr>
              <w:pStyle w:val="751"/>
              <w:rPr>
                <w:color w:val="auto"/>
              </w:rPr>
            </w:pPr>
            <w:r>
              <w:rPr>
                <w:color w:val="auto"/>
              </w:rPr>
              <w:t>3025.1</w:t>
            </w:r>
          </w:p>
        </w:tc>
      </w:tr>
      <w:tr w14:paraId="5143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8" w:type="pct"/>
            <w:vAlign w:val="center"/>
          </w:tcPr>
          <w:p w14:paraId="668F72E0">
            <w:pPr>
              <w:pStyle w:val="751"/>
              <w:rPr>
                <w:color w:val="auto"/>
              </w:rPr>
            </w:pPr>
            <w:r>
              <w:rPr>
                <w:color w:val="auto"/>
              </w:rPr>
              <w:t>8</w:t>
            </w:r>
          </w:p>
        </w:tc>
        <w:tc>
          <w:tcPr>
            <w:tcW w:w="1246" w:type="pct"/>
            <w:vAlign w:val="center"/>
          </w:tcPr>
          <w:p w14:paraId="24D7EAE5">
            <w:pPr>
              <w:pStyle w:val="751"/>
              <w:rPr>
                <w:color w:val="auto"/>
              </w:rPr>
            </w:pPr>
            <w:r>
              <w:rPr>
                <w:color w:val="auto"/>
              </w:rPr>
              <w:t>年极端最高降水量</w:t>
            </w:r>
          </w:p>
        </w:tc>
        <w:tc>
          <w:tcPr>
            <w:tcW w:w="418" w:type="pct"/>
            <w:vAlign w:val="center"/>
          </w:tcPr>
          <w:p w14:paraId="345C2FC6">
            <w:pPr>
              <w:pStyle w:val="751"/>
              <w:rPr>
                <w:color w:val="auto"/>
              </w:rPr>
            </w:pPr>
            <w:r>
              <w:rPr>
                <w:color w:val="auto"/>
              </w:rPr>
              <w:t>mm</w:t>
            </w:r>
          </w:p>
        </w:tc>
        <w:tc>
          <w:tcPr>
            <w:tcW w:w="453" w:type="pct"/>
            <w:vAlign w:val="center"/>
          </w:tcPr>
          <w:p w14:paraId="17D3CEA8">
            <w:pPr>
              <w:pStyle w:val="751"/>
              <w:rPr>
                <w:color w:val="auto"/>
              </w:rPr>
            </w:pPr>
            <w:r>
              <w:rPr>
                <w:color w:val="auto"/>
              </w:rPr>
              <w:t>264.4</w:t>
            </w:r>
          </w:p>
        </w:tc>
        <w:tc>
          <w:tcPr>
            <w:tcW w:w="418" w:type="pct"/>
            <w:vAlign w:val="center"/>
          </w:tcPr>
          <w:p w14:paraId="0832D908">
            <w:pPr>
              <w:pStyle w:val="751"/>
              <w:rPr>
                <w:color w:val="auto"/>
              </w:rPr>
            </w:pPr>
          </w:p>
        </w:tc>
        <w:tc>
          <w:tcPr>
            <w:tcW w:w="1108" w:type="pct"/>
            <w:vAlign w:val="center"/>
          </w:tcPr>
          <w:p w14:paraId="75FE5F58">
            <w:pPr>
              <w:pStyle w:val="751"/>
              <w:rPr>
                <w:color w:val="auto"/>
              </w:rPr>
            </w:pPr>
          </w:p>
        </w:tc>
        <w:tc>
          <w:tcPr>
            <w:tcW w:w="418" w:type="pct"/>
            <w:vAlign w:val="center"/>
          </w:tcPr>
          <w:p w14:paraId="7F15908F">
            <w:pPr>
              <w:pStyle w:val="751"/>
              <w:rPr>
                <w:color w:val="auto"/>
              </w:rPr>
            </w:pPr>
          </w:p>
        </w:tc>
        <w:tc>
          <w:tcPr>
            <w:tcW w:w="522" w:type="pct"/>
            <w:vAlign w:val="center"/>
          </w:tcPr>
          <w:p w14:paraId="5863F721">
            <w:pPr>
              <w:pStyle w:val="751"/>
              <w:rPr>
                <w:color w:val="auto"/>
              </w:rPr>
            </w:pPr>
          </w:p>
        </w:tc>
      </w:tr>
    </w:tbl>
    <w:p w14:paraId="377482EE">
      <w:pPr>
        <w:pStyle w:val="12"/>
      </w:pPr>
      <w:r>
        <w:t>5.2.1.2地面风向、风速的统计</w:t>
      </w:r>
    </w:p>
    <w:p w14:paraId="292E7B32">
      <w:pPr>
        <w:pStyle w:val="104"/>
      </w:pPr>
      <w:r>
        <w:t>地面风向、风速的统计分析是污染气象中最基本的方面，其风况不但受季节变化的制约，而且还明显地受地形及地表状况的影响。虽然其风况具有较大的年际变化，但仍然具有较好的统计特征。</w:t>
      </w:r>
    </w:p>
    <w:p w14:paraId="402BC300">
      <w:pPr>
        <w:pStyle w:val="104"/>
      </w:pPr>
      <w:r>
        <w:t>乌海气象站地处内蒙古中西部，该地地面风的变化规律：春季由于冷暖气团交绥，气旋活动频繁，地表覆盖度较差，故多风沙天气；夏季由于降水相对集中，当锋面过境可伴有雷雨和大风天气，瞬时风速较大；秋季虽为冷暖气团的交替时期，但此时气团活动远不如春季活动频繁，因此风沙天气较少；冬季常处于稳定的大气层结，风速较小。</w:t>
      </w:r>
    </w:p>
    <w:p w14:paraId="5906F619">
      <w:pPr>
        <w:pStyle w:val="104"/>
      </w:pPr>
      <w:r>
        <w:rPr>
          <w:rFonts w:hint="eastAsia" w:ascii="宋体" w:hAnsi="宋体" w:cs="宋体"/>
        </w:rPr>
        <w:t>①</w:t>
      </w:r>
      <w:r>
        <w:t>风向</w:t>
      </w:r>
    </w:p>
    <w:p w14:paraId="51A69434">
      <w:pPr>
        <w:pStyle w:val="104"/>
      </w:pPr>
      <w:r>
        <w:t>由乌海气象站近30年的地面平均风向频率及各风向下平均风速统计（见表5.2-2）可知，该地区年主导风向为SSE风，其出现频率为10.9%，SE风的出现频率也较高，为7.6%，静风的年出现频率为15.0%。全年以SSE方向的风平均风速最大，为4.2m/s，WNW方向的风平均风速也较大，为4.0m/s。乌海全年及四季风向频率见玫瑰图5.2-3。</w:t>
      </w:r>
    </w:p>
    <w:p w14:paraId="1177A245">
      <w:pPr>
        <w:pStyle w:val="756"/>
      </w:pPr>
      <w:r>
        <w:t>表5.2-2  乌海市气象站近30年地面风向频率及风速统计</w:t>
      </w:r>
    </w:p>
    <w:tbl>
      <w:tblPr>
        <w:tblStyle w:val="82"/>
        <w:tblW w:w="9126"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872"/>
        <w:gridCol w:w="849"/>
        <w:gridCol w:w="931"/>
        <w:gridCol w:w="982"/>
        <w:gridCol w:w="827"/>
        <w:gridCol w:w="818"/>
        <w:gridCol w:w="792"/>
        <w:gridCol w:w="830"/>
        <w:gridCol w:w="845"/>
      </w:tblGrid>
      <w:tr w14:paraId="3074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0" w:type="dxa"/>
            <w:vAlign w:val="center"/>
          </w:tcPr>
          <w:p w14:paraId="51E6880C">
            <w:pPr>
              <w:pStyle w:val="751"/>
              <w:rPr>
                <w:color w:val="auto"/>
              </w:rPr>
            </w:pPr>
            <w:r>
              <w:rPr>
                <w:color w:val="auto"/>
              </w:rPr>
              <w:t>风向</w:t>
            </w:r>
          </w:p>
        </w:tc>
        <w:tc>
          <w:tcPr>
            <w:tcW w:w="872" w:type="dxa"/>
            <w:vAlign w:val="center"/>
          </w:tcPr>
          <w:p w14:paraId="75E16347">
            <w:pPr>
              <w:pStyle w:val="751"/>
              <w:rPr>
                <w:color w:val="auto"/>
              </w:rPr>
            </w:pPr>
            <w:r>
              <w:rPr>
                <w:color w:val="auto"/>
              </w:rPr>
              <w:t>N</w:t>
            </w:r>
          </w:p>
        </w:tc>
        <w:tc>
          <w:tcPr>
            <w:tcW w:w="849" w:type="dxa"/>
            <w:vAlign w:val="center"/>
          </w:tcPr>
          <w:p w14:paraId="049290A5">
            <w:pPr>
              <w:pStyle w:val="751"/>
              <w:rPr>
                <w:color w:val="auto"/>
              </w:rPr>
            </w:pPr>
            <w:r>
              <w:rPr>
                <w:color w:val="auto"/>
              </w:rPr>
              <w:t>NNE</w:t>
            </w:r>
          </w:p>
        </w:tc>
        <w:tc>
          <w:tcPr>
            <w:tcW w:w="931" w:type="dxa"/>
            <w:vAlign w:val="center"/>
          </w:tcPr>
          <w:p w14:paraId="32C3EE0E">
            <w:pPr>
              <w:pStyle w:val="751"/>
              <w:rPr>
                <w:color w:val="auto"/>
              </w:rPr>
            </w:pPr>
            <w:r>
              <w:rPr>
                <w:color w:val="auto"/>
              </w:rPr>
              <w:t>NE</w:t>
            </w:r>
          </w:p>
        </w:tc>
        <w:tc>
          <w:tcPr>
            <w:tcW w:w="982" w:type="dxa"/>
            <w:vAlign w:val="center"/>
          </w:tcPr>
          <w:p w14:paraId="6BE51566">
            <w:pPr>
              <w:pStyle w:val="751"/>
              <w:rPr>
                <w:color w:val="auto"/>
              </w:rPr>
            </w:pPr>
            <w:r>
              <w:rPr>
                <w:color w:val="auto"/>
              </w:rPr>
              <w:t>ENE</w:t>
            </w:r>
          </w:p>
        </w:tc>
        <w:tc>
          <w:tcPr>
            <w:tcW w:w="827" w:type="dxa"/>
            <w:vAlign w:val="center"/>
          </w:tcPr>
          <w:p w14:paraId="24C9A120">
            <w:pPr>
              <w:pStyle w:val="751"/>
              <w:rPr>
                <w:color w:val="auto"/>
              </w:rPr>
            </w:pPr>
            <w:r>
              <w:rPr>
                <w:color w:val="auto"/>
              </w:rPr>
              <w:t>E</w:t>
            </w:r>
          </w:p>
        </w:tc>
        <w:tc>
          <w:tcPr>
            <w:tcW w:w="818" w:type="dxa"/>
            <w:vAlign w:val="center"/>
          </w:tcPr>
          <w:p w14:paraId="5BF95F6D">
            <w:pPr>
              <w:pStyle w:val="751"/>
              <w:rPr>
                <w:color w:val="auto"/>
              </w:rPr>
            </w:pPr>
            <w:r>
              <w:rPr>
                <w:color w:val="auto"/>
              </w:rPr>
              <w:t>ESE</w:t>
            </w:r>
          </w:p>
        </w:tc>
        <w:tc>
          <w:tcPr>
            <w:tcW w:w="792" w:type="dxa"/>
            <w:vAlign w:val="center"/>
          </w:tcPr>
          <w:p w14:paraId="5A1A4D7E">
            <w:pPr>
              <w:pStyle w:val="751"/>
              <w:rPr>
                <w:color w:val="auto"/>
              </w:rPr>
            </w:pPr>
            <w:r>
              <w:rPr>
                <w:color w:val="auto"/>
              </w:rPr>
              <w:t>SE</w:t>
            </w:r>
          </w:p>
        </w:tc>
        <w:tc>
          <w:tcPr>
            <w:tcW w:w="830" w:type="dxa"/>
            <w:vAlign w:val="center"/>
          </w:tcPr>
          <w:p w14:paraId="62DABD44">
            <w:pPr>
              <w:pStyle w:val="751"/>
              <w:rPr>
                <w:color w:val="auto"/>
              </w:rPr>
            </w:pPr>
            <w:r>
              <w:rPr>
                <w:color w:val="auto"/>
              </w:rPr>
              <w:t>SSE</w:t>
            </w:r>
          </w:p>
        </w:tc>
        <w:tc>
          <w:tcPr>
            <w:tcW w:w="845" w:type="dxa"/>
            <w:vAlign w:val="center"/>
          </w:tcPr>
          <w:p w14:paraId="2DBEB9E3">
            <w:pPr>
              <w:pStyle w:val="751"/>
              <w:rPr>
                <w:color w:val="auto"/>
              </w:rPr>
            </w:pPr>
            <w:r>
              <w:rPr>
                <w:color w:val="auto"/>
              </w:rPr>
              <w:t>S</w:t>
            </w:r>
          </w:p>
        </w:tc>
      </w:tr>
      <w:tr w14:paraId="29DE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0" w:type="dxa"/>
            <w:vAlign w:val="center"/>
          </w:tcPr>
          <w:p w14:paraId="1C485D1C">
            <w:pPr>
              <w:pStyle w:val="751"/>
              <w:rPr>
                <w:color w:val="auto"/>
              </w:rPr>
            </w:pPr>
            <w:r>
              <w:rPr>
                <w:color w:val="auto"/>
              </w:rPr>
              <w:t>风频%</w:t>
            </w:r>
          </w:p>
        </w:tc>
        <w:tc>
          <w:tcPr>
            <w:tcW w:w="872" w:type="dxa"/>
            <w:vAlign w:val="center"/>
          </w:tcPr>
          <w:p w14:paraId="641E681D">
            <w:pPr>
              <w:pStyle w:val="751"/>
              <w:rPr>
                <w:color w:val="auto"/>
              </w:rPr>
            </w:pPr>
            <w:r>
              <w:rPr>
                <w:color w:val="auto"/>
              </w:rPr>
              <w:t>3.1</w:t>
            </w:r>
          </w:p>
        </w:tc>
        <w:tc>
          <w:tcPr>
            <w:tcW w:w="849" w:type="dxa"/>
            <w:vAlign w:val="center"/>
          </w:tcPr>
          <w:p w14:paraId="6D7D3F0C">
            <w:pPr>
              <w:pStyle w:val="751"/>
              <w:rPr>
                <w:color w:val="auto"/>
              </w:rPr>
            </w:pPr>
            <w:r>
              <w:rPr>
                <w:color w:val="auto"/>
              </w:rPr>
              <w:t>2.8</w:t>
            </w:r>
          </w:p>
        </w:tc>
        <w:tc>
          <w:tcPr>
            <w:tcW w:w="931" w:type="dxa"/>
            <w:vAlign w:val="center"/>
          </w:tcPr>
          <w:p w14:paraId="400D1308">
            <w:pPr>
              <w:pStyle w:val="751"/>
              <w:rPr>
                <w:color w:val="auto"/>
              </w:rPr>
            </w:pPr>
            <w:r>
              <w:rPr>
                <w:color w:val="auto"/>
              </w:rPr>
              <w:t>2.4</w:t>
            </w:r>
          </w:p>
        </w:tc>
        <w:tc>
          <w:tcPr>
            <w:tcW w:w="982" w:type="dxa"/>
            <w:vAlign w:val="center"/>
          </w:tcPr>
          <w:p w14:paraId="54F35250">
            <w:pPr>
              <w:pStyle w:val="751"/>
              <w:rPr>
                <w:color w:val="auto"/>
              </w:rPr>
            </w:pPr>
            <w:r>
              <w:rPr>
                <w:color w:val="auto"/>
              </w:rPr>
              <w:t>2.6</w:t>
            </w:r>
          </w:p>
        </w:tc>
        <w:tc>
          <w:tcPr>
            <w:tcW w:w="827" w:type="dxa"/>
            <w:vAlign w:val="center"/>
          </w:tcPr>
          <w:p w14:paraId="1F3C2A24">
            <w:pPr>
              <w:pStyle w:val="751"/>
              <w:rPr>
                <w:color w:val="auto"/>
              </w:rPr>
            </w:pPr>
            <w:r>
              <w:rPr>
                <w:color w:val="auto"/>
              </w:rPr>
              <w:t>3.2</w:t>
            </w:r>
          </w:p>
        </w:tc>
        <w:tc>
          <w:tcPr>
            <w:tcW w:w="818" w:type="dxa"/>
            <w:vAlign w:val="center"/>
          </w:tcPr>
          <w:p w14:paraId="320F7009">
            <w:pPr>
              <w:pStyle w:val="751"/>
              <w:rPr>
                <w:color w:val="auto"/>
              </w:rPr>
            </w:pPr>
            <w:r>
              <w:rPr>
                <w:color w:val="auto"/>
              </w:rPr>
              <w:t>4.1</w:t>
            </w:r>
          </w:p>
        </w:tc>
        <w:tc>
          <w:tcPr>
            <w:tcW w:w="792" w:type="dxa"/>
            <w:vAlign w:val="center"/>
          </w:tcPr>
          <w:p w14:paraId="07C7BE74">
            <w:pPr>
              <w:pStyle w:val="751"/>
              <w:rPr>
                <w:color w:val="auto"/>
              </w:rPr>
            </w:pPr>
            <w:r>
              <w:rPr>
                <w:color w:val="auto"/>
              </w:rPr>
              <w:t>8.1</w:t>
            </w:r>
          </w:p>
        </w:tc>
        <w:tc>
          <w:tcPr>
            <w:tcW w:w="830" w:type="dxa"/>
            <w:vAlign w:val="center"/>
          </w:tcPr>
          <w:p w14:paraId="60386679">
            <w:pPr>
              <w:pStyle w:val="751"/>
              <w:rPr>
                <w:color w:val="auto"/>
              </w:rPr>
            </w:pPr>
            <w:r>
              <w:rPr>
                <w:color w:val="auto"/>
              </w:rPr>
              <w:t>12.1</w:t>
            </w:r>
          </w:p>
        </w:tc>
        <w:tc>
          <w:tcPr>
            <w:tcW w:w="845" w:type="dxa"/>
            <w:vAlign w:val="center"/>
          </w:tcPr>
          <w:p w14:paraId="3BC24452">
            <w:pPr>
              <w:pStyle w:val="751"/>
              <w:rPr>
                <w:color w:val="auto"/>
              </w:rPr>
            </w:pPr>
            <w:r>
              <w:rPr>
                <w:color w:val="auto"/>
              </w:rPr>
              <w:t>7.9</w:t>
            </w:r>
          </w:p>
        </w:tc>
      </w:tr>
      <w:tr w14:paraId="7C1D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0" w:type="dxa"/>
            <w:vAlign w:val="center"/>
          </w:tcPr>
          <w:p w14:paraId="044E1FDC">
            <w:pPr>
              <w:pStyle w:val="751"/>
              <w:rPr>
                <w:color w:val="auto"/>
              </w:rPr>
            </w:pPr>
            <w:r>
              <w:rPr>
                <w:color w:val="auto"/>
              </w:rPr>
              <w:t>风速m/s</w:t>
            </w:r>
          </w:p>
        </w:tc>
        <w:tc>
          <w:tcPr>
            <w:tcW w:w="872" w:type="dxa"/>
            <w:vAlign w:val="center"/>
          </w:tcPr>
          <w:p w14:paraId="5DEEED1D">
            <w:pPr>
              <w:pStyle w:val="751"/>
              <w:rPr>
                <w:color w:val="auto"/>
              </w:rPr>
            </w:pPr>
            <w:r>
              <w:rPr>
                <w:color w:val="auto"/>
              </w:rPr>
              <w:t>2.8</w:t>
            </w:r>
          </w:p>
        </w:tc>
        <w:tc>
          <w:tcPr>
            <w:tcW w:w="849" w:type="dxa"/>
            <w:vAlign w:val="center"/>
          </w:tcPr>
          <w:p w14:paraId="79CC50F1">
            <w:pPr>
              <w:pStyle w:val="751"/>
              <w:rPr>
                <w:color w:val="auto"/>
              </w:rPr>
            </w:pPr>
            <w:r>
              <w:rPr>
                <w:color w:val="auto"/>
              </w:rPr>
              <w:t>2.7</w:t>
            </w:r>
          </w:p>
        </w:tc>
        <w:tc>
          <w:tcPr>
            <w:tcW w:w="931" w:type="dxa"/>
            <w:vAlign w:val="center"/>
          </w:tcPr>
          <w:p w14:paraId="0A8A8817">
            <w:pPr>
              <w:pStyle w:val="751"/>
              <w:rPr>
                <w:color w:val="auto"/>
              </w:rPr>
            </w:pPr>
            <w:r>
              <w:rPr>
                <w:color w:val="auto"/>
              </w:rPr>
              <w:t>2.6</w:t>
            </w:r>
          </w:p>
        </w:tc>
        <w:tc>
          <w:tcPr>
            <w:tcW w:w="982" w:type="dxa"/>
            <w:vAlign w:val="center"/>
          </w:tcPr>
          <w:p w14:paraId="03C66DBA">
            <w:pPr>
              <w:pStyle w:val="751"/>
              <w:rPr>
                <w:color w:val="auto"/>
              </w:rPr>
            </w:pPr>
            <w:r>
              <w:rPr>
                <w:color w:val="auto"/>
              </w:rPr>
              <w:t>3.1</w:t>
            </w:r>
          </w:p>
        </w:tc>
        <w:tc>
          <w:tcPr>
            <w:tcW w:w="827" w:type="dxa"/>
            <w:vAlign w:val="center"/>
          </w:tcPr>
          <w:p w14:paraId="73895069">
            <w:pPr>
              <w:pStyle w:val="751"/>
              <w:rPr>
                <w:color w:val="auto"/>
              </w:rPr>
            </w:pPr>
            <w:r>
              <w:rPr>
                <w:color w:val="auto"/>
              </w:rPr>
              <w:t>3.1</w:t>
            </w:r>
          </w:p>
        </w:tc>
        <w:tc>
          <w:tcPr>
            <w:tcW w:w="818" w:type="dxa"/>
            <w:vAlign w:val="center"/>
          </w:tcPr>
          <w:p w14:paraId="6113FD12">
            <w:pPr>
              <w:pStyle w:val="751"/>
              <w:rPr>
                <w:color w:val="auto"/>
              </w:rPr>
            </w:pPr>
            <w:r>
              <w:rPr>
                <w:color w:val="auto"/>
              </w:rPr>
              <w:t>2.9</w:t>
            </w:r>
          </w:p>
        </w:tc>
        <w:tc>
          <w:tcPr>
            <w:tcW w:w="792" w:type="dxa"/>
            <w:vAlign w:val="center"/>
          </w:tcPr>
          <w:p w14:paraId="2C335848">
            <w:pPr>
              <w:pStyle w:val="751"/>
              <w:rPr>
                <w:color w:val="auto"/>
              </w:rPr>
            </w:pPr>
            <w:r>
              <w:rPr>
                <w:color w:val="auto"/>
              </w:rPr>
              <w:t>3.4</w:t>
            </w:r>
          </w:p>
        </w:tc>
        <w:tc>
          <w:tcPr>
            <w:tcW w:w="830" w:type="dxa"/>
            <w:vAlign w:val="center"/>
          </w:tcPr>
          <w:p w14:paraId="590BA57F">
            <w:pPr>
              <w:pStyle w:val="751"/>
              <w:rPr>
                <w:color w:val="auto"/>
              </w:rPr>
            </w:pPr>
            <w:r>
              <w:rPr>
                <w:color w:val="auto"/>
              </w:rPr>
              <w:t>4.2</w:t>
            </w:r>
          </w:p>
        </w:tc>
        <w:tc>
          <w:tcPr>
            <w:tcW w:w="845" w:type="dxa"/>
            <w:vAlign w:val="center"/>
          </w:tcPr>
          <w:p w14:paraId="04230524">
            <w:pPr>
              <w:pStyle w:val="751"/>
              <w:rPr>
                <w:color w:val="auto"/>
              </w:rPr>
            </w:pPr>
            <w:r>
              <w:rPr>
                <w:color w:val="auto"/>
              </w:rPr>
              <w:t>3.0</w:t>
            </w:r>
          </w:p>
        </w:tc>
      </w:tr>
      <w:tr w14:paraId="5839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0" w:type="dxa"/>
            <w:vAlign w:val="center"/>
          </w:tcPr>
          <w:p w14:paraId="61955B59">
            <w:pPr>
              <w:pStyle w:val="751"/>
              <w:rPr>
                <w:color w:val="auto"/>
              </w:rPr>
            </w:pPr>
            <w:r>
              <w:rPr>
                <w:color w:val="auto"/>
              </w:rPr>
              <w:t>风向</w:t>
            </w:r>
          </w:p>
        </w:tc>
        <w:tc>
          <w:tcPr>
            <w:tcW w:w="872" w:type="dxa"/>
            <w:vAlign w:val="center"/>
          </w:tcPr>
          <w:p w14:paraId="2D17891C">
            <w:pPr>
              <w:pStyle w:val="751"/>
              <w:rPr>
                <w:color w:val="auto"/>
              </w:rPr>
            </w:pPr>
            <w:r>
              <w:rPr>
                <w:color w:val="auto"/>
              </w:rPr>
              <w:t>SSW</w:t>
            </w:r>
          </w:p>
        </w:tc>
        <w:tc>
          <w:tcPr>
            <w:tcW w:w="849" w:type="dxa"/>
            <w:vAlign w:val="center"/>
          </w:tcPr>
          <w:p w14:paraId="3D31AE32">
            <w:pPr>
              <w:pStyle w:val="751"/>
              <w:rPr>
                <w:color w:val="auto"/>
              </w:rPr>
            </w:pPr>
            <w:r>
              <w:rPr>
                <w:color w:val="auto"/>
              </w:rPr>
              <w:t>SW</w:t>
            </w:r>
          </w:p>
        </w:tc>
        <w:tc>
          <w:tcPr>
            <w:tcW w:w="931" w:type="dxa"/>
            <w:vAlign w:val="center"/>
          </w:tcPr>
          <w:p w14:paraId="407FE42D">
            <w:pPr>
              <w:pStyle w:val="751"/>
              <w:rPr>
                <w:color w:val="auto"/>
              </w:rPr>
            </w:pPr>
            <w:r>
              <w:rPr>
                <w:color w:val="auto"/>
              </w:rPr>
              <w:t>WSW</w:t>
            </w:r>
          </w:p>
        </w:tc>
        <w:tc>
          <w:tcPr>
            <w:tcW w:w="982" w:type="dxa"/>
            <w:vAlign w:val="center"/>
          </w:tcPr>
          <w:p w14:paraId="12A3C0A4">
            <w:pPr>
              <w:pStyle w:val="751"/>
              <w:rPr>
                <w:color w:val="auto"/>
              </w:rPr>
            </w:pPr>
            <w:r>
              <w:rPr>
                <w:color w:val="auto"/>
              </w:rPr>
              <w:t>W</w:t>
            </w:r>
          </w:p>
        </w:tc>
        <w:tc>
          <w:tcPr>
            <w:tcW w:w="827" w:type="dxa"/>
            <w:vAlign w:val="center"/>
          </w:tcPr>
          <w:p w14:paraId="24E72EF6">
            <w:pPr>
              <w:pStyle w:val="751"/>
              <w:rPr>
                <w:color w:val="auto"/>
              </w:rPr>
            </w:pPr>
            <w:r>
              <w:rPr>
                <w:color w:val="auto"/>
              </w:rPr>
              <w:t>WNW</w:t>
            </w:r>
          </w:p>
        </w:tc>
        <w:tc>
          <w:tcPr>
            <w:tcW w:w="818" w:type="dxa"/>
            <w:vAlign w:val="center"/>
          </w:tcPr>
          <w:p w14:paraId="5B21AA08">
            <w:pPr>
              <w:pStyle w:val="751"/>
              <w:rPr>
                <w:color w:val="auto"/>
              </w:rPr>
            </w:pPr>
            <w:r>
              <w:rPr>
                <w:color w:val="auto"/>
              </w:rPr>
              <w:t>NW</w:t>
            </w:r>
          </w:p>
        </w:tc>
        <w:tc>
          <w:tcPr>
            <w:tcW w:w="792" w:type="dxa"/>
            <w:vAlign w:val="center"/>
          </w:tcPr>
          <w:p w14:paraId="2A700B87">
            <w:pPr>
              <w:pStyle w:val="751"/>
              <w:rPr>
                <w:color w:val="auto"/>
              </w:rPr>
            </w:pPr>
            <w:r>
              <w:rPr>
                <w:color w:val="auto"/>
              </w:rPr>
              <w:t>NNW</w:t>
            </w:r>
          </w:p>
        </w:tc>
        <w:tc>
          <w:tcPr>
            <w:tcW w:w="830" w:type="dxa"/>
            <w:vAlign w:val="center"/>
          </w:tcPr>
          <w:p w14:paraId="3C14742C">
            <w:pPr>
              <w:pStyle w:val="751"/>
              <w:rPr>
                <w:color w:val="auto"/>
              </w:rPr>
            </w:pPr>
            <w:r>
              <w:rPr>
                <w:color w:val="auto"/>
              </w:rPr>
              <w:t>C</w:t>
            </w:r>
          </w:p>
        </w:tc>
        <w:tc>
          <w:tcPr>
            <w:tcW w:w="845" w:type="dxa"/>
            <w:vAlign w:val="center"/>
          </w:tcPr>
          <w:p w14:paraId="694F9680">
            <w:pPr>
              <w:pStyle w:val="751"/>
              <w:rPr>
                <w:color w:val="auto"/>
              </w:rPr>
            </w:pPr>
          </w:p>
        </w:tc>
      </w:tr>
      <w:tr w14:paraId="43C4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0" w:type="dxa"/>
            <w:vAlign w:val="center"/>
          </w:tcPr>
          <w:p w14:paraId="3FA59F38">
            <w:pPr>
              <w:pStyle w:val="751"/>
              <w:rPr>
                <w:color w:val="auto"/>
              </w:rPr>
            </w:pPr>
            <w:r>
              <w:rPr>
                <w:color w:val="auto"/>
              </w:rPr>
              <w:t>风频%</w:t>
            </w:r>
          </w:p>
        </w:tc>
        <w:tc>
          <w:tcPr>
            <w:tcW w:w="872" w:type="dxa"/>
            <w:vAlign w:val="center"/>
          </w:tcPr>
          <w:p w14:paraId="4AFF0A13">
            <w:pPr>
              <w:pStyle w:val="751"/>
              <w:rPr>
                <w:color w:val="auto"/>
              </w:rPr>
            </w:pPr>
            <w:r>
              <w:rPr>
                <w:color w:val="auto"/>
              </w:rPr>
              <w:t>5.8</w:t>
            </w:r>
          </w:p>
        </w:tc>
        <w:tc>
          <w:tcPr>
            <w:tcW w:w="849" w:type="dxa"/>
            <w:vAlign w:val="center"/>
          </w:tcPr>
          <w:p w14:paraId="2DA42C34">
            <w:pPr>
              <w:pStyle w:val="751"/>
              <w:rPr>
                <w:color w:val="auto"/>
              </w:rPr>
            </w:pPr>
            <w:r>
              <w:rPr>
                <w:color w:val="auto"/>
              </w:rPr>
              <w:t>5.1</w:t>
            </w:r>
          </w:p>
        </w:tc>
        <w:tc>
          <w:tcPr>
            <w:tcW w:w="931" w:type="dxa"/>
            <w:vAlign w:val="center"/>
          </w:tcPr>
          <w:p w14:paraId="7511BFEA">
            <w:pPr>
              <w:pStyle w:val="751"/>
              <w:rPr>
                <w:color w:val="auto"/>
              </w:rPr>
            </w:pPr>
            <w:r>
              <w:rPr>
                <w:color w:val="auto"/>
              </w:rPr>
              <w:t>4.1</w:t>
            </w:r>
          </w:p>
        </w:tc>
        <w:tc>
          <w:tcPr>
            <w:tcW w:w="982" w:type="dxa"/>
            <w:vAlign w:val="center"/>
          </w:tcPr>
          <w:p w14:paraId="4A7A1D7B">
            <w:pPr>
              <w:pStyle w:val="751"/>
              <w:rPr>
                <w:color w:val="auto"/>
              </w:rPr>
            </w:pPr>
            <w:r>
              <w:rPr>
                <w:color w:val="auto"/>
              </w:rPr>
              <w:t>4.9</w:t>
            </w:r>
          </w:p>
        </w:tc>
        <w:tc>
          <w:tcPr>
            <w:tcW w:w="827" w:type="dxa"/>
            <w:vAlign w:val="center"/>
          </w:tcPr>
          <w:p w14:paraId="2BB013F9">
            <w:pPr>
              <w:pStyle w:val="751"/>
              <w:rPr>
                <w:color w:val="auto"/>
              </w:rPr>
            </w:pPr>
            <w:r>
              <w:rPr>
                <w:color w:val="auto"/>
              </w:rPr>
              <w:t>5.7</w:t>
            </w:r>
          </w:p>
        </w:tc>
        <w:tc>
          <w:tcPr>
            <w:tcW w:w="818" w:type="dxa"/>
            <w:vAlign w:val="center"/>
          </w:tcPr>
          <w:p w14:paraId="4A32343D">
            <w:pPr>
              <w:pStyle w:val="751"/>
              <w:rPr>
                <w:color w:val="auto"/>
              </w:rPr>
            </w:pPr>
            <w:r>
              <w:rPr>
                <w:color w:val="auto"/>
              </w:rPr>
              <w:t>5.4</w:t>
            </w:r>
          </w:p>
        </w:tc>
        <w:tc>
          <w:tcPr>
            <w:tcW w:w="792" w:type="dxa"/>
            <w:vAlign w:val="center"/>
          </w:tcPr>
          <w:p w14:paraId="77E93B48">
            <w:pPr>
              <w:pStyle w:val="751"/>
              <w:rPr>
                <w:color w:val="auto"/>
              </w:rPr>
            </w:pPr>
            <w:r>
              <w:rPr>
                <w:color w:val="auto"/>
              </w:rPr>
              <w:t>3.9</w:t>
            </w:r>
          </w:p>
        </w:tc>
        <w:tc>
          <w:tcPr>
            <w:tcW w:w="830" w:type="dxa"/>
            <w:vAlign w:val="center"/>
          </w:tcPr>
          <w:p w14:paraId="3A7909A5">
            <w:pPr>
              <w:pStyle w:val="751"/>
              <w:rPr>
                <w:color w:val="auto"/>
              </w:rPr>
            </w:pPr>
            <w:r>
              <w:rPr>
                <w:color w:val="auto"/>
              </w:rPr>
              <w:t>19.1</w:t>
            </w:r>
          </w:p>
        </w:tc>
        <w:tc>
          <w:tcPr>
            <w:tcW w:w="845" w:type="dxa"/>
            <w:vAlign w:val="center"/>
          </w:tcPr>
          <w:p w14:paraId="7BE97AA4">
            <w:pPr>
              <w:pStyle w:val="751"/>
              <w:rPr>
                <w:color w:val="auto"/>
              </w:rPr>
            </w:pPr>
          </w:p>
        </w:tc>
      </w:tr>
      <w:tr w14:paraId="70F1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0" w:type="dxa"/>
            <w:vAlign w:val="center"/>
          </w:tcPr>
          <w:p w14:paraId="6F73A070">
            <w:pPr>
              <w:pStyle w:val="751"/>
              <w:rPr>
                <w:color w:val="auto"/>
              </w:rPr>
            </w:pPr>
            <w:r>
              <w:rPr>
                <w:color w:val="auto"/>
              </w:rPr>
              <w:t>风速m/s</w:t>
            </w:r>
          </w:p>
        </w:tc>
        <w:tc>
          <w:tcPr>
            <w:tcW w:w="872" w:type="dxa"/>
            <w:vAlign w:val="center"/>
          </w:tcPr>
          <w:p w14:paraId="588BE5FF">
            <w:pPr>
              <w:pStyle w:val="751"/>
              <w:rPr>
                <w:color w:val="auto"/>
              </w:rPr>
            </w:pPr>
            <w:r>
              <w:rPr>
                <w:color w:val="auto"/>
              </w:rPr>
              <w:t>2.5</w:t>
            </w:r>
          </w:p>
        </w:tc>
        <w:tc>
          <w:tcPr>
            <w:tcW w:w="849" w:type="dxa"/>
            <w:vAlign w:val="center"/>
          </w:tcPr>
          <w:p w14:paraId="2E2E5FA5">
            <w:pPr>
              <w:pStyle w:val="751"/>
              <w:rPr>
                <w:color w:val="auto"/>
              </w:rPr>
            </w:pPr>
            <w:r>
              <w:rPr>
                <w:color w:val="auto"/>
              </w:rPr>
              <w:t>2.4</w:t>
            </w:r>
          </w:p>
        </w:tc>
        <w:tc>
          <w:tcPr>
            <w:tcW w:w="931" w:type="dxa"/>
            <w:vAlign w:val="center"/>
          </w:tcPr>
          <w:p w14:paraId="2B7D6F59">
            <w:pPr>
              <w:pStyle w:val="751"/>
              <w:rPr>
                <w:color w:val="auto"/>
              </w:rPr>
            </w:pPr>
            <w:r>
              <w:rPr>
                <w:color w:val="auto"/>
              </w:rPr>
              <w:t>3.0</w:t>
            </w:r>
          </w:p>
        </w:tc>
        <w:tc>
          <w:tcPr>
            <w:tcW w:w="982" w:type="dxa"/>
            <w:vAlign w:val="center"/>
          </w:tcPr>
          <w:p w14:paraId="2CBF771B">
            <w:pPr>
              <w:pStyle w:val="751"/>
              <w:rPr>
                <w:color w:val="auto"/>
              </w:rPr>
            </w:pPr>
            <w:r>
              <w:rPr>
                <w:color w:val="auto"/>
              </w:rPr>
              <w:t>3.5</w:t>
            </w:r>
          </w:p>
        </w:tc>
        <w:tc>
          <w:tcPr>
            <w:tcW w:w="827" w:type="dxa"/>
            <w:vAlign w:val="center"/>
          </w:tcPr>
          <w:p w14:paraId="0674176F">
            <w:pPr>
              <w:pStyle w:val="751"/>
              <w:rPr>
                <w:color w:val="auto"/>
              </w:rPr>
            </w:pPr>
            <w:r>
              <w:rPr>
                <w:color w:val="auto"/>
              </w:rPr>
              <w:t>4.0</w:t>
            </w:r>
          </w:p>
        </w:tc>
        <w:tc>
          <w:tcPr>
            <w:tcW w:w="818" w:type="dxa"/>
            <w:vAlign w:val="center"/>
          </w:tcPr>
          <w:p w14:paraId="2172D118">
            <w:pPr>
              <w:pStyle w:val="751"/>
              <w:rPr>
                <w:color w:val="auto"/>
              </w:rPr>
            </w:pPr>
            <w:r>
              <w:rPr>
                <w:color w:val="auto"/>
              </w:rPr>
              <w:t>3.4</w:t>
            </w:r>
          </w:p>
        </w:tc>
        <w:tc>
          <w:tcPr>
            <w:tcW w:w="792" w:type="dxa"/>
            <w:vAlign w:val="center"/>
          </w:tcPr>
          <w:p w14:paraId="087E830C">
            <w:pPr>
              <w:pStyle w:val="751"/>
              <w:rPr>
                <w:color w:val="auto"/>
              </w:rPr>
            </w:pPr>
            <w:r>
              <w:rPr>
                <w:color w:val="auto"/>
              </w:rPr>
              <w:t>3.2</w:t>
            </w:r>
          </w:p>
        </w:tc>
        <w:tc>
          <w:tcPr>
            <w:tcW w:w="830" w:type="dxa"/>
            <w:vAlign w:val="center"/>
          </w:tcPr>
          <w:p w14:paraId="32AB46AC">
            <w:pPr>
              <w:pStyle w:val="751"/>
              <w:rPr>
                <w:color w:val="auto"/>
              </w:rPr>
            </w:pPr>
          </w:p>
        </w:tc>
        <w:tc>
          <w:tcPr>
            <w:tcW w:w="845" w:type="dxa"/>
            <w:vAlign w:val="center"/>
          </w:tcPr>
          <w:p w14:paraId="578AF284">
            <w:pPr>
              <w:pStyle w:val="751"/>
              <w:rPr>
                <w:color w:val="auto"/>
              </w:rPr>
            </w:pPr>
          </w:p>
        </w:tc>
      </w:t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tbl>
    <w:p w14:paraId="20DAA93E">
      <w:pPr>
        <w:pStyle w:val="104"/>
      </w:pPr>
      <w:r>
        <w:rPr>
          <w:rFonts w:hint="eastAsia" w:ascii="宋体" w:hAnsi="宋体" w:cs="宋体"/>
        </w:rPr>
        <w:t>②</w:t>
      </w:r>
      <w:r>
        <w:t>风速</w:t>
      </w:r>
    </w:p>
    <w:p w14:paraId="50108918">
      <w:pPr>
        <w:pStyle w:val="104"/>
      </w:pPr>
      <w:r>
        <w:t>由乌海气象站近30年的平均风速统计（见表5.2-3）可以看出：该地区年平均风速为2.7m/s。全年以春季风速最大（如五月份风速为3.6m/s），平均风速最小出现在冬季（如十二月份和一月份风速为1.7m/s），风速的年较差为1.9m/s（逐月平均风速变化曲线见图5.2-1）。</w:t>
      </w:r>
    </w:p>
    <w:p w14:paraId="7B8203C0">
      <w:pPr>
        <w:pStyle w:val="756"/>
      </w:pPr>
      <w:r>
        <w:t>表5.2-3  乌海市气象站近30年各月、年平均风速值</w:t>
      </w:r>
    </w:p>
    <w:tbl>
      <w:tblPr>
        <w:tblStyle w:val="82"/>
        <w:tblW w:w="9126"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595"/>
        <w:gridCol w:w="595"/>
        <w:gridCol w:w="595"/>
        <w:gridCol w:w="595"/>
        <w:gridCol w:w="595"/>
        <w:gridCol w:w="595"/>
        <w:gridCol w:w="595"/>
        <w:gridCol w:w="595"/>
        <w:gridCol w:w="595"/>
        <w:gridCol w:w="596"/>
        <w:gridCol w:w="596"/>
        <w:gridCol w:w="596"/>
        <w:gridCol w:w="595"/>
      </w:tblGrid>
      <w:tr w14:paraId="7229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8" w:type="dxa"/>
          </w:tcPr>
          <w:p w14:paraId="24DC3EB9">
            <w:pPr>
              <w:pStyle w:val="751"/>
              <w:rPr>
                <w:color w:val="auto"/>
              </w:rPr>
            </w:pPr>
            <w:r>
              <w:rPr>
                <w:color w:val="auto"/>
              </w:rPr>
              <w:t>月/年</w:t>
            </w:r>
          </w:p>
        </w:tc>
        <w:tc>
          <w:tcPr>
            <w:tcW w:w="595" w:type="dxa"/>
          </w:tcPr>
          <w:p w14:paraId="1057B2AE">
            <w:pPr>
              <w:pStyle w:val="751"/>
              <w:rPr>
                <w:color w:val="auto"/>
              </w:rPr>
            </w:pPr>
            <w:r>
              <w:rPr>
                <w:color w:val="auto"/>
              </w:rPr>
              <w:t>1</w:t>
            </w:r>
          </w:p>
        </w:tc>
        <w:tc>
          <w:tcPr>
            <w:tcW w:w="595" w:type="dxa"/>
          </w:tcPr>
          <w:p w14:paraId="22C67576">
            <w:pPr>
              <w:pStyle w:val="751"/>
              <w:rPr>
                <w:color w:val="auto"/>
              </w:rPr>
            </w:pPr>
            <w:r>
              <w:rPr>
                <w:color w:val="auto"/>
              </w:rPr>
              <w:t>2</w:t>
            </w:r>
          </w:p>
        </w:tc>
        <w:tc>
          <w:tcPr>
            <w:tcW w:w="595" w:type="dxa"/>
          </w:tcPr>
          <w:p w14:paraId="6018C684">
            <w:pPr>
              <w:pStyle w:val="751"/>
              <w:rPr>
                <w:color w:val="auto"/>
              </w:rPr>
            </w:pPr>
            <w:r>
              <w:rPr>
                <w:color w:val="auto"/>
              </w:rPr>
              <w:t>3</w:t>
            </w:r>
          </w:p>
        </w:tc>
        <w:tc>
          <w:tcPr>
            <w:tcW w:w="595" w:type="dxa"/>
          </w:tcPr>
          <w:p w14:paraId="7806DDE3">
            <w:pPr>
              <w:pStyle w:val="751"/>
              <w:rPr>
                <w:color w:val="auto"/>
              </w:rPr>
            </w:pPr>
            <w:r>
              <w:rPr>
                <w:color w:val="auto"/>
              </w:rPr>
              <w:t>4</w:t>
            </w:r>
          </w:p>
        </w:tc>
        <w:tc>
          <w:tcPr>
            <w:tcW w:w="595" w:type="dxa"/>
          </w:tcPr>
          <w:p w14:paraId="6CCF1439">
            <w:pPr>
              <w:pStyle w:val="751"/>
              <w:rPr>
                <w:color w:val="auto"/>
              </w:rPr>
            </w:pPr>
            <w:r>
              <w:rPr>
                <w:color w:val="auto"/>
              </w:rPr>
              <w:t>5</w:t>
            </w:r>
          </w:p>
        </w:tc>
        <w:tc>
          <w:tcPr>
            <w:tcW w:w="595" w:type="dxa"/>
          </w:tcPr>
          <w:p w14:paraId="7ADDAF10">
            <w:pPr>
              <w:pStyle w:val="751"/>
              <w:rPr>
                <w:color w:val="auto"/>
              </w:rPr>
            </w:pPr>
            <w:r>
              <w:rPr>
                <w:color w:val="auto"/>
              </w:rPr>
              <w:t>6</w:t>
            </w:r>
          </w:p>
        </w:tc>
        <w:tc>
          <w:tcPr>
            <w:tcW w:w="595" w:type="dxa"/>
          </w:tcPr>
          <w:p w14:paraId="2D9CCEAA">
            <w:pPr>
              <w:pStyle w:val="751"/>
              <w:rPr>
                <w:color w:val="auto"/>
              </w:rPr>
            </w:pPr>
            <w:r>
              <w:rPr>
                <w:color w:val="auto"/>
              </w:rPr>
              <w:t>7</w:t>
            </w:r>
          </w:p>
        </w:tc>
        <w:tc>
          <w:tcPr>
            <w:tcW w:w="595" w:type="dxa"/>
          </w:tcPr>
          <w:p w14:paraId="22BF8DD1">
            <w:pPr>
              <w:pStyle w:val="751"/>
              <w:rPr>
                <w:color w:val="auto"/>
              </w:rPr>
            </w:pPr>
            <w:r>
              <w:rPr>
                <w:color w:val="auto"/>
              </w:rPr>
              <w:t>8</w:t>
            </w:r>
          </w:p>
        </w:tc>
        <w:tc>
          <w:tcPr>
            <w:tcW w:w="595" w:type="dxa"/>
          </w:tcPr>
          <w:p w14:paraId="5DA959DA">
            <w:pPr>
              <w:pStyle w:val="751"/>
              <w:rPr>
                <w:color w:val="auto"/>
              </w:rPr>
            </w:pPr>
            <w:r>
              <w:rPr>
                <w:color w:val="auto"/>
              </w:rPr>
              <w:t>9</w:t>
            </w:r>
          </w:p>
        </w:tc>
        <w:tc>
          <w:tcPr>
            <w:tcW w:w="596" w:type="dxa"/>
          </w:tcPr>
          <w:p w14:paraId="3A4AD44B">
            <w:pPr>
              <w:pStyle w:val="751"/>
              <w:rPr>
                <w:color w:val="auto"/>
              </w:rPr>
            </w:pPr>
            <w:r>
              <w:rPr>
                <w:color w:val="auto"/>
              </w:rPr>
              <w:t>10</w:t>
            </w:r>
          </w:p>
        </w:tc>
        <w:tc>
          <w:tcPr>
            <w:tcW w:w="596" w:type="dxa"/>
          </w:tcPr>
          <w:p w14:paraId="0AB82CE9">
            <w:pPr>
              <w:pStyle w:val="751"/>
              <w:rPr>
                <w:color w:val="auto"/>
              </w:rPr>
            </w:pPr>
            <w:r>
              <w:rPr>
                <w:color w:val="auto"/>
              </w:rPr>
              <w:t>11</w:t>
            </w:r>
          </w:p>
        </w:tc>
        <w:tc>
          <w:tcPr>
            <w:tcW w:w="596" w:type="dxa"/>
          </w:tcPr>
          <w:p w14:paraId="2E7BF482">
            <w:pPr>
              <w:pStyle w:val="751"/>
              <w:rPr>
                <w:color w:val="auto"/>
              </w:rPr>
            </w:pPr>
            <w:r>
              <w:rPr>
                <w:color w:val="auto"/>
              </w:rPr>
              <w:t>12</w:t>
            </w:r>
          </w:p>
        </w:tc>
        <w:tc>
          <w:tcPr>
            <w:tcW w:w="595" w:type="dxa"/>
          </w:tcPr>
          <w:p w14:paraId="32D7BF83">
            <w:pPr>
              <w:pStyle w:val="751"/>
              <w:rPr>
                <w:color w:val="auto"/>
              </w:rPr>
            </w:pPr>
            <w:r>
              <w:rPr>
                <w:color w:val="auto"/>
              </w:rPr>
              <w:t>年</w:t>
            </w:r>
          </w:p>
        </w:tc>
      </w:tr>
      <w:tr w14:paraId="0A89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8" w:type="dxa"/>
          </w:tcPr>
          <w:p w14:paraId="348EACDE">
            <w:pPr>
              <w:pStyle w:val="751"/>
              <w:rPr>
                <w:color w:val="auto"/>
              </w:rPr>
            </w:pPr>
            <w:r>
              <w:rPr>
                <w:color w:val="auto"/>
              </w:rPr>
              <w:t>风速m/s</w:t>
            </w:r>
          </w:p>
        </w:tc>
        <w:tc>
          <w:tcPr>
            <w:tcW w:w="595" w:type="dxa"/>
          </w:tcPr>
          <w:p w14:paraId="02D8ABFF">
            <w:pPr>
              <w:pStyle w:val="751"/>
              <w:rPr>
                <w:color w:val="auto"/>
              </w:rPr>
            </w:pPr>
            <w:r>
              <w:rPr>
                <w:color w:val="auto"/>
              </w:rPr>
              <w:t>1.7</w:t>
            </w:r>
          </w:p>
        </w:tc>
        <w:tc>
          <w:tcPr>
            <w:tcW w:w="595" w:type="dxa"/>
          </w:tcPr>
          <w:p w14:paraId="27A7B050">
            <w:pPr>
              <w:pStyle w:val="751"/>
              <w:rPr>
                <w:color w:val="auto"/>
              </w:rPr>
            </w:pPr>
            <w:r>
              <w:rPr>
                <w:color w:val="auto"/>
              </w:rPr>
              <w:t>2.2</w:t>
            </w:r>
          </w:p>
        </w:tc>
        <w:tc>
          <w:tcPr>
            <w:tcW w:w="595" w:type="dxa"/>
          </w:tcPr>
          <w:p w14:paraId="061D7FE0">
            <w:pPr>
              <w:pStyle w:val="751"/>
              <w:rPr>
                <w:color w:val="auto"/>
              </w:rPr>
            </w:pPr>
            <w:r>
              <w:rPr>
                <w:color w:val="auto"/>
              </w:rPr>
              <w:t>2.9</w:t>
            </w:r>
          </w:p>
        </w:tc>
        <w:tc>
          <w:tcPr>
            <w:tcW w:w="595" w:type="dxa"/>
          </w:tcPr>
          <w:p w14:paraId="79809980">
            <w:pPr>
              <w:pStyle w:val="751"/>
              <w:rPr>
                <w:color w:val="auto"/>
              </w:rPr>
            </w:pPr>
            <w:r>
              <w:rPr>
                <w:color w:val="auto"/>
              </w:rPr>
              <w:t>3.5</w:t>
            </w:r>
          </w:p>
        </w:tc>
        <w:tc>
          <w:tcPr>
            <w:tcW w:w="595" w:type="dxa"/>
          </w:tcPr>
          <w:p w14:paraId="7DED64EA">
            <w:pPr>
              <w:pStyle w:val="751"/>
              <w:rPr>
                <w:color w:val="auto"/>
              </w:rPr>
            </w:pPr>
            <w:r>
              <w:rPr>
                <w:color w:val="auto"/>
              </w:rPr>
              <w:t>3.6</w:t>
            </w:r>
          </w:p>
        </w:tc>
        <w:tc>
          <w:tcPr>
            <w:tcW w:w="595" w:type="dxa"/>
          </w:tcPr>
          <w:p w14:paraId="594C5519">
            <w:pPr>
              <w:pStyle w:val="751"/>
              <w:rPr>
                <w:color w:val="auto"/>
              </w:rPr>
            </w:pPr>
            <w:r>
              <w:rPr>
                <w:color w:val="auto"/>
              </w:rPr>
              <w:t>3.5</w:t>
            </w:r>
          </w:p>
        </w:tc>
        <w:tc>
          <w:tcPr>
            <w:tcW w:w="595" w:type="dxa"/>
          </w:tcPr>
          <w:p w14:paraId="30F9B7CE">
            <w:pPr>
              <w:pStyle w:val="751"/>
              <w:rPr>
                <w:color w:val="auto"/>
              </w:rPr>
            </w:pPr>
            <w:r>
              <w:rPr>
                <w:color w:val="auto"/>
              </w:rPr>
              <w:t>3.3</w:t>
            </w:r>
          </w:p>
        </w:tc>
        <w:tc>
          <w:tcPr>
            <w:tcW w:w="595" w:type="dxa"/>
          </w:tcPr>
          <w:p w14:paraId="28016E40">
            <w:pPr>
              <w:pStyle w:val="751"/>
              <w:rPr>
                <w:color w:val="auto"/>
              </w:rPr>
            </w:pPr>
            <w:r>
              <w:rPr>
                <w:color w:val="auto"/>
              </w:rPr>
              <w:t>3.2</w:t>
            </w:r>
          </w:p>
        </w:tc>
        <w:tc>
          <w:tcPr>
            <w:tcW w:w="595" w:type="dxa"/>
          </w:tcPr>
          <w:p w14:paraId="5A078122">
            <w:pPr>
              <w:pStyle w:val="751"/>
              <w:rPr>
                <w:color w:val="auto"/>
              </w:rPr>
            </w:pPr>
            <w:r>
              <w:rPr>
                <w:color w:val="auto"/>
              </w:rPr>
              <w:t>2.8</w:t>
            </w:r>
          </w:p>
        </w:tc>
        <w:tc>
          <w:tcPr>
            <w:tcW w:w="596" w:type="dxa"/>
          </w:tcPr>
          <w:p w14:paraId="2477882A">
            <w:pPr>
              <w:pStyle w:val="751"/>
              <w:rPr>
                <w:color w:val="auto"/>
              </w:rPr>
            </w:pPr>
            <w:r>
              <w:rPr>
                <w:color w:val="auto"/>
              </w:rPr>
              <w:t>2.4</w:t>
            </w:r>
          </w:p>
        </w:tc>
        <w:tc>
          <w:tcPr>
            <w:tcW w:w="596" w:type="dxa"/>
          </w:tcPr>
          <w:p w14:paraId="48161F63">
            <w:pPr>
              <w:pStyle w:val="751"/>
              <w:rPr>
                <w:color w:val="auto"/>
              </w:rPr>
            </w:pPr>
            <w:r>
              <w:rPr>
                <w:color w:val="auto"/>
              </w:rPr>
              <w:t>2.1</w:t>
            </w:r>
          </w:p>
        </w:tc>
        <w:tc>
          <w:tcPr>
            <w:tcW w:w="596" w:type="dxa"/>
          </w:tcPr>
          <w:p w14:paraId="35E76058">
            <w:pPr>
              <w:pStyle w:val="751"/>
              <w:rPr>
                <w:color w:val="auto"/>
              </w:rPr>
            </w:pPr>
            <w:r>
              <w:rPr>
                <w:color w:val="auto"/>
              </w:rPr>
              <w:t>1.7</w:t>
            </w:r>
          </w:p>
        </w:tc>
        <w:tc>
          <w:tcPr>
            <w:tcW w:w="595" w:type="dxa"/>
          </w:tcPr>
          <w:p w14:paraId="0F0C2235">
            <w:pPr>
              <w:pStyle w:val="751"/>
              <w:rPr>
                <w:color w:val="auto"/>
              </w:rPr>
            </w:pPr>
            <w:r>
              <w:rPr>
                <w:color w:val="auto"/>
              </w:rPr>
              <w:t>2.7</w:t>
            </w:r>
          </w:p>
        </w:tc>
      </w:tr>
    </w:tbl>
    <w:p w14:paraId="619B2735">
      <w:pPr>
        <w:pStyle w:val="748"/>
        <w:rPr>
          <w:szCs w:val="24"/>
        </w:rPr>
      </w:pPr>
      <w:r>
        <w:drawing>
          <wp:inline distT="0" distB="0" distL="0" distR="0">
            <wp:extent cx="5227320" cy="2084705"/>
            <wp:effectExtent l="0" t="0" r="0" b="0"/>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1.jpeg"/>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227364" cy="2084831"/>
                    </a:xfrm>
                    <a:prstGeom prst="rect">
                      <a:avLst/>
                    </a:prstGeom>
                  </pic:spPr>
                </pic:pic>
              </a:graphicData>
            </a:graphic>
          </wp:inline>
        </w:drawing>
      </w:r>
    </w:p>
    <w:p w14:paraId="2CA0437E">
      <w:pPr>
        <w:pStyle w:val="369"/>
      </w:pPr>
      <w:r>
        <w:t>图5.2-1  乌海市近30年逐月平均风速变化曲线</w:t>
      </w:r>
    </w:p>
    <w:p w14:paraId="00352027">
      <w:pPr>
        <w:pStyle w:val="104"/>
      </w:pPr>
      <w:r>
        <w:t>根据乌海气象站的各季平均风速日变化统计结果显示：无论哪个季节平均风速均以傍晚至凌晨较小（风速最小常出现在06时~08时），日出后随太阳高度角的增加，风速明显增大，14～16时达到一日中的最大值，此后随太阳高度角的降低平均风速逐渐减小，到夜间至凌晨达到最小。乌海各季平均风速日变化统计表详见表5.2-4，乌海各季平均风速的日变化曲线详见图5.2-4。</w:t>
      </w:r>
    </w:p>
    <w:p w14:paraId="6D59801E">
      <w:pPr>
        <w:pStyle w:val="756"/>
      </w:pPr>
      <w:r>
        <w:t>表5.2-4  乌海市气象站各季平均风速日变化统计表</w:t>
      </w:r>
      <w:r>
        <w:tab/>
      </w:r>
      <w:r>
        <w:t>单位：m/s</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7"/>
        <w:gridCol w:w="650"/>
        <w:gridCol w:w="650"/>
        <w:gridCol w:w="650"/>
        <w:gridCol w:w="650"/>
        <w:gridCol w:w="650"/>
        <w:gridCol w:w="648"/>
        <w:gridCol w:w="648"/>
        <w:gridCol w:w="648"/>
        <w:gridCol w:w="648"/>
        <w:gridCol w:w="648"/>
        <w:gridCol w:w="649"/>
        <w:gridCol w:w="640"/>
      </w:tblGrid>
      <w:tr w14:paraId="0080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0C4BE483">
            <w:pPr>
              <w:pStyle w:val="751"/>
              <w:rPr>
                <w:color w:val="auto"/>
              </w:rPr>
            </w:pPr>
            <w:r>
              <w:rPr>
                <w:color w:val="auto"/>
              </w:rPr>
              <w:t>小时风速</w:t>
            </w:r>
          </w:p>
        </w:tc>
        <w:tc>
          <w:tcPr>
            <w:tcW w:w="350" w:type="pct"/>
            <w:vAlign w:val="center"/>
          </w:tcPr>
          <w:p w14:paraId="566C78B9">
            <w:pPr>
              <w:pStyle w:val="751"/>
              <w:rPr>
                <w:color w:val="auto"/>
              </w:rPr>
            </w:pPr>
            <w:r>
              <w:rPr>
                <w:color w:val="auto"/>
              </w:rPr>
              <w:t>0</w:t>
            </w:r>
          </w:p>
        </w:tc>
        <w:tc>
          <w:tcPr>
            <w:tcW w:w="350" w:type="pct"/>
            <w:vAlign w:val="center"/>
          </w:tcPr>
          <w:p w14:paraId="03C41677">
            <w:pPr>
              <w:pStyle w:val="751"/>
              <w:rPr>
                <w:color w:val="auto"/>
              </w:rPr>
            </w:pPr>
            <w:r>
              <w:rPr>
                <w:color w:val="auto"/>
              </w:rPr>
              <w:t>1</w:t>
            </w:r>
          </w:p>
        </w:tc>
        <w:tc>
          <w:tcPr>
            <w:tcW w:w="350" w:type="pct"/>
            <w:vAlign w:val="center"/>
          </w:tcPr>
          <w:p w14:paraId="642EE8CB">
            <w:pPr>
              <w:pStyle w:val="751"/>
              <w:rPr>
                <w:color w:val="auto"/>
              </w:rPr>
            </w:pPr>
            <w:r>
              <w:rPr>
                <w:color w:val="auto"/>
              </w:rPr>
              <w:t>2</w:t>
            </w:r>
          </w:p>
        </w:tc>
        <w:tc>
          <w:tcPr>
            <w:tcW w:w="350" w:type="pct"/>
            <w:vAlign w:val="center"/>
          </w:tcPr>
          <w:p w14:paraId="183E5BD0">
            <w:pPr>
              <w:pStyle w:val="751"/>
              <w:rPr>
                <w:color w:val="auto"/>
              </w:rPr>
            </w:pPr>
            <w:r>
              <w:rPr>
                <w:color w:val="auto"/>
              </w:rPr>
              <w:t>3</w:t>
            </w:r>
          </w:p>
        </w:tc>
        <w:tc>
          <w:tcPr>
            <w:tcW w:w="350" w:type="pct"/>
            <w:vAlign w:val="center"/>
          </w:tcPr>
          <w:p w14:paraId="784D374E">
            <w:pPr>
              <w:pStyle w:val="751"/>
              <w:rPr>
                <w:color w:val="auto"/>
              </w:rPr>
            </w:pPr>
            <w:r>
              <w:rPr>
                <w:color w:val="auto"/>
              </w:rPr>
              <w:t>4</w:t>
            </w:r>
          </w:p>
        </w:tc>
        <w:tc>
          <w:tcPr>
            <w:tcW w:w="349" w:type="pct"/>
            <w:vAlign w:val="center"/>
          </w:tcPr>
          <w:p w14:paraId="60FCE68F">
            <w:pPr>
              <w:pStyle w:val="751"/>
              <w:rPr>
                <w:color w:val="auto"/>
              </w:rPr>
            </w:pPr>
            <w:r>
              <w:rPr>
                <w:color w:val="auto"/>
              </w:rPr>
              <w:t>5</w:t>
            </w:r>
          </w:p>
        </w:tc>
        <w:tc>
          <w:tcPr>
            <w:tcW w:w="349" w:type="pct"/>
            <w:vAlign w:val="center"/>
          </w:tcPr>
          <w:p w14:paraId="6048DECA">
            <w:pPr>
              <w:pStyle w:val="751"/>
              <w:rPr>
                <w:color w:val="auto"/>
              </w:rPr>
            </w:pPr>
            <w:r>
              <w:rPr>
                <w:color w:val="auto"/>
              </w:rPr>
              <w:t>6</w:t>
            </w:r>
          </w:p>
        </w:tc>
        <w:tc>
          <w:tcPr>
            <w:tcW w:w="349" w:type="pct"/>
            <w:vAlign w:val="center"/>
          </w:tcPr>
          <w:p w14:paraId="144460BB">
            <w:pPr>
              <w:pStyle w:val="751"/>
              <w:rPr>
                <w:color w:val="auto"/>
              </w:rPr>
            </w:pPr>
            <w:r>
              <w:rPr>
                <w:color w:val="auto"/>
              </w:rPr>
              <w:t>7</w:t>
            </w:r>
          </w:p>
        </w:tc>
        <w:tc>
          <w:tcPr>
            <w:tcW w:w="349" w:type="pct"/>
            <w:vAlign w:val="center"/>
          </w:tcPr>
          <w:p w14:paraId="19B3A214">
            <w:pPr>
              <w:pStyle w:val="751"/>
              <w:rPr>
                <w:color w:val="auto"/>
              </w:rPr>
            </w:pPr>
            <w:r>
              <w:rPr>
                <w:color w:val="auto"/>
              </w:rPr>
              <w:t>8</w:t>
            </w:r>
          </w:p>
        </w:tc>
        <w:tc>
          <w:tcPr>
            <w:tcW w:w="349" w:type="pct"/>
            <w:vAlign w:val="center"/>
          </w:tcPr>
          <w:p w14:paraId="30E49268">
            <w:pPr>
              <w:pStyle w:val="751"/>
              <w:rPr>
                <w:color w:val="auto"/>
              </w:rPr>
            </w:pPr>
            <w:r>
              <w:rPr>
                <w:color w:val="auto"/>
              </w:rPr>
              <w:t>9</w:t>
            </w:r>
          </w:p>
        </w:tc>
        <w:tc>
          <w:tcPr>
            <w:tcW w:w="349" w:type="pct"/>
            <w:vAlign w:val="center"/>
          </w:tcPr>
          <w:p w14:paraId="00161983">
            <w:pPr>
              <w:pStyle w:val="751"/>
              <w:rPr>
                <w:color w:val="auto"/>
              </w:rPr>
            </w:pPr>
            <w:r>
              <w:rPr>
                <w:color w:val="auto"/>
              </w:rPr>
              <w:t>10</w:t>
            </w:r>
          </w:p>
        </w:tc>
        <w:tc>
          <w:tcPr>
            <w:tcW w:w="344" w:type="pct"/>
            <w:vAlign w:val="center"/>
          </w:tcPr>
          <w:p w14:paraId="2A50A1EE">
            <w:pPr>
              <w:pStyle w:val="751"/>
              <w:rPr>
                <w:color w:val="auto"/>
              </w:rPr>
            </w:pPr>
            <w:r>
              <w:rPr>
                <w:color w:val="auto"/>
              </w:rPr>
              <w:t>11</w:t>
            </w:r>
          </w:p>
        </w:tc>
      </w:tr>
      <w:tr w14:paraId="04F5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7C0A3E8A">
            <w:pPr>
              <w:pStyle w:val="751"/>
              <w:rPr>
                <w:color w:val="auto"/>
              </w:rPr>
            </w:pPr>
            <w:r>
              <w:rPr>
                <w:color w:val="auto"/>
              </w:rPr>
              <w:t>春季</w:t>
            </w:r>
          </w:p>
        </w:tc>
        <w:tc>
          <w:tcPr>
            <w:tcW w:w="350" w:type="pct"/>
            <w:vAlign w:val="center"/>
          </w:tcPr>
          <w:p w14:paraId="09927BDF">
            <w:pPr>
              <w:pStyle w:val="751"/>
              <w:rPr>
                <w:color w:val="auto"/>
              </w:rPr>
            </w:pPr>
            <w:r>
              <w:rPr>
                <w:color w:val="auto"/>
              </w:rPr>
              <w:t>3.3</w:t>
            </w:r>
          </w:p>
        </w:tc>
        <w:tc>
          <w:tcPr>
            <w:tcW w:w="350" w:type="pct"/>
            <w:vAlign w:val="center"/>
          </w:tcPr>
          <w:p w14:paraId="017824CE">
            <w:pPr>
              <w:pStyle w:val="751"/>
              <w:rPr>
                <w:color w:val="auto"/>
              </w:rPr>
            </w:pPr>
            <w:r>
              <w:rPr>
                <w:color w:val="auto"/>
              </w:rPr>
              <w:t>3.0</w:t>
            </w:r>
          </w:p>
        </w:tc>
        <w:tc>
          <w:tcPr>
            <w:tcW w:w="350" w:type="pct"/>
            <w:vAlign w:val="center"/>
          </w:tcPr>
          <w:p w14:paraId="6D744D19">
            <w:pPr>
              <w:pStyle w:val="751"/>
              <w:rPr>
                <w:color w:val="auto"/>
              </w:rPr>
            </w:pPr>
            <w:r>
              <w:rPr>
                <w:color w:val="auto"/>
              </w:rPr>
              <w:t>2.8</w:t>
            </w:r>
          </w:p>
        </w:tc>
        <w:tc>
          <w:tcPr>
            <w:tcW w:w="350" w:type="pct"/>
            <w:vAlign w:val="center"/>
          </w:tcPr>
          <w:p w14:paraId="6794ACF9">
            <w:pPr>
              <w:pStyle w:val="751"/>
              <w:rPr>
                <w:color w:val="auto"/>
              </w:rPr>
            </w:pPr>
            <w:r>
              <w:rPr>
                <w:color w:val="auto"/>
              </w:rPr>
              <w:t>2.7</w:t>
            </w:r>
          </w:p>
        </w:tc>
        <w:tc>
          <w:tcPr>
            <w:tcW w:w="350" w:type="pct"/>
            <w:vAlign w:val="center"/>
          </w:tcPr>
          <w:p w14:paraId="473599AF">
            <w:pPr>
              <w:pStyle w:val="751"/>
              <w:rPr>
                <w:color w:val="auto"/>
              </w:rPr>
            </w:pPr>
            <w:r>
              <w:rPr>
                <w:color w:val="auto"/>
              </w:rPr>
              <w:t>2.8</w:t>
            </w:r>
          </w:p>
        </w:tc>
        <w:tc>
          <w:tcPr>
            <w:tcW w:w="349" w:type="pct"/>
            <w:vAlign w:val="center"/>
          </w:tcPr>
          <w:p w14:paraId="20540E54">
            <w:pPr>
              <w:pStyle w:val="751"/>
              <w:rPr>
                <w:color w:val="auto"/>
              </w:rPr>
            </w:pPr>
            <w:r>
              <w:rPr>
                <w:color w:val="auto"/>
              </w:rPr>
              <w:t>2.7</w:t>
            </w:r>
          </w:p>
        </w:tc>
        <w:tc>
          <w:tcPr>
            <w:tcW w:w="349" w:type="pct"/>
            <w:vAlign w:val="center"/>
          </w:tcPr>
          <w:p w14:paraId="69B92B93">
            <w:pPr>
              <w:pStyle w:val="751"/>
              <w:rPr>
                <w:color w:val="auto"/>
              </w:rPr>
            </w:pPr>
            <w:r>
              <w:rPr>
                <w:color w:val="auto"/>
              </w:rPr>
              <w:t>2.5</w:t>
            </w:r>
          </w:p>
        </w:tc>
        <w:tc>
          <w:tcPr>
            <w:tcW w:w="349" w:type="pct"/>
            <w:vAlign w:val="center"/>
          </w:tcPr>
          <w:p w14:paraId="23126CBD">
            <w:pPr>
              <w:pStyle w:val="751"/>
              <w:rPr>
                <w:color w:val="auto"/>
              </w:rPr>
            </w:pPr>
            <w:r>
              <w:rPr>
                <w:color w:val="auto"/>
              </w:rPr>
              <w:t>2.5</w:t>
            </w:r>
          </w:p>
        </w:tc>
        <w:tc>
          <w:tcPr>
            <w:tcW w:w="349" w:type="pct"/>
            <w:vAlign w:val="center"/>
          </w:tcPr>
          <w:p w14:paraId="2DBCAB6F">
            <w:pPr>
              <w:pStyle w:val="751"/>
              <w:rPr>
                <w:color w:val="auto"/>
              </w:rPr>
            </w:pPr>
            <w:r>
              <w:rPr>
                <w:color w:val="auto"/>
              </w:rPr>
              <w:t>2.5</w:t>
            </w:r>
          </w:p>
        </w:tc>
        <w:tc>
          <w:tcPr>
            <w:tcW w:w="349" w:type="pct"/>
            <w:vAlign w:val="center"/>
          </w:tcPr>
          <w:p w14:paraId="4C05692B">
            <w:pPr>
              <w:pStyle w:val="751"/>
              <w:rPr>
                <w:color w:val="auto"/>
              </w:rPr>
            </w:pPr>
            <w:r>
              <w:rPr>
                <w:color w:val="auto"/>
              </w:rPr>
              <w:t>2.7</w:t>
            </w:r>
          </w:p>
        </w:tc>
        <w:tc>
          <w:tcPr>
            <w:tcW w:w="349" w:type="pct"/>
            <w:vAlign w:val="center"/>
          </w:tcPr>
          <w:p w14:paraId="5944E326">
            <w:pPr>
              <w:pStyle w:val="751"/>
              <w:rPr>
                <w:color w:val="auto"/>
              </w:rPr>
            </w:pPr>
            <w:r>
              <w:rPr>
                <w:color w:val="auto"/>
              </w:rPr>
              <w:t>3.4</w:t>
            </w:r>
          </w:p>
        </w:tc>
        <w:tc>
          <w:tcPr>
            <w:tcW w:w="344" w:type="pct"/>
            <w:vAlign w:val="center"/>
          </w:tcPr>
          <w:p w14:paraId="09C9AB2B">
            <w:pPr>
              <w:pStyle w:val="751"/>
              <w:rPr>
                <w:color w:val="auto"/>
              </w:rPr>
            </w:pPr>
            <w:r>
              <w:rPr>
                <w:color w:val="auto"/>
              </w:rPr>
              <w:t>3.6</w:t>
            </w:r>
          </w:p>
        </w:tc>
      </w:tr>
      <w:tr w14:paraId="0E76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0E82D063">
            <w:pPr>
              <w:pStyle w:val="751"/>
              <w:rPr>
                <w:color w:val="auto"/>
              </w:rPr>
            </w:pPr>
            <w:r>
              <w:rPr>
                <w:color w:val="auto"/>
              </w:rPr>
              <w:t>夏季</w:t>
            </w:r>
          </w:p>
        </w:tc>
        <w:tc>
          <w:tcPr>
            <w:tcW w:w="350" w:type="pct"/>
            <w:vAlign w:val="center"/>
          </w:tcPr>
          <w:p w14:paraId="36FEED63">
            <w:pPr>
              <w:pStyle w:val="751"/>
              <w:rPr>
                <w:color w:val="auto"/>
              </w:rPr>
            </w:pPr>
            <w:r>
              <w:rPr>
                <w:color w:val="auto"/>
              </w:rPr>
              <w:t>3.2</w:t>
            </w:r>
          </w:p>
        </w:tc>
        <w:tc>
          <w:tcPr>
            <w:tcW w:w="350" w:type="pct"/>
            <w:vAlign w:val="center"/>
          </w:tcPr>
          <w:p w14:paraId="59089EA6">
            <w:pPr>
              <w:pStyle w:val="751"/>
              <w:rPr>
                <w:color w:val="auto"/>
              </w:rPr>
            </w:pPr>
            <w:r>
              <w:rPr>
                <w:color w:val="auto"/>
              </w:rPr>
              <w:t>3.1</w:t>
            </w:r>
          </w:p>
        </w:tc>
        <w:tc>
          <w:tcPr>
            <w:tcW w:w="350" w:type="pct"/>
            <w:vAlign w:val="center"/>
          </w:tcPr>
          <w:p w14:paraId="23B45CF8">
            <w:pPr>
              <w:pStyle w:val="751"/>
              <w:rPr>
                <w:color w:val="auto"/>
              </w:rPr>
            </w:pPr>
            <w:r>
              <w:rPr>
                <w:color w:val="auto"/>
              </w:rPr>
              <w:t>3.1</w:t>
            </w:r>
          </w:p>
        </w:tc>
        <w:tc>
          <w:tcPr>
            <w:tcW w:w="350" w:type="pct"/>
            <w:vAlign w:val="center"/>
          </w:tcPr>
          <w:p w14:paraId="1BAB808D">
            <w:pPr>
              <w:pStyle w:val="751"/>
              <w:rPr>
                <w:color w:val="auto"/>
              </w:rPr>
            </w:pPr>
            <w:r>
              <w:rPr>
                <w:color w:val="auto"/>
              </w:rPr>
              <w:t>3.0</w:t>
            </w:r>
          </w:p>
        </w:tc>
        <w:tc>
          <w:tcPr>
            <w:tcW w:w="350" w:type="pct"/>
            <w:vAlign w:val="center"/>
          </w:tcPr>
          <w:p w14:paraId="0D391731">
            <w:pPr>
              <w:pStyle w:val="751"/>
              <w:rPr>
                <w:color w:val="auto"/>
              </w:rPr>
            </w:pPr>
            <w:r>
              <w:rPr>
                <w:color w:val="auto"/>
              </w:rPr>
              <w:t>3.0</w:t>
            </w:r>
          </w:p>
        </w:tc>
        <w:tc>
          <w:tcPr>
            <w:tcW w:w="349" w:type="pct"/>
            <w:vAlign w:val="center"/>
          </w:tcPr>
          <w:p w14:paraId="7C16BC28">
            <w:pPr>
              <w:pStyle w:val="751"/>
              <w:rPr>
                <w:color w:val="auto"/>
              </w:rPr>
            </w:pPr>
            <w:r>
              <w:rPr>
                <w:color w:val="auto"/>
              </w:rPr>
              <w:t>2.9</w:t>
            </w:r>
          </w:p>
        </w:tc>
        <w:tc>
          <w:tcPr>
            <w:tcW w:w="349" w:type="pct"/>
            <w:vAlign w:val="center"/>
          </w:tcPr>
          <w:p w14:paraId="4AED6EB1">
            <w:pPr>
              <w:pStyle w:val="751"/>
              <w:rPr>
                <w:color w:val="auto"/>
              </w:rPr>
            </w:pPr>
            <w:r>
              <w:rPr>
                <w:color w:val="auto"/>
              </w:rPr>
              <w:t>2.6</w:t>
            </w:r>
          </w:p>
        </w:tc>
        <w:tc>
          <w:tcPr>
            <w:tcW w:w="349" w:type="pct"/>
            <w:vAlign w:val="center"/>
          </w:tcPr>
          <w:p w14:paraId="19D12F27">
            <w:pPr>
              <w:pStyle w:val="751"/>
              <w:rPr>
                <w:color w:val="auto"/>
              </w:rPr>
            </w:pPr>
            <w:r>
              <w:rPr>
                <w:color w:val="auto"/>
              </w:rPr>
              <w:t>2.6</w:t>
            </w:r>
          </w:p>
        </w:tc>
        <w:tc>
          <w:tcPr>
            <w:tcW w:w="349" w:type="pct"/>
            <w:vAlign w:val="center"/>
          </w:tcPr>
          <w:p w14:paraId="3563D347">
            <w:pPr>
              <w:pStyle w:val="751"/>
              <w:rPr>
                <w:color w:val="auto"/>
              </w:rPr>
            </w:pPr>
            <w:r>
              <w:rPr>
                <w:color w:val="auto"/>
              </w:rPr>
              <w:t>3.0</w:t>
            </w:r>
          </w:p>
        </w:tc>
        <w:tc>
          <w:tcPr>
            <w:tcW w:w="349" w:type="pct"/>
            <w:vAlign w:val="center"/>
          </w:tcPr>
          <w:p w14:paraId="1F130D44">
            <w:pPr>
              <w:pStyle w:val="751"/>
              <w:rPr>
                <w:color w:val="auto"/>
              </w:rPr>
            </w:pPr>
            <w:r>
              <w:rPr>
                <w:color w:val="auto"/>
              </w:rPr>
              <w:t>3.1</w:t>
            </w:r>
          </w:p>
        </w:tc>
        <w:tc>
          <w:tcPr>
            <w:tcW w:w="349" w:type="pct"/>
            <w:vAlign w:val="center"/>
          </w:tcPr>
          <w:p w14:paraId="742540AB">
            <w:pPr>
              <w:pStyle w:val="751"/>
              <w:rPr>
                <w:color w:val="auto"/>
              </w:rPr>
            </w:pPr>
            <w:r>
              <w:rPr>
                <w:color w:val="auto"/>
              </w:rPr>
              <w:t>3.3</w:t>
            </w:r>
          </w:p>
        </w:tc>
        <w:tc>
          <w:tcPr>
            <w:tcW w:w="344" w:type="pct"/>
            <w:vAlign w:val="center"/>
          </w:tcPr>
          <w:p w14:paraId="32EE3EF3">
            <w:pPr>
              <w:pStyle w:val="751"/>
              <w:rPr>
                <w:color w:val="auto"/>
              </w:rPr>
            </w:pPr>
            <w:r>
              <w:rPr>
                <w:color w:val="auto"/>
              </w:rPr>
              <w:t>3.7</w:t>
            </w:r>
          </w:p>
        </w:tc>
      </w:tr>
      <w:tr w14:paraId="22C5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5B0BD79F">
            <w:pPr>
              <w:pStyle w:val="751"/>
              <w:rPr>
                <w:color w:val="auto"/>
              </w:rPr>
            </w:pPr>
            <w:r>
              <w:rPr>
                <w:color w:val="auto"/>
              </w:rPr>
              <w:t>秋季</w:t>
            </w:r>
          </w:p>
        </w:tc>
        <w:tc>
          <w:tcPr>
            <w:tcW w:w="350" w:type="pct"/>
            <w:vAlign w:val="center"/>
          </w:tcPr>
          <w:p w14:paraId="5EF8C464">
            <w:pPr>
              <w:pStyle w:val="751"/>
              <w:rPr>
                <w:color w:val="auto"/>
              </w:rPr>
            </w:pPr>
            <w:r>
              <w:rPr>
                <w:color w:val="auto"/>
              </w:rPr>
              <w:t>1.9</w:t>
            </w:r>
          </w:p>
        </w:tc>
        <w:tc>
          <w:tcPr>
            <w:tcW w:w="350" w:type="pct"/>
            <w:vAlign w:val="center"/>
          </w:tcPr>
          <w:p w14:paraId="02C1EB3C">
            <w:pPr>
              <w:pStyle w:val="751"/>
              <w:rPr>
                <w:color w:val="auto"/>
              </w:rPr>
            </w:pPr>
            <w:r>
              <w:rPr>
                <w:color w:val="auto"/>
              </w:rPr>
              <w:t>1.9</w:t>
            </w:r>
          </w:p>
        </w:tc>
        <w:tc>
          <w:tcPr>
            <w:tcW w:w="350" w:type="pct"/>
            <w:vAlign w:val="center"/>
          </w:tcPr>
          <w:p w14:paraId="538FFC4C">
            <w:pPr>
              <w:pStyle w:val="751"/>
              <w:rPr>
                <w:color w:val="auto"/>
              </w:rPr>
            </w:pPr>
            <w:r>
              <w:rPr>
                <w:color w:val="auto"/>
              </w:rPr>
              <w:t>1.9</w:t>
            </w:r>
          </w:p>
        </w:tc>
        <w:tc>
          <w:tcPr>
            <w:tcW w:w="350" w:type="pct"/>
            <w:vAlign w:val="center"/>
          </w:tcPr>
          <w:p w14:paraId="7E66FFF2">
            <w:pPr>
              <w:pStyle w:val="751"/>
              <w:rPr>
                <w:color w:val="auto"/>
              </w:rPr>
            </w:pPr>
            <w:r>
              <w:rPr>
                <w:color w:val="auto"/>
              </w:rPr>
              <w:t>1.9</w:t>
            </w:r>
          </w:p>
        </w:tc>
        <w:tc>
          <w:tcPr>
            <w:tcW w:w="350" w:type="pct"/>
            <w:vAlign w:val="center"/>
          </w:tcPr>
          <w:p w14:paraId="75F35F09">
            <w:pPr>
              <w:pStyle w:val="751"/>
              <w:rPr>
                <w:color w:val="auto"/>
              </w:rPr>
            </w:pPr>
            <w:r>
              <w:rPr>
                <w:color w:val="auto"/>
              </w:rPr>
              <w:t>1.8</w:t>
            </w:r>
          </w:p>
        </w:tc>
        <w:tc>
          <w:tcPr>
            <w:tcW w:w="349" w:type="pct"/>
            <w:vAlign w:val="center"/>
          </w:tcPr>
          <w:p w14:paraId="2810218E">
            <w:pPr>
              <w:pStyle w:val="751"/>
              <w:rPr>
                <w:color w:val="auto"/>
              </w:rPr>
            </w:pPr>
            <w:r>
              <w:rPr>
                <w:color w:val="auto"/>
              </w:rPr>
              <w:t>1.8</w:t>
            </w:r>
          </w:p>
        </w:tc>
        <w:tc>
          <w:tcPr>
            <w:tcW w:w="349" w:type="pct"/>
            <w:vAlign w:val="center"/>
          </w:tcPr>
          <w:p w14:paraId="1BA7BCD3">
            <w:pPr>
              <w:pStyle w:val="751"/>
              <w:rPr>
                <w:color w:val="auto"/>
              </w:rPr>
            </w:pPr>
            <w:r>
              <w:rPr>
                <w:color w:val="auto"/>
              </w:rPr>
              <w:t>1.6</w:t>
            </w:r>
          </w:p>
        </w:tc>
        <w:tc>
          <w:tcPr>
            <w:tcW w:w="349" w:type="pct"/>
            <w:vAlign w:val="center"/>
          </w:tcPr>
          <w:p w14:paraId="3EFB5B3A">
            <w:pPr>
              <w:pStyle w:val="751"/>
              <w:rPr>
                <w:color w:val="auto"/>
              </w:rPr>
            </w:pPr>
            <w:r>
              <w:rPr>
                <w:color w:val="auto"/>
              </w:rPr>
              <w:t>1.6</w:t>
            </w:r>
          </w:p>
        </w:tc>
        <w:tc>
          <w:tcPr>
            <w:tcW w:w="349" w:type="pct"/>
            <w:vAlign w:val="center"/>
          </w:tcPr>
          <w:p w14:paraId="58E87CF9">
            <w:pPr>
              <w:pStyle w:val="751"/>
              <w:rPr>
                <w:color w:val="auto"/>
              </w:rPr>
            </w:pPr>
            <w:r>
              <w:rPr>
                <w:color w:val="auto"/>
              </w:rPr>
              <w:t>1.6</w:t>
            </w:r>
          </w:p>
        </w:tc>
        <w:tc>
          <w:tcPr>
            <w:tcW w:w="349" w:type="pct"/>
            <w:vAlign w:val="center"/>
          </w:tcPr>
          <w:p w14:paraId="33C95D04">
            <w:pPr>
              <w:pStyle w:val="751"/>
              <w:rPr>
                <w:color w:val="auto"/>
              </w:rPr>
            </w:pPr>
            <w:r>
              <w:rPr>
                <w:color w:val="auto"/>
              </w:rPr>
              <w:t>2.0</w:t>
            </w:r>
          </w:p>
        </w:tc>
        <w:tc>
          <w:tcPr>
            <w:tcW w:w="349" w:type="pct"/>
            <w:vAlign w:val="center"/>
          </w:tcPr>
          <w:p w14:paraId="7595A118">
            <w:pPr>
              <w:pStyle w:val="751"/>
              <w:rPr>
                <w:color w:val="auto"/>
              </w:rPr>
            </w:pPr>
            <w:r>
              <w:rPr>
                <w:color w:val="auto"/>
              </w:rPr>
              <w:t>2.5</w:t>
            </w:r>
          </w:p>
        </w:tc>
        <w:tc>
          <w:tcPr>
            <w:tcW w:w="344" w:type="pct"/>
            <w:vAlign w:val="center"/>
          </w:tcPr>
          <w:p w14:paraId="59BA3656">
            <w:pPr>
              <w:pStyle w:val="751"/>
              <w:rPr>
                <w:color w:val="auto"/>
              </w:rPr>
            </w:pPr>
            <w:r>
              <w:rPr>
                <w:color w:val="auto"/>
              </w:rPr>
              <w:t>3.0</w:t>
            </w:r>
          </w:p>
        </w:tc>
      </w:tr>
      <w:tr w14:paraId="38CD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268BFBAA">
            <w:pPr>
              <w:pStyle w:val="751"/>
              <w:rPr>
                <w:color w:val="auto"/>
              </w:rPr>
            </w:pPr>
            <w:r>
              <w:rPr>
                <w:color w:val="auto"/>
              </w:rPr>
              <w:t>冬季</w:t>
            </w:r>
          </w:p>
        </w:tc>
        <w:tc>
          <w:tcPr>
            <w:tcW w:w="350" w:type="pct"/>
            <w:vAlign w:val="center"/>
          </w:tcPr>
          <w:p w14:paraId="2EB1CAB8">
            <w:pPr>
              <w:pStyle w:val="751"/>
              <w:rPr>
                <w:color w:val="auto"/>
              </w:rPr>
            </w:pPr>
            <w:r>
              <w:rPr>
                <w:color w:val="auto"/>
              </w:rPr>
              <w:t>1.8</w:t>
            </w:r>
          </w:p>
        </w:tc>
        <w:tc>
          <w:tcPr>
            <w:tcW w:w="350" w:type="pct"/>
            <w:vAlign w:val="center"/>
          </w:tcPr>
          <w:p w14:paraId="50B7BF3D">
            <w:pPr>
              <w:pStyle w:val="751"/>
              <w:rPr>
                <w:color w:val="auto"/>
              </w:rPr>
            </w:pPr>
            <w:r>
              <w:rPr>
                <w:color w:val="auto"/>
              </w:rPr>
              <w:t>1.8</w:t>
            </w:r>
          </w:p>
        </w:tc>
        <w:tc>
          <w:tcPr>
            <w:tcW w:w="350" w:type="pct"/>
            <w:vAlign w:val="center"/>
          </w:tcPr>
          <w:p w14:paraId="4F3A92C3">
            <w:pPr>
              <w:pStyle w:val="751"/>
              <w:rPr>
                <w:color w:val="auto"/>
              </w:rPr>
            </w:pPr>
            <w:r>
              <w:rPr>
                <w:color w:val="auto"/>
              </w:rPr>
              <w:t>1.9</w:t>
            </w:r>
          </w:p>
        </w:tc>
        <w:tc>
          <w:tcPr>
            <w:tcW w:w="350" w:type="pct"/>
            <w:vAlign w:val="center"/>
          </w:tcPr>
          <w:p w14:paraId="2457D782">
            <w:pPr>
              <w:pStyle w:val="751"/>
              <w:rPr>
                <w:color w:val="auto"/>
              </w:rPr>
            </w:pPr>
            <w:r>
              <w:rPr>
                <w:color w:val="auto"/>
              </w:rPr>
              <w:t>1.6</w:t>
            </w:r>
          </w:p>
        </w:tc>
        <w:tc>
          <w:tcPr>
            <w:tcW w:w="350" w:type="pct"/>
            <w:vAlign w:val="center"/>
          </w:tcPr>
          <w:p w14:paraId="29A2ECEC">
            <w:pPr>
              <w:pStyle w:val="751"/>
              <w:rPr>
                <w:color w:val="auto"/>
              </w:rPr>
            </w:pPr>
            <w:r>
              <w:rPr>
                <w:color w:val="auto"/>
              </w:rPr>
              <w:t>1.7</w:t>
            </w:r>
          </w:p>
        </w:tc>
        <w:tc>
          <w:tcPr>
            <w:tcW w:w="349" w:type="pct"/>
            <w:vAlign w:val="center"/>
          </w:tcPr>
          <w:p w14:paraId="03958EC8">
            <w:pPr>
              <w:pStyle w:val="751"/>
              <w:rPr>
                <w:color w:val="auto"/>
              </w:rPr>
            </w:pPr>
            <w:r>
              <w:rPr>
                <w:color w:val="auto"/>
              </w:rPr>
              <w:t>1.7</w:t>
            </w:r>
          </w:p>
        </w:tc>
        <w:tc>
          <w:tcPr>
            <w:tcW w:w="349" w:type="pct"/>
            <w:vAlign w:val="center"/>
          </w:tcPr>
          <w:p w14:paraId="7D9D6547">
            <w:pPr>
              <w:pStyle w:val="751"/>
              <w:rPr>
                <w:color w:val="auto"/>
              </w:rPr>
            </w:pPr>
            <w:r>
              <w:rPr>
                <w:color w:val="auto"/>
              </w:rPr>
              <w:t>1.6</w:t>
            </w:r>
          </w:p>
        </w:tc>
        <w:tc>
          <w:tcPr>
            <w:tcW w:w="349" w:type="pct"/>
            <w:vAlign w:val="center"/>
          </w:tcPr>
          <w:p w14:paraId="7D496305">
            <w:pPr>
              <w:pStyle w:val="751"/>
              <w:rPr>
                <w:color w:val="auto"/>
              </w:rPr>
            </w:pPr>
            <w:r>
              <w:rPr>
                <w:color w:val="auto"/>
              </w:rPr>
              <w:t>1.7</w:t>
            </w:r>
          </w:p>
        </w:tc>
        <w:tc>
          <w:tcPr>
            <w:tcW w:w="349" w:type="pct"/>
            <w:vAlign w:val="center"/>
          </w:tcPr>
          <w:p w14:paraId="03E8B867">
            <w:pPr>
              <w:pStyle w:val="751"/>
              <w:rPr>
                <w:color w:val="auto"/>
              </w:rPr>
            </w:pPr>
            <w:r>
              <w:rPr>
                <w:color w:val="auto"/>
              </w:rPr>
              <w:t>1.7</w:t>
            </w:r>
          </w:p>
        </w:tc>
        <w:tc>
          <w:tcPr>
            <w:tcW w:w="349" w:type="pct"/>
            <w:vAlign w:val="center"/>
          </w:tcPr>
          <w:p w14:paraId="49C6875D">
            <w:pPr>
              <w:pStyle w:val="751"/>
              <w:rPr>
                <w:color w:val="auto"/>
              </w:rPr>
            </w:pPr>
            <w:r>
              <w:rPr>
                <w:color w:val="auto"/>
              </w:rPr>
              <w:t>1.6</w:t>
            </w:r>
          </w:p>
        </w:tc>
        <w:tc>
          <w:tcPr>
            <w:tcW w:w="349" w:type="pct"/>
            <w:vAlign w:val="center"/>
          </w:tcPr>
          <w:p w14:paraId="615D465C">
            <w:pPr>
              <w:pStyle w:val="751"/>
              <w:rPr>
                <w:color w:val="auto"/>
              </w:rPr>
            </w:pPr>
            <w:r>
              <w:rPr>
                <w:color w:val="auto"/>
              </w:rPr>
              <w:t>1.8</w:t>
            </w:r>
          </w:p>
        </w:tc>
        <w:tc>
          <w:tcPr>
            <w:tcW w:w="344" w:type="pct"/>
            <w:vAlign w:val="center"/>
          </w:tcPr>
          <w:p w14:paraId="5A554563">
            <w:pPr>
              <w:pStyle w:val="751"/>
              <w:rPr>
                <w:color w:val="auto"/>
              </w:rPr>
            </w:pPr>
            <w:r>
              <w:rPr>
                <w:color w:val="auto"/>
              </w:rPr>
              <w:t>2.4</w:t>
            </w:r>
          </w:p>
        </w:tc>
      </w:tr>
      <w:tr w14:paraId="140E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4F0892B7">
            <w:pPr>
              <w:pStyle w:val="751"/>
              <w:rPr>
                <w:color w:val="auto"/>
              </w:rPr>
            </w:pPr>
            <w:r>
              <w:rPr>
                <w:color w:val="auto"/>
              </w:rPr>
              <w:t>小时风速</w:t>
            </w:r>
          </w:p>
        </w:tc>
        <w:tc>
          <w:tcPr>
            <w:tcW w:w="350" w:type="pct"/>
            <w:vAlign w:val="center"/>
          </w:tcPr>
          <w:p w14:paraId="55896E75">
            <w:pPr>
              <w:pStyle w:val="751"/>
              <w:rPr>
                <w:color w:val="auto"/>
              </w:rPr>
            </w:pPr>
            <w:r>
              <w:rPr>
                <w:color w:val="auto"/>
              </w:rPr>
              <w:t>12</w:t>
            </w:r>
          </w:p>
        </w:tc>
        <w:tc>
          <w:tcPr>
            <w:tcW w:w="350" w:type="pct"/>
            <w:vAlign w:val="center"/>
          </w:tcPr>
          <w:p w14:paraId="5FDB8363">
            <w:pPr>
              <w:pStyle w:val="751"/>
              <w:rPr>
                <w:color w:val="auto"/>
              </w:rPr>
            </w:pPr>
            <w:r>
              <w:rPr>
                <w:color w:val="auto"/>
              </w:rPr>
              <w:t>13</w:t>
            </w:r>
          </w:p>
        </w:tc>
        <w:tc>
          <w:tcPr>
            <w:tcW w:w="350" w:type="pct"/>
            <w:vAlign w:val="center"/>
          </w:tcPr>
          <w:p w14:paraId="5BE5AA65">
            <w:pPr>
              <w:pStyle w:val="751"/>
              <w:rPr>
                <w:color w:val="auto"/>
              </w:rPr>
            </w:pPr>
            <w:r>
              <w:rPr>
                <w:color w:val="auto"/>
              </w:rPr>
              <w:t>14</w:t>
            </w:r>
          </w:p>
        </w:tc>
        <w:tc>
          <w:tcPr>
            <w:tcW w:w="350" w:type="pct"/>
            <w:vAlign w:val="center"/>
          </w:tcPr>
          <w:p w14:paraId="698DBF41">
            <w:pPr>
              <w:pStyle w:val="751"/>
              <w:rPr>
                <w:color w:val="auto"/>
              </w:rPr>
            </w:pPr>
            <w:r>
              <w:rPr>
                <w:color w:val="auto"/>
              </w:rPr>
              <w:t>15</w:t>
            </w:r>
          </w:p>
        </w:tc>
        <w:tc>
          <w:tcPr>
            <w:tcW w:w="350" w:type="pct"/>
            <w:vAlign w:val="center"/>
          </w:tcPr>
          <w:p w14:paraId="1E3244EF">
            <w:pPr>
              <w:pStyle w:val="751"/>
              <w:rPr>
                <w:color w:val="auto"/>
              </w:rPr>
            </w:pPr>
            <w:r>
              <w:rPr>
                <w:color w:val="auto"/>
              </w:rPr>
              <w:t>16</w:t>
            </w:r>
          </w:p>
        </w:tc>
        <w:tc>
          <w:tcPr>
            <w:tcW w:w="349" w:type="pct"/>
            <w:vAlign w:val="center"/>
          </w:tcPr>
          <w:p w14:paraId="18AD6FED">
            <w:pPr>
              <w:pStyle w:val="751"/>
              <w:rPr>
                <w:color w:val="auto"/>
              </w:rPr>
            </w:pPr>
            <w:r>
              <w:rPr>
                <w:color w:val="auto"/>
              </w:rPr>
              <w:t>17</w:t>
            </w:r>
          </w:p>
        </w:tc>
        <w:tc>
          <w:tcPr>
            <w:tcW w:w="349" w:type="pct"/>
            <w:vAlign w:val="center"/>
          </w:tcPr>
          <w:p w14:paraId="60B5EE2F">
            <w:pPr>
              <w:pStyle w:val="751"/>
              <w:rPr>
                <w:color w:val="auto"/>
              </w:rPr>
            </w:pPr>
            <w:r>
              <w:rPr>
                <w:color w:val="auto"/>
              </w:rPr>
              <w:t>18</w:t>
            </w:r>
          </w:p>
        </w:tc>
        <w:tc>
          <w:tcPr>
            <w:tcW w:w="349" w:type="pct"/>
            <w:vAlign w:val="center"/>
          </w:tcPr>
          <w:p w14:paraId="1A17BE6E">
            <w:pPr>
              <w:pStyle w:val="751"/>
              <w:rPr>
                <w:color w:val="auto"/>
              </w:rPr>
            </w:pPr>
            <w:r>
              <w:rPr>
                <w:color w:val="auto"/>
              </w:rPr>
              <w:t>19</w:t>
            </w:r>
          </w:p>
        </w:tc>
        <w:tc>
          <w:tcPr>
            <w:tcW w:w="349" w:type="pct"/>
            <w:vAlign w:val="center"/>
          </w:tcPr>
          <w:p w14:paraId="44FD4A26">
            <w:pPr>
              <w:pStyle w:val="751"/>
              <w:rPr>
                <w:color w:val="auto"/>
              </w:rPr>
            </w:pPr>
            <w:r>
              <w:rPr>
                <w:color w:val="auto"/>
              </w:rPr>
              <w:t>20</w:t>
            </w:r>
          </w:p>
        </w:tc>
        <w:tc>
          <w:tcPr>
            <w:tcW w:w="349" w:type="pct"/>
            <w:vAlign w:val="center"/>
          </w:tcPr>
          <w:p w14:paraId="3AADB455">
            <w:pPr>
              <w:pStyle w:val="751"/>
              <w:rPr>
                <w:color w:val="auto"/>
              </w:rPr>
            </w:pPr>
            <w:r>
              <w:rPr>
                <w:color w:val="auto"/>
              </w:rPr>
              <w:t>21</w:t>
            </w:r>
          </w:p>
        </w:tc>
        <w:tc>
          <w:tcPr>
            <w:tcW w:w="349" w:type="pct"/>
            <w:vAlign w:val="center"/>
          </w:tcPr>
          <w:p w14:paraId="2A9410AF">
            <w:pPr>
              <w:pStyle w:val="751"/>
              <w:rPr>
                <w:color w:val="auto"/>
              </w:rPr>
            </w:pPr>
            <w:r>
              <w:rPr>
                <w:color w:val="auto"/>
              </w:rPr>
              <w:t>22</w:t>
            </w:r>
          </w:p>
        </w:tc>
        <w:tc>
          <w:tcPr>
            <w:tcW w:w="344" w:type="pct"/>
            <w:vAlign w:val="center"/>
          </w:tcPr>
          <w:p w14:paraId="50CF2E16">
            <w:pPr>
              <w:pStyle w:val="751"/>
              <w:rPr>
                <w:color w:val="auto"/>
              </w:rPr>
            </w:pPr>
            <w:r>
              <w:rPr>
                <w:color w:val="auto"/>
              </w:rPr>
              <w:t>23</w:t>
            </w:r>
          </w:p>
        </w:tc>
      </w:tr>
      <w:tr w14:paraId="7061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59508DC8">
            <w:pPr>
              <w:pStyle w:val="751"/>
              <w:rPr>
                <w:color w:val="auto"/>
              </w:rPr>
            </w:pPr>
            <w:r>
              <w:rPr>
                <w:color w:val="auto"/>
              </w:rPr>
              <w:t>春季</w:t>
            </w:r>
          </w:p>
        </w:tc>
        <w:tc>
          <w:tcPr>
            <w:tcW w:w="350" w:type="pct"/>
            <w:vAlign w:val="center"/>
          </w:tcPr>
          <w:p w14:paraId="356EC613">
            <w:pPr>
              <w:pStyle w:val="751"/>
              <w:rPr>
                <w:color w:val="auto"/>
              </w:rPr>
            </w:pPr>
            <w:r>
              <w:rPr>
                <w:color w:val="auto"/>
              </w:rPr>
              <w:t>4.0</w:t>
            </w:r>
          </w:p>
        </w:tc>
        <w:tc>
          <w:tcPr>
            <w:tcW w:w="350" w:type="pct"/>
            <w:vAlign w:val="center"/>
          </w:tcPr>
          <w:p w14:paraId="64FC5962">
            <w:pPr>
              <w:pStyle w:val="751"/>
              <w:rPr>
                <w:color w:val="auto"/>
              </w:rPr>
            </w:pPr>
            <w:r>
              <w:rPr>
                <w:color w:val="auto"/>
              </w:rPr>
              <w:t>4.4</w:t>
            </w:r>
          </w:p>
        </w:tc>
        <w:tc>
          <w:tcPr>
            <w:tcW w:w="350" w:type="pct"/>
            <w:vAlign w:val="center"/>
          </w:tcPr>
          <w:p w14:paraId="52A565AA">
            <w:pPr>
              <w:pStyle w:val="751"/>
              <w:rPr>
                <w:color w:val="auto"/>
              </w:rPr>
            </w:pPr>
            <w:r>
              <w:rPr>
                <w:color w:val="auto"/>
              </w:rPr>
              <w:t>4.7</w:t>
            </w:r>
          </w:p>
        </w:tc>
        <w:tc>
          <w:tcPr>
            <w:tcW w:w="350" w:type="pct"/>
            <w:vAlign w:val="center"/>
          </w:tcPr>
          <w:p w14:paraId="61A6796A">
            <w:pPr>
              <w:pStyle w:val="751"/>
              <w:rPr>
                <w:color w:val="auto"/>
              </w:rPr>
            </w:pPr>
            <w:r>
              <w:rPr>
                <w:color w:val="auto"/>
              </w:rPr>
              <w:t>5.0</w:t>
            </w:r>
          </w:p>
        </w:tc>
        <w:tc>
          <w:tcPr>
            <w:tcW w:w="350" w:type="pct"/>
            <w:vAlign w:val="center"/>
          </w:tcPr>
          <w:p w14:paraId="27D44471">
            <w:pPr>
              <w:pStyle w:val="751"/>
              <w:rPr>
                <w:color w:val="auto"/>
              </w:rPr>
            </w:pPr>
            <w:r>
              <w:rPr>
                <w:color w:val="auto"/>
              </w:rPr>
              <w:t>4.8</w:t>
            </w:r>
          </w:p>
        </w:tc>
        <w:tc>
          <w:tcPr>
            <w:tcW w:w="349" w:type="pct"/>
            <w:vAlign w:val="center"/>
          </w:tcPr>
          <w:p w14:paraId="5483AD1F">
            <w:pPr>
              <w:pStyle w:val="751"/>
              <w:rPr>
                <w:color w:val="auto"/>
              </w:rPr>
            </w:pPr>
            <w:r>
              <w:rPr>
                <w:color w:val="auto"/>
              </w:rPr>
              <w:t>5.0</w:t>
            </w:r>
          </w:p>
        </w:tc>
        <w:tc>
          <w:tcPr>
            <w:tcW w:w="349" w:type="pct"/>
            <w:vAlign w:val="center"/>
          </w:tcPr>
          <w:p w14:paraId="35426604">
            <w:pPr>
              <w:pStyle w:val="751"/>
              <w:rPr>
                <w:color w:val="auto"/>
              </w:rPr>
            </w:pPr>
            <w:r>
              <w:rPr>
                <w:color w:val="auto"/>
              </w:rPr>
              <w:t>4.6</w:t>
            </w:r>
          </w:p>
        </w:tc>
        <w:tc>
          <w:tcPr>
            <w:tcW w:w="349" w:type="pct"/>
            <w:vAlign w:val="center"/>
          </w:tcPr>
          <w:p w14:paraId="0C3344DE">
            <w:pPr>
              <w:pStyle w:val="751"/>
              <w:rPr>
                <w:color w:val="auto"/>
              </w:rPr>
            </w:pPr>
            <w:r>
              <w:rPr>
                <w:color w:val="auto"/>
              </w:rPr>
              <w:t>3.9</w:t>
            </w:r>
          </w:p>
        </w:tc>
        <w:tc>
          <w:tcPr>
            <w:tcW w:w="349" w:type="pct"/>
            <w:vAlign w:val="center"/>
          </w:tcPr>
          <w:p w14:paraId="443C2786">
            <w:pPr>
              <w:pStyle w:val="751"/>
              <w:rPr>
                <w:color w:val="auto"/>
              </w:rPr>
            </w:pPr>
            <w:r>
              <w:rPr>
                <w:color w:val="auto"/>
              </w:rPr>
              <w:t>3.4</w:t>
            </w:r>
          </w:p>
        </w:tc>
        <w:tc>
          <w:tcPr>
            <w:tcW w:w="349" w:type="pct"/>
            <w:vAlign w:val="center"/>
          </w:tcPr>
          <w:p w14:paraId="03FDAA37">
            <w:pPr>
              <w:pStyle w:val="751"/>
              <w:rPr>
                <w:color w:val="auto"/>
              </w:rPr>
            </w:pPr>
            <w:r>
              <w:rPr>
                <w:color w:val="auto"/>
              </w:rPr>
              <w:t>3.5</w:t>
            </w:r>
          </w:p>
        </w:tc>
        <w:tc>
          <w:tcPr>
            <w:tcW w:w="349" w:type="pct"/>
            <w:vAlign w:val="center"/>
          </w:tcPr>
          <w:p w14:paraId="36DC79FC">
            <w:pPr>
              <w:pStyle w:val="751"/>
              <w:rPr>
                <w:color w:val="auto"/>
              </w:rPr>
            </w:pPr>
            <w:r>
              <w:rPr>
                <w:color w:val="auto"/>
              </w:rPr>
              <w:t>3.5</w:t>
            </w:r>
          </w:p>
        </w:tc>
        <w:tc>
          <w:tcPr>
            <w:tcW w:w="344" w:type="pct"/>
            <w:vAlign w:val="center"/>
          </w:tcPr>
          <w:p w14:paraId="36228A0B">
            <w:pPr>
              <w:pStyle w:val="751"/>
              <w:rPr>
                <w:color w:val="auto"/>
              </w:rPr>
            </w:pPr>
            <w:r>
              <w:rPr>
                <w:color w:val="auto"/>
              </w:rPr>
              <w:t>3.5</w:t>
            </w:r>
          </w:p>
        </w:tc>
      </w:tr>
      <w:tr w14:paraId="5F69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11BFB848">
            <w:pPr>
              <w:pStyle w:val="751"/>
              <w:rPr>
                <w:color w:val="auto"/>
              </w:rPr>
            </w:pPr>
            <w:r>
              <w:rPr>
                <w:color w:val="auto"/>
              </w:rPr>
              <w:t>夏季</w:t>
            </w:r>
          </w:p>
        </w:tc>
        <w:tc>
          <w:tcPr>
            <w:tcW w:w="350" w:type="pct"/>
            <w:vAlign w:val="center"/>
          </w:tcPr>
          <w:p w14:paraId="4A89212A">
            <w:pPr>
              <w:pStyle w:val="751"/>
              <w:rPr>
                <w:color w:val="auto"/>
              </w:rPr>
            </w:pPr>
            <w:r>
              <w:rPr>
                <w:color w:val="auto"/>
              </w:rPr>
              <w:t>3.7</w:t>
            </w:r>
          </w:p>
        </w:tc>
        <w:tc>
          <w:tcPr>
            <w:tcW w:w="350" w:type="pct"/>
            <w:vAlign w:val="center"/>
          </w:tcPr>
          <w:p w14:paraId="297F6288">
            <w:pPr>
              <w:pStyle w:val="751"/>
              <w:rPr>
                <w:color w:val="auto"/>
              </w:rPr>
            </w:pPr>
            <w:r>
              <w:rPr>
                <w:color w:val="auto"/>
              </w:rPr>
              <w:t>3.9</w:t>
            </w:r>
          </w:p>
        </w:tc>
        <w:tc>
          <w:tcPr>
            <w:tcW w:w="350" w:type="pct"/>
            <w:vAlign w:val="center"/>
          </w:tcPr>
          <w:p w14:paraId="204C8061">
            <w:pPr>
              <w:pStyle w:val="751"/>
              <w:rPr>
                <w:color w:val="auto"/>
              </w:rPr>
            </w:pPr>
            <w:r>
              <w:rPr>
                <w:color w:val="auto"/>
              </w:rPr>
              <w:t>4.2</w:t>
            </w:r>
          </w:p>
        </w:tc>
        <w:tc>
          <w:tcPr>
            <w:tcW w:w="350" w:type="pct"/>
            <w:vAlign w:val="center"/>
          </w:tcPr>
          <w:p w14:paraId="1985656C">
            <w:pPr>
              <w:pStyle w:val="751"/>
              <w:rPr>
                <w:color w:val="auto"/>
              </w:rPr>
            </w:pPr>
            <w:r>
              <w:rPr>
                <w:color w:val="auto"/>
              </w:rPr>
              <w:t>4.1</w:t>
            </w:r>
          </w:p>
        </w:tc>
        <w:tc>
          <w:tcPr>
            <w:tcW w:w="350" w:type="pct"/>
            <w:vAlign w:val="center"/>
          </w:tcPr>
          <w:p w14:paraId="155AA02B">
            <w:pPr>
              <w:pStyle w:val="751"/>
              <w:rPr>
                <w:color w:val="auto"/>
              </w:rPr>
            </w:pPr>
            <w:r>
              <w:rPr>
                <w:color w:val="auto"/>
              </w:rPr>
              <w:t>4.1</w:t>
            </w:r>
          </w:p>
        </w:tc>
        <w:tc>
          <w:tcPr>
            <w:tcW w:w="349" w:type="pct"/>
            <w:vAlign w:val="center"/>
          </w:tcPr>
          <w:p w14:paraId="4A60C46B">
            <w:pPr>
              <w:pStyle w:val="751"/>
              <w:rPr>
                <w:color w:val="auto"/>
              </w:rPr>
            </w:pPr>
            <w:r>
              <w:rPr>
                <w:color w:val="auto"/>
              </w:rPr>
              <w:t>4.1</w:t>
            </w:r>
          </w:p>
        </w:tc>
        <w:tc>
          <w:tcPr>
            <w:tcW w:w="349" w:type="pct"/>
            <w:vAlign w:val="center"/>
          </w:tcPr>
          <w:p w14:paraId="298EF1F9">
            <w:pPr>
              <w:pStyle w:val="751"/>
              <w:rPr>
                <w:color w:val="auto"/>
              </w:rPr>
            </w:pPr>
            <w:r>
              <w:rPr>
                <w:color w:val="auto"/>
              </w:rPr>
              <w:t>4.1</w:t>
            </w:r>
          </w:p>
        </w:tc>
        <w:tc>
          <w:tcPr>
            <w:tcW w:w="349" w:type="pct"/>
            <w:vAlign w:val="center"/>
          </w:tcPr>
          <w:p w14:paraId="3C1F8C28">
            <w:pPr>
              <w:pStyle w:val="751"/>
              <w:rPr>
                <w:color w:val="auto"/>
              </w:rPr>
            </w:pPr>
            <w:r>
              <w:rPr>
                <w:color w:val="auto"/>
              </w:rPr>
              <w:t>3.5</w:t>
            </w:r>
          </w:p>
        </w:tc>
        <w:tc>
          <w:tcPr>
            <w:tcW w:w="349" w:type="pct"/>
            <w:vAlign w:val="center"/>
          </w:tcPr>
          <w:p w14:paraId="0D4A78D5">
            <w:pPr>
              <w:pStyle w:val="751"/>
              <w:rPr>
                <w:color w:val="auto"/>
              </w:rPr>
            </w:pPr>
            <w:r>
              <w:rPr>
                <w:color w:val="auto"/>
              </w:rPr>
              <w:t>2.9</w:t>
            </w:r>
          </w:p>
        </w:tc>
        <w:tc>
          <w:tcPr>
            <w:tcW w:w="349" w:type="pct"/>
            <w:vAlign w:val="center"/>
          </w:tcPr>
          <w:p w14:paraId="26AA90C5">
            <w:pPr>
              <w:pStyle w:val="751"/>
              <w:rPr>
                <w:color w:val="auto"/>
              </w:rPr>
            </w:pPr>
            <w:r>
              <w:rPr>
                <w:color w:val="auto"/>
              </w:rPr>
              <w:t>2.8</w:t>
            </w:r>
          </w:p>
        </w:tc>
        <w:tc>
          <w:tcPr>
            <w:tcW w:w="349" w:type="pct"/>
            <w:vAlign w:val="center"/>
          </w:tcPr>
          <w:p w14:paraId="562275F3">
            <w:pPr>
              <w:pStyle w:val="751"/>
              <w:rPr>
                <w:color w:val="auto"/>
              </w:rPr>
            </w:pPr>
            <w:r>
              <w:rPr>
                <w:color w:val="auto"/>
              </w:rPr>
              <w:t>3.0</w:t>
            </w:r>
          </w:p>
        </w:tc>
        <w:tc>
          <w:tcPr>
            <w:tcW w:w="344" w:type="pct"/>
            <w:vAlign w:val="center"/>
          </w:tcPr>
          <w:p w14:paraId="63408C78">
            <w:pPr>
              <w:pStyle w:val="751"/>
              <w:rPr>
                <w:color w:val="auto"/>
              </w:rPr>
            </w:pPr>
            <w:r>
              <w:rPr>
                <w:color w:val="auto"/>
              </w:rPr>
              <w:t>3.0</w:t>
            </w:r>
          </w:p>
        </w:tc>
      </w:tr>
      <w:tr w14:paraId="6FD0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245DF8BF">
            <w:pPr>
              <w:pStyle w:val="751"/>
              <w:rPr>
                <w:color w:val="auto"/>
              </w:rPr>
            </w:pPr>
            <w:r>
              <w:rPr>
                <w:color w:val="auto"/>
              </w:rPr>
              <w:t>秋季</w:t>
            </w:r>
          </w:p>
        </w:tc>
        <w:tc>
          <w:tcPr>
            <w:tcW w:w="350" w:type="pct"/>
            <w:vAlign w:val="center"/>
          </w:tcPr>
          <w:p w14:paraId="13350C70">
            <w:pPr>
              <w:pStyle w:val="751"/>
              <w:rPr>
                <w:color w:val="auto"/>
              </w:rPr>
            </w:pPr>
            <w:r>
              <w:rPr>
                <w:color w:val="auto"/>
              </w:rPr>
              <w:t>3.5</w:t>
            </w:r>
          </w:p>
        </w:tc>
        <w:tc>
          <w:tcPr>
            <w:tcW w:w="350" w:type="pct"/>
            <w:vAlign w:val="center"/>
          </w:tcPr>
          <w:p w14:paraId="1555DA0D">
            <w:pPr>
              <w:pStyle w:val="751"/>
              <w:rPr>
                <w:color w:val="auto"/>
              </w:rPr>
            </w:pPr>
            <w:r>
              <w:rPr>
                <w:color w:val="auto"/>
              </w:rPr>
              <w:t>3.7</w:t>
            </w:r>
          </w:p>
        </w:tc>
        <w:tc>
          <w:tcPr>
            <w:tcW w:w="350" w:type="pct"/>
            <w:vAlign w:val="center"/>
          </w:tcPr>
          <w:p w14:paraId="6256B2DD">
            <w:pPr>
              <w:pStyle w:val="751"/>
              <w:rPr>
                <w:color w:val="auto"/>
              </w:rPr>
            </w:pPr>
            <w:r>
              <w:rPr>
                <w:color w:val="auto"/>
              </w:rPr>
              <w:t>3.8</w:t>
            </w:r>
          </w:p>
        </w:tc>
        <w:tc>
          <w:tcPr>
            <w:tcW w:w="350" w:type="pct"/>
            <w:vAlign w:val="center"/>
          </w:tcPr>
          <w:p w14:paraId="5E993412">
            <w:pPr>
              <w:pStyle w:val="751"/>
              <w:rPr>
                <w:color w:val="auto"/>
              </w:rPr>
            </w:pPr>
            <w:r>
              <w:rPr>
                <w:color w:val="auto"/>
              </w:rPr>
              <w:t>3.9</w:t>
            </w:r>
          </w:p>
        </w:tc>
        <w:tc>
          <w:tcPr>
            <w:tcW w:w="350" w:type="pct"/>
            <w:vAlign w:val="center"/>
          </w:tcPr>
          <w:p w14:paraId="19AFF974">
            <w:pPr>
              <w:pStyle w:val="751"/>
              <w:rPr>
                <w:color w:val="auto"/>
              </w:rPr>
            </w:pPr>
            <w:r>
              <w:rPr>
                <w:color w:val="auto"/>
              </w:rPr>
              <w:t>3.7</w:t>
            </w:r>
          </w:p>
        </w:tc>
        <w:tc>
          <w:tcPr>
            <w:tcW w:w="349" w:type="pct"/>
            <w:vAlign w:val="center"/>
          </w:tcPr>
          <w:p w14:paraId="61F376B4">
            <w:pPr>
              <w:pStyle w:val="751"/>
              <w:rPr>
                <w:color w:val="auto"/>
              </w:rPr>
            </w:pPr>
            <w:r>
              <w:rPr>
                <w:color w:val="auto"/>
              </w:rPr>
              <w:t>3.5</w:t>
            </w:r>
          </w:p>
        </w:tc>
        <w:tc>
          <w:tcPr>
            <w:tcW w:w="349" w:type="pct"/>
            <w:vAlign w:val="center"/>
          </w:tcPr>
          <w:p w14:paraId="5404AC6E">
            <w:pPr>
              <w:pStyle w:val="751"/>
              <w:rPr>
                <w:color w:val="auto"/>
              </w:rPr>
            </w:pPr>
            <w:r>
              <w:rPr>
                <w:color w:val="auto"/>
              </w:rPr>
              <w:t>2.4</w:t>
            </w:r>
          </w:p>
        </w:tc>
        <w:tc>
          <w:tcPr>
            <w:tcW w:w="349" w:type="pct"/>
            <w:vAlign w:val="center"/>
          </w:tcPr>
          <w:p w14:paraId="751358C6">
            <w:pPr>
              <w:pStyle w:val="751"/>
              <w:rPr>
                <w:color w:val="auto"/>
              </w:rPr>
            </w:pPr>
            <w:r>
              <w:rPr>
                <w:color w:val="auto"/>
              </w:rPr>
              <w:t>2.1</w:t>
            </w:r>
          </w:p>
        </w:tc>
        <w:tc>
          <w:tcPr>
            <w:tcW w:w="349" w:type="pct"/>
            <w:vAlign w:val="center"/>
          </w:tcPr>
          <w:p w14:paraId="37876D40">
            <w:pPr>
              <w:pStyle w:val="751"/>
              <w:rPr>
                <w:color w:val="auto"/>
              </w:rPr>
            </w:pPr>
            <w:r>
              <w:rPr>
                <w:color w:val="auto"/>
              </w:rPr>
              <w:t>2.0</w:t>
            </w:r>
          </w:p>
        </w:tc>
        <w:tc>
          <w:tcPr>
            <w:tcW w:w="349" w:type="pct"/>
            <w:vAlign w:val="center"/>
          </w:tcPr>
          <w:p w14:paraId="7052AB23">
            <w:pPr>
              <w:pStyle w:val="751"/>
              <w:rPr>
                <w:color w:val="auto"/>
              </w:rPr>
            </w:pPr>
            <w:r>
              <w:rPr>
                <w:color w:val="auto"/>
              </w:rPr>
              <w:t>2.1</w:t>
            </w:r>
          </w:p>
        </w:tc>
        <w:tc>
          <w:tcPr>
            <w:tcW w:w="349" w:type="pct"/>
            <w:vAlign w:val="center"/>
          </w:tcPr>
          <w:p w14:paraId="5DEA9E81">
            <w:pPr>
              <w:pStyle w:val="751"/>
              <w:rPr>
                <w:color w:val="auto"/>
              </w:rPr>
            </w:pPr>
            <w:r>
              <w:rPr>
                <w:color w:val="auto"/>
              </w:rPr>
              <w:t>2.1</w:t>
            </w:r>
          </w:p>
        </w:tc>
        <w:tc>
          <w:tcPr>
            <w:tcW w:w="344" w:type="pct"/>
            <w:vAlign w:val="center"/>
          </w:tcPr>
          <w:p w14:paraId="7482B8DB">
            <w:pPr>
              <w:pStyle w:val="751"/>
              <w:rPr>
                <w:color w:val="auto"/>
              </w:rPr>
            </w:pPr>
            <w:r>
              <w:rPr>
                <w:color w:val="auto"/>
              </w:rPr>
              <w:t>2.0</w:t>
            </w:r>
          </w:p>
        </w:tc>
      </w:tr>
      <w:tr w14:paraId="0763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1" w:type="pct"/>
            <w:vAlign w:val="center"/>
          </w:tcPr>
          <w:p w14:paraId="1EF3BACB">
            <w:pPr>
              <w:pStyle w:val="751"/>
              <w:rPr>
                <w:color w:val="auto"/>
              </w:rPr>
            </w:pPr>
            <w:r>
              <w:rPr>
                <w:color w:val="auto"/>
              </w:rPr>
              <w:t>冬季</w:t>
            </w:r>
          </w:p>
        </w:tc>
        <w:tc>
          <w:tcPr>
            <w:tcW w:w="350" w:type="pct"/>
            <w:vAlign w:val="center"/>
          </w:tcPr>
          <w:p w14:paraId="3F09E08A">
            <w:pPr>
              <w:pStyle w:val="751"/>
              <w:rPr>
                <w:color w:val="auto"/>
              </w:rPr>
            </w:pPr>
            <w:r>
              <w:rPr>
                <w:color w:val="auto"/>
              </w:rPr>
              <w:t>2.6</w:t>
            </w:r>
          </w:p>
        </w:tc>
        <w:tc>
          <w:tcPr>
            <w:tcW w:w="350" w:type="pct"/>
            <w:vAlign w:val="center"/>
          </w:tcPr>
          <w:p w14:paraId="3A952C6D">
            <w:pPr>
              <w:pStyle w:val="751"/>
              <w:rPr>
                <w:color w:val="auto"/>
              </w:rPr>
            </w:pPr>
            <w:r>
              <w:rPr>
                <w:color w:val="auto"/>
              </w:rPr>
              <w:t>2.9</w:t>
            </w:r>
          </w:p>
        </w:tc>
        <w:tc>
          <w:tcPr>
            <w:tcW w:w="350" w:type="pct"/>
            <w:vAlign w:val="center"/>
          </w:tcPr>
          <w:p w14:paraId="4F3ED28C">
            <w:pPr>
              <w:pStyle w:val="751"/>
              <w:rPr>
                <w:color w:val="auto"/>
              </w:rPr>
            </w:pPr>
            <w:r>
              <w:rPr>
                <w:color w:val="auto"/>
              </w:rPr>
              <w:t>3.3</w:t>
            </w:r>
          </w:p>
        </w:tc>
        <w:tc>
          <w:tcPr>
            <w:tcW w:w="350" w:type="pct"/>
            <w:vAlign w:val="center"/>
          </w:tcPr>
          <w:p w14:paraId="7DC177F0">
            <w:pPr>
              <w:pStyle w:val="751"/>
              <w:rPr>
                <w:color w:val="auto"/>
              </w:rPr>
            </w:pPr>
            <w:r>
              <w:rPr>
                <w:color w:val="auto"/>
              </w:rPr>
              <w:t>3.2</w:t>
            </w:r>
          </w:p>
        </w:tc>
        <w:tc>
          <w:tcPr>
            <w:tcW w:w="350" w:type="pct"/>
            <w:vAlign w:val="center"/>
          </w:tcPr>
          <w:p w14:paraId="415A1533">
            <w:pPr>
              <w:pStyle w:val="751"/>
              <w:rPr>
                <w:color w:val="auto"/>
              </w:rPr>
            </w:pPr>
            <w:r>
              <w:rPr>
                <w:color w:val="auto"/>
              </w:rPr>
              <w:t>3.3</w:t>
            </w:r>
          </w:p>
        </w:tc>
        <w:tc>
          <w:tcPr>
            <w:tcW w:w="349" w:type="pct"/>
            <w:vAlign w:val="center"/>
          </w:tcPr>
          <w:p w14:paraId="43455B2D">
            <w:pPr>
              <w:pStyle w:val="751"/>
              <w:rPr>
                <w:color w:val="auto"/>
              </w:rPr>
            </w:pPr>
            <w:r>
              <w:rPr>
                <w:color w:val="auto"/>
              </w:rPr>
              <w:t>2.8</w:t>
            </w:r>
          </w:p>
        </w:tc>
        <w:tc>
          <w:tcPr>
            <w:tcW w:w="349" w:type="pct"/>
            <w:vAlign w:val="center"/>
          </w:tcPr>
          <w:p w14:paraId="1A5FEFAB">
            <w:pPr>
              <w:pStyle w:val="751"/>
              <w:rPr>
                <w:color w:val="auto"/>
              </w:rPr>
            </w:pPr>
            <w:r>
              <w:rPr>
                <w:color w:val="auto"/>
              </w:rPr>
              <w:t>2.3</w:t>
            </w:r>
          </w:p>
        </w:tc>
        <w:tc>
          <w:tcPr>
            <w:tcW w:w="349" w:type="pct"/>
            <w:vAlign w:val="center"/>
          </w:tcPr>
          <w:p w14:paraId="7EEC852C">
            <w:pPr>
              <w:pStyle w:val="751"/>
              <w:rPr>
                <w:color w:val="auto"/>
              </w:rPr>
            </w:pPr>
            <w:r>
              <w:rPr>
                <w:color w:val="auto"/>
              </w:rPr>
              <w:t>2.0</w:t>
            </w:r>
          </w:p>
        </w:tc>
        <w:tc>
          <w:tcPr>
            <w:tcW w:w="349" w:type="pct"/>
            <w:vAlign w:val="center"/>
          </w:tcPr>
          <w:p w14:paraId="45E00021">
            <w:pPr>
              <w:pStyle w:val="751"/>
              <w:rPr>
                <w:color w:val="auto"/>
              </w:rPr>
            </w:pPr>
            <w:r>
              <w:rPr>
                <w:color w:val="auto"/>
              </w:rPr>
              <w:t>1.9</w:t>
            </w:r>
          </w:p>
        </w:tc>
        <w:tc>
          <w:tcPr>
            <w:tcW w:w="349" w:type="pct"/>
            <w:vAlign w:val="center"/>
          </w:tcPr>
          <w:p w14:paraId="77B56F84">
            <w:pPr>
              <w:pStyle w:val="751"/>
              <w:rPr>
                <w:color w:val="auto"/>
              </w:rPr>
            </w:pPr>
            <w:r>
              <w:rPr>
                <w:color w:val="auto"/>
              </w:rPr>
              <w:t>2.0</w:t>
            </w:r>
          </w:p>
        </w:tc>
        <w:tc>
          <w:tcPr>
            <w:tcW w:w="349" w:type="pct"/>
            <w:vAlign w:val="center"/>
          </w:tcPr>
          <w:p w14:paraId="26C64184">
            <w:pPr>
              <w:pStyle w:val="751"/>
              <w:rPr>
                <w:color w:val="auto"/>
              </w:rPr>
            </w:pPr>
            <w:r>
              <w:rPr>
                <w:color w:val="auto"/>
              </w:rPr>
              <w:t>1.9</w:t>
            </w:r>
          </w:p>
        </w:tc>
        <w:tc>
          <w:tcPr>
            <w:tcW w:w="344" w:type="pct"/>
            <w:vAlign w:val="center"/>
          </w:tcPr>
          <w:p w14:paraId="3E2D3410">
            <w:pPr>
              <w:pStyle w:val="751"/>
              <w:rPr>
                <w:color w:val="auto"/>
              </w:rPr>
            </w:pPr>
            <w:r>
              <w:rPr>
                <w:color w:val="auto"/>
              </w:rPr>
              <w:t>2.0</w:t>
            </w:r>
          </w:p>
        </w:tc>
      </w:tr>
    </w:tbl>
    <w:p w14:paraId="56B8F0FA">
      <w:pPr>
        <w:pStyle w:val="748"/>
        <w:rPr>
          <w:szCs w:val="22"/>
        </w:rPr>
      </w:pPr>
      <w:r>
        <w:drawing>
          <wp:inline distT="0" distB="0" distL="0" distR="0">
            <wp:extent cx="5350510" cy="7648575"/>
            <wp:effectExtent l="0" t="0" r="0" b="0"/>
            <wp:docPr id="1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jpeg"/>
                    <pic:cNvPicPr>
                      <a:picLocks noChangeAspect="1"/>
                    </pic:cNvPicPr>
                  </pic:nvPicPr>
                  <pic:blipFill>
                    <a:blip r:embed="rId109" cstate="print"/>
                    <a:stretch>
                      <a:fillRect/>
                    </a:stretch>
                  </pic:blipFill>
                  <pic:spPr>
                    <a:xfrm>
                      <a:off x="0" y="0"/>
                      <a:ext cx="5350955" cy="7648575"/>
                    </a:xfrm>
                    <a:prstGeom prst="rect">
                      <a:avLst/>
                    </a:prstGeom>
                  </pic:spPr>
                </pic:pic>
              </a:graphicData>
            </a:graphic>
          </wp:inline>
        </w:drawing>
      </w:r>
    </w:p>
    <w:p w14:paraId="57E6BE54">
      <w:pPr>
        <w:pStyle w:val="749"/>
        <w:rPr>
          <w:color w:val="auto"/>
        </w:rPr>
      </w:pPr>
      <w:r>
        <w:rPr>
          <w:color w:val="auto"/>
        </w:rPr>
        <w:t>图5.2-2  乌海市各季平均风速的日变化曲线</w:t>
      </w:r>
    </w:p>
    <w:p w14:paraId="1C9068D5">
      <w:pPr>
        <w:pStyle w:val="104"/>
      </w:pPr>
      <w:r>
        <w:t>根据乌海近30年各月风向频率统计表（见表5.2-5）及各月风向频率玫瑰图（见图5.2-5）：乌海一月份主导风向为S风，出现频率为6.2%，次主导风向为WNW风，出现频率为5.6%；二月份主导风向为SSE风，出现频率为8.4%，三月份主导风向为SSE风，出现频率为10.9%，四月份主导方向为SSE风，出现频率为12.7%，五月份主导风向为SSE风，出现频率为14.0%，六月份主导风向为SSE风，出现频率为16.6%，七月份主导风向为SSE风，出现频率为17.2%，八月份主导风向为SSE风，出现频率为17.7%，九月份主导风向为SSE风，出现频率为16.9%，十月份主导风向为SSE风，出现频率为12.4%，十一月份主导风向为SSE风，出现频率为8.3%，十二月份主导方向为W风，出现频率为6.2%。</w:t>
      </w:r>
    </w:p>
    <w:p w14:paraId="31C668A9">
      <w:pPr>
        <w:pStyle w:val="104"/>
      </w:pPr>
      <w:r>
        <w:t>由此可见：乌海地区各月主导风向多集中在SE~S之间，只有一月份和十二月份主导风向分别为S风和W风，且主导风向出现频率和其它各月相比较低。</w:t>
      </w:r>
    </w:p>
    <w:p w14:paraId="331011C1">
      <w:pPr>
        <w:pStyle w:val="756"/>
      </w:pPr>
      <w:r>
        <w:t>表5.2-5  乌海市近30年各月风向频率统计表</w:t>
      </w:r>
    </w:p>
    <w:tbl>
      <w:tblPr>
        <w:tblStyle w:val="82"/>
        <w:tblW w:w="5000" w:type="pct"/>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autofit"/>
        <w:tblCellMar>
          <w:top w:w="0" w:type="dxa"/>
          <w:left w:w="108" w:type="dxa"/>
          <w:bottom w:w="0" w:type="dxa"/>
          <w:right w:w="108" w:type="dxa"/>
        </w:tblCellMar>
      </w:tblPr>
      <w:tblGrid>
        <w:gridCol w:w="517"/>
        <w:gridCol w:w="421"/>
        <w:gridCol w:w="553"/>
        <w:gridCol w:w="503"/>
        <w:gridCol w:w="536"/>
        <w:gridCol w:w="422"/>
        <w:gridCol w:w="511"/>
        <w:gridCol w:w="504"/>
        <w:gridCol w:w="504"/>
        <w:gridCol w:w="504"/>
        <w:gridCol w:w="556"/>
        <w:gridCol w:w="463"/>
        <w:gridCol w:w="619"/>
        <w:gridCol w:w="422"/>
        <w:gridCol w:w="647"/>
        <w:gridCol w:w="491"/>
        <w:gridCol w:w="609"/>
        <w:gridCol w:w="504"/>
      </w:tblGrid>
      <w:tr w14:paraId="4945794A">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l2br w:val="single" w:color="000000" w:sz="8" w:space="0"/>
            </w:tcBorders>
            <w:vAlign w:val="center"/>
          </w:tcPr>
          <w:p w14:paraId="654466FC">
            <w:pPr>
              <w:pStyle w:val="751"/>
              <w:jc w:val="right"/>
              <w:rPr>
                <w:color w:val="auto"/>
                <w:sz w:val="16"/>
              </w:rPr>
            </w:pPr>
            <w:r>
              <w:rPr>
                <w:color w:val="auto"/>
                <w:sz w:val="16"/>
              </w:rPr>
              <w:t>风向</w:t>
            </w:r>
          </w:p>
          <w:p w14:paraId="70A7C30E">
            <w:pPr>
              <w:pStyle w:val="751"/>
              <w:jc w:val="left"/>
              <w:rPr>
                <w:color w:val="auto"/>
                <w:sz w:val="16"/>
              </w:rPr>
            </w:pPr>
            <w:r>
              <w:rPr>
                <w:color w:val="auto"/>
                <w:sz w:val="16"/>
              </w:rPr>
              <w:t>风频%</w:t>
            </w:r>
          </w:p>
        </w:tc>
        <w:tc>
          <w:tcPr>
            <w:tcW w:w="227" w:type="pct"/>
            <w:tcBorders>
              <w:top w:val="single" w:color="auto" w:sz="4" w:space="0"/>
              <w:left w:val="single" w:color="auto" w:sz="4" w:space="0"/>
              <w:bottom w:val="single" w:color="auto" w:sz="4" w:space="0"/>
              <w:right w:val="single" w:color="auto" w:sz="4" w:space="0"/>
            </w:tcBorders>
            <w:vAlign w:val="center"/>
          </w:tcPr>
          <w:p w14:paraId="17F3F685">
            <w:pPr>
              <w:pStyle w:val="751"/>
              <w:rPr>
                <w:color w:val="auto"/>
                <w:sz w:val="16"/>
              </w:rPr>
            </w:pPr>
            <w:r>
              <w:rPr>
                <w:color w:val="auto"/>
                <w:sz w:val="16"/>
              </w:rPr>
              <w:t>N</w:t>
            </w:r>
          </w:p>
        </w:tc>
        <w:tc>
          <w:tcPr>
            <w:tcW w:w="298" w:type="pct"/>
            <w:tcBorders>
              <w:top w:val="single" w:color="auto" w:sz="4" w:space="0"/>
              <w:left w:val="single" w:color="auto" w:sz="4" w:space="0"/>
              <w:bottom w:val="single" w:color="auto" w:sz="4" w:space="0"/>
              <w:right w:val="single" w:color="auto" w:sz="4" w:space="0"/>
            </w:tcBorders>
            <w:vAlign w:val="center"/>
          </w:tcPr>
          <w:p w14:paraId="3A4AB7D0">
            <w:pPr>
              <w:pStyle w:val="751"/>
              <w:rPr>
                <w:color w:val="auto"/>
                <w:sz w:val="16"/>
              </w:rPr>
            </w:pPr>
            <w:r>
              <w:rPr>
                <w:color w:val="auto"/>
                <w:sz w:val="16"/>
              </w:rPr>
              <w:t>NNE</w:t>
            </w:r>
          </w:p>
        </w:tc>
        <w:tc>
          <w:tcPr>
            <w:tcW w:w="271" w:type="pct"/>
            <w:tcBorders>
              <w:top w:val="single" w:color="auto" w:sz="4" w:space="0"/>
              <w:left w:val="single" w:color="auto" w:sz="4" w:space="0"/>
              <w:bottom w:val="single" w:color="auto" w:sz="4" w:space="0"/>
              <w:right w:val="single" w:color="auto" w:sz="4" w:space="0"/>
            </w:tcBorders>
            <w:vAlign w:val="center"/>
          </w:tcPr>
          <w:p w14:paraId="37491FB7">
            <w:pPr>
              <w:pStyle w:val="751"/>
              <w:rPr>
                <w:color w:val="auto"/>
                <w:sz w:val="16"/>
              </w:rPr>
            </w:pPr>
            <w:r>
              <w:rPr>
                <w:color w:val="auto"/>
                <w:sz w:val="16"/>
              </w:rPr>
              <w:t>NE</w:t>
            </w:r>
          </w:p>
        </w:tc>
        <w:tc>
          <w:tcPr>
            <w:tcW w:w="289" w:type="pct"/>
            <w:tcBorders>
              <w:top w:val="single" w:color="auto" w:sz="4" w:space="0"/>
              <w:left w:val="single" w:color="auto" w:sz="4" w:space="0"/>
              <w:bottom w:val="single" w:color="auto" w:sz="4" w:space="0"/>
              <w:right w:val="single" w:color="auto" w:sz="4" w:space="0"/>
            </w:tcBorders>
            <w:vAlign w:val="center"/>
          </w:tcPr>
          <w:p w14:paraId="02607557">
            <w:pPr>
              <w:pStyle w:val="751"/>
              <w:rPr>
                <w:color w:val="auto"/>
                <w:sz w:val="16"/>
              </w:rPr>
            </w:pPr>
            <w:r>
              <w:rPr>
                <w:color w:val="auto"/>
                <w:sz w:val="16"/>
              </w:rPr>
              <w:t>ENE</w:t>
            </w:r>
          </w:p>
        </w:tc>
        <w:tc>
          <w:tcPr>
            <w:tcW w:w="227" w:type="pct"/>
            <w:tcBorders>
              <w:top w:val="single" w:color="auto" w:sz="4" w:space="0"/>
              <w:left w:val="single" w:color="auto" w:sz="4" w:space="0"/>
              <w:bottom w:val="single" w:color="auto" w:sz="4" w:space="0"/>
              <w:right w:val="single" w:color="auto" w:sz="4" w:space="0"/>
            </w:tcBorders>
            <w:vAlign w:val="center"/>
          </w:tcPr>
          <w:p w14:paraId="047196CF">
            <w:pPr>
              <w:pStyle w:val="751"/>
              <w:rPr>
                <w:color w:val="auto"/>
                <w:sz w:val="16"/>
              </w:rPr>
            </w:pPr>
            <w:r>
              <w:rPr>
                <w:color w:val="auto"/>
                <w:sz w:val="16"/>
              </w:rPr>
              <w:t>E</w:t>
            </w:r>
          </w:p>
        </w:tc>
        <w:tc>
          <w:tcPr>
            <w:tcW w:w="275" w:type="pct"/>
            <w:tcBorders>
              <w:top w:val="single" w:color="auto" w:sz="4" w:space="0"/>
              <w:left w:val="single" w:color="auto" w:sz="4" w:space="0"/>
              <w:bottom w:val="single" w:color="auto" w:sz="4" w:space="0"/>
              <w:right w:val="single" w:color="auto" w:sz="4" w:space="0"/>
            </w:tcBorders>
            <w:vAlign w:val="center"/>
          </w:tcPr>
          <w:p w14:paraId="197FA3A6">
            <w:pPr>
              <w:pStyle w:val="751"/>
              <w:rPr>
                <w:color w:val="auto"/>
                <w:sz w:val="16"/>
              </w:rPr>
            </w:pPr>
            <w:r>
              <w:rPr>
                <w:color w:val="auto"/>
                <w:sz w:val="16"/>
              </w:rPr>
              <w:t>ESE</w:t>
            </w:r>
          </w:p>
        </w:tc>
        <w:tc>
          <w:tcPr>
            <w:tcW w:w="271" w:type="pct"/>
            <w:tcBorders>
              <w:top w:val="single" w:color="auto" w:sz="4" w:space="0"/>
              <w:left w:val="single" w:color="auto" w:sz="4" w:space="0"/>
              <w:bottom w:val="single" w:color="auto" w:sz="4" w:space="0"/>
              <w:right w:val="single" w:color="auto" w:sz="4" w:space="0"/>
            </w:tcBorders>
            <w:vAlign w:val="center"/>
          </w:tcPr>
          <w:p w14:paraId="62E03F89">
            <w:pPr>
              <w:pStyle w:val="751"/>
              <w:rPr>
                <w:color w:val="auto"/>
                <w:sz w:val="16"/>
              </w:rPr>
            </w:pPr>
            <w:r>
              <w:rPr>
                <w:color w:val="auto"/>
                <w:sz w:val="16"/>
              </w:rPr>
              <w:t>SE</w:t>
            </w:r>
          </w:p>
        </w:tc>
        <w:tc>
          <w:tcPr>
            <w:tcW w:w="271" w:type="pct"/>
            <w:tcBorders>
              <w:top w:val="single" w:color="auto" w:sz="4" w:space="0"/>
              <w:left w:val="single" w:color="auto" w:sz="4" w:space="0"/>
              <w:bottom w:val="single" w:color="auto" w:sz="4" w:space="0"/>
              <w:right w:val="single" w:color="auto" w:sz="4" w:space="0"/>
            </w:tcBorders>
            <w:vAlign w:val="center"/>
          </w:tcPr>
          <w:p w14:paraId="2F65D7FB">
            <w:pPr>
              <w:pStyle w:val="751"/>
              <w:rPr>
                <w:color w:val="auto"/>
                <w:sz w:val="16"/>
              </w:rPr>
            </w:pPr>
            <w:r>
              <w:rPr>
                <w:color w:val="auto"/>
                <w:sz w:val="16"/>
              </w:rPr>
              <w:t>SSE</w:t>
            </w:r>
          </w:p>
        </w:tc>
        <w:tc>
          <w:tcPr>
            <w:tcW w:w="271" w:type="pct"/>
            <w:tcBorders>
              <w:top w:val="single" w:color="auto" w:sz="4" w:space="0"/>
              <w:left w:val="single" w:color="auto" w:sz="4" w:space="0"/>
              <w:bottom w:val="single" w:color="auto" w:sz="4" w:space="0"/>
              <w:right w:val="single" w:color="auto" w:sz="4" w:space="0"/>
            </w:tcBorders>
            <w:vAlign w:val="center"/>
          </w:tcPr>
          <w:p w14:paraId="78E02362">
            <w:pPr>
              <w:pStyle w:val="751"/>
              <w:rPr>
                <w:color w:val="auto"/>
                <w:sz w:val="16"/>
              </w:rPr>
            </w:pPr>
            <w:r>
              <w:rPr>
                <w:color w:val="auto"/>
                <w:sz w:val="16"/>
              </w:rPr>
              <w:t>S</w:t>
            </w:r>
          </w:p>
        </w:tc>
        <w:tc>
          <w:tcPr>
            <w:tcW w:w="299" w:type="pct"/>
            <w:tcBorders>
              <w:top w:val="single" w:color="auto" w:sz="4" w:space="0"/>
              <w:left w:val="single" w:color="auto" w:sz="4" w:space="0"/>
              <w:bottom w:val="single" w:color="auto" w:sz="4" w:space="0"/>
              <w:right w:val="single" w:color="auto" w:sz="4" w:space="0"/>
            </w:tcBorders>
            <w:vAlign w:val="center"/>
          </w:tcPr>
          <w:p w14:paraId="3401E00A">
            <w:pPr>
              <w:pStyle w:val="751"/>
              <w:rPr>
                <w:color w:val="auto"/>
                <w:sz w:val="16"/>
              </w:rPr>
            </w:pPr>
            <w:r>
              <w:rPr>
                <w:color w:val="auto"/>
                <w:sz w:val="16"/>
              </w:rPr>
              <w:t>SSW</w:t>
            </w:r>
          </w:p>
        </w:tc>
        <w:tc>
          <w:tcPr>
            <w:tcW w:w="249" w:type="pct"/>
            <w:tcBorders>
              <w:top w:val="single" w:color="auto" w:sz="4" w:space="0"/>
              <w:left w:val="single" w:color="auto" w:sz="4" w:space="0"/>
              <w:bottom w:val="single" w:color="auto" w:sz="4" w:space="0"/>
              <w:right w:val="single" w:color="auto" w:sz="4" w:space="0"/>
            </w:tcBorders>
            <w:vAlign w:val="center"/>
          </w:tcPr>
          <w:p w14:paraId="62CCACE4">
            <w:pPr>
              <w:pStyle w:val="751"/>
              <w:rPr>
                <w:color w:val="auto"/>
                <w:sz w:val="16"/>
              </w:rPr>
            </w:pPr>
            <w:r>
              <w:rPr>
                <w:color w:val="auto"/>
                <w:sz w:val="16"/>
              </w:rPr>
              <w:t>SW</w:t>
            </w:r>
          </w:p>
        </w:tc>
        <w:tc>
          <w:tcPr>
            <w:tcW w:w="333" w:type="pct"/>
            <w:tcBorders>
              <w:top w:val="single" w:color="auto" w:sz="4" w:space="0"/>
              <w:left w:val="single" w:color="auto" w:sz="4" w:space="0"/>
              <w:bottom w:val="single" w:color="auto" w:sz="4" w:space="0"/>
              <w:right w:val="single" w:color="auto" w:sz="4" w:space="0"/>
            </w:tcBorders>
            <w:vAlign w:val="center"/>
          </w:tcPr>
          <w:p w14:paraId="2DACADE5">
            <w:pPr>
              <w:pStyle w:val="751"/>
              <w:rPr>
                <w:color w:val="auto"/>
                <w:sz w:val="16"/>
              </w:rPr>
            </w:pPr>
            <w:r>
              <w:rPr>
                <w:color w:val="auto"/>
                <w:sz w:val="16"/>
              </w:rPr>
              <w:t>WSW</w:t>
            </w:r>
          </w:p>
        </w:tc>
        <w:tc>
          <w:tcPr>
            <w:tcW w:w="227" w:type="pct"/>
            <w:tcBorders>
              <w:top w:val="single" w:color="auto" w:sz="4" w:space="0"/>
              <w:left w:val="single" w:color="auto" w:sz="4" w:space="0"/>
              <w:bottom w:val="single" w:color="auto" w:sz="4" w:space="0"/>
              <w:right w:val="single" w:color="auto" w:sz="4" w:space="0"/>
            </w:tcBorders>
            <w:vAlign w:val="center"/>
          </w:tcPr>
          <w:p w14:paraId="19D2D9ED">
            <w:pPr>
              <w:pStyle w:val="751"/>
              <w:rPr>
                <w:color w:val="auto"/>
                <w:sz w:val="16"/>
              </w:rPr>
            </w:pPr>
            <w:r>
              <w:rPr>
                <w:color w:val="auto"/>
                <w:sz w:val="16"/>
              </w:rPr>
              <w:t>W</w:t>
            </w:r>
          </w:p>
        </w:tc>
        <w:tc>
          <w:tcPr>
            <w:tcW w:w="348" w:type="pct"/>
            <w:tcBorders>
              <w:top w:val="single" w:color="auto" w:sz="4" w:space="0"/>
              <w:left w:val="single" w:color="auto" w:sz="4" w:space="0"/>
              <w:bottom w:val="single" w:color="auto" w:sz="4" w:space="0"/>
              <w:right w:val="single" w:color="auto" w:sz="4" w:space="0"/>
            </w:tcBorders>
            <w:vAlign w:val="center"/>
          </w:tcPr>
          <w:p w14:paraId="23002002">
            <w:pPr>
              <w:pStyle w:val="751"/>
              <w:rPr>
                <w:color w:val="auto"/>
                <w:sz w:val="16"/>
              </w:rPr>
            </w:pPr>
            <w:r>
              <w:rPr>
                <w:color w:val="auto"/>
                <w:sz w:val="16"/>
              </w:rPr>
              <w:t>WNW</w:t>
            </w:r>
          </w:p>
        </w:tc>
        <w:tc>
          <w:tcPr>
            <w:tcW w:w="264" w:type="pct"/>
            <w:tcBorders>
              <w:top w:val="single" w:color="auto" w:sz="4" w:space="0"/>
              <w:left w:val="single" w:color="auto" w:sz="4" w:space="0"/>
              <w:bottom w:val="single" w:color="auto" w:sz="4" w:space="0"/>
              <w:right w:val="single" w:color="auto" w:sz="4" w:space="0"/>
            </w:tcBorders>
            <w:vAlign w:val="center"/>
          </w:tcPr>
          <w:p w14:paraId="7284E44E">
            <w:pPr>
              <w:pStyle w:val="751"/>
              <w:rPr>
                <w:color w:val="auto"/>
                <w:sz w:val="16"/>
              </w:rPr>
            </w:pPr>
            <w:r>
              <w:rPr>
                <w:color w:val="auto"/>
                <w:sz w:val="16"/>
              </w:rPr>
              <w:t>NW</w:t>
            </w:r>
          </w:p>
        </w:tc>
        <w:tc>
          <w:tcPr>
            <w:tcW w:w="328" w:type="pct"/>
            <w:tcBorders>
              <w:top w:val="single" w:color="auto" w:sz="4" w:space="0"/>
              <w:left w:val="single" w:color="auto" w:sz="4" w:space="0"/>
              <w:bottom w:val="single" w:color="auto" w:sz="4" w:space="0"/>
              <w:right w:val="single" w:color="auto" w:sz="4" w:space="0"/>
            </w:tcBorders>
            <w:vAlign w:val="center"/>
          </w:tcPr>
          <w:p w14:paraId="613D0918">
            <w:pPr>
              <w:pStyle w:val="751"/>
              <w:rPr>
                <w:color w:val="auto"/>
                <w:sz w:val="16"/>
              </w:rPr>
            </w:pPr>
            <w:r>
              <w:rPr>
                <w:color w:val="auto"/>
                <w:sz w:val="16"/>
              </w:rPr>
              <w:t>NNW</w:t>
            </w:r>
          </w:p>
        </w:tc>
        <w:tc>
          <w:tcPr>
            <w:tcW w:w="271" w:type="pct"/>
            <w:tcBorders>
              <w:top w:val="single" w:color="auto" w:sz="4" w:space="0"/>
              <w:left w:val="single" w:color="auto" w:sz="4" w:space="0"/>
              <w:bottom w:val="single" w:color="auto" w:sz="4" w:space="0"/>
              <w:right w:val="single" w:color="auto" w:sz="4" w:space="0"/>
            </w:tcBorders>
            <w:vAlign w:val="center"/>
          </w:tcPr>
          <w:p w14:paraId="5391543B">
            <w:pPr>
              <w:pStyle w:val="751"/>
              <w:rPr>
                <w:color w:val="auto"/>
                <w:sz w:val="16"/>
              </w:rPr>
            </w:pPr>
            <w:r>
              <w:rPr>
                <w:color w:val="auto"/>
                <w:sz w:val="16"/>
              </w:rPr>
              <w:t>C</w:t>
            </w:r>
          </w:p>
        </w:tc>
      </w:tr>
      <w:tr w14:paraId="0CC79DDE">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35B088F0">
            <w:pPr>
              <w:pStyle w:val="751"/>
              <w:rPr>
                <w:color w:val="auto"/>
                <w:sz w:val="16"/>
                <w:szCs w:val="18"/>
              </w:rPr>
            </w:pPr>
            <w:r>
              <w:rPr>
                <w:color w:val="auto"/>
                <w:sz w:val="16"/>
                <w:szCs w:val="18"/>
              </w:rPr>
              <w:t>一月</w:t>
            </w:r>
          </w:p>
        </w:tc>
        <w:tc>
          <w:tcPr>
            <w:tcW w:w="227" w:type="pct"/>
            <w:tcBorders>
              <w:top w:val="single" w:color="auto" w:sz="4" w:space="0"/>
              <w:left w:val="single" w:color="auto" w:sz="4" w:space="0"/>
              <w:bottom w:val="single" w:color="auto" w:sz="4" w:space="0"/>
              <w:right w:val="single" w:color="auto" w:sz="4" w:space="0"/>
            </w:tcBorders>
            <w:vAlign w:val="center"/>
          </w:tcPr>
          <w:p w14:paraId="35751409">
            <w:pPr>
              <w:pStyle w:val="751"/>
              <w:rPr>
                <w:color w:val="auto"/>
                <w:sz w:val="16"/>
                <w:szCs w:val="18"/>
              </w:rPr>
            </w:pPr>
            <w:r>
              <w:rPr>
                <w:color w:val="auto"/>
                <w:sz w:val="16"/>
                <w:szCs w:val="18"/>
              </w:rPr>
              <w:t>3.3</w:t>
            </w:r>
          </w:p>
        </w:tc>
        <w:tc>
          <w:tcPr>
            <w:tcW w:w="298" w:type="pct"/>
            <w:tcBorders>
              <w:top w:val="single" w:color="auto" w:sz="4" w:space="0"/>
              <w:left w:val="single" w:color="auto" w:sz="4" w:space="0"/>
              <w:bottom w:val="single" w:color="auto" w:sz="4" w:space="0"/>
              <w:right w:val="single" w:color="auto" w:sz="4" w:space="0"/>
            </w:tcBorders>
            <w:vAlign w:val="center"/>
          </w:tcPr>
          <w:p w14:paraId="03BF7198">
            <w:pPr>
              <w:pStyle w:val="751"/>
              <w:rPr>
                <w:color w:val="auto"/>
                <w:sz w:val="16"/>
                <w:szCs w:val="18"/>
              </w:rPr>
            </w:pPr>
            <w:r>
              <w:rPr>
                <w:color w:val="auto"/>
                <w:sz w:val="16"/>
                <w:szCs w:val="18"/>
              </w:rPr>
              <w:t>2.7</w:t>
            </w:r>
          </w:p>
        </w:tc>
        <w:tc>
          <w:tcPr>
            <w:tcW w:w="271" w:type="pct"/>
            <w:tcBorders>
              <w:top w:val="single" w:color="auto" w:sz="4" w:space="0"/>
              <w:left w:val="single" w:color="auto" w:sz="4" w:space="0"/>
              <w:bottom w:val="single" w:color="auto" w:sz="4" w:space="0"/>
              <w:right w:val="single" w:color="auto" w:sz="4" w:space="0"/>
            </w:tcBorders>
            <w:vAlign w:val="center"/>
          </w:tcPr>
          <w:p w14:paraId="29F7EA19">
            <w:pPr>
              <w:pStyle w:val="751"/>
              <w:rPr>
                <w:color w:val="auto"/>
                <w:sz w:val="16"/>
                <w:szCs w:val="18"/>
              </w:rPr>
            </w:pPr>
            <w:r>
              <w:rPr>
                <w:color w:val="auto"/>
                <w:sz w:val="16"/>
                <w:szCs w:val="18"/>
              </w:rPr>
              <w:t>2.78</w:t>
            </w:r>
          </w:p>
        </w:tc>
        <w:tc>
          <w:tcPr>
            <w:tcW w:w="289" w:type="pct"/>
            <w:tcBorders>
              <w:top w:val="single" w:color="auto" w:sz="4" w:space="0"/>
              <w:left w:val="single" w:color="auto" w:sz="4" w:space="0"/>
              <w:bottom w:val="single" w:color="auto" w:sz="4" w:space="0"/>
              <w:right w:val="single" w:color="auto" w:sz="4" w:space="0"/>
            </w:tcBorders>
            <w:vAlign w:val="center"/>
          </w:tcPr>
          <w:p w14:paraId="7152B859">
            <w:pPr>
              <w:pStyle w:val="751"/>
              <w:rPr>
                <w:color w:val="auto"/>
                <w:sz w:val="16"/>
                <w:szCs w:val="18"/>
              </w:rPr>
            </w:pPr>
            <w:r>
              <w:rPr>
                <w:color w:val="auto"/>
                <w:sz w:val="16"/>
                <w:szCs w:val="18"/>
              </w:rPr>
              <w:t>2.2</w:t>
            </w:r>
          </w:p>
        </w:tc>
        <w:tc>
          <w:tcPr>
            <w:tcW w:w="227" w:type="pct"/>
            <w:tcBorders>
              <w:top w:val="single" w:color="auto" w:sz="4" w:space="0"/>
              <w:left w:val="single" w:color="auto" w:sz="4" w:space="0"/>
              <w:bottom w:val="single" w:color="auto" w:sz="4" w:space="0"/>
              <w:right w:val="single" w:color="auto" w:sz="4" w:space="0"/>
            </w:tcBorders>
            <w:vAlign w:val="center"/>
          </w:tcPr>
          <w:p w14:paraId="58C0B84B">
            <w:pPr>
              <w:pStyle w:val="751"/>
              <w:rPr>
                <w:color w:val="auto"/>
                <w:sz w:val="16"/>
                <w:szCs w:val="18"/>
              </w:rPr>
            </w:pPr>
            <w:r>
              <w:rPr>
                <w:color w:val="auto"/>
                <w:sz w:val="16"/>
                <w:szCs w:val="18"/>
              </w:rPr>
              <w:t>3.0</w:t>
            </w:r>
          </w:p>
        </w:tc>
        <w:tc>
          <w:tcPr>
            <w:tcW w:w="275" w:type="pct"/>
            <w:tcBorders>
              <w:top w:val="single" w:color="auto" w:sz="4" w:space="0"/>
              <w:left w:val="single" w:color="auto" w:sz="4" w:space="0"/>
              <w:bottom w:val="single" w:color="auto" w:sz="4" w:space="0"/>
              <w:right w:val="single" w:color="auto" w:sz="4" w:space="0"/>
            </w:tcBorders>
            <w:vAlign w:val="center"/>
          </w:tcPr>
          <w:p w14:paraId="25435559">
            <w:pPr>
              <w:pStyle w:val="751"/>
              <w:rPr>
                <w:color w:val="auto"/>
                <w:sz w:val="16"/>
                <w:szCs w:val="18"/>
              </w:rPr>
            </w:pPr>
            <w:r>
              <w:rPr>
                <w:color w:val="auto"/>
                <w:sz w:val="16"/>
                <w:szCs w:val="18"/>
              </w:rPr>
              <w:t>2.8</w:t>
            </w:r>
          </w:p>
        </w:tc>
        <w:tc>
          <w:tcPr>
            <w:tcW w:w="271" w:type="pct"/>
            <w:tcBorders>
              <w:top w:val="single" w:color="auto" w:sz="4" w:space="0"/>
              <w:left w:val="single" w:color="auto" w:sz="4" w:space="0"/>
              <w:bottom w:val="single" w:color="auto" w:sz="4" w:space="0"/>
              <w:right w:val="single" w:color="auto" w:sz="4" w:space="0"/>
            </w:tcBorders>
            <w:vAlign w:val="center"/>
          </w:tcPr>
          <w:p w14:paraId="63F07784">
            <w:pPr>
              <w:pStyle w:val="751"/>
              <w:rPr>
                <w:color w:val="auto"/>
                <w:sz w:val="16"/>
                <w:szCs w:val="18"/>
              </w:rPr>
            </w:pPr>
            <w:r>
              <w:rPr>
                <w:color w:val="auto"/>
                <w:sz w:val="16"/>
                <w:szCs w:val="18"/>
              </w:rPr>
              <w:t>5.4</w:t>
            </w:r>
          </w:p>
        </w:tc>
        <w:tc>
          <w:tcPr>
            <w:tcW w:w="271" w:type="pct"/>
            <w:tcBorders>
              <w:top w:val="single" w:color="auto" w:sz="4" w:space="0"/>
              <w:left w:val="single" w:color="auto" w:sz="4" w:space="0"/>
              <w:bottom w:val="single" w:color="auto" w:sz="4" w:space="0"/>
              <w:right w:val="single" w:color="auto" w:sz="4" w:space="0"/>
            </w:tcBorders>
            <w:vAlign w:val="center"/>
          </w:tcPr>
          <w:p w14:paraId="03E2ECA9">
            <w:pPr>
              <w:pStyle w:val="751"/>
              <w:rPr>
                <w:color w:val="auto"/>
                <w:sz w:val="16"/>
                <w:szCs w:val="18"/>
              </w:rPr>
            </w:pPr>
            <w:r>
              <w:rPr>
                <w:color w:val="auto"/>
                <w:sz w:val="16"/>
                <w:szCs w:val="18"/>
              </w:rPr>
              <w:t>5.4</w:t>
            </w:r>
          </w:p>
        </w:tc>
        <w:tc>
          <w:tcPr>
            <w:tcW w:w="271" w:type="pct"/>
            <w:tcBorders>
              <w:top w:val="single" w:color="auto" w:sz="4" w:space="0"/>
              <w:left w:val="single" w:color="auto" w:sz="4" w:space="0"/>
              <w:bottom w:val="single" w:color="auto" w:sz="4" w:space="0"/>
              <w:right w:val="single" w:color="auto" w:sz="4" w:space="0"/>
            </w:tcBorders>
            <w:vAlign w:val="center"/>
          </w:tcPr>
          <w:p w14:paraId="564F4DD6">
            <w:pPr>
              <w:pStyle w:val="751"/>
              <w:rPr>
                <w:color w:val="auto"/>
                <w:sz w:val="16"/>
                <w:szCs w:val="18"/>
              </w:rPr>
            </w:pPr>
            <w:r>
              <w:rPr>
                <w:color w:val="auto"/>
                <w:sz w:val="16"/>
                <w:szCs w:val="18"/>
              </w:rPr>
              <w:t>6.2</w:t>
            </w:r>
          </w:p>
        </w:tc>
        <w:tc>
          <w:tcPr>
            <w:tcW w:w="299" w:type="pct"/>
            <w:tcBorders>
              <w:top w:val="single" w:color="auto" w:sz="4" w:space="0"/>
              <w:left w:val="single" w:color="auto" w:sz="4" w:space="0"/>
              <w:bottom w:val="single" w:color="auto" w:sz="4" w:space="0"/>
              <w:right w:val="single" w:color="auto" w:sz="4" w:space="0"/>
            </w:tcBorders>
            <w:vAlign w:val="center"/>
          </w:tcPr>
          <w:p w14:paraId="411B5A82">
            <w:pPr>
              <w:pStyle w:val="751"/>
              <w:rPr>
                <w:color w:val="auto"/>
                <w:sz w:val="16"/>
                <w:szCs w:val="18"/>
              </w:rPr>
            </w:pPr>
            <w:r>
              <w:rPr>
                <w:color w:val="auto"/>
                <w:sz w:val="16"/>
                <w:szCs w:val="18"/>
              </w:rPr>
              <w:t>4.9</w:t>
            </w:r>
          </w:p>
        </w:tc>
        <w:tc>
          <w:tcPr>
            <w:tcW w:w="249" w:type="pct"/>
            <w:tcBorders>
              <w:top w:val="single" w:color="auto" w:sz="4" w:space="0"/>
              <w:left w:val="single" w:color="auto" w:sz="4" w:space="0"/>
              <w:bottom w:val="single" w:color="auto" w:sz="4" w:space="0"/>
              <w:right w:val="single" w:color="auto" w:sz="4" w:space="0"/>
            </w:tcBorders>
            <w:vAlign w:val="center"/>
          </w:tcPr>
          <w:p w14:paraId="63858C4D">
            <w:pPr>
              <w:pStyle w:val="751"/>
              <w:rPr>
                <w:color w:val="auto"/>
                <w:sz w:val="16"/>
                <w:szCs w:val="18"/>
              </w:rPr>
            </w:pPr>
            <w:r>
              <w:rPr>
                <w:color w:val="auto"/>
                <w:sz w:val="16"/>
                <w:szCs w:val="18"/>
              </w:rPr>
              <w:t>5.3</w:t>
            </w:r>
          </w:p>
        </w:tc>
        <w:tc>
          <w:tcPr>
            <w:tcW w:w="333" w:type="pct"/>
            <w:tcBorders>
              <w:top w:val="single" w:color="auto" w:sz="4" w:space="0"/>
              <w:left w:val="single" w:color="auto" w:sz="4" w:space="0"/>
              <w:bottom w:val="single" w:color="auto" w:sz="4" w:space="0"/>
              <w:right w:val="single" w:color="auto" w:sz="4" w:space="0"/>
            </w:tcBorders>
            <w:vAlign w:val="center"/>
          </w:tcPr>
          <w:p w14:paraId="06A45560">
            <w:pPr>
              <w:pStyle w:val="751"/>
              <w:rPr>
                <w:color w:val="auto"/>
                <w:sz w:val="16"/>
                <w:szCs w:val="18"/>
              </w:rPr>
            </w:pPr>
            <w:r>
              <w:rPr>
                <w:color w:val="auto"/>
                <w:sz w:val="16"/>
                <w:szCs w:val="18"/>
              </w:rPr>
              <w:t>4.8</w:t>
            </w:r>
          </w:p>
        </w:tc>
        <w:tc>
          <w:tcPr>
            <w:tcW w:w="227" w:type="pct"/>
            <w:tcBorders>
              <w:top w:val="single" w:color="auto" w:sz="4" w:space="0"/>
              <w:left w:val="single" w:color="auto" w:sz="4" w:space="0"/>
              <w:bottom w:val="single" w:color="auto" w:sz="4" w:space="0"/>
              <w:right w:val="single" w:color="auto" w:sz="4" w:space="0"/>
            </w:tcBorders>
            <w:vAlign w:val="center"/>
          </w:tcPr>
          <w:p w14:paraId="72D7B518">
            <w:pPr>
              <w:pStyle w:val="751"/>
              <w:rPr>
                <w:color w:val="auto"/>
                <w:sz w:val="16"/>
                <w:szCs w:val="18"/>
              </w:rPr>
            </w:pPr>
            <w:r>
              <w:rPr>
                <w:color w:val="auto"/>
                <w:sz w:val="16"/>
                <w:szCs w:val="18"/>
              </w:rPr>
              <w:t>4.5</w:t>
            </w:r>
          </w:p>
        </w:tc>
        <w:tc>
          <w:tcPr>
            <w:tcW w:w="348" w:type="pct"/>
            <w:tcBorders>
              <w:top w:val="single" w:color="auto" w:sz="4" w:space="0"/>
              <w:left w:val="single" w:color="auto" w:sz="4" w:space="0"/>
              <w:bottom w:val="single" w:color="auto" w:sz="4" w:space="0"/>
              <w:right w:val="single" w:color="auto" w:sz="4" w:space="0"/>
            </w:tcBorders>
            <w:vAlign w:val="center"/>
          </w:tcPr>
          <w:p w14:paraId="1651CC9A">
            <w:pPr>
              <w:pStyle w:val="751"/>
              <w:rPr>
                <w:color w:val="auto"/>
                <w:sz w:val="16"/>
                <w:szCs w:val="18"/>
              </w:rPr>
            </w:pPr>
            <w:r>
              <w:rPr>
                <w:color w:val="auto"/>
                <w:sz w:val="16"/>
                <w:szCs w:val="18"/>
              </w:rPr>
              <w:t>5.6</w:t>
            </w:r>
          </w:p>
        </w:tc>
        <w:tc>
          <w:tcPr>
            <w:tcW w:w="264" w:type="pct"/>
            <w:tcBorders>
              <w:top w:val="single" w:color="auto" w:sz="4" w:space="0"/>
              <w:left w:val="single" w:color="auto" w:sz="4" w:space="0"/>
              <w:bottom w:val="single" w:color="auto" w:sz="4" w:space="0"/>
              <w:right w:val="single" w:color="auto" w:sz="4" w:space="0"/>
            </w:tcBorders>
            <w:vAlign w:val="center"/>
          </w:tcPr>
          <w:p w14:paraId="68CC18A8">
            <w:pPr>
              <w:pStyle w:val="751"/>
              <w:rPr>
                <w:color w:val="auto"/>
                <w:sz w:val="16"/>
                <w:szCs w:val="18"/>
              </w:rPr>
            </w:pPr>
            <w:r>
              <w:rPr>
                <w:color w:val="auto"/>
                <w:sz w:val="16"/>
                <w:szCs w:val="18"/>
              </w:rPr>
              <w:t>5.0</w:t>
            </w:r>
          </w:p>
        </w:tc>
        <w:tc>
          <w:tcPr>
            <w:tcW w:w="328" w:type="pct"/>
            <w:tcBorders>
              <w:top w:val="single" w:color="auto" w:sz="4" w:space="0"/>
              <w:left w:val="single" w:color="auto" w:sz="4" w:space="0"/>
              <w:bottom w:val="single" w:color="auto" w:sz="4" w:space="0"/>
              <w:right w:val="single" w:color="auto" w:sz="4" w:space="0"/>
            </w:tcBorders>
            <w:vAlign w:val="center"/>
          </w:tcPr>
          <w:p w14:paraId="16B4F37F">
            <w:pPr>
              <w:pStyle w:val="751"/>
              <w:rPr>
                <w:color w:val="auto"/>
                <w:sz w:val="16"/>
                <w:szCs w:val="18"/>
              </w:rPr>
            </w:pPr>
            <w:r>
              <w:rPr>
                <w:color w:val="auto"/>
                <w:sz w:val="16"/>
                <w:szCs w:val="18"/>
              </w:rPr>
              <w:t>3.6</w:t>
            </w:r>
          </w:p>
        </w:tc>
        <w:tc>
          <w:tcPr>
            <w:tcW w:w="271" w:type="pct"/>
            <w:tcBorders>
              <w:top w:val="single" w:color="auto" w:sz="4" w:space="0"/>
              <w:left w:val="single" w:color="auto" w:sz="4" w:space="0"/>
              <w:bottom w:val="single" w:color="auto" w:sz="4" w:space="0"/>
              <w:right w:val="single" w:color="auto" w:sz="4" w:space="0"/>
            </w:tcBorders>
            <w:vAlign w:val="center"/>
          </w:tcPr>
          <w:p w14:paraId="44F2D8B1">
            <w:pPr>
              <w:pStyle w:val="751"/>
              <w:rPr>
                <w:color w:val="auto"/>
                <w:sz w:val="16"/>
                <w:szCs w:val="18"/>
              </w:rPr>
            </w:pPr>
            <w:r>
              <w:rPr>
                <w:color w:val="auto"/>
                <w:sz w:val="16"/>
                <w:szCs w:val="18"/>
              </w:rPr>
              <w:t>32.2</w:t>
            </w:r>
          </w:p>
        </w:tc>
      </w:tr>
      <w:tr w14:paraId="45879074">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4990560B">
            <w:pPr>
              <w:pStyle w:val="751"/>
              <w:rPr>
                <w:color w:val="auto"/>
                <w:sz w:val="16"/>
                <w:szCs w:val="18"/>
              </w:rPr>
            </w:pPr>
            <w:r>
              <w:rPr>
                <w:color w:val="auto"/>
                <w:sz w:val="16"/>
                <w:szCs w:val="18"/>
              </w:rPr>
              <w:t>二月</w:t>
            </w:r>
          </w:p>
        </w:tc>
        <w:tc>
          <w:tcPr>
            <w:tcW w:w="227" w:type="pct"/>
            <w:tcBorders>
              <w:top w:val="single" w:color="auto" w:sz="4" w:space="0"/>
              <w:left w:val="single" w:color="auto" w:sz="4" w:space="0"/>
              <w:bottom w:val="single" w:color="auto" w:sz="4" w:space="0"/>
              <w:right w:val="single" w:color="auto" w:sz="4" w:space="0"/>
            </w:tcBorders>
            <w:vAlign w:val="center"/>
          </w:tcPr>
          <w:p w14:paraId="5B0FBECE">
            <w:pPr>
              <w:pStyle w:val="751"/>
              <w:rPr>
                <w:color w:val="auto"/>
                <w:sz w:val="16"/>
                <w:szCs w:val="18"/>
              </w:rPr>
            </w:pPr>
            <w:r>
              <w:rPr>
                <w:color w:val="auto"/>
                <w:sz w:val="16"/>
                <w:szCs w:val="18"/>
              </w:rPr>
              <w:t>3.3</w:t>
            </w:r>
          </w:p>
        </w:tc>
        <w:tc>
          <w:tcPr>
            <w:tcW w:w="298" w:type="pct"/>
            <w:tcBorders>
              <w:top w:val="single" w:color="auto" w:sz="4" w:space="0"/>
              <w:left w:val="single" w:color="auto" w:sz="4" w:space="0"/>
              <w:bottom w:val="single" w:color="auto" w:sz="4" w:space="0"/>
              <w:right w:val="single" w:color="auto" w:sz="4" w:space="0"/>
            </w:tcBorders>
            <w:vAlign w:val="center"/>
          </w:tcPr>
          <w:p w14:paraId="39FCC25F">
            <w:pPr>
              <w:pStyle w:val="751"/>
              <w:rPr>
                <w:color w:val="auto"/>
                <w:sz w:val="16"/>
                <w:szCs w:val="18"/>
              </w:rPr>
            </w:pPr>
            <w:r>
              <w:rPr>
                <w:color w:val="auto"/>
                <w:sz w:val="16"/>
                <w:szCs w:val="18"/>
              </w:rPr>
              <w:t>2.9</w:t>
            </w:r>
          </w:p>
        </w:tc>
        <w:tc>
          <w:tcPr>
            <w:tcW w:w="271" w:type="pct"/>
            <w:tcBorders>
              <w:top w:val="single" w:color="auto" w:sz="4" w:space="0"/>
              <w:left w:val="single" w:color="auto" w:sz="4" w:space="0"/>
              <w:bottom w:val="single" w:color="auto" w:sz="4" w:space="0"/>
              <w:right w:val="single" w:color="auto" w:sz="4" w:space="0"/>
            </w:tcBorders>
            <w:vAlign w:val="center"/>
          </w:tcPr>
          <w:p w14:paraId="33751C3F">
            <w:pPr>
              <w:pStyle w:val="751"/>
              <w:rPr>
                <w:color w:val="auto"/>
                <w:sz w:val="16"/>
                <w:szCs w:val="18"/>
              </w:rPr>
            </w:pPr>
            <w:r>
              <w:rPr>
                <w:color w:val="auto"/>
                <w:sz w:val="16"/>
                <w:szCs w:val="18"/>
              </w:rPr>
              <w:t>3.0</w:t>
            </w:r>
          </w:p>
        </w:tc>
        <w:tc>
          <w:tcPr>
            <w:tcW w:w="289" w:type="pct"/>
            <w:tcBorders>
              <w:top w:val="single" w:color="auto" w:sz="4" w:space="0"/>
              <w:left w:val="single" w:color="auto" w:sz="4" w:space="0"/>
              <w:bottom w:val="single" w:color="auto" w:sz="4" w:space="0"/>
              <w:right w:val="single" w:color="auto" w:sz="4" w:space="0"/>
            </w:tcBorders>
            <w:vAlign w:val="center"/>
          </w:tcPr>
          <w:p w14:paraId="1FC69C0D">
            <w:pPr>
              <w:pStyle w:val="751"/>
              <w:rPr>
                <w:color w:val="auto"/>
                <w:sz w:val="16"/>
                <w:szCs w:val="18"/>
              </w:rPr>
            </w:pPr>
            <w:r>
              <w:rPr>
                <w:color w:val="auto"/>
                <w:sz w:val="16"/>
                <w:szCs w:val="18"/>
              </w:rPr>
              <w:t>2.78</w:t>
            </w:r>
          </w:p>
        </w:tc>
        <w:tc>
          <w:tcPr>
            <w:tcW w:w="227" w:type="pct"/>
            <w:tcBorders>
              <w:top w:val="single" w:color="auto" w:sz="4" w:space="0"/>
              <w:left w:val="single" w:color="auto" w:sz="4" w:space="0"/>
              <w:bottom w:val="single" w:color="auto" w:sz="4" w:space="0"/>
              <w:right w:val="single" w:color="auto" w:sz="4" w:space="0"/>
            </w:tcBorders>
            <w:vAlign w:val="center"/>
          </w:tcPr>
          <w:p w14:paraId="1A8D3861">
            <w:pPr>
              <w:pStyle w:val="751"/>
              <w:rPr>
                <w:color w:val="auto"/>
                <w:sz w:val="16"/>
                <w:szCs w:val="18"/>
              </w:rPr>
            </w:pPr>
            <w:r>
              <w:rPr>
                <w:color w:val="auto"/>
                <w:sz w:val="16"/>
                <w:szCs w:val="18"/>
              </w:rPr>
              <w:t>3.8</w:t>
            </w:r>
          </w:p>
        </w:tc>
        <w:tc>
          <w:tcPr>
            <w:tcW w:w="275" w:type="pct"/>
            <w:tcBorders>
              <w:top w:val="single" w:color="auto" w:sz="4" w:space="0"/>
              <w:left w:val="single" w:color="auto" w:sz="4" w:space="0"/>
              <w:bottom w:val="single" w:color="auto" w:sz="4" w:space="0"/>
              <w:right w:val="single" w:color="auto" w:sz="4" w:space="0"/>
            </w:tcBorders>
            <w:vAlign w:val="center"/>
          </w:tcPr>
          <w:p w14:paraId="79E44228">
            <w:pPr>
              <w:pStyle w:val="751"/>
              <w:rPr>
                <w:color w:val="auto"/>
                <w:sz w:val="16"/>
                <w:szCs w:val="18"/>
              </w:rPr>
            </w:pPr>
            <w:r>
              <w:rPr>
                <w:color w:val="auto"/>
                <w:sz w:val="16"/>
                <w:szCs w:val="18"/>
              </w:rPr>
              <w:t>3.6</w:t>
            </w:r>
          </w:p>
        </w:tc>
        <w:tc>
          <w:tcPr>
            <w:tcW w:w="271" w:type="pct"/>
            <w:tcBorders>
              <w:top w:val="single" w:color="auto" w:sz="4" w:space="0"/>
              <w:left w:val="single" w:color="auto" w:sz="4" w:space="0"/>
              <w:bottom w:val="single" w:color="auto" w:sz="4" w:space="0"/>
              <w:right w:val="single" w:color="auto" w:sz="4" w:space="0"/>
            </w:tcBorders>
            <w:vAlign w:val="center"/>
          </w:tcPr>
          <w:p w14:paraId="51FAFAD2">
            <w:pPr>
              <w:pStyle w:val="751"/>
              <w:rPr>
                <w:color w:val="auto"/>
                <w:sz w:val="16"/>
                <w:szCs w:val="18"/>
              </w:rPr>
            </w:pPr>
            <w:r>
              <w:rPr>
                <w:color w:val="auto"/>
                <w:sz w:val="16"/>
                <w:szCs w:val="18"/>
              </w:rPr>
              <w:t>6.2</w:t>
            </w:r>
          </w:p>
        </w:tc>
        <w:tc>
          <w:tcPr>
            <w:tcW w:w="271" w:type="pct"/>
            <w:tcBorders>
              <w:top w:val="single" w:color="auto" w:sz="4" w:space="0"/>
              <w:left w:val="single" w:color="auto" w:sz="4" w:space="0"/>
              <w:bottom w:val="single" w:color="auto" w:sz="4" w:space="0"/>
              <w:right w:val="single" w:color="auto" w:sz="4" w:space="0"/>
            </w:tcBorders>
            <w:vAlign w:val="center"/>
          </w:tcPr>
          <w:p w14:paraId="3640194C">
            <w:pPr>
              <w:pStyle w:val="751"/>
              <w:rPr>
                <w:color w:val="auto"/>
                <w:sz w:val="16"/>
                <w:szCs w:val="18"/>
              </w:rPr>
            </w:pPr>
            <w:r>
              <w:rPr>
                <w:color w:val="auto"/>
                <w:sz w:val="16"/>
                <w:szCs w:val="18"/>
              </w:rPr>
              <w:t>8.4</w:t>
            </w:r>
          </w:p>
        </w:tc>
        <w:tc>
          <w:tcPr>
            <w:tcW w:w="271" w:type="pct"/>
            <w:tcBorders>
              <w:top w:val="single" w:color="auto" w:sz="4" w:space="0"/>
              <w:left w:val="single" w:color="auto" w:sz="4" w:space="0"/>
              <w:bottom w:val="single" w:color="auto" w:sz="4" w:space="0"/>
              <w:right w:val="single" w:color="auto" w:sz="4" w:space="0"/>
            </w:tcBorders>
            <w:vAlign w:val="center"/>
          </w:tcPr>
          <w:p w14:paraId="022687B9">
            <w:pPr>
              <w:pStyle w:val="751"/>
              <w:rPr>
                <w:color w:val="auto"/>
                <w:sz w:val="16"/>
                <w:szCs w:val="18"/>
              </w:rPr>
            </w:pPr>
            <w:r>
              <w:rPr>
                <w:color w:val="auto"/>
                <w:sz w:val="16"/>
                <w:szCs w:val="18"/>
              </w:rPr>
              <w:t>6.5</w:t>
            </w:r>
          </w:p>
        </w:tc>
        <w:tc>
          <w:tcPr>
            <w:tcW w:w="299" w:type="pct"/>
            <w:tcBorders>
              <w:top w:val="single" w:color="auto" w:sz="4" w:space="0"/>
              <w:left w:val="single" w:color="auto" w:sz="4" w:space="0"/>
              <w:bottom w:val="single" w:color="auto" w:sz="4" w:space="0"/>
              <w:right w:val="single" w:color="auto" w:sz="4" w:space="0"/>
            </w:tcBorders>
            <w:vAlign w:val="center"/>
          </w:tcPr>
          <w:p w14:paraId="6752E0B2">
            <w:pPr>
              <w:pStyle w:val="751"/>
              <w:rPr>
                <w:color w:val="auto"/>
                <w:sz w:val="16"/>
                <w:szCs w:val="18"/>
              </w:rPr>
            </w:pPr>
            <w:r>
              <w:rPr>
                <w:color w:val="auto"/>
                <w:sz w:val="16"/>
                <w:szCs w:val="18"/>
              </w:rPr>
              <w:t>5.7</w:t>
            </w:r>
          </w:p>
        </w:tc>
        <w:tc>
          <w:tcPr>
            <w:tcW w:w="249" w:type="pct"/>
            <w:tcBorders>
              <w:top w:val="single" w:color="auto" w:sz="4" w:space="0"/>
              <w:left w:val="single" w:color="auto" w:sz="4" w:space="0"/>
              <w:bottom w:val="single" w:color="auto" w:sz="4" w:space="0"/>
              <w:right w:val="single" w:color="auto" w:sz="4" w:space="0"/>
            </w:tcBorders>
            <w:vAlign w:val="center"/>
          </w:tcPr>
          <w:p w14:paraId="3C4A05A1">
            <w:pPr>
              <w:pStyle w:val="751"/>
              <w:rPr>
                <w:color w:val="auto"/>
                <w:sz w:val="16"/>
                <w:szCs w:val="18"/>
              </w:rPr>
            </w:pPr>
            <w:r>
              <w:rPr>
                <w:color w:val="auto"/>
                <w:sz w:val="16"/>
                <w:szCs w:val="18"/>
              </w:rPr>
              <w:t>4.8</w:t>
            </w:r>
          </w:p>
        </w:tc>
        <w:tc>
          <w:tcPr>
            <w:tcW w:w="333" w:type="pct"/>
            <w:tcBorders>
              <w:top w:val="single" w:color="auto" w:sz="4" w:space="0"/>
              <w:left w:val="single" w:color="auto" w:sz="4" w:space="0"/>
              <w:bottom w:val="single" w:color="auto" w:sz="4" w:space="0"/>
              <w:right w:val="single" w:color="auto" w:sz="4" w:space="0"/>
            </w:tcBorders>
            <w:vAlign w:val="center"/>
          </w:tcPr>
          <w:p w14:paraId="3F73D318">
            <w:pPr>
              <w:pStyle w:val="751"/>
              <w:rPr>
                <w:color w:val="auto"/>
                <w:sz w:val="16"/>
                <w:szCs w:val="18"/>
              </w:rPr>
            </w:pPr>
            <w:r>
              <w:rPr>
                <w:color w:val="auto"/>
                <w:sz w:val="16"/>
                <w:szCs w:val="18"/>
              </w:rPr>
              <w:t>3.7</w:t>
            </w:r>
          </w:p>
        </w:tc>
        <w:tc>
          <w:tcPr>
            <w:tcW w:w="227" w:type="pct"/>
            <w:tcBorders>
              <w:top w:val="single" w:color="auto" w:sz="4" w:space="0"/>
              <w:left w:val="single" w:color="auto" w:sz="4" w:space="0"/>
              <w:bottom w:val="single" w:color="auto" w:sz="4" w:space="0"/>
              <w:right w:val="single" w:color="auto" w:sz="4" w:space="0"/>
            </w:tcBorders>
            <w:vAlign w:val="center"/>
          </w:tcPr>
          <w:p w14:paraId="28041106">
            <w:pPr>
              <w:pStyle w:val="751"/>
              <w:rPr>
                <w:color w:val="auto"/>
                <w:sz w:val="16"/>
                <w:szCs w:val="18"/>
              </w:rPr>
            </w:pPr>
            <w:r>
              <w:rPr>
                <w:color w:val="auto"/>
                <w:sz w:val="16"/>
                <w:szCs w:val="18"/>
              </w:rPr>
              <w:t>5.2</w:t>
            </w:r>
          </w:p>
        </w:tc>
        <w:tc>
          <w:tcPr>
            <w:tcW w:w="348" w:type="pct"/>
            <w:tcBorders>
              <w:top w:val="single" w:color="auto" w:sz="4" w:space="0"/>
              <w:left w:val="single" w:color="auto" w:sz="4" w:space="0"/>
              <w:bottom w:val="single" w:color="auto" w:sz="4" w:space="0"/>
              <w:right w:val="single" w:color="auto" w:sz="4" w:space="0"/>
            </w:tcBorders>
            <w:vAlign w:val="center"/>
          </w:tcPr>
          <w:p w14:paraId="3B74B8B7">
            <w:pPr>
              <w:pStyle w:val="751"/>
              <w:rPr>
                <w:color w:val="auto"/>
                <w:sz w:val="16"/>
                <w:szCs w:val="18"/>
              </w:rPr>
            </w:pPr>
            <w:r>
              <w:rPr>
                <w:color w:val="auto"/>
                <w:sz w:val="16"/>
                <w:szCs w:val="18"/>
              </w:rPr>
              <w:t>6.7</w:t>
            </w:r>
          </w:p>
        </w:tc>
        <w:tc>
          <w:tcPr>
            <w:tcW w:w="264" w:type="pct"/>
            <w:tcBorders>
              <w:top w:val="single" w:color="auto" w:sz="4" w:space="0"/>
              <w:left w:val="single" w:color="auto" w:sz="4" w:space="0"/>
              <w:bottom w:val="single" w:color="auto" w:sz="4" w:space="0"/>
              <w:right w:val="single" w:color="auto" w:sz="4" w:space="0"/>
            </w:tcBorders>
            <w:vAlign w:val="center"/>
          </w:tcPr>
          <w:p w14:paraId="38E82E58">
            <w:pPr>
              <w:pStyle w:val="751"/>
              <w:rPr>
                <w:color w:val="auto"/>
                <w:sz w:val="16"/>
                <w:szCs w:val="18"/>
              </w:rPr>
            </w:pPr>
            <w:r>
              <w:rPr>
                <w:color w:val="auto"/>
                <w:sz w:val="16"/>
                <w:szCs w:val="18"/>
              </w:rPr>
              <w:t>4.9</w:t>
            </w:r>
          </w:p>
        </w:tc>
        <w:tc>
          <w:tcPr>
            <w:tcW w:w="328" w:type="pct"/>
            <w:tcBorders>
              <w:top w:val="single" w:color="auto" w:sz="4" w:space="0"/>
              <w:left w:val="single" w:color="auto" w:sz="4" w:space="0"/>
              <w:bottom w:val="single" w:color="auto" w:sz="4" w:space="0"/>
              <w:right w:val="single" w:color="auto" w:sz="4" w:space="0"/>
            </w:tcBorders>
            <w:vAlign w:val="center"/>
          </w:tcPr>
          <w:p w14:paraId="36E11D93">
            <w:pPr>
              <w:pStyle w:val="751"/>
              <w:rPr>
                <w:color w:val="auto"/>
                <w:sz w:val="16"/>
                <w:szCs w:val="18"/>
              </w:rPr>
            </w:pPr>
            <w:r>
              <w:rPr>
                <w:color w:val="auto"/>
                <w:sz w:val="16"/>
                <w:szCs w:val="18"/>
              </w:rPr>
              <w:t>4.0</w:t>
            </w:r>
          </w:p>
        </w:tc>
        <w:tc>
          <w:tcPr>
            <w:tcW w:w="271" w:type="pct"/>
            <w:tcBorders>
              <w:top w:val="single" w:color="auto" w:sz="4" w:space="0"/>
              <w:left w:val="single" w:color="auto" w:sz="4" w:space="0"/>
              <w:bottom w:val="single" w:color="auto" w:sz="4" w:space="0"/>
              <w:right w:val="single" w:color="auto" w:sz="4" w:space="0"/>
            </w:tcBorders>
            <w:vAlign w:val="center"/>
          </w:tcPr>
          <w:p w14:paraId="626D63A2">
            <w:pPr>
              <w:pStyle w:val="751"/>
              <w:rPr>
                <w:color w:val="auto"/>
                <w:sz w:val="16"/>
                <w:szCs w:val="18"/>
              </w:rPr>
            </w:pPr>
            <w:r>
              <w:rPr>
                <w:color w:val="auto"/>
                <w:sz w:val="16"/>
                <w:szCs w:val="18"/>
              </w:rPr>
              <w:t>24.9</w:t>
            </w:r>
          </w:p>
        </w:tc>
      </w:tr>
      <w:tr w14:paraId="67F82191">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3FB9F7EF">
            <w:pPr>
              <w:pStyle w:val="751"/>
              <w:rPr>
                <w:color w:val="auto"/>
                <w:sz w:val="16"/>
                <w:szCs w:val="18"/>
              </w:rPr>
            </w:pPr>
            <w:r>
              <w:rPr>
                <w:color w:val="auto"/>
                <w:sz w:val="16"/>
                <w:szCs w:val="18"/>
              </w:rPr>
              <w:t>三月</w:t>
            </w:r>
          </w:p>
        </w:tc>
        <w:tc>
          <w:tcPr>
            <w:tcW w:w="227" w:type="pct"/>
            <w:tcBorders>
              <w:top w:val="single" w:color="auto" w:sz="4" w:space="0"/>
              <w:left w:val="single" w:color="auto" w:sz="4" w:space="0"/>
              <w:bottom w:val="single" w:color="auto" w:sz="4" w:space="0"/>
              <w:right w:val="single" w:color="auto" w:sz="4" w:space="0"/>
            </w:tcBorders>
            <w:vAlign w:val="center"/>
          </w:tcPr>
          <w:p w14:paraId="59F26694">
            <w:pPr>
              <w:pStyle w:val="751"/>
              <w:rPr>
                <w:color w:val="auto"/>
                <w:sz w:val="16"/>
                <w:szCs w:val="18"/>
              </w:rPr>
            </w:pPr>
            <w:r>
              <w:rPr>
                <w:color w:val="auto"/>
                <w:sz w:val="16"/>
                <w:szCs w:val="18"/>
              </w:rPr>
              <w:t>4.1</w:t>
            </w:r>
          </w:p>
        </w:tc>
        <w:tc>
          <w:tcPr>
            <w:tcW w:w="298" w:type="pct"/>
            <w:tcBorders>
              <w:top w:val="single" w:color="auto" w:sz="4" w:space="0"/>
              <w:left w:val="single" w:color="auto" w:sz="4" w:space="0"/>
              <w:bottom w:val="single" w:color="auto" w:sz="4" w:space="0"/>
              <w:right w:val="single" w:color="auto" w:sz="4" w:space="0"/>
            </w:tcBorders>
            <w:vAlign w:val="center"/>
          </w:tcPr>
          <w:p w14:paraId="6F735ABE">
            <w:pPr>
              <w:pStyle w:val="751"/>
              <w:rPr>
                <w:color w:val="auto"/>
                <w:sz w:val="16"/>
                <w:szCs w:val="18"/>
              </w:rPr>
            </w:pPr>
            <w:r>
              <w:rPr>
                <w:color w:val="auto"/>
                <w:sz w:val="16"/>
                <w:szCs w:val="18"/>
              </w:rPr>
              <w:t>2.9</w:t>
            </w:r>
          </w:p>
        </w:tc>
        <w:tc>
          <w:tcPr>
            <w:tcW w:w="271" w:type="pct"/>
            <w:tcBorders>
              <w:top w:val="single" w:color="auto" w:sz="4" w:space="0"/>
              <w:left w:val="single" w:color="auto" w:sz="4" w:space="0"/>
              <w:bottom w:val="single" w:color="auto" w:sz="4" w:space="0"/>
              <w:right w:val="single" w:color="auto" w:sz="4" w:space="0"/>
            </w:tcBorders>
            <w:vAlign w:val="center"/>
          </w:tcPr>
          <w:p w14:paraId="0F6496BB">
            <w:pPr>
              <w:pStyle w:val="751"/>
              <w:rPr>
                <w:color w:val="auto"/>
                <w:sz w:val="16"/>
                <w:szCs w:val="18"/>
              </w:rPr>
            </w:pPr>
            <w:r>
              <w:rPr>
                <w:color w:val="auto"/>
                <w:sz w:val="16"/>
                <w:szCs w:val="18"/>
              </w:rPr>
              <w:t>2.7</w:t>
            </w:r>
          </w:p>
        </w:tc>
        <w:tc>
          <w:tcPr>
            <w:tcW w:w="289" w:type="pct"/>
            <w:tcBorders>
              <w:top w:val="single" w:color="auto" w:sz="4" w:space="0"/>
              <w:left w:val="single" w:color="auto" w:sz="4" w:space="0"/>
              <w:bottom w:val="single" w:color="auto" w:sz="4" w:space="0"/>
              <w:right w:val="single" w:color="auto" w:sz="4" w:space="0"/>
            </w:tcBorders>
            <w:vAlign w:val="center"/>
          </w:tcPr>
          <w:p w14:paraId="70FE65D6">
            <w:pPr>
              <w:pStyle w:val="751"/>
              <w:rPr>
                <w:color w:val="auto"/>
                <w:sz w:val="16"/>
                <w:szCs w:val="18"/>
              </w:rPr>
            </w:pPr>
            <w:r>
              <w:rPr>
                <w:color w:val="auto"/>
                <w:sz w:val="16"/>
                <w:szCs w:val="18"/>
              </w:rPr>
              <w:t>3.7</w:t>
            </w:r>
          </w:p>
        </w:tc>
        <w:tc>
          <w:tcPr>
            <w:tcW w:w="227" w:type="pct"/>
            <w:tcBorders>
              <w:top w:val="single" w:color="auto" w:sz="4" w:space="0"/>
              <w:left w:val="single" w:color="auto" w:sz="4" w:space="0"/>
              <w:bottom w:val="single" w:color="auto" w:sz="4" w:space="0"/>
              <w:right w:val="single" w:color="auto" w:sz="4" w:space="0"/>
            </w:tcBorders>
            <w:vAlign w:val="center"/>
          </w:tcPr>
          <w:p w14:paraId="09B6FB47">
            <w:pPr>
              <w:pStyle w:val="751"/>
              <w:rPr>
                <w:color w:val="auto"/>
                <w:sz w:val="16"/>
                <w:szCs w:val="18"/>
              </w:rPr>
            </w:pPr>
            <w:r>
              <w:rPr>
                <w:color w:val="auto"/>
                <w:sz w:val="16"/>
                <w:szCs w:val="18"/>
              </w:rPr>
              <w:t>3.4</w:t>
            </w:r>
          </w:p>
        </w:tc>
        <w:tc>
          <w:tcPr>
            <w:tcW w:w="275" w:type="pct"/>
            <w:tcBorders>
              <w:top w:val="single" w:color="auto" w:sz="4" w:space="0"/>
              <w:left w:val="single" w:color="auto" w:sz="4" w:space="0"/>
              <w:bottom w:val="single" w:color="auto" w:sz="4" w:space="0"/>
              <w:right w:val="single" w:color="auto" w:sz="4" w:space="0"/>
            </w:tcBorders>
            <w:vAlign w:val="center"/>
          </w:tcPr>
          <w:p w14:paraId="3E3169D7">
            <w:pPr>
              <w:pStyle w:val="751"/>
              <w:rPr>
                <w:color w:val="auto"/>
                <w:sz w:val="16"/>
                <w:szCs w:val="18"/>
              </w:rPr>
            </w:pPr>
            <w:r>
              <w:rPr>
                <w:color w:val="auto"/>
                <w:sz w:val="16"/>
                <w:szCs w:val="18"/>
              </w:rPr>
              <w:t>4.5</w:t>
            </w:r>
          </w:p>
        </w:tc>
        <w:tc>
          <w:tcPr>
            <w:tcW w:w="271" w:type="pct"/>
            <w:tcBorders>
              <w:top w:val="single" w:color="auto" w:sz="4" w:space="0"/>
              <w:left w:val="single" w:color="auto" w:sz="4" w:space="0"/>
              <w:bottom w:val="single" w:color="auto" w:sz="4" w:space="0"/>
              <w:right w:val="single" w:color="auto" w:sz="4" w:space="0"/>
            </w:tcBorders>
            <w:vAlign w:val="center"/>
          </w:tcPr>
          <w:p w14:paraId="21932478">
            <w:pPr>
              <w:pStyle w:val="751"/>
              <w:rPr>
                <w:color w:val="auto"/>
                <w:sz w:val="16"/>
                <w:szCs w:val="18"/>
              </w:rPr>
            </w:pPr>
            <w:r>
              <w:rPr>
                <w:color w:val="auto"/>
                <w:sz w:val="16"/>
                <w:szCs w:val="18"/>
              </w:rPr>
              <w:t>7.6</w:t>
            </w:r>
          </w:p>
        </w:tc>
        <w:tc>
          <w:tcPr>
            <w:tcW w:w="271" w:type="pct"/>
            <w:tcBorders>
              <w:top w:val="single" w:color="auto" w:sz="4" w:space="0"/>
              <w:left w:val="single" w:color="auto" w:sz="4" w:space="0"/>
              <w:bottom w:val="single" w:color="auto" w:sz="4" w:space="0"/>
              <w:right w:val="single" w:color="auto" w:sz="4" w:space="0"/>
            </w:tcBorders>
            <w:vAlign w:val="center"/>
          </w:tcPr>
          <w:p w14:paraId="4EB14C90">
            <w:pPr>
              <w:pStyle w:val="751"/>
              <w:rPr>
                <w:color w:val="auto"/>
                <w:sz w:val="16"/>
                <w:szCs w:val="18"/>
              </w:rPr>
            </w:pPr>
            <w:r>
              <w:rPr>
                <w:color w:val="auto"/>
                <w:sz w:val="16"/>
                <w:szCs w:val="18"/>
              </w:rPr>
              <w:t>10.9</w:t>
            </w:r>
          </w:p>
        </w:tc>
        <w:tc>
          <w:tcPr>
            <w:tcW w:w="271" w:type="pct"/>
            <w:tcBorders>
              <w:top w:val="single" w:color="auto" w:sz="4" w:space="0"/>
              <w:left w:val="single" w:color="auto" w:sz="4" w:space="0"/>
              <w:bottom w:val="single" w:color="auto" w:sz="4" w:space="0"/>
              <w:right w:val="single" w:color="auto" w:sz="4" w:space="0"/>
            </w:tcBorders>
            <w:vAlign w:val="center"/>
          </w:tcPr>
          <w:p w14:paraId="6D5E0E37">
            <w:pPr>
              <w:pStyle w:val="751"/>
              <w:rPr>
                <w:color w:val="auto"/>
                <w:sz w:val="16"/>
                <w:szCs w:val="18"/>
              </w:rPr>
            </w:pPr>
            <w:r>
              <w:rPr>
                <w:color w:val="auto"/>
                <w:sz w:val="16"/>
                <w:szCs w:val="18"/>
              </w:rPr>
              <w:t>7.3</w:t>
            </w:r>
          </w:p>
        </w:tc>
        <w:tc>
          <w:tcPr>
            <w:tcW w:w="299" w:type="pct"/>
            <w:tcBorders>
              <w:top w:val="single" w:color="auto" w:sz="4" w:space="0"/>
              <w:left w:val="single" w:color="auto" w:sz="4" w:space="0"/>
              <w:bottom w:val="single" w:color="auto" w:sz="4" w:space="0"/>
              <w:right w:val="single" w:color="auto" w:sz="4" w:space="0"/>
            </w:tcBorders>
            <w:vAlign w:val="center"/>
          </w:tcPr>
          <w:p w14:paraId="44772B47">
            <w:pPr>
              <w:pStyle w:val="751"/>
              <w:rPr>
                <w:color w:val="auto"/>
                <w:sz w:val="16"/>
                <w:szCs w:val="18"/>
              </w:rPr>
            </w:pPr>
            <w:r>
              <w:rPr>
                <w:color w:val="auto"/>
                <w:sz w:val="16"/>
                <w:szCs w:val="18"/>
              </w:rPr>
              <w:t>4.9</w:t>
            </w:r>
          </w:p>
        </w:tc>
        <w:tc>
          <w:tcPr>
            <w:tcW w:w="249" w:type="pct"/>
            <w:tcBorders>
              <w:top w:val="single" w:color="auto" w:sz="4" w:space="0"/>
              <w:left w:val="single" w:color="auto" w:sz="4" w:space="0"/>
              <w:bottom w:val="single" w:color="auto" w:sz="4" w:space="0"/>
              <w:right w:val="single" w:color="auto" w:sz="4" w:space="0"/>
            </w:tcBorders>
            <w:vAlign w:val="center"/>
          </w:tcPr>
          <w:p w14:paraId="452D8986">
            <w:pPr>
              <w:pStyle w:val="751"/>
              <w:rPr>
                <w:color w:val="auto"/>
                <w:sz w:val="16"/>
                <w:szCs w:val="18"/>
              </w:rPr>
            </w:pPr>
            <w:r>
              <w:rPr>
                <w:color w:val="auto"/>
                <w:sz w:val="16"/>
                <w:szCs w:val="18"/>
              </w:rPr>
              <w:t>5.0</w:t>
            </w:r>
          </w:p>
        </w:tc>
        <w:tc>
          <w:tcPr>
            <w:tcW w:w="333" w:type="pct"/>
            <w:tcBorders>
              <w:top w:val="single" w:color="auto" w:sz="4" w:space="0"/>
              <w:left w:val="single" w:color="auto" w:sz="4" w:space="0"/>
              <w:bottom w:val="single" w:color="auto" w:sz="4" w:space="0"/>
              <w:right w:val="single" w:color="auto" w:sz="4" w:space="0"/>
            </w:tcBorders>
            <w:vAlign w:val="center"/>
          </w:tcPr>
          <w:p w14:paraId="6A91AF00">
            <w:pPr>
              <w:pStyle w:val="751"/>
              <w:rPr>
                <w:color w:val="auto"/>
                <w:sz w:val="16"/>
                <w:szCs w:val="18"/>
              </w:rPr>
            </w:pPr>
            <w:r>
              <w:rPr>
                <w:color w:val="auto"/>
                <w:sz w:val="16"/>
                <w:szCs w:val="18"/>
              </w:rPr>
              <w:t>3.8</w:t>
            </w:r>
          </w:p>
        </w:tc>
        <w:tc>
          <w:tcPr>
            <w:tcW w:w="227" w:type="pct"/>
            <w:tcBorders>
              <w:top w:val="single" w:color="auto" w:sz="4" w:space="0"/>
              <w:left w:val="single" w:color="auto" w:sz="4" w:space="0"/>
              <w:bottom w:val="single" w:color="auto" w:sz="4" w:space="0"/>
              <w:right w:val="single" w:color="auto" w:sz="4" w:space="0"/>
            </w:tcBorders>
            <w:vAlign w:val="center"/>
          </w:tcPr>
          <w:p w14:paraId="1636F6BF">
            <w:pPr>
              <w:pStyle w:val="751"/>
              <w:rPr>
                <w:color w:val="auto"/>
                <w:sz w:val="16"/>
                <w:szCs w:val="18"/>
              </w:rPr>
            </w:pPr>
            <w:r>
              <w:rPr>
                <w:color w:val="auto"/>
                <w:sz w:val="16"/>
                <w:szCs w:val="18"/>
              </w:rPr>
              <w:t>5.5</w:t>
            </w:r>
          </w:p>
        </w:tc>
        <w:tc>
          <w:tcPr>
            <w:tcW w:w="348" w:type="pct"/>
            <w:tcBorders>
              <w:top w:val="single" w:color="auto" w:sz="4" w:space="0"/>
              <w:left w:val="single" w:color="auto" w:sz="4" w:space="0"/>
              <w:bottom w:val="single" w:color="auto" w:sz="4" w:space="0"/>
              <w:right w:val="single" w:color="auto" w:sz="4" w:space="0"/>
            </w:tcBorders>
            <w:vAlign w:val="center"/>
          </w:tcPr>
          <w:p w14:paraId="2E235DA4">
            <w:pPr>
              <w:pStyle w:val="751"/>
              <w:rPr>
                <w:color w:val="auto"/>
                <w:sz w:val="16"/>
                <w:szCs w:val="18"/>
              </w:rPr>
            </w:pPr>
            <w:r>
              <w:rPr>
                <w:color w:val="auto"/>
                <w:sz w:val="16"/>
                <w:szCs w:val="18"/>
              </w:rPr>
              <w:t>6.8</w:t>
            </w:r>
          </w:p>
        </w:tc>
        <w:tc>
          <w:tcPr>
            <w:tcW w:w="264" w:type="pct"/>
            <w:tcBorders>
              <w:top w:val="single" w:color="auto" w:sz="4" w:space="0"/>
              <w:left w:val="single" w:color="auto" w:sz="4" w:space="0"/>
              <w:bottom w:val="single" w:color="auto" w:sz="4" w:space="0"/>
              <w:right w:val="single" w:color="auto" w:sz="4" w:space="0"/>
            </w:tcBorders>
            <w:vAlign w:val="center"/>
          </w:tcPr>
          <w:p w14:paraId="19B9031A">
            <w:pPr>
              <w:pStyle w:val="751"/>
              <w:rPr>
                <w:color w:val="auto"/>
                <w:sz w:val="16"/>
                <w:szCs w:val="18"/>
              </w:rPr>
            </w:pPr>
            <w:r>
              <w:rPr>
                <w:color w:val="auto"/>
                <w:sz w:val="16"/>
                <w:szCs w:val="18"/>
              </w:rPr>
              <w:t>6.9</w:t>
            </w:r>
          </w:p>
        </w:tc>
        <w:tc>
          <w:tcPr>
            <w:tcW w:w="328" w:type="pct"/>
            <w:tcBorders>
              <w:top w:val="single" w:color="auto" w:sz="4" w:space="0"/>
              <w:left w:val="single" w:color="auto" w:sz="4" w:space="0"/>
              <w:bottom w:val="single" w:color="auto" w:sz="4" w:space="0"/>
              <w:right w:val="single" w:color="auto" w:sz="4" w:space="0"/>
            </w:tcBorders>
            <w:vAlign w:val="center"/>
          </w:tcPr>
          <w:p w14:paraId="4CCDFE78">
            <w:pPr>
              <w:pStyle w:val="751"/>
              <w:rPr>
                <w:color w:val="auto"/>
                <w:sz w:val="16"/>
                <w:szCs w:val="18"/>
              </w:rPr>
            </w:pPr>
            <w:r>
              <w:rPr>
                <w:color w:val="auto"/>
                <w:sz w:val="16"/>
                <w:szCs w:val="18"/>
              </w:rPr>
              <w:t>4.3</w:t>
            </w:r>
          </w:p>
        </w:tc>
        <w:tc>
          <w:tcPr>
            <w:tcW w:w="271" w:type="pct"/>
            <w:tcBorders>
              <w:top w:val="single" w:color="auto" w:sz="4" w:space="0"/>
              <w:left w:val="single" w:color="auto" w:sz="4" w:space="0"/>
              <w:bottom w:val="single" w:color="auto" w:sz="4" w:space="0"/>
              <w:right w:val="single" w:color="auto" w:sz="4" w:space="0"/>
            </w:tcBorders>
            <w:vAlign w:val="center"/>
          </w:tcPr>
          <w:p w14:paraId="163EA303">
            <w:pPr>
              <w:pStyle w:val="751"/>
              <w:rPr>
                <w:color w:val="auto"/>
                <w:sz w:val="16"/>
                <w:szCs w:val="18"/>
              </w:rPr>
            </w:pPr>
            <w:r>
              <w:rPr>
                <w:color w:val="auto"/>
                <w:sz w:val="16"/>
                <w:szCs w:val="18"/>
              </w:rPr>
              <w:t>15.0</w:t>
            </w:r>
          </w:p>
        </w:tc>
      </w:tr>
      <w:tr w14:paraId="0137C6AD">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62116875">
            <w:pPr>
              <w:pStyle w:val="751"/>
              <w:rPr>
                <w:color w:val="auto"/>
                <w:sz w:val="16"/>
                <w:szCs w:val="18"/>
              </w:rPr>
            </w:pPr>
            <w:r>
              <w:rPr>
                <w:color w:val="auto"/>
                <w:sz w:val="16"/>
                <w:szCs w:val="18"/>
              </w:rPr>
              <w:t>四月</w:t>
            </w:r>
          </w:p>
        </w:tc>
        <w:tc>
          <w:tcPr>
            <w:tcW w:w="227" w:type="pct"/>
            <w:tcBorders>
              <w:top w:val="single" w:color="auto" w:sz="4" w:space="0"/>
              <w:left w:val="single" w:color="auto" w:sz="4" w:space="0"/>
              <w:bottom w:val="single" w:color="auto" w:sz="4" w:space="0"/>
              <w:right w:val="single" w:color="auto" w:sz="4" w:space="0"/>
            </w:tcBorders>
            <w:vAlign w:val="center"/>
          </w:tcPr>
          <w:p w14:paraId="53BF8294">
            <w:pPr>
              <w:pStyle w:val="751"/>
              <w:rPr>
                <w:color w:val="auto"/>
                <w:sz w:val="16"/>
                <w:szCs w:val="18"/>
              </w:rPr>
            </w:pPr>
            <w:r>
              <w:rPr>
                <w:color w:val="auto"/>
                <w:sz w:val="16"/>
                <w:szCs w:val="18"/>
              </w:rPr>
              <w:t>4.0</w:t>
            </w:r>
          </w:p>
        </w:tc>
        <w:tc>
          <w:tcPr>
            <w:tcW w:w="298" w:type="pct"/>
            <w:tcBorders>
              <w:top w:val="single" w:color="auto" w:sz="4" w:space="0"/>
              <w:left w:val="single" w:color="auto" w:sz="4" w:space="0"/>
              <w:bottom w:val="single" w:color="auto" w:sz="4" w:space="0"/>
              <w:right w:val="single" w:color="auto" w:sz="4" w:space="0"/>
            </w:tcBorders>
            <w:vAlign w:val="center"/>
          </w:tcPr>
          <w:p w14:paraId="08EF2304">
            <w:pPr>
              <w:pStyle w:val="751"/>
              <w:rPr>
                <w:color w:val="auto"/>
                <w:sz w:val="16"/>
                <w:szCs w:val="18"/>
              </w:rPr>
            </w:pPr>
            <w:r>
              <w:rPr>
                <w:color w:val="auto"/>
                <w:sz w:val="16"/>
                <w:szCs w:val="18"/>
              </w:rPr>
              <w:t>3.6</w:t>
            </w:r>
          </w:p>
        </w:tc>
        <w:tc>
          <w:tcPr>
            <w:tcW w:w="271" w:type="pct"/>
            <w:tcBorders>
              <w:top w:val="single" w:color="auto" w:sz="4" w:space="0"/>
              <w:left w:val="single" w:color="auto" w:sz="4" w:space="0"/>
              <w:bottom w:val="single" w:color="auto" w:sz="4" w:space="0"/>
              <w:right w:val="single" w:color="auto" w:sz="4" w:space="0"/>
            </w:tcBorders>
            <w:vAlign w:val="center"/>
          </w:tcPr>
          <w:p w14:paraId="5F2DB0B0">
            <w:pPr>
              <w:pStyle w:val="751"/>
              <w:rPr>
                <w:color w:val="auto"/>
                <w:sz w:val="16"/>
                <w:szCs w:val="18"/>
              </w:rPr>
            </w:pPr>
            <w:r>
              <w:rPr>
                <w:color w:val="auto"/>
                <w:sz w:val="16"/>
                <w:szCs w:val="18"/>
              </w:rPr>
              <w:t>2.9</w:t>
            </w:r>
          </w:p>
        </w:tc>
        <w:tc>
          <w:tcPr>
            <w:tcW w:w="289" w:type="pct"/>
            <w:tcBorders>
              <w:top w:val="single" w:color="auto" w:sz="4" w:space="0"/>
              <w:left w:val="single" w:color="auto" w:sz="4" w:space="0"/>
              <w:bottom w:val="single" w:color="auto" w:sz="4" w:space="0"/>
              <w:right w:val="single" w:color="auto" w:sz="4" w:space="0"/>
            </w:tcBorders>
            <w:vAlign w:val="center"/>
          </w:tcPr>
          <w:p w14:paraId="5A2432E3">
            <w:pPr>
              <w:pStyle w:val="751"/>
              <w:rPr>
                <w:color w:val="auto"/>
                <w:sz w:val="16"/>
                <w:szCs w:val="18"/>
              </w:rPr>
            </w:pPr>
            <w:r>
              <w:rPr>
                <w:color w:val="auto"/>
                <w:sz w:val="16"/>
                <w:szCs w:val="18"/>
              </w:rPr>
              <w:t>2.7</w:t>
            </w:r>
          </w:p>
        </w:tc>
        <w:tc>
          <w:tcPr>
            <w:tcW w:w="227" w:type="pct"/>
            <w:tcBorders>
              <w:top w:val="single" w:color="auto" w:sz="4" w:space="0"/>
              <w:left w:val="single" w:color="auto" w:sz="4" w:space="0"/>
              <w:bottom w:val="single" w:color="auto" w:sz="4" w:space="0"/>
              <w:right w:val="single" w:color="auto" w:sz="4" w:space="0"/>
            </w:tcBorders>
            <w:vAlign w:val="center"/>
          </w:tcPr>
          <w:p w14:paraId="6EF2C7F7">
            <w:pPr>
              <w:pStyle w:val="751"/>
              <w:rPr>
                <w:color w:val="auto"/>
                <w:sz w:val="16"/>
                <w:szCs w:val="18"/>
              </w:rPr>
            </w:pPr>
            <w:r>
              <w:rPr>
                <w:color w:val="auto"/>
                <w:sz w:val="16"/>
                <w:szCs w:val="18"/>
              </w:rPr>
              <w:t>2.9</w:t>
            </w:r>
          </w:p>
        </w:tc>
        <w:tc>
          <w:tcPr>
            <w:tcW w:w="275" w:type="pct"/>
            <w:tcBorders>
              <w:top w:val="single" w:color="auto" w:sz="4" w:space="0"/>
              <w:left w:val="single" w:color="auto" w:sz="4" w:space="0"/>
              <w:bottom w:val="single" w:color="auto" w:sz="4" w:space="0"/>
              <w:right w:val="single" w:color="auto" w:sz="4" w:space="0"/>
            </w:tcBorders>
            <w:vAlign w:val="center"/>
          </w:tcPr>
          <w:p w14:paraId="0213A3A2">
            <w:pPr>
              <w:pStyle w:val="751"/>
              <w:rPr>
                <w:color w:val="auto"/>
                <w:sz w:val="16"/>
                <w:szCs w:val="18"/>
              </w:rPr>
            </w:pPr>
            <w:r>
              <w:rPr>
                <w:color w:val="auto"/>
                <w:sz w:val="16"/>
                <w:szCs w:val="18"/>
              </w:rPr>
              <w:t>32.9</w:t>
            </w:r>
          </w:p>
        </w:tc>
        <w:tc>
          <w:tcPr>
            <w:tcW w:w="271" w:type="pct"/>
            <w:tcBorders>
              <w:top w:val="single" w:color="auto" w:sz="4" w:space="0"/>
              <w:left w:val="single" w:color="auto" w:sz="4" w:space="0"/>
              <w:bottom w:val="single" w:color="auto" w:sz="4" w:space="0"/>
              <w:right w:val="single" w:color="auto" w:sz="4" w:space="0"/>
            </w:tcBorders>
            <w:vAlign w:val="center"/>
          </w:tcPr>
          <w:p w14:paraId="695F59DC">
            <w:pPr>
              <w:pStyle w:val="751"/>
              <w:rPr>
                <w:color w:val="auto"/>
                <w:sz w:val="16"/>
                <w:szCs w:val="18"/>
              </w:rPr>
            </w:pPr>
            <w:r>
              <w:rPr>
                <w:color w:val="auto"/>
                <w:sz w:val="16"/>
                <w:szCs w:val="18"/>
              </w:rPr>
              <w:t>8.0</w:t>
            </w:r>
          </w:p>
        </w:tc>
        <w:tc>
          <w:tcPr>
            <w:tcW w:w="271" w:type="pct"/>
            <w:tcBorders>
              <w:top w:val="single" w:color="auto" w:sz="4" w:space="0"/>
              <w:left w:val="single" w:color="auto" w:sz="4" w:space="0"/>
              <w:bottom w:val="single" w:color="auto" w:sz="4" w:space="0"/>
              <w:right w:val="single" w:color="auto" w:sz="4" w:space="0"/>
            </w:tcBorders>
            <w:vAlign w:val="center"/>
          </w:tcPr>
          <w:p w14:paraId="30F0D676">
            <w:pPr>
              <w:pStyle w:val="751"/>
              <w:rPr>
                <w:color w:val="auto"/>
                <w:sz w:val="16"/>
                <w:szCs w:val="18"/>
              </w:rPr>
            </w:pPr>
            <w:r>
              <w:rPr>
                <w:color w:val="auto"/>
                <w:sz w:val="16"/>
                <w:szCs w:val="18"/>
              </w:rPr>
              <w:t>12.7</w:t>
            </w:r>
          </w:p>
        </w:tc>
        <w:tc>
          <w:tcPr>
            <w:tcW w:w="271" w:type="pct"/>
            <w:tcBorders>
              <w:top w:val="single" w:color="auto" w:sz="4" w:space="0"/>
              <w:left w:val="single" w:color="auto" w:sz="4" w:space="0"/>
              <w:bottom w:val="single" w:color="auto" w:sz="4" w:space="0"/>
              <w:right w:val="single" w:color="auto" w:sz="4" w:space="0"/>
            </w:tcBorders>
            <w:vAlign w:val="center"/>
          </w:tcPr>
          <w:p w14:paraId="7E571EA5">
            <w:pPr>
              <w:pStyle w:val="751"/>
              <w:rPr>
                <w:color w:val="auto"/>
                <w:sz w:val="16"/>
                <w:szCs w:val="18"/>
              </w:rPr>
            </w:pPr>
            <w:r>
              <w:rPr>
                <w:color w:val="auto"/>
                <w:sz w:val="16"/>
                <w:szCs w:val="18"/>
              </w:rPr>
              <w:t>7.8</w:t>
            </w:r>
          </w:p>
        </w:tc>
        <w:tc>
          <w:tcPr>
            <w:tcW w:w="299" w:type="pct"/>
            <w:tcBorders>
              <w:top w:val="single" w:color="auto" w:sz="4" w:space="0"/>
              <w:left w:val="single" w:color="auto" w:sz="4" w:space="0"/>
              <w:bottom w:val="single" w:color="auto" w:sz="4" w:space="0"/>
              <w:right w:val="single" w:color="auto" w:sz="4" w:space="0"/>
            </w:tcBorders>
            <w:vAlign w:val="center"/>
          </w:tcPr>
          <w:p w14:paraId="46BE70F1">
            <w:pPr>
              <w:pStyle w:val="751"/>
              <w:rPr>
                <w:color w:val="auto"/>
                <w:sz w:val="16"/>
                <w:szCs w:val="18"/>
              </w:rPr>
            </w:pPr>
            <w:r>
              <w:rPr>
                <w:color w:val="auto"/>
                <w:sz w:val="16"/>
                <w:szCs w:val="18"/>
              </w:rPr>
              <w:t>5.5</w:t>
            </w:r>
          </w:p>
        </w:tc>
        <w:tc>
          <w:tcPr>
            <w:tcW w:w="249" w:type="pct"/>
            <w:tcBorders>
              <w:top w:val="single" w:color="auto" w:sz="4" w:space="0"/>
              <w:left w:val="single" w:color="auto" w:sz="4" w:space="0"/>
              <w:bottom w:val="single" w:color="auto" w:sz="4" w:space="0"/>
              <w:right w:val="single" w:color="auto" w:sz="4" w:space="0"/>
            </w:tcBorders>
            <w:vAlign w:val="center"/>
          </w:tcPr>
          <w:p w14:paraId="487653F0">
            <w:pPr>
              <w:pStyle w:val="751"/>
              <w:rPr>
                <w:color w:val="auto"/>
                <w:sz w:val="16"/>
                <w:szCs w:val="18"/>
              </w:rPr>
            </w:pPr>
            <w:r>
              <w:rPr>
                <w:color w:val="auto"/>
                <w:sz w:val="16"/>
                <w:szCs w:val="18"/>
              </w:rPr>
              <w:t>5.7</w:t>
            </w:r>
          </w:p>
        </w:tc>
        <w:tc>
          <w:tcPr>
            <w:tcW w:w="333" w:type="pct"/>
            <w:tcBorders>
              <w:top w:val="single" w:color="auto" w:sz="4" w:space="0"/>
              <w:left w:val="single" w:color="auto" w:sz="4" w:space="0"/>
              <w:bottom w:val="single" w:color="auto" w:sz="4" w:space="0"/>
              <w:right w:val="single" w:color="auto" w:sz="4" w:space="0"/>
            </w:tcBorders>
            <w:vAlign w:val="center"/>
          </w:tcPr>
          <w:p w14:paraId="4AB074CF">
            <w:pPr>
              <w:pStyle w:val="751"/>
              <w:rPr>
                <w:color w:val="auto"/>
                <w:sz w:val="16"/>
                <w:szCs w:val="18"/>
              </w:rPr>
            </w:pPr>
            <w:r>
              <w:rPr>
                <w:color w:val="auto"/>
                <w:sz w:val="16"/>
                <w:szCs w:val="18"/>
              </w:rPr>
              <w:t>4.2</w:t>
            </w:r>
          </w:p>
        </w:tc>
        <w:tc>
          <w:tcPr>
            <w:tcW w:w="227" w:type="pct"/>
            <w:tcBorders>
              <w:top w:val="single" w:color="auto" w:sz="4" w:space="0"/>
              <w:left w:val="single" w:color="auto" w:sz="4" w:space="0"/>
              <w:bottom w:val="single" w:color="auto" w:sz="4" w:space="0"/>
              <w:right w:val="single" w:color="auto" w:sz="4" w:space="0"/>
            </w:tcBorders>
            <w:vAlign w:val="center"/>
          </w:tcPr>
          <w:p w14:paraId="41E44AA7">
            <w:pPr>
              <w:pStyle w:val="751"/>
              <w:rPr>
                <w:color w:val="auto"/>
                <w:sz w:val="16"/>
                <w:szCs w:val="18"/>
              </w:rPr>
            </w:pPr>
            <w:r>
              <w:rPr>
                <w:color w:val="auto"/>
                <w:sz w:val="16"/>
                <w:szCs w:val="18"/>
              </w:rPr>
              <w:t>6.1</w:t>
            </w:r>
          </w:p>
        </w:tc>
        <w:tc>
          <w:tcPr>
            <w:tcW w:w="348" w:type="pct"/>
            <w:tcBorders>
              <w:top w:val="single" w:color="auto" w:sz="4" w:space="0"/>
              <w:left w:val="single" w:color="auto" w:sz="4" w:space="0"/>
              <w:bottom w:val="single" w:color="auto" w:sz="4" w:space="0"/>
              <w:right w:val="single" w:color="auto" w:sz="4" w:space="0"/>
            </w:tcBorders>
            <w:vAlign w:val="center"/>
          </w:tcPr>
          <w:p w14:paraId="5C185ADA">
            <w:pPr>
              <w:pStyle w:val="751"/>
              <w:rPr>
                <w:color w:val="auto"/>
                <w:sz w:val="16"/>
                <w:szCs w:val="18"/>
              </w:rPr>
            </w:pPr>
            <w:r>
              <w:rPr>
                <w:color w:val="auto"/>
                <w:sz w:val="16"/>
                <w:szCs w:val="18"/>
              </w:rPr>
              <w:t>7.4</w:t>
            </w:r>
          </w:p>
        </w:tc>
        <w:tc>
          <w:tcPr>
            <w:tcW w:w="264" w:type="pct"/>
            <w:tcBorders>
              <w:top w:val="single" w:color="auto" w:sz="4" w:space="0"/>
              <w:left w:val="single" w:color="auto" w:sz="4" w:space="0"/>
              <w:bottom w:val="single" w:color="auto" w:sz="4" w:space="0"/>
              <w:right w:val="single" w:color="auto" w:sz="4" w:space="0"/>
            </w:tcBorders>
            <w:vAlign w:val="center"/>
          </w:tcPr>
          <w:p w14:paraId="4D1AA38B">
            <w:pPr>
              <w:pStyle w:val="751"/>
              <w:rPr>
                <w:color w:val="auto"/>
                <w:sz w:val="16"/>
                <w:szCs w:val="18"/>
              </w:rPr>
            </w:pPr>
            <w:r>
              <w:rPr>
                <w:color w:val="auto"/>
                <w:sz w:val="16"/>
                <w:szCs w:val="18"/>
              </w:rPr>
              <w:t>7.2</w:t>
            </w:r>
          </w:p>
        </w:tc>
        <w:tc>
          <w:tcPr>
            <w:tcW w:w="328" w:type="pct"/>
            <w:tcBorders>
              <w:top w:val="single" w:color="auto" w:sz="4" w:space="0"/>
              <w:left w:val="single" w:color="auto" w:sz="4" w:space="0"/>
              <w:bottom w:val="single" w:color="auto" w:sz="4" w:space="0"/>
              <w:right w:val="single" w:color="auto" w:sz="4" w:space="0"/>
            </w:tcBorders>
            <w:vAlign w:val="center"/>
          </w:tcPr>
          <w:p w14:paraId="5E9D4461">
            <w:pPr>
              <w:pStyle w:val="751"/>
              <w:rPr>
                <w:color w:val="auto"/>
                <w:sz w:val="16"/>
                <w:szCs w:val="18"/>
              </w:rPr>
            </w:pPr>
            <w:r>
              <w:rPr>
                <w:color w:val="auto"/>
                <w:sz w:val="16"/>
                <w:szCs w:val="18"/>
              </w:rPr>
              <w:t>5.7</w:t>
            </w:r>
          </w:p>
        </w:tc>
        <w:tc>
          <w:tcPr>
            <w:tcW w:w="271" w:type="pct"/>
            <w:tcBorders>
              <w:top w:val="single" w:color="auto" w:sz="4" w:space="0"/>
              <w:left w:val="single" w:color="auto" w:sz="4" w:space="0"/>
              <w:bottom w:val="single" w:color="auto" w:sz="4" w:space="0"/>
              <w:right w:val="single" w:color="auto" w:sz="4" w:space="0"/>
            </w:tcBorders>
            <w:vAlign w:val="center"/>
          </w:tcPr>
          <w:p w14:paraId="53CC7EFC">
            <w:pPr>
              <w:pStyle w:val="751"/>
              <w:rPr>
                <w:color w:val="auto"/>
                <w:sz w:val="16"/>
                <w:szCs w:val="18"/>
              </w:rPr>
            </w:pPr>
            <w:r>
              <w:rPr>
                <w:color w:val="auto"/>
                <w:sz w:val="16"/>
                <w:szCs w:val="18"/>
              </w:rPr>
              <w:t>11.1</w:t>
            </w:r>
          </w:p>
        </w:tc>
      </w:tr>
      <w:tr w14:paraId="266A9898">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1ECEBB23">
            <w:pPr>
              <w:pStyle w:val="751"/>
              <w:rPr>
                <w:color w:val="auto"/>
                <w:sz w:val="16"/>
                <w:szCs w:val="18"/>
              </w:rPr>
            </w:pPr>
            <w:r>
              <w:rPr>
                <w:color w:val="auto"/>
                <w:sz w:val="16"/>
                <w:szCs w:val="18"/>
              </w:rPr>
              <w:t>五月</w:t>
            </w:r>
          </w:p>
        </w:tc>
        <w:tc>
          <w:tcPr>
            <w:tcW w:w="227" w:type="pct"/>
            <w:tcBorders>
              <w:top w:val="single" w:color="auto" w:sz="4" w:space="0"/>
              <w:left w:val="single" w:color="auto" w:sz="4" w:space="0"/>
              <w:bottom w:val="single" w:color="auto" w:sz="4" w:space="0"/>
              <w:right w:val="single" w:color="auto" w:sz="4" w:space="0"/>
            </w:tcBorders>
            <w:vAlign w:val="center"/>
          </w:tcPr>
          <w:p w14:paraId="5B09158C">
            <w:pPr>
              <w:pStyle w:val="751"/>
              <w:rPr>
                <w:color w:val="auto"/>
                <w:sz w:val="16"/>
                <w:szCs w:val="18"/>
              </w:rPr>
            </w:pPr>
            <w:r>
              <w:rPr>
                <w:color w:val="auto"/>
                <w:sz w:val="16"/>
                <w:szCs w:val="18"/>
              </w:rPr>
              <w:t>3.7</w:t>
            </w:r>
          </w:p>
        </w:tc>
        <w:tc>
          <w:tcPr>
            <w:tcW w:w="298" w:type="pct"/>
            <w:tcBorders>
              <w:top w:val="single" w:color="auto" w:sz="4" w:space="0"/>
              <w:left w:val="single" w:color="auto" w:sz="4" w:space="0"/>
              <w:bottom w:val="single" w:color="auto" w:sz="4" w:space="0"/>
              <w:right w:val="single" w:color="auto" w:sz="4" w:space="0"/>
            </w:tcBorders>
            <w:vAlign w:val="center"/>
          </w:tcPr>
          <w:p w14:paraId="15EA63F6">
            <w:pPr>
              <w:pStyle w:val="751"/>
              <w:rPr>
                <w:color w:val="auto"/>
                <w:sz w:val="16"/>
                <w:szCs w:val="18"/>
              </w:rPr>
            </w:pPr>
            <w:r>
              <w:rPr>
                <w:color w:val="auto"/>
                <w:sz w:val="16"/>
                <w:szCs w:val="18"/>
              </w:rPr>
              <w:t>3.0</w:t>
            </w:r>
          </w:p>
        </w:tc>
        <w:tc>
          <w:tcPr>
            <w:tcW w:w="271" w:type="pct"/>
            <w:tcBorders>
              <w:top w:val="single" w:color="auto" w:sz="4" w:space="0"/>
              <w:left w:val="single" w:color="auto" w:sz="4" w:space="0"/>
              <w:bottom w:val="single" w:color="auto" w:sz="4" w:space="0"/>
              <w:right w:val="single" w:color="auto" w:sz="4" w:space="0"/>
            </w:tcBorders>
            <w:vAlign w:val="center"/>
          </w:tcPr>
          <w:p w14:paraId="5B00C160">
            <w:pPr>
              <w:pStyle w:val="751"/>
              <w:rPr>
                <w:color w:val="auto"/>
                <w:sz w:val="16"/>
                <w:szCs w:val="18"/>
              </w:rPr>
            </w:pPr>
            <w:r>
              <w:rPr>
                <w:color w:val="auto"/>
                <w:sz w:val="16"/>
                <w:szCs w:val="18"/>
              </w:rPr>
              <w:t>2.9</w:t>
            </w:r>
          </w:p>
        </w:tc>
        <w:tc>
          <w:tcPr>
            <w:tcW w:w="289" w:type="pct"/>
            <w:tcBorders>
              <w:top w:val="single" w:color="auto" w:sz="4" w:space="0"/>
              <w:left w:val="single" w:color="auto" w:sz="4" w:space="0"/>
              <w:bottom w:val="single" w:color="auto" w:sz="4" w:space="0"/>
              <w:right w:val="single" w:color="auto" w:sz="4" w:space="0"/>
            </w:tcBorders>
            <w:vAlign w:val="center"/>
          </w:tcPr>
          <w:p w14:paraId="3BBA9FB0">
            <w:pPr>
              <w:pStyle w:val="751"/>
              <w:rPr>
                <w:color w:val="auto"/>
                <w:sz w:val="16"/>
                <w:szCs w:val="18"/>
              </w:rPr>
            </w:pPr>
            <w:r>
              <w:rPr>
                <w:color w:val="auto"/>
                <w:sz w:val="16"/>
                <w:szCs w:val="18"/>
              </w:rPr>
              <w:t>2.6</w:t>
            </w:r>
          </w:p>
        </w:tc>
        <w:tc>
          <w:tcPr>
            <w:tcW w:w="227" w:type="pct"/>
            <w:tcBorders>
              <w:top w:val="single" w:color="auto" w:sz="4" w:space="0"/>
              <w:left w:val="single" w:color="auto" w:sz="4" w:space="0"/>
              <w:bottom w:val="single" w:color="auto" w:sz="4" w:space="0"/>
              <w:right w:val="single" w:color="auto" w:sz="4" w:space="0"/>
            </w:tcBorders>
            <w:vAlign w:val="center"/>
          </w:tcPr>
          <w:p w14:paraId="320BFEA6">
            <w:pPr>
              <w:pStyle w:val="751"/>
              <w:rPr>
                <w:color w:val="auto"/>
                <w:sz w:val="16"/>
                <w:szCs w:val="18"/>
              </w:rPr>
            </w:pPr>
            <w:r>
              <w:rPr>
                <w:color w:val="auto"/>
                <w:sz w:val="16"/>
                <w:szCs w:val="18"/>
              </w:rPr>
              <w:t>3.0</w:t>
            </w:r>
          </w:p>
        </w:tc>
        <w:tc>
          <w:tcPr>
            <w:tcW w:w="275" w:type="pct"/>
            <w:tcBorders>
              <w:top w:val="single" w:color="auto" w:sz="4" w:space="0"/>
              <w:left w:val="single" w:color="auto" w:sz="4" w:space="0"/>
              <w:bottom w:val="single" w:color="auto" w:sz="4" w:space="0"/>
              <w:right w:val="single" w:color="auto" w:sz="4" w:space="0"/>
            </w:tcBorders>
            <w:vAlign w:val="center"/>
          </w:tcPr>
          <w:p w14:paraId="2C267F64">
            <w:pPr>
              <w:pStyle w:val="751"/>
              <w:rPr>
                <w:color w:val="auto"/>
                <w:sz w:val="16"/>
                <w:szCs w:val="18"/>
              </w:rPr>
            </w:pPr>
            <w:r>
              <w:rPr>
                <w:color w:val="auto"/>
                <w:sz w:val="16"/>
                <w:szCs w:val="18"/>
              </w:rPr>
              <w:t>4.9</w:t>
            </w:r>
          </w:p>
        </w:tc>
        <w:tc>
          <w:tcPr>
            <w:tcW w:w="271" w:type="pct"/>
            <w:tcBorders>
              <w:top w:val="single" w:color="auto" w:sz="4" w:space="0"/>
              <w:left w:val="single" w:color="auto" w:sz="4" w:space="0"/>
              <w:bottom w:val="single" w:color="auto" w:sz="4" w:space="0"/>
              <w:right w:val="single" w:color="auto" w:sz="4" w:space="0"/>
            </w:tcBorders>
            <w:vAlign w:val="center"/>
          </w:tcPr>
          <w:p w14:paraId="1C655520">
            <w:pPr>
              <w:pStyle w:val="751"/>
              <w:rPr>
                <w:color w:val="auto"/>
                <w:sz w:val="16"/>
                <w:szCs w:val="18"/>
              </w:rPr>
            </w:pPr>
            <w:r>
              <w:rPr>
                <w:color w:val="auto"/>
                <w:sz w:val="16"/>
                <w:szCs w:val="18"/>
              </w:rPr>
              <w:t>7.5</w:t>
            </w:r>
          </w:p>
        </w:tc>
        <w:tc>
          <w:tcPr>
            <w:tcW w:w="271" w:type="pct"/>
            <w:tcBorders>
              <w:top w:val="single" w:color="auto" w:sz="4" w:space="0"/>
              <w:left w:val="single" w:color="auto" w:sz="4" w:space="0"/>
              <w:bottom w:val="single" w:color="auto" w:sz="4" w:space="0"/>
              <w:right w:val="single" w:color="auto" w:sz="4" w:space="0"/>
            </w:tcBorders>
            <w:vAlign w:val="center"/>
          </w:tcPr>
          <w:p w14:paraId="2EE5159D">
            <w:pPr>
              <w:pStyle w:val="751"/>
              <w:rPr>
                <w:color w:val="auto"/>
                <w:sz w:val="16"/>
                <w:szCs w:val="18"/>
              </w:rPr>
            </w:pPr>
            <w:r>
              <w:rPr>
                <w:color w:val="auto"/>
                <w:sz w:val="16"/>
                <w:szCs w:val="18"/>
              </w:rPr>
              <w:t>14.0</w:t>
            </w:r>
          </w:p>
        </w:tc>
        <w:tc>
          <w:tcPr>
            <w:tcW w:w="271" w:type="pct"/>
            <w:tcBorders>
              <w:top w:val="single" w:color="auto" w:sz="4" w:space="0"/>
              <w:left w:val="single" w:color="auto" w:sz="4" w:space="0"/>
              <w:bottom w:val="single" w:color="auto" w:sz="4" w:space="0"/>
              <w:right w:val="single" w:color="auto" w:sz="4" w:space="0"/>
            </w:tcBorders>
            <w:vAlign w:val="center"/>
          </w:tcPr>
          <w:p w14:paraId="3CED8263">
            <w:pPr>
              <w:pStyle w:val="751"/>
              <w:rPr>
                <w:color w:val="auto"/>
                <w:sz w:val="16"/>
                <w:szCs w:val="18"/>
              </w:rPr>
            </w:pPr>
            <w:r>
              <w:rPr>
                <w:color w:val="auto"/>
                <w:sz w:val="16"/>
                <w:szCs w:val="18"/>
              </w:rPr>
              <w:t>8.9</w:t>
            </w:r>
          </w:p>
        </w:tc>
        <w:tc>
          <w:tcPr>
            <w:tcW w:w="299" w:type="pct"/>
            <w:tcBorders>
              <w:top w:val="single" w:color="auto" w:sz="4" w:space="0"/>
              <w:left w:val="single" w:color="auto" w:sz="4" w:space="0"/>
              <w:bottom w:val="single" w:color="auto" w:sz="4" w:space="0"/>
              <w:right w:val="single" w:color="auto" w:sz="4" w:space="0"/>
            </w:tcBorders>
            <w:vAlign w:val="center"/>
          </w:tcPr>
          <w:p w14:paraId="14D973F9">
            <w:pPr>
              <w:pStyle w:val="751"/>
              <w:rPr>
                <w:color w:val="auto"/>
                <w:sz w:val="16"/>
                <w:szCs w:val="18"/>
              </w:rPr>
            </w:pPr>
            <w:r>
              <w:rPr>
                <w:color w:val="auto"/>
                <w:sz w:val="16"/>
                <w:szCs w:val="18"/>
              </w:rPr>
              <w:t>5.9</w:t>
            </w:r>
          </w:p>
        </w:tc>
        <w:tc>
          <w:tcPr>
            <w:tcW w:w="249" w:type="pct"/>
            <w:tcBorders>
              <w:top w:val="single" w:color="auto" w:sz="4" w:space="0"/>
              <w:left w:val="single" w:color="auto" w:sz="4" w:space="0"/>
              <w:bottom w:val="single" w:color="auto" w:sz="4" w:space="0"/>
              <w:right w:val="single" w:color="auto" w:sz="4" w:space="0"/>
            </w:tcBorders>
            <w:vAlign w:val="center"/>
          </w:tcPr>
          <w:p w14:paraId="4F50F0CD">
            <w:pPr>
              <w:pStyle w:val="751"/>
              <w:rPr>
                <w:color w:val="auto"/>
                <w:sz w:val="16"/>
                <w:szCs w:val="18"/>
              </w:rPr>
            </w:pPr>
            <w:r>
              <w:rPr>
                <w:color w:val="auto"/>
                <w:sz w:val="16"/>
                <w:szCs w:val="18"/>
              </w:rPr>
              <w:t>5.1</w:t>
            </w:r>
          </w:p>
        </w:tc>
        <w:tc>
          <w:tcPr>
            <w:tcW w:w="333" w:type="pct"/>
            <w:tcBorders>
              <w:top w:val="single" w:color="auto" w:sz="4" w:space="0"/>
              <w:left w:val="single" w:color="auto" w:sz="4" w:space="0"/>
              <w:bottom w:val="single" w:color="auto" w:sz="4" w:space="0"/>
              <w:right w:val="single" w:color="auto" w:sz="4" w:space="0"/>
            </w:tcBorders>
            <w:vAlign w:val="center"/>
          </w:tcPr>
          <w:p w14:paraId="615E3C30">
            <w:pPr>
              <w:pStyle w:val="751"/>
              <w:rPr>
                <w:color w:val="auto"/>
                <w:sz w:val="16"/>
                <w:szCs w:val="18"/>
              </w:rPr>
            </w:pPr>
            <w:r>
              <w:rPr>
                <w:color w:val="auto"/>
                <w:sz w:val="16"/>
                <w:szCs w:val="18"/>
              </w:rPr>
              <w:t>3.8</w:t>
            </w:r>
          </w:p>
        </w:tc>
        <w:tc>
          <w:tcPr>
            <w:tcW w:w="227" w:type="pct"/>
            <w:tcBorders>
              <w:top w:val="single" w:color="auto" w:sz="4" w:space="0"/>
              <w:left w:val="single" w:color="auto" w:sz="4" w:space="0"/>
              <w:bottom w:val="single" w:color="auto" w:sz="4" w:space="0"/>
              <w:right w:val="single" w:color="auto" w:sz="4" w:space="0"/>
            </w:tcBorders>
            <w:vAlign w:val="center"/>
          </w:tcPr>
          <w:p w14:paraId="3A9F0954">
            <w:pPr>
              <w:pStyle w:val="751"/>
              <w:rPr>
                <w:color w:val="auto"/>
                <w:sz w:val="16"/>
                <w:szCs w:val="18"/>
              </w:rPr>
            </w:pPr>
            <w:r>
              <w:rPr>
                <w:color w:val="auto"/>
                <w:sz w:val="16"/>
                <w:szCs w:val="18"/>
              </w:rPr>
              <w:t>5.7</w:t>
            </w:r>
          </w:p>
        </w:tc>
        <w:tc>
          <w:tcPr>
            <w:tcW w:w="348" w:type="pct"/>
            <w:tcBorders>
              <w:top w:val="single" w:color="auto" w:sz="4" w:space="0"/>
              <w:left w:val="single" w:color="auto" w:sz="4" w:space="0"/>
              <w:bottom w:val="single" w:color="auto" w:sz="4" w:space="0"/>
              <w:right w:val="single" w:color="auto" w:sz="4" w:space="0"/>
            </w:tcBorders>
            <w:vAlign w:val="center"/>
          </w:tcPr>
          <w:p w14:paraId="52113E63">
            <w:pPr>
              <w:pStyle w:val="751"/>
              <w:rPr>
                <w:color w:val="auto"/>
                <w:sz w:val="16"/>
                <w:szCs w:val="18"/>
              </w:rPr>
            </w:pPr>
            <w:r>
              <w:rPr>
                <w:color w:val="auto"/>
                <w:sz w:val="16"/>
                <w:szCs w:val="18"/>
              </w:rPr>
              <w:t>5.9</w:t>
            </w:r>
          </w:p>
        </w:tc>
        <w:tc>
          <w:tcPr>
            <w:tcW w:w="264" w:type="pct"/>
            <w:tcBorders>
              <w:top w:val="single" w:color="auto" w:sz="4" w:space="0"/>
              <w:left w:val="single" w:color="auto" w:sz="4" w:space="0"/>
              <w:bottom w:val="single" w:color="auto" w:sz="4" w:space="0"/>
              <w:right w:val="single" w:color="auto" w:sz="4" w:space="0"/>
            </w:tcBorders>
            <w:vAlign w:val="center"/>
          </w:tcPr>
          <w:p w14:paraId="404773BE">
            <w:pPr>
              <w:pStyle w:val="751"/>
              <w:rPr>
                <w:color w:val="auto"/>
                <w:sz w:val="16"/>
                <w:szCs w:val="18"/>
              </w:rPr>
            </w:pPr>
            <w:r>
              <w:rPr>
                <w:color w:val="auto"/>
                <w:sz w:val="16"/>
                <w:szCs w:val="18"/>
              </w:rPr>
              <w:t>6.2</w:t>
            </w:r>
          </w:p>
        </w:tc>
        <w:tc>
          <w:tcPr>
            <w:tcW w:w="328" w:type="pct"/>
            <w:tcBorders>
              <w:top w:val="single" w:color="auto" w:sz="4" w:space="0"/>
              <w:left w:val="single" w:color="auto" w:sz="4" w:space="0"/>
              <w:bottom w:val="single" w:color="auto" w:sz="4" w:space="0"/>
              <w:right w:val="single" w:color="auto" w:sz="4" w:space="0"/>
            </w:tcBorders>
            <w:vAlign w:val="center"/>
          </w:tcPr>
          <w:p w14:paraId="0A8476EC">
            <w:pPr>
              <w:pStyle w:val="751"/>
              <w:rPr>
                <w:color w:val="auto"/>
                <w:sz w:val="16"/>
                <w:szCs w:val="18"/>
              </w:rPr>
            </w:pPr>
            <w:r>
              <w:rPr>
                <w:color w:val="auto"/>
                <w:sz w:val="16"/>
                <w:szCs w:val="18"/>
              </w:rPr>
              <w:t>5.9</w:t>
            </w:r>
          </w:p>
        </w:tc>
        <w:tc>
          <w:tcPr>
            <w:tcW w:w="271" w:type="pct"/>
            <w:tcBorders>
              <w:top w:val="single" w:color="auto" w:sz="4" w:space="0"/>
              <w:left w:val="single" w:color="auto" w:sz="4" w:space="0"/>
              <w:bottom w:val="single" w:color="auto" w:sz="4" w:space="0"/>
              <w:right w:val="single" w:color="auto" w:sz="4" w:space="0"/>
            </w:tcBorders>
            <w:vAlign w:val="center"/>
          </w:tcPr>
          <w:p w14:paraId="0B2F5EF6">
            <w:pPr>
              <w:pStyle w:val="751"/>
              <w:rPr>
                <w:color w:val="auto"/>
                <w:sz w:val="16"/>
                <w:szCs w:val="18"/>
              </w:rPr>
            </w:pPr>
            <w:r>
              <w:rPr>
                <w:color w:val="auto"/>
                <w:sz w:val="16"/>
                <w:szCs w:val="18"/>
              </w:rPr>
              <w:t>10.5</w:t>
            </w:r>
          </w:p>
        </w:tc>
      </w:tr>
      <w:tr w14:paraId="6550EA3C">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5EC7395A">
            <w:pPr>
              <w:pStyle w:val="751"/>
              <w:rPr>
                <w:color w:val="auto"/>
                <w:sz w:val="16"/>
                <w:szCs w:val="18"/>
              </w:rPr>
            </w:pPr>
            <w:r>
              <w:rPr>
                <w:color w:val="auto"/>
                <w:sz w:val="16"/>
                <w:szCs w:val="18"/>
              </w:rPr>
              <w:t>六月</w:t>
            </w:r>
          </w:p>
        </w:tc>
        <w:tc>
          <w:tcPr>
            <w:tcW w:w="227" w:type="pct"/>
            <w:tcBorders>
              <w:top w:val="single" w:color="auto" w:sz="4" w:space="0"/>
              <w:left w:val="single" w:color="auto" w:sz="4" w:space="0"/>
              <w:bottom w:val="single" w:color="auto" w:sz="4" w:space="0"/>
              <w:right w:val="single" w:color="auto" w:sz="4" w:space="0"/>
            </w:tcBorders>
            <w:vAlign w:val="center"/>
          </w:tcPr>
          <w:p w14:paraId="6E86D5EA">
            <w:pPr>
              <w:pStyle w:val="751"/>
              <w:rPr>
                <w:color w:val="auto"/>
                <w:sz w:val="16"/>
                <w:szCs w:val="18"/>
              </w:rPr>
            </w:pPr>
            <w:r>
              <w:rPr>
                <w:color w:val="auto"/>
                <w:sz w:val="16"/>
                <w:szCs w:val="18"/>
              </w:rPr>
              <w:t>3.8</w:t>
            </w:r>
          </w:p>
        </w:tc>
        <w:tc>
          <w:tcPr>
            <w:tcW w:w="298" w:type="pct"/>
            <w:tcBorders>
              <w:top w:val="single" w:color="auto" w:sz="4" w:space="0"/>
              <w:left w:val="single" w:color="auto" w:sz="4" w:space="0"/>
              <w:bottom w:val="single" w:color="auto" w:sz="4" w:space="0"/>
              <w:right w:val="single" w:color="auto" w:sz="4" w:space="0"/>
            </w:tcBorders>
            <w:vAlign w:val="center"/>
          </w:tcPr>
          <w:p w14:paraId="3D3A5B26">
            <w:pPr>
              <w:pStyle w:val="751"/>
              <w:rPr>
                <w:color w:val="auto"/>
                <w:sz w:val="16"/>
                <w:szCs w:val="18"/>
              </w:rPr>
            </w:pPr>
            <w:r>
              <w:rPr>
                <w:color w:val="auto"/>
                <w:sz w:val="16"/>
                <w:szCs w:val="18"/>
              </w:rPr>
              <w:t>3.2</w:t>
            </w:r>
          </w:p>
        </w:tc>
        <w:tc>
          <w:tcPr>
            <w:tcW w:w="271" w:type="pct"/>
            <w:tcBorders>
              <w:top w:val="single" w:color="auto" w:sz="4" w:space="0"/>
              <w:left w:val="single" w:color="auto" w:sz="4" w:space="0"/>
              <w:bottom w:val="single" w:color="auto" w:sz="4" w:space="0"/>
              <w:right w:val="single" w:color="auto" w:sz="4" w:space="0"/>
            </w:tcBorders>
            <w:vAlign w:val="center"/>
          </w:tcPr>
          <w:p w14:paraId="68919EE7">
            <w:pPr>
              <w:pStyle w:val="751"/>
              <w:rPr>
                <w:color w:val="auto"/>
                <w:sz w:val="16"/>
                <w:szCs w:val="18"/>
              </w:rPr>
            </w:pPr>
            <w:r>
              <w:rPr>
                <w:color w:val="auto"/>
                <w:sz w:val="16"/>
                <w:szCs w:val="18"/>
              </w:rPr>
              <w:t>3.1</w:t>
            </w:r>
          </w:p>
        </w:tc>
        <w:tc>
          <w:tcPr>
            <w:tcW w:w="289" w:type="pct"/>
            <w:tcBorders>
              <w:top w:val="single" w:color="auto" w:sz="4" w:space="0"/>
              <w:left w:val="single" w:color="auto" w:sz="4" w:space="0"/>
              <w:bottom w:val="single" w:color="auto" w:sz="4" w:space="0"/>
              <w:right w:val="single" w:color="auto" w:sz="4" w:space="0"/>
            </w:tcBorders>
            <w:vAlign w:val="center"/>
          </w:tcPr>
          <w:p w14:paraId="5677EC5D">
            <w:pPr>
              <w:pStyle w:val="751"/>
              <w:rPr>
                <w:color w:val="auto"/>
                <w:sz w:val="16"/>
                <w:szCs w:val="18"/>
              </w:rPr>
            </w:pPr>
            <w:r>
              <w:rPr>
                <w:color w:val="auto"/>
                <w:sz w:val="16"/>
                <w:szCs w:val="18"/>
              </w:rPr>
              <w:t>2.8</w:t>
            </w:r>
          </w:p>
        </w:tc>
        <w:tc>
          <w:tcPr>
            <w:tcW w:w="227" w:type="pct"/>
            <w:tcBorders>
              <w:top w:val="single" w:color="auto" w:sz="4" w:space="0"/>
              <w:left w:val="single" w:color="auto" w:sz="4" w:space="0"/>
              <w:bottom w:val="single" w:color="auto" w:sz="4" w:space="0"/>
              <w:right w:val="single" w:color="auto" w:sz="4" w:space="0"/>
            </w:tcBorders>
            <w:vAlign w:val="center"/>
          </w:tcPr>
          <w:p w14:paraId="52C38A29">
            <w:pPr>
              <w:pStyle w:val="751"/>
              <w:rPr>
                <w:color w:val="auto"/>
                <w:sz w:val="16"/>
                <w:szCs w:val="18"/>
              </w:rPr>
            </w:pPr>
            <w:r>
              <w:rPr>
                <w:color w:val="auto"/>
                <w:sz w:val="16"/>
                <w:szCs w:val="18"/>
              </w:rPr>
              <w:t>3.6</w:t>
            </w:r>
          </w:p>
        </w:tc>
        <w:tc>
          <w:tcPr>
            <w:tcW w:w="275" w:type="pct"/>
            <w:tcBorders>
              <w:top w:val="single" w:color="auto" w:sz="4" w:space="0"/>
              <w:left w:val="single" w:color="auto" w:sz="4" w:space="0"/>
              <w:bottom w:val="single" w:color="auto" w:sz="4" w:space="0"/>
              <w:right w:val="single" w:color="auto" w:sz="4" w:space="0"/>
            </w:tcBorders>
            <w:vAlign w:val="center"/>
          </w:tcPr>
          <w:p w14:paraId="68D2FB49">
            <w:pPr>
              <w:pStyle w:val="751"/>
              <w:rPr>
                <w:color w:val="auto"/>
                <w:sz w:val="16"/>
                <w:szCs w:val="18"/>
              </w:rPr>
            </w:pPr>
            <w:r>
              <w:rPr>
                <w:color w:val="auto"/>
                <w:sz w:val="16"/>
                <w:szCs w:val="18"/>
              </w:rPr>
              <w:t>3.8</w:t>
            </w:r>
          </w:p>
        </w:tc>
        <w:tc>
          <w:tcPr>
            <w:tcW w:w="271" w:type="pct"/>
            <w:tcBorders>
              <w:top w:val="single" w:color="auto" w:sz="4" w:space="0"/>
              <w:left w:val="single" w:color="auto" w:sz="4" w:space="0"/>
              <w:bottom w:val="single" w:color="auto" w:sz="4" w:space="0"/>
              <w:right w:val="single" w:color="auto" w:sz="4" w:space="0"/>
            </w:tcBorders>
            <w:vAlign w:val="center"/>
          </w:tcPr>
          <w:p w14:paraId="7181313F">
            <w:pPr>
              <w:pStyle w:val="751"/>
              <w:rPr>
                <w:color w:val="auto"/>
                <w:sz w:val="16"/>
                <w:szCs w:val="18"/>
              </w:rPr>
            </w:pPr>
            <w:r>
              <w:rPr>
                <w:color w:val="auto"/>
                <w:sz w:val="16"/>
                <w:szCs w:val="18"/>
              </w:rPr>
              <w:t>9.2</w:t>
            </w:r>
          </w:p>
        </w:tc>
        <w:tc>
          <w:tcPr>
            <w:tcW w:w="271" w:type="pct"/>
            <w:tcBorders>
              <w:top w:val="single" w:color="auto" w:sz="4" w:space="0"/>
              <w:left w:val="single" w:color="auto" w:sz="4" w:space="0"/>
              <w:bottom w:val="single" w:color="auto" w:sz="4" w:space="0"/>
              <w:right w:val="single" w:color="auto" w:sz="4" w:space="0"/>
            </w:tcBorders>
            <w:vAlign w:val="center"/>
          </w:tcPr>
          <w:p w14:paraId="2C5F7312">
            <w:pPr>
              <w:pStyle w:val="751"/>
              <w:rPr>
                <w:color w:val="auto"/>
                <w:sz w:val="16"/>
                <w:szCs w:val="18"/>
              </w:rPr>
            </w:pPr>
            <w:r>
              <w:rPr>
                <w:color w:val="auto"/>
                <w:sz w:val="16"/>
                <w:szCs w:val="18"/>
              </w:rPr>
              <w:t>16.6</w:t>
            </w:r>
          </w:p>
        </w:tc>
        <w:tc>
          <w:tcPr>
            <w:tcW w:w="271" w:type="pct"/>
            <w:tcBorders>
              <w:top w:val="single" w:color="auto" w:sz="4" w:space="0"/>
              <w:left w:val="single" w:color="auto" w:sz="4" w:space="0"/>
              <w:bottom w:val="single" w:color="auto" w:sz="4" w:space="0"/>
              <w:right w:val="single" w:color="auto" w:sz="4" w:space="0"/>
            </w:tcBorders>
            <w:vAlign w:val="center"/>
          </w:tcPr>
          <w:p w14:paraId="66AC8618">
            <w:pPr>
              <w:pStyle w:val="751"/>
              <w:rPr>
                <w:color w:val="auto"/>
                <w:sz w:val="16"/>
                <w:szCs w:val="18"/>
              </w:rPr>
            </w:pPr>
            <w:r>
              <w:rPr>
                <w:color w:val="auto"/>
                <w:sz w:val="16"/>
                <w:szCs w:val="18"/>
              </w:rPr>
              <w:t>9.78</w:t>
            </w:r>
          </w:p>
        </w:tc>
        <w:tc>
          <w:tcPr>
            <w:tcW w:w="299" w:type="pct"/>
            <w:tcBorders>
              <w:top w:val="single" w:color="auto" w:sz="4" w:space="0"/>
              <w:left w:val="single" w:color="auto" w:sz="4" w:space="0"/>
              <w:bottom w:val="single" w:color="auto" w:sz="4" w:space="0"/>
              <w:right w:val="single" w:color="auto" w:sz="4" w:space="0"/>
            </w:tcBorders>
            <w:vAlign w:val="center"/>
          </w:tcPr>
          <w:p w14:paraId="7A64B357">
            <w:pPr>
              <w:pStyle w:val="751"/>
              <w:rPr>
                <w:color w:val="auto"/>
                <w:sz w:val="16"/>
                <w:szCs w:val="18"/>
              </w:rPr>
            </w:pPr>
            <w:r>
              <w:rPr>
                <w:color w:val="auto"/>
                <w:sz w:val="16"/>
                <w:szCs w:val="18"/>
              </w:rPr>
              <w:t>6.5</w:t>
            </w:r>
          </w:p>
        </w:tc>
        <w:tc>
          <w:tcPr>
            <w:tcW w:w="249" w:type="pct"/>
            <w:tcBorders>
              <w:top w:val="single" w:color="auto" w:sz="4" w:space="0"/>
              <w:left w:val="single" w:color="auto" w:sz="4" w:space="0"/>
              <w:bottom w:val="single" w:color="auto" w:sz="4" w:space="0"/>
              <w:right w:val="single" w:color="auto" w:sz="4" w:space="0"/>
            </w:tcBorders>
            <w:vAlign w:val="center"/>
          </w:tcPr>
          <w:p w14:paraId="2C58A587">
            <w:pPr>
              <w:pStyle w:val="751"/>
              <w:rPr>
                <w:color w:val="auto"/>
                <w:sz w:val="16"/>
                <w:szCs w:val="18"/>
              </w:rPr>
            </w:pPr>
            <w:r>
              <w:rPr>
                <w:color w:val="auto"/>
                <w:sz w:val="16"/>
                <w:szCs w:val="18"/>
              </w:rPr>
              <w:t>5.6</w:t>
            </w:r>
          </w:p>
        </w:tc>
        <w:tc>
          <w:tcPr>
            <w:tcW w:w="333" w:type="pct"/>
            <w:tcBorders>
              <w:top w:val="single" w:color="auto" w:sz="4" w:space="0"/>
              <w:left w:val="single" w:color="auto" w:sz="4" w:space="0"/>
              <w:bottom w:val="single" w:color="auto" w:sz="4" w:space="0"/>
              <w:right w:val="single" w:color="auto" w:sz="4" w:space="0"/>
            </w:tcBorders>
            <w:vAlign w:val="center"/>
          </w:tcPr>
          <w:p w14:paraId="7D987F0C">
            <w:pPr>
              <w:pStyle w:val="751"/>
              <w:rPr>
                <w:color w:val="auto"/>
                <w:sz w:val="16"/>
                <w:szCs w:val="18"/>
              </w:rPr>
            </w:pPr>
            <w:r>
              <w:rPr>
                <w:color w:val="auto"/>
                <w:sz w:val="16"/>
                <w:szCs w:val="18"/>
              </w:rPr>
              <w:t>3.9</w:t>
            </w:r>
          </w:p>
        </w:tc>
        <w:tc>
          <w:tcPr>
            <w:tcW w:w="227" w:type="pct"/>
            <w:tcBorders>
              <w:top w:val="single" w:color="auto" w:sz="4" w:space="0"/>
              <w:left w:val="single" w:color="auto" w:sz="4" w:space="0"/>
              <w:bottom w:val="single" w:color="auto" w:sz="4" w:space="0"/>
              <w:right w:val="single" w:color="auto" w:sz="4" w:space="0"/>
            </w:tcBorders>
            <w:vAlign w:val="center"/>
          </w:tcPr>
          <w:p w14:paraId="6C1211BA">
            <w:pPr>
              <w:pStyle w:val="751"/>
              <w:rPr>
                <w:color w:val="auto"/>
                <w:sz w:val="16"/>
                <w:szCs w:val="18"/>
              </w:rPr>
            </w:pPr>
            <w:r>
              <w:rPr>
                <w:color w:val="auto"/>
                <w:sz w:val="16"/>
                <w:szCs w:val="18"/>
              </w:rPr>
              <w:t>4.6</w:t>
            </w:r>
          </w:p>
        </w:tc>
        <w:tc>
          <w:tcPr>
            <w:tcW w:w="348" w:type="pct"/>
            <w:tcBorders>
              <w:top w:val="single" w:color="auto" w:sz="4" w:space="0"/>
              <w:left w:val="single" w:color="auto" w:sz="4" w:space="0"/>
              <w:bottom w:val="single" w:color="auto" w:sz="4" w:space="0"/>
              <w:right w:val="single" w:color="auto" w:sz="4" w:space="0"/>
            </w:tcBorders>
            <w:vAlign w:val="center"/>
          </w:tcPr>
          <w:p w14:paraId="18055A09">
            <w:pPr>
              <w:pStyle w:val="751"/>
              <w:rPr>
                <w:color w:val="auto"/>
                <w:sz w:val="16"/>
                <w:szCs w:val="18"/>
              </w:rPr>
            </w:pPr>
            <w:r>
              <w:rPr>
                <w:color w:val="auto"/>
                <w:sz w:val="16"/>
                <w:szCs w:val="18"/>
              </w:rPr>
              <w:t>4.9</w:t>
            </w:r>
          </w:p>
        </w:tc>
        <w:tc>
          <w:tcPr>
            <w:tcW w:w="264" w:type="pct"/>
            <w:tcBorders>
              <w:top w:val="single" w:color="auto" w:sz="4" w:space="0"/>
              <w:left w:val="single" w:color="auto" w:sz="4" w:space="0"/>
              <w:bottom w:val="single" w:color="auto" w:sz="4" w:space="0"/>
              <w:right w:val="single" w:color="auto" w:sz="4" w:space="0"/>
            </w:tcBorders>
            <w:vAlign w:val="center"/>
          </w:tcPr>
          <w:p w14:paraId="152B87ED">
            <w:pPr>
              <w:pStyle w:val="751"/>
              <w:rPr>
                <w:color w:val="auto"/>
                <w:sz w:val="16"/>
                <w:szCs w:val="18"/>
              </w:rPr>
            </w:pPr>
            <w:r>
              <w:rPr>
                <w:color w:val="auto"/>
                <w:sz w:val="16"/>
                <w:szCs w:val="18"/>
              </w:rPr>
              <w:t>5.7</w:t>
            </w:r>
          </w:p>
        </w:tc>
        <w:tc>
          <w:tcPr>
            <w:tcW w:w="328" w:type="pct"/>
            <w:tcBorders>
              <w:top w:val="single" w:color="auto" w:sz="4" w:space="0"/>
              <w:left w:val="single" w:color="auto" w:sz="4" w:space="0"/>
              <w:bottom w:val="single" w:color="auto" w:sz="4" w:space="0"/>
              <w:right w:val="single" w:color="auto" w:sz="4" w:space="0"/>
            </w:tcBorders>
            <w:vAlign w:val="center"/>
          </w:tcPr>
          <w:p w14:paraId="64276BC9">
            <w:pPr>
              <w:pStyle w:val="751"/>
              <w:rPr>
                <w:color w:val="auto"/>
                <w:sz w:val="16"/>
                <w:szCs w:val="18"/>
              </w:rPr>
            </w:pPr>
            <w:r>
              <w:rPr>
                <w:color w:val="auto"/>
                <w:sz w:val="16"/>
                <w:szCs w:val="18"/>
              </w:rPr>
              <w:t>4.6</w:t>
            </w:r>
          </w:p>
        </w:tc>
        <w:tc>
          <w:tcPr>
            <w:tcW w:w="271" w:type="pct"/>
            <w:tcBorders>
              <w:top w:val="single" w:color="auto" w:sz="4" w:space="0"/>
              <w:left w:val="single" w:color="auto" w:sz="4" w:space="0"/>
              <w:bottom w:val="single" w:color="auto" w:sz="4" w:space="0"/>
              <w:right w:val="single" w:color="auto" w:sz="4" w:space="0"/>
            </w:tcBorders>
            <w:vAlign w:val="center"/>
          </w:tcPr>
          <w:p w14:paraId="163BB1BC">
            <w:pPr>
              <w:pStyle w:val="751"/>
              <w:rPr>
                <w:color w:val="auto"/>
                <w:sz w:val="16"/>
                <w:szCs w:val="18"/>
              </w:rPr>
            </w:pPr>
            <w:r>
              <w:rPr>
                <w:color w:val="auto"/>
                <w:sz w:val="16"/>
                <w:szCs w:val="18"/>
              </w:rPr>
              <w:t>9.6</w:t>
            </w:r>
          </w:p>
        </w:tc>
      </w:tr>
      <w:tr w14:paraId="26F5FF1C">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6017982C">
            <w:pPr>
              <w:pStyle w:val="751"/>
              <w:rPr>
                <w:color w:val="auto"/>
                <w:sz w:val="16"/>
                <w:szCs w:val="18"/>
              </w:rPr>
            </w:pPr>
            <w:r>
              <w:rPr>
                <w:color w:val="auto"/>
                <w:sz w:val="16"/>
                <w:szCs w:val="18"/>
              </w:rPr>
              <w:t>七月</w:t>
            </w:r>
          </w:p>
        </w:tc>
        <w:tc>
          <w:tcPr>
            <w:tcW w:w="227" w:type="pct"/>
            <w:tcBorders>
              <w:top w:val="single" w:color="auto" w:sz="4" w:space="0"/>
              <w:left w:val="single" w:color="auto" w:sz="4" w:space="0"/>
              <w:bottom w:val="single" w:color="auto" w:sz="4" w:space="0"/>
              <w:right w:val="single" w:color="auto" w:sz="4" w:space="0"/>
            </w:tcBorders>
            <w:vAlign w:val="center"/>
          </w:tcPr>
          <w:p w14:paraId="74D8B7B5">
            <w:pPr>
              <w:pStyle w:val="751"/>
              <w:rPr>
                <w:color w:val="auto"/>
                <w:sz w:val="16"/>
                <w:szCs w:val="18"/>
              </w:rPr>
            </w:pPr>
            <w:r>
              <w:rPr>
                <w:color w:val="auto"/>
                <w:sz w:val="16"/>
                <w:szCs w:val="18"/>
              </w:rPr>
              <w:t>3.0</w:t>
            </w:r>
          </w:p>
        </w:tc>
        <w:tc>
          <w:tcPr>
            <w:tcW w:w="298" w:type="pct"/>
            <w:tcBorders>
              <w:top w:val="single" w:color="auto" w:sz="4" w:space="0"/>
              <w:left w:val="single" w:color="auto" w:sz="4" w:space="0"/>
              <w:bottom w:val="single" w:color="auto" w:sz="4" w:space="0"/>
              <w:right w:val="single" w:color="auto" w:sz="4" w:space="0"/>
            </w:tcBorders>
            <w:vAlign w:val="center"/>
          </w:tcPr>
          <w:p w14:paraId="3526837C">
            <w:pPr>
              <w:pStyle w:val="751"/>
              <w:rPr>
                <w:color w:val="auto"/>
                <w:sz w:val="16"/>
                <w:szCs w:val="18"/>
              </w:rPr>
            </w:pPr>
            <w:r>
              <w:rPr>
                <w:color w:val="auto"/>
                <w:sz w:val="16"/>
                <w:szCs w:val="18"/>
              </w:rPr>
              <w:t>2.8</w:t>
            </w:r>
          </w:p>
        </w:tc>
        <w:tc>
          <w:tcPr>
            <w:tcW w:w="271" w:type="pct"/>
            <w:tcBorders>
              <w:top w:val="single" w:color="auto" w:sz="4" w:space="0"/>
              <w:left w:val="single" w:color="auto" w:sz="4" w:space="0"/>
              <w:bottom w:val="single" w:color="auto" w:sz="4" w:space="0"/>
              <w:right w:val="single" w:color="auto" w:sz="4" w:space="0"/>
            </w:tcBorders>
            <w:vAlign w:val="center"/>
          </w:tcPr>
          <w:p w14:paraId="72B9C4C4">
            <w:pPr>
              <w:pStyle w:val="751"/>
              <w:rPr>
                <w:color w:val="auto"/>
                <w:sz w:val="16"/>
                <w:szCs w:val="18"/>
              </w:rPr>
            </w:pPr>
            <w:r>
              <w:rPr>
                <w:color w:val="auto"/>
                <w:sz w:val="16"/>
                <w:szCs w:val="18"/>
              </w:rPr>
              <w:t>2.5</w:t>
            </w:r>
          </w:p>
        </w:tc>
        <w:tc>
          <w:tcPr>
            <w:tcW w:w="289" w:type="pct"/>
            <w:tcBorders>
              <w:top w:val="single" w:color="auto" w:sz="4" w:space="0"/>
              <w:left w:val="single" w:color="auto" w:sz="4" w:space="0"/>
              <w:bottom w:val="single" w:color="auto" w:sz="4" w:space="0"/>
              <w:right w:val="single" w:color="auto" w:sz="4" w:space="0"/>
            </w:tcBorders>
            <w:vAlign w:val="center"/>
          </w:tcPr>
          <w:p w14:paraId="25196F63">
            <w:pPr>
              <w:pStyle w:val="751"/>
              <w:rPr>
                <w:color w:val="auto"/>
                <w:sz w:val="16"/>
                <w:szCs w:val="18"/>
              </w:rPr>
            </w:pPr>
            <w:r>
              <w:rPr>
                <w:color w:val="auto"/>
                <w:sz w:val="16"/>
                <w:szCs w:val="18"/>
              </w:rPr>
              <w:t>2.8</w:t>
            </w:r>
          </w:p>
        </w:tc>
        <w:tc>
          <w:tcPr>
            <w:tcW w:w="227" w:type="pct"/>
            <w:tcBorders>
              <w:top w:val="single" w:color="auto" w:sz="4" w:space="0"/>
              <w:left w:val="single" w:color="auto" w:sz="4" w:space="0"/>
              <w:bottom w:val="single" w:color="auto" w:sz="4" w:space="0"/>
              <w:right w:val="single" w:color="auto" w:sz="4" w:space="0"/>
            </w:tcBorders>
            <w:vAlign w:val="center"/>
          </w:tcPr>
          <w:p w14:paraId="5EC84BB3">
            <w:pPr>
              <w:pStyle w:val="751"/>
              <w:rPr>
                <w:color w:val="auto"/>
                <w:sz w:val="16"/>
                <w:szCs w:val="18"/>
              </w:rPr>
            </w:pPr>
            <w:r>
              <w:rPr>
                <w:color w:val="auto"/>
                <w:sz w:val="16"/>
                <w:szCs w:val="18"/>
              </w:rPr>
              <w:t>2.8</w:t>
            </w:r>
          </w:p>
        </w:tc>
        <w:tc>
          <w:tcPr>
            <w:tcW w:w="275" w:type="pct"/>
            <w:tcBorders>
              <w:top w:val="single" w:color="auto" w:sz="4" w:space="0"/>
              <w:left w:val="single" w:color="auto" w:sz="4" w:space="0"/>
              <w:bottom w:val="single" w:color="auto" w:sz="4" w:space="0"/>
              <w:right w:val="single" w:color="auto" w:sz="4" w:space="0"/>
            </w:tcBorders>
            <w:vAlign w:val="center"/>
          </w:tcPr>
          <w:p w14:paraId="76ED70BC">
            <w:pPr>
              <w:pStyle w:val="751"/>
              <w:rPr>
                <w:color w:val="auto"/>
                <w:sz w:val="16"/>
                <w:szCs w:val="18"/>
              </w:rPr>
            </w:pPr>
            <w:r>
              <w:rPr>
                <w:color w:val="auto"/>
                <w:sz w:val="16"/>
                <w:szCs w:val="18"/>
              </w:rPr>
              <w:t>5.0</w:t>
            </w:r>
          </w:p>
        </w:tc>
        <w:tc>
          <w:tcPr>
            <w:tcW w:w="271" w:type="pct"/>
            <w:tcBorders>
              <w:top w:val="single" w:color="auto" w:sz="4" w:space="0"/>
              <w:left w:val="single" w:color="auto" w:sz="4" w:space="0"/>
              <w:bottom w:val="single" w:color="auto" w:sz="4" w:space="0"/>
              <w:right w:val="single" w:color="auto" w:sz="4" w:space="0"/>
            </w:tcBorders>
            <w:vAlign w:val="center"/>
          </w:tcPr>
          <w:p w14:paraId="40F48D0A">
            <w:pPr>
              <w:pStyle w:val="751"/>
              <w:rPr>
                <w:color w:val="auto"/>
                <w:sz w:val="16"/>
                <w:szCs w:val="18"/>
              </w:rPr>
            </w:pPr>
            <w:r>
              <w:rPr>
                <w:color w:val="auto"/>
                <w:sz w:val="16"/>
                <w:szCs w:val="18"/>
              </w:rPr>
              <w:t>11.1</w:t>
            </w:r>
          </w:p>
        </w:tc>
        <w:tc>
          <w:tcPr>
            <w:tcW w:w="271" w:type="pct"/>
            <w:tcBorders>
              <w:top w:val="single" w:color="auto" w:sz="4" w:space="0"/>
              <w:left w:val="single" w:color="auto" w:sz="4" w:space="0"/>
              <w:bottom w:val="single" w:color="auto" w:sz="4" w:space="0"/>
              <w:right w:val="single" w:color="auto" w:sz="4" w:space="0"/>
            </w:tcBorders>
            <w:vAlign w:val="center"/>
          </w:tcPr>
          <w:p w14:paraId="18D4C9DF">
            <w:pPr>
              <w:pStyle w:val="751"/>
              <w:rPr>
                <w:color w:val="auto"/>
                <w:sz w:val="16"/>
                <w:szCs w:val="18"/>
              </w:rPr>
            </w:pPr>
            <w:r>
              <w:rPr>
                <w:color w:val="auto"/>
                <w:sz w:val="16"/>
                <w:szCs w:val="18"/>
              </w:rPr>
              <w:t>17.2</w:t>
            </w:r>
          </w:p>
        </w:tc>
        <w:tc>
          <w:tcPr>
            <w:tcW w:w="271" w:type="pct"/>
            <w:tcBorders>
              <w:top w:val="single" w:color="auto" w:sz="4" w:space="0"/>
              <w:left w:val="single" w:color="auto" w:sz="4" w:space="0"/>
              <w:bottom w:val="single" w:color="auto" w:sz="4" w:space="0"/>
              <w:right w:val="single" w:color="auto" w:sz="4" w:space="0"/>
            </w:tcBorders>
            <w:vAlign w:val="center"/>
          </w:tcPr>
          <w:p w14:paraId="228FC8B3">
            <w:pPr>
              <w:pStyle w:val="751"/>
              <w:rPr>
                <w:color w:val="auto"/>
                <w:sz w:val="16"/>
                <w:szCs w:val="18"/>
              </w:rPr>
            </w:pPr>
            <w:r>
              <w:rPr>
                <w:color w:val="auto"/>
                <w:sz w:val="16"/>
                <w:szCs w:val="18"/>
              </w:rPr>
              <w:t>9.1</w:t>
            </w:r>
          </w:p>
        </w:tc>
        <w:tc>
          <w:tcPr>
            <w:tcW w:w="299" w:type="pct"/>
            <w:tcBorders>
              <w:top w:val="single" w:color="auto" w:sz="4" w:space="0"/>
              <w:left w:val="single" w:color="auto" w:sz="4" w:space="0"/>
              <w:bottom w:val="single" w:color="auto" w:sz="4" w:space="0"/>
              <w:right w:val="single" w:color="auto" w:sz="4" w:space="0"/>
            </w:tcBorders>
            <w:vAlign w:val="center"/>
          </w:tcPr>
          <w:p w14:paraId="07755C20">
            <w:pPr>
              <w:pStyle w:val="751"/>
              <w:rPr>
                <w:color w:val="auto"/>
                <w:sz w:val="16"/>
                <w:szCs w:val="18"/>
              </w:rPr>
            </w:pPr>
            <w:r>
              <w:rPr>
                <w:color w:val="auto"/>
                <w:sz w:val="16"/>
                <w:szCs w:val="18"/>
              </w:rPr>
              <w:t>6.3</w:t>
            </w:r>
          </w:p>
        </w:tc>
        <w:tc>
          <w:tcPr>
            <w:tcW w:w="249" w:type="pct"/>
            <w:tcBorders>
              <w:top w:val="single" w:color="auto" w:sz="4" w:space="0"/>
              <w:left w:val="single" w:color="auto" w:sz="4" w:space="0"/>
              <w:bottom w:val="single" w:color="auto" w:sz="4" w:space="0"/>
              <w:right w:val="single" w:color="auto" w:sz="4" w:space="0"/>
            </w:tcBorders>
            <w:vAlign w:val="center"/>
          </w:tcPr>
          <w:p w14:paraId="0DC9E801">
            <w:pPr>
              <w:pStyle w:val="751"/>
              <w:rPr>
                <w:color w:val="auto"/>
                <w:sz w:val="16"/>
                <w:szCs w:val="18"/>
              </w:rPr>
            </w:pPr>
            <w:r>
              <w:rPr>
                <w:color w:val="auto"/>
                <w:sz w:val="16"/>
                <w:szCs w:val="18"/>
              </w:rPr>
              <w:t>5.1</w:t>
            </w:r>
          </w:p>
        </w:tc>
        <w:tc>
          <w:tcPr>
            <w:tcW w:w="333" w:type="pct"/>
            <w:tcBorders>
              <w:top w:val="single" w:color="auto" w:sz="4" w:space="0"/>
              <w:left w:val="single" w:color="auto" w:sz="4" w:space="0"/>
              <w:bottom w:val="single" w:color="auto" w:sz="4" w:space="0"/>
              <w:right w:val="single" w:color="auto" w:sz="4" w:space="0"/>
            </w:tcBorders>
            <w:vAlign w:val="center"/>
          </w:tcPr>
          <w:p w14:paraId="668C38FE">
            <w:pPr>
              <w:pStyle w:val="751"/>
              <w:rPr>
                <w:color w:val="auto"/>
                <w:sz w:val="16"/>
                <w:szCs w:val="18"/>
              </w:rPr>
            </w:pPr>
            <w:r>
              <w:rPr>
                <w:color w:val="auto"/>
                <w:sz w:val="16"/>
                <w:szCs w:val="18"/>
              </w:rPr>
              <w:t>3.9</w:t>
            </w:r>
          </w:p>
        </w:tc>
        <w:tc>
          <w:tcPr>
            <w:tcW w:w="227" w:type="pct"/>
            <w:tcBorders>
              <w:top w:val="single" w:color="auto" w:sz="4" w:space="0"/>
              <w:left w:val="single" w:color="auto" w:sz="4" w:space="0"/>
              <w:bottom w:val="single" w:color="auto" w:sz="4" w:space="0"/>
              <w:right w:val="single" w:color="auto" w:sz="4" w:space="0"/>
            </w:tcBorders>
            <w:vAlign w:val="center"/>
          </w:tcPr>
          <w:p w14:paraId="3DCC79C4">
            <w:pPr>
              <w:pStyle w:val="751"/>
              <w:rPr>
                <w:color w:val="auto"/>
                <w:sz w:val="16"/>
                <w:szCs w:val="18"/>
              </w:rPr>
            </w:pPr>
            <w:r>
              <w:rPr>
                <w:color w:val="auto"/>
                <w:sz w:val="16"/>
                <w:szCs w:val="18"/>
              </w:rPr>
              <w:t>3.7</w:t>
            </w:r>
          </w:p>
        </w:tc>
        <w:tc>
          <w:tcPr>
            <w:tcW w:w="348" w:type="pct"/>
            <w:tcBorders>
              <w:top w:val="single" w:color="auto" w:sz="4" w:space="0"/>
              <w:left w:val="single" w:color="auto" w:sz="4" w:space="0"/>
              <w:bottom w:val="single" w:color="auto" w:sz="4" w:space="0"/>
              <w:right w:val="single" w:color="auto" w:sz="4" w:space="0"/>
            </w:tcBorders>
            <w:vAlign w:val="center"/>
          </w:tcPr>
          <w:p w14:paraId="64D7DE20">
            <w:pPr>
              <w:pStyle w:val="751"/>
              <w:rPr>
                <w:color w:val="auto"/>
                <w:sz w:val="16"/>
                <w:szCs w:val="18"/>
              </w:rPr>
            </w:pPr>
            <w:r>
              <w:rPr>
                <w:color w:val="auto"/>
                <w:sz w:val="16"/>
                <w:szCs w:val="18"/>
              </w:rPr>
              <w:t>3.9</w:t>
            </w:r>
          </w:p>
        </w:tc>
        <w:tc>
          <w:tcPr>
            <w:tcW w:w="264" w:type="pct"/>
            <w:tcBorders>
              <w:top w:val="single" w:color="auto" w:sz="4" w:space="0"/>
              <w:left w:val="single" w:color="auto" w:sz="4" w:space="0"/>
              <w:bottom w:val="single" w:color="auto" w:sz="4" w:space="0"/>
              <w:right w:val="single" w:color="auto" w:sz="4" w:space="0"/>
            </w:tcBorders>
            <w:vAlign w:val="center"/>
          </w:tcPr>
          <w:p w14:paraId="08CAC47D">
            <w:pPr>
              <w:pStyle w:val="751"/>
              <w:rPr>
                <w:color w:val="auto"/>
                <w:sz w:val="16"/>
                <w:szCs w:val="18"/>
              </w:rPr>
            </w:pPr>
            <w:r>
              <w:rPr>
                <w:color w:val="auto"/>
                <w:sz w:val="16"/>
                <w:szCs w:val="18"/>
              </w:rPr>
              <w:t>5.1</w:t>
            </w:r>
          </w:p>
        </w:tc>
        <w:tc>
          <w:tcPr>
            <w:tcW w:w="328" w:type="pct"/>
            <w:tcBorders>
              <w:top w:val="single" w:color="auto" w:sz="4" w:space="0"/>
              <w:left w:val="single" w:color="auto" w:sz="4" w:space="0"/>
              <w:bottom w:val="single" w:color="auto" w:sz="4" w:space="0"/>
              <w:right w:val="single" w:color="auto" w:sz="4" w:space="0"/>
            </w:tcBorders>
            <w:vAlign w:val="center"/>
          </w:tcPr>
          <w:p w14:paraId="56C3B610">
            <w:pPr>
              <w:pStyle w:val="751"/>
              <w:rPr>
                <w:color w:val="auto"/>
                <w:sz w:val="16"/>
                <w:szCs w:val="18"/>
              </w:rPr>
            </w:pPr>
            <w:r>
              <w:rPr>
                <w:color w:val="auto"/>
                <w:sz w:val="16"/>
                <w:szCs w:val="18"/>
              </w:rPr>
              <w:t>4.1</w:t>
            </w:r>
          </w:p>
        </w:tc>
        <w:tc>
          <w:tcPr>
            <w:tcW w:w="271" w:type="pct"/>
            <w:tcBorders>
              <w:top w:val="single" w:color="auto" w:sz="4" w:space="0"/>
              <w:left w:val="single" w:color="auto" w:sz="4" w:space="0"/>
              <w:bottom w:val="single" w:color="auto" w:sz="4" w:space="0"/>
              <w:right w:val="single" w:color="auto" w:sz="4" w:space="0"/>
            </w:tcBorders>
            <w:vAlign w:val="center"/>
          </w:tcPr>
          <w:p w14:paraId="17EE8FFA">
            <w:pPr>
              <w:pStyle w:val="751"/>
              <w:rPr>
                <w:color w:val="auto"/>
                <w:sz w:val="16"/>
                <w:szCs w:val="18"/>
              </w:rPr>
            </w:pPr>
            <w:r>
              <w:rPr>
                <w:color w:val="auto"/>
                <w:sz w:val="16"/>
                <w:szCs w:val="18"/>
              </w:rPr>
              <w:t>11.5</w:t>
            </w:r>
          </w:p>
        </w:tc>
      </w:tr>
      <w:tr w14:paraId="342C250F">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289BBC5D">
            <w:pPr>
              <w:pStyle w:val="751"/>
              <w:rPr>
                <w:color w:val="auto"/>
                <w:sz w:val="16"/>
                <w:szCs w:val="18"/>
              </w:rPr>
            </w:pPr>
            <w:r>
              <w:rPr>
                <w:color w:val="auto"/>
                <w:sz w:val="16"/>
                <w:szCs w:val="18"/>
              </w:rPr>
              <w:t>八月</w:t>
            </w:r>
          </w:p>
        </w:tc>
        <w:tc>
          <w:tcPr>
            <w:tcW w:w="227" w:type="pct"/>
            <w:tcBorders>
              <w:top w:val="single" w:color="auto" w:sz="4" w:space="0"/>
              <w:left w:val="single" w:color="auto" w:sz="4" w:space="0"/>
              <w:bottom w:val="single" w:color="auto" w:sz="4" w:space="0"/>
              <w:right w:val="single" w:color="auto" w:sz="4" w:space="0"/>
            </w:tcBorders>
            <w:vAlign w:val="center"/>
          </w:tcPr>
          <w:p w14:paraId="1D22FE94">
            <w:pPr>
              <w:pStyle w:val="751"/>
              <w:rPr>
                <w:color w:val="auto"/>
                <w:sz w:val="16"/>
                <w:szCs w:val="18"/>
              </w:rPr>
            </w:pPr>
            <w:r>
              <w:rPr>
                <w:color w:val="auto"/>
                <w:sz w:val="16"/>
                <w:szCs w:val="18"/>
              </w:rPr>
              <w:t>2.8</w:t>
            </w:r>
          </w:p>
        </w:tc>
        <w:tc>
          <w:tcPr>
            <w:tcW w:w="298" w:type="pct"/>
            <w:tcBorders>
              <w:top w:val="single" w:color="auto" w:sz="4" w:space="0"/>
              <w:left w:val="single" w:color="auto" w:sz="4" w:space="0"/>
              <w:bottom w:val="single" w:color="auto" w:sz="4" w:space="0"/>
              <w:right w:val="single" w:color="auto" w:sz="4" w:space="0"/>
            </w:tcBorders>
            <w:vAlign w:val="center"/>
          </w:tcPr>
          <w:p w14:paraId="79688E2C">
            <w:pPr>
              <w:pStyle w:val="751"/>
              <w:rPr>
                <w:color w:val="auto"/>
                <w:sz w:val="16"/>
                <w:szCs w:val="18"/>
              </w:rPr>
            </w:pPr>
            <w:r>
              <w:rPr>
                <w:color w:val="auto"/>
                <w:sz w:val="16"/>
                <w:szCs w:val="18"/>
              </w:rPr>
              <w:t>2.8</w:t>
            </w:r>
          </w:p>
        </w:tc>
        <w:tc>
          <w:tcPr>
            <w:tcW w:w="271" w:type="pct"/>
            <w:tcBorders>
              <w:top w:val="single" w:color="auto" w:sz="4" w:space="0"/>
              <w:left w:val="single" w:color="auto" w:sz="4" w:space="0"/>
              <w:bottom w:val="single" w:color="auto" w:sz="4" w:space="0"/>
              <w:right w:val="single" w:color="auto" w:sz="4" w:space="0"/>
            </w:tcBorders>
            <w:vAlign w:val="center"/>
          </w:tcPr>
          <w:p w14:paraId="7D7AB738">
            <w:pPr>
              <w:pStyle w:val="751"/>
              <w:rPr>
                <w:color w:val="auto"/>
                <w:sz w:val="16"/>
                <w:szCs w:val="18"/>
              </w:rPr>
            </w:pPr>
            <w:r>
              <w:rPr>
                <w:color w:val="auto"/>
                <w:sz w:val="16"/>
                <w:szCs w:val="18"/>
              </w:rPr>
              <w:t>2.3</w:t>
            </w:r>
          </w:p>
        </w:tc>
        <w:tc>
          <w:tcPr>
            <w:tcW w:w="289" w:type="pct"/>
            <w:tcBorders>
              <w:top w:val="single" w:color="auto" w:sz="4" w:space="0"/>
              <w:left w:val="single" w:color="auto" w:sz="4" w:space="0"/>
              <w:bottom w:val="single" w:color="auto" w:sz="4" w:space="0"/>
              <w:right w:val="single" w:color="auto" w:sz="4" w:space="0"/>
            </w:tcBorders>
            <w:vAlign w:val="center"/>
          </w:tcPr>
          <w:p w14:paraId="66BDF572">
            <w:pPr>
              <w:pStyle w:val="751"/>
              <w:rPr>
                <w:color w:val="auto"/>
                <w:sz w:val="16"/>
                <w:szCs w:val="18"/>
              </w:rPr>
            </w:pPr>
            <w:r>
              <w:rPr>
                <w:color w:val="auto"/>
                <w:sz w:val="16"/>
                <w:szCs w:val="18"/>
              </w:rPr>
              <w:t>2.2</w:t>
            </w:r>
          </w:p>
        </w:tc>
        <w:tc>
          <w:tcPr>
            <w:tcW w:w="227" w:type="pct"/>
            <w:tcBorders>
              <w:top w:val="single" w:color="auto" w:sz="4" w:space="0"/>
              <w:left w:val="single" w:color="auto" w:sz="4" w:space="0"/>
              <w:bottom w:val="single" w:color="auto" w:sz="4" w:space="0"/>
              <w:right w:val="single" w:color="auto" w:sz="4" w:space="0"/>
            </w:tcBorders>
            <w:vAlign w:val="center"/>
          </w:tcPr>
          <w:p w14:paraId="3EF0B291">
            <w:pPr>
              <w:pStyle w:val="751"/>
              <w:rPr>
                <w:color w:val="auto"/>
                <w:sz w:val="16"/>
                <w:szCs w:val="18"/>
              </w:rPr>
            </w:pPr>
            <w:r>
              <w:rPr>
                <w:color w:val="auto"/>
                <w:sz w:val="16"/>
                <w:szCs w:val="18"/>
              </w:rPr>
              <w:t>3.4</w:t>
            </w:r>
          </w:p>
        </w:tc>
        <w:tc>
          <w:tcPr>
            <w:tcW w:w="275" w:type="pct"/>
            <w:tcBorders>
              <w:top w:val="single" w:color="auto" w:sz="4" w:space="0"/>
              <w:left w:val="single" w:color="auto" w:sz="4" w:space="0"/>
              <w:bottom w:val="single" w:color="auto" w:sz="4" w:space="0"/>
              <w:right w:val="single" w:color="auto" w:sz="4" w:space="0"/>
            </w:tcBorders>
            <w:vAlign w:val="center"/>
          </w:tcPr>
          <w:p w14:paraId="236763A7">
            <w:pPr>
              <w:pStyle w:val="751"/>
              <w:rPr>
                <w:color w:val="auto"/>
                <w:sz w:val="16"/>
                <w:szCs w:val="18"/>
              </w:rPr>
            </w:pPr>
            <w:r>
              <w:rPr>
                <w:color w:val="auto"/>
                <w:sz w:val="16"/>
                <w:szCs w:val="18"/>
              </w:rPr>
              <w:t>5.6</w:t>
            </w:r>
          </w:p>
        </w:tc>
        <w:tc>
          <w:tcPr>
            <w:tcW w:w="271" w:type="pct"/>
            <w:tcBorders>
              <w:top w:val="single" w:color="auto" w:sz="4" w:space="0"/>
              <w:left w:val="single" w:color="auto" w:sz="4" w:space="0"/>
              <w:bottom w:val="single" w:color="auto" w:sz="4" w:space="0"/>
              <w:right w:val="single" w:color="auto" w:sz="4" w:space="0"/>
            </w:tcBorders>
            <w:vAlign w:val="center"/>
          </w:tcPr>
          <w:p w14:paraId="03040127">
            <w:pPr>
              <w:pStyle w:val="751"/>
              <w:rPr>
                <w:color w:val="auto"/>
                <w:sz w:val="16"/>
                <w:szCs w:val="18"/>
              </w:rPr>
            </w:pPr>
            <w:r>
              <w:rPr>
                <w:color w:val="auto"/>
                <w:sz w:val="16"/>
                <w:szCs w:val="18"/>
              </w:rPr>
              <w:t>11.9</w:t>
            </w:r>
          </w:p>
        </w:tc>
        <w:tc>
          <w:tcPr>
            <w:tcW w:w="271" w:type="pct"/>
            <w:tcBorders>
              <w:top w:val="single" w:color="auto" w:sz="4" w:space="0"/>
              <w:left w:val="single" w:color="auto" w:sz="4" w:space="0"/>
              <w:bottom w:val="single" w:color="auto" w:sz="4" w:space="0"/>
              <w:right w:val="single" w:color="auto" w:sz="4" w:space="0"/>
            </w:tcBorders>
            <w:vAlign w:val="center"/>
          </w:tcPr>
          <w:p w14:paraId="03CB28E8">
            <w:pPr>
              <w:pStyle w:val="751"/>
              <w:rPr>
                <w:color w:val="auto"/>
                <w:sz w:val="16"/>
                <w:szCs w:val="18"/>
              </w:rPr>
            </w:pPr>
            <w:r>
              <w:rPr>
                <w:color w:val="auto"/>
                <w:sz w:val="16"/>
                <w:szCs w:val="18"/>
              </w:rPr>
              <w:t>17.7</w:t>
            </w:r>
          </w:p>
        </w:tc>
        <w:tc>
          <w:tcPr>
            <w:tcW w:w="271" w:type="pct"/>
            <w:tcBorders>
              <w:top w:val="single" w:color="auto" w:sz="4" w:space="0"/>
              <w:left w:val="single" w:color="auto" w:sz="4" w:space="0"/>
              <w:bottom w:val="single" w:color="auto" w:sz="4" w:space="0"/>
              <w:right w:val="single" w:color="auto" w:sz="4" w:space="0"/>
            </w:tcBorders>
            <w:vAlign w:val="center"/>
          </w:tcPr>
          <w:p w14:paraId="5BE54045">
            <w:pPr>
              <w:pStyle w:val="751"/>
              <w:rPr>
                <w:color w:val="auto"/>
                <w:sz w:val="16"/>
                <w:szCs w:val="18"/>
              </w:rPr>
            </w:pPr>
            <w:r>
              <w:rPr>
                <w:color w:val="auto"/>
                <w:sz w:val="16"/>
                <w:szCs w:val="18"/>
              </w:rPr>
              <w:t>9.3</w:t>
            </w:r>
          </w:p>
        </w:tc>
        <w:tc>
          <w:tcPr>
            <w:tcW w:w="299" w:type="pct"/>
            <w:tcBorders>
              <w:top w:val="single" w:color="auto" w:sz="4" w:space="0"/>
              <w:left w:val="single" w:color="auto" w:sz="4" w:space="0"/>
              <w:bottom w:val="single" w:color="auto" w:sz="4" w:space="0"/>
              <w:right w:val="single" w:color="auto" w:sz="4" w:space="0"/>
            </w:tcBorders>
            <w:vAlign w:val="center"/>
          </w:tcPr>
          <w:p w14:paraId="65034F1D">
            <w:pPr>
              <w:pStyle w:val="751"/>
              <w:rPr>
                <w:color w:val="auto"/>
                <w:sz w:val="16"/>
                <w:szCs w:val="18"/>
              </w:rPr>
            </w:pPr>
            <w:r>
              <w:rPr>
                <w:color w:val="auto"/>
                <w:sz w:val="16"/>
                <w:szCs w:val="18"/>
              </w:rPr>
              <w:t>6.4</w:t>
            </w:r>
          </w:p>
        </w:tc>
        <w:tc>
          <w:tcPr>
            <w:tcW w:w="249" w:type="pct"/>
            <w:tcBorders>
              <w:top w:val="single" w:color="auto" w:sz="4" w:space="0"/>
              <w:left w:val="single" w:color="auto" w:sz="4" w:space="0"/>
              <w:bottom w:val="single" w:color="auto" w:sz="4" w:space="0"/>
              <w:right w:val="single" w:color="auto" w:sz="4" w:space="0"/>
            </w:tcBorders>
            <w:vAlign w:val="center"/>
          </w:tcPr>
          <w:p w14:paraId="25E14B58">
            <w:pPr>
              <w:pStyle w:val="751"/>
              <w:rPr>
                <w:color w:val="auto"/>
                <w:sz w:val="16"/>
                <w:szCs w:val="18"/>
              </w:rPr>
            </w:pPr>
            <w:r>
              <w:rPr>
                <w:color w:val="auto"/>
                <w:sz w:val="16"/>
                <w:szCs w:val="18"/>
              </w:rPr>
              <w:t>3.9</w:t>
            </w:r>
          </w:p>
        </w:tc>
        <w:tc>
          <w:tcPr>
            <w:tcW w:w="333" w:type="pct"/>
            <w:tcBorders>
              <w:top w:val="single" w:color="auto" w:sz="4" w:space="0"/>
              <w:left w:val="single" w:color="auto" w:sz="4" w:space="0"/>
              <w:bottom w:val="single" w:color="auto" w:sz="4" w:space="0"/>
              <w:right w:val="single" w:color="auto" w:sz="4" w:space="0"/>
            </w:tcBorders>
            <w:vAlign w:val="center"/>
          </w:tcPr>
          <w:p w14:paraId="3C77BAFC">
            <w:pPr>
              <w:pStyle w:val="751"/>
              <w:rPr>
                <w:color w:val="auto"/>
                <w:sz w:val="16"/>
                <w:szCs w:val="18"/>
              </w:rPr>
            </w:pPr>
            <w:r>
              <w:rPr>
                <w:color w:val="auto"/>
                <w:sz w:val="16"/>
                <w:szCs w:val="18"/>
              </w:rPr>
              <w:t>3.1</w:t>
            </w:r>
          </w:p>
        </w:tc>
        <w:tc>
          <w:tcPr>
            <w:tcW w:w="227" w:type="pct"/>
            <w:tcBorders>
              <w:top w:val="single" w:color="auto" w:sz="4" w:space="0"/>
              <w:left w:val="single" w:color="auto" w:sz="4" w:space="0"/>
              <w:bottom w:val="single" w:color="auto" w:sz="4" w:space="0"/>
              <w:right w:val="single" w:color="auto" w:sz="4" w:space="0"/>
            </w:tcBorders>
            <w:vAlign w:val="center"/>
          </w:tcPr>
          <w:p w14:paraId="3E1F7B31">
            <w:pPr>
              <w:pStyle w:val="751"/>
              <w:rPr>
                <w:color w:val="auto"/>
                <w:sz w:val="16"/>
                <w:szCs w:val="18"/>
              </w:rPr>
            </w:pPr>
            <w:r>
              <w:rPr>
                <w:color w:val="auto"/>
                <w:sz w:val="16"/>
                <w:szCs w:val="18"/>
              </w:rPr>
              <w:t>3.7</w:t>
            </w:r>
          </w:p>
        </w:tc>
        <w:tc>
          <w:tcPr>
            <w:tcW w:w="348" w:type="pct"/>
            <w:tcBorders>
              <w:top w:val="single" w:color="auto" w:sz="4" w:space="0"/>
              <w:left w:val="single" w:color="auto" w:sz="4" w:space="0"/>
              <w:bottom w:val="single" w:color="auto" w:sz="4" w:space="0"/>
              <w:right w:val="single" w:color="auto" w:sz="4" w:space="0"/>
            </w:tcBorders>
            <w:vAlign w:val="center"/>
          </w:tcPr>
          <w:p w14:paraId="333F7D0B">
            <w:pPr>
              <w:pStyle w:val="751"/>
              <w:rPr>
                <w:color w:val="auto"/>
                <w:sz w:val="16"/>
                <w:szCs w:val="18"/>
              </w:rPr>
            </w:pPr>
            <w:r>
              <w:rPr>
                <w:color w:val="auto"/>
                <w:sz w:val="16"/>
                <w:szCs w:val="18"/>
              </w:rPr>
              <w:t>3.8</w:t>
            </w:r>
          </w:p>
        </w:tc>
        <w:tc>
          <w:tcPr>
            <w:tcW w:w="264" w:type="pct"/>
            <w:tcBorders>
              <w:top w:val="single" w:color="auto" w:sz="4" w:space="0"/>
              <w:left w:val="single" w:color="auto" w:sz="4" w:space="0"/>
              <w:bottom w:val="single" w:color="auto" w:sz="4" w:space="0"/>
              <w:right w:val="single" w:color="auto" w:sz="4" w:space="0"/>
            </w:tcBorders>
            <w:vAlign w:val="center"/>
          </w:tcPr>
          <w:p w14:paraId="151B8317">
            <w:pPr>
              <w:pStyle w:val="751"/>
              <w:rPr>
                <w:color w:val="auto"/>
                <w:sz w:val="16"/>
                <w:szCs w:val="18"/>
              </w:rPr>
            </w:pPr>
            <w:r>
              <w:rPr>
                <w:color w:val="auto"/>
                <w:sz w:val="16"/>
                <w:szCs w:val="18"/>
              </w:rPr>
              <w:t>4.5</w:t>
            </w:r>
          </w:p>
        </w:tc>
        <w:tc>
          <w:tcPr>
            <w:tcW w:w="328" w:type="pct"/>
            <w:tcBorders>
              <w:top w:val="single" w:color="auto" w:sz="4" w:space="0"/>
              <w:left w:val="single" w:color="auto" w:sz="4" w:space="0"/>
              <w:bottom w:val="single" w:color="auto" w:sz="4" w:space="0"/>
              <w:right w:val="single" w:color="auto" w:sz="4" w:space="0"/>
            </w:tcBorders>
            <w:vAlign w:val="center"/>
          </w:tcPr>
          <w:p w14:paraId="5DED238C">
            <w:pPr>
              <w:pStyle w:val="751"/>
              <w:rPr>
                <w:color w:val="auto"/>
                <w:sz w:val="16"/>
                <w:szCs w:val="18"/>
              </w:rPr>
            </w:pPr>
            <w:r>
              <w:rPr>
                <w:color w:val="auto"/>
                <w:sz w:val="16"/>
                <w:szCs w:val="18"/>
              </w:rPr>
              <w:t>3.7</w:t>
            </w:r>
          </w:p>
        </w:tc>
        <w:tc>
          <w:tcPr>
            <w:tcW w:w="271" w:type="pct"/>
            <w:tcBorders>
              <w:top w:val="single" w:color="auto" w:sz="4" w:space="0"/>
              <w:left w:val="single" w:color="auto" w:sz="4" w:space="0"/>
              <w:bottom w:val="single" w:color="auto" w:sz="4" w:space="0"/>
              <w:right w:val="single" w:color="auto" w:sz="4" w:space="0"/>
            </w:tcBorders>
            <w:vAlign w:val="center"/>
          </w:tcPr>
          <w:p w14:paraId="5379CE3D">
            <w:pPr>
              <w:pStyle w:val="751"/>
              <w:rPr>
                <w:color w:val="auto"/>
                <w:sz w:val="16"/>
                <w:szCs w:val="18"/>
              </w:rPr>
            </w:pPr>
            <w:r>
              <w:rPr>
                <w:color w:val="auto"/>
                <w:sz w:val="16"/>
                <w:szCs w:val="18"/>
              </w:rPr>
              <w:t>12.5</w:t>
            </w:r>
          </w:p>
        </w:tc>
      </w:tr>
      <w:tr w14:paraId="4ADDD567">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7907DD6D">
            <w:pPr>
              <w:pStyle w:val="751"/>
              <w:rPr>
                <w:color w:val="auto"/>
                <w:sz w:val="16"/>
                <w:szCs w:val="18"/>
              </w:rPr>
            </w:pPr>
            <w:r>
              <w:rPr>
                <w:color w:val="auto"/>
                <w:sz w:val="16"/>
                <w:szCs w:val="18"/>
              </w:rPr>
              <w:t>九月</w:t>
            </w:r>
          </w:p>
        </w:tc>
        <w:tc>
          <w:tcPr>
            <w:tcW w:w="227" w:type="pct"/>
            <w:tcBorders>
              <w:top w:val="single" w:color="auto" w:sz="4" w:space="0"/>
              <w:left w:val="single" w:color="auto" w:sz="4" w:space="0"/>
              <w:bottom w:val="single" w:color="auto" w:sz="4" w:space="0"/>
              <w:right w:val="single" w:color="auto" w:sz="4" w:space="0"/>
            </w:tcBorders>
            <w:vAlign w:val="center"/>
          </w:tcPr>
          <w:p w14:paraId="70741B02">
            <w:pPr>
              <w:pStyle w:val="751"/>
              <w:rPr>
                <w:color w:val="auto"/>
                <w:sz w:val="16"/>
                <w:szCs w:val="18"/>
              </w:rPr>
            </w:pPr>
            <w:r>
              <w:rPr>
                <w:color w:val="auto"/>
                <w:sz w:val="16"/>
                <w:szCs w:val="18"/>
              </w:rPr>
              <w:t>3.1</w:t>
            </w:r>
          </w:p>
        </w:tc>
        <w:tc>
          <w:tcPr>
            <w:tcW w:w="298" w:type="pct"/>
            <w:tcBorders>
              <w:top w:val="single" w:color="auto" w:sz="4" w:space="0"/>
              <w:left w:val="single" w:color="auto" w:sz="4" w:space="0"/>
              <w:bottom w:val="single" w:color="auto" w:sz="4" w:space="0"/>
              <w:right w:val="single" w:color="auto" w:sz="4" w:space="0"/>
            </w:tcBorders>
            <w:vAlign w:val="center"/>
          </w:tcPr>
          <w:p w14:paraId="0DCBC0B2">
            <w:pPr>
              <w:pStyle w:val="751"/>
              <w:rPr>
                <w:color w:val="auto"/>
                <w:sz w:val="16"/>
                <w:szCs w:val="18"/>
              </w:rPr>
            </w:pPr>
            <w:r>
              <w:rPr>
                <w:color w:val="auto"/>
                <w:sz w:val="16"/>
                <w:szCs w:val="18"/>
              </w:rPr>
              <w:t>2.9</w:t>
            </w:r>
          </w:p>
        </w:tc>
        <w:tc>
          <w:tcPr>
            <w:tcW w:w="271" w:type="pct"/>
            <w:tcBorders>
              <w:top w:val="single" w:color="auto" w:sz="4" w:space="0"/>
              <w:left w:val="single" w:color="auto" w:sz="4" w:space="0"/>
              <w:bottom w:val="single" w:color="auto" w:sz="4" w:space="0"/>
              <w:right w:val="single" w:color="auto" w:sz="4" w:space="0"/>
            </w:tcBorders>
            <w:vAlign w:val="center"/>
          </w:tcPr>
          <w:p w14:paraId="59A2D7E9">
            <w:pPr>
              <w:pStyle w:val="751"/>
              <w:rPr>
                <w:color w:val="auto"/>
                <w:sz w:val="16"/>
                <w:szCs w:val="18"/>
              </w:rPr>
            </w:pPr>
            <w:r>
              <w:rPr>
                <w:color w:val="auto"/>
                <w:sz w:val="16"/>
                <w:szCs w:val="18"/>
              </w:rPr>
              <w:t>2.3</w:t>
            </w:r>
          </w:p>
        </w:tc>
        <w:tc>
          <w:tcPr>
            <w:tcW w:w="289" w:type="pct"/>
            <w:tcBorders>
              <w:top w:val="single" w:color="auto" w:sz="4" w:space="0"/>
              <w:left w:val="single" w:color="auto" w:sz="4" w:space="0"/>
              <w:bottom w:val="single" w:color="auto" w:sz="4" w:space="0"/>
              <w:right w:val="single" w:color="auto" w:sz="4" w:space="0"/>
            </w:tcBorders>
            <w:vAlign w:val="center"/>
          </w:tcPr>
          <w:p w14:paraId="3CA89510">
            <w:pPr>
              <w:pStyle w:val="751"/>
              <w:rPr>
                <w:color w:val="auto"/>
                <w:sz w:val="16"/>
                <w:szCs w:val="18"/>
              </w:rPr>
            </w:pPr>
            <w:r>
              <w:rPr>
                <w:color w:val="auto"/>
                <w:sz w:val="16"/>
                <w:szCs w:val="18"/>
              </w:rPr>
              <w:t>2.5</w:t>
            </w:r>
          </w:p>
        </w:tc>
        <w:tc>
          <w:tcPr>
            <w:tcW w:w="227" w:type="pct"/>
            <w:tcBorders>
              <w:top w:val="single" w:color="auto" w:sz="4" w:space="0"/>
              <w:left w:val="single" w:color="auto" w:sz="4" w:space="0"/>
              <w:bottom w:val="single" w:color="auto" w:sz="4" w:space="0"/>
              <w:right w:val="single" w:color="auto" w:sz="4" w:space="0"/>
            </w:tcBorders>
            <w:vAlign w:val="center"/>
          </w:tcPr>
          <w:p w14:paraId="313CD5F0">
            <w:pPr>
              <w:pStyle w:val="751"/>
              <w:rPr>
                <w:color w:val="auto"/>
                <w:sz w:val="16"/>
                <w:szCs w:val="18"/>
              </w:rPr>
            </w:pPr>
            <w:r>
              <w:rPr>
                <w:color w:val="auto"/>
                <w:sz w:val="16"/>
                <w:szCs w:val="18"/>
              </w:rPr>
              <w:t>3.9</w:t>
            </w:r>
          </w:p>
        </w:tc>
        <w:tc>
          <w:tcPr>
            <w:tcW w:w="275" w:type="pct"/>
            <w:tcBorders>
              <w:top w:val="single" w:color="auto" w:sz="4" w:space="0"/>
              <w:left w:val="single" w:color="auto" w:sz="4" w:space="0"/>
              <w:bottom w:val="single" w:color="auto" w:sz="4" w:space="0"/>
              <w:right w:val="single" w:color="auto" w:sz="4" w:space="0"/>
            </w:tcBorders>
            <w:vAlign w:val="center"/>
          </w:tcPr>
          <w:p w14:paraId="5C808626">
            <w:pPr>
              <w:pStyle w:val="751"/>
              <w:rPr>
                <w:color w:val="auto"/>
                <w:sz w:val="16"/>
                <w:szCs w:val="18"/>
              </w:rPr>
            </w:pPr>
            <w:r>
              <w:rPr>
                <w:color w:val="auto"/>
                <w:sz w:val="16"/>
                <w:szCs w:val="18"/>
              </w:rPr>
              <w:t>4.6</w:t>
            </w:r>
          </w:p>
        </w:tc>
        <w:tc>
          <w:tcPr>
            <w:tcW w:w="271" w:type="pct"/>
            <w:tcBorders>
              <w:top w:val="single" w:color="auto" w:sz="4" w:space="0"/>
              <w:left w:val="single" w:color="auto" w:sz="4" w:space="0"/>
              <w:bottom w:val="single" w:color="auto" w:sz="4" w:space="0"/>
              <w:right w:val="single" w:color="auto" w:sz="4" w:space="0"/>
            </w:tcBorders>
            <w:vAlign w:val="center"/>
          </w:tcPr>
          <w:p w14:paraId="5856B713">
            <w:pPr>
              <w:pStyle w:val="751"/>
              <w:rPr>
                <w:color w:val="auto"/>
                <w:sz w:val="16"/>
                <w:szCs w:val="18"/>
              </w:rPr>
            </w:pPr>
            <w:r>
              <w:rPr>
                <w:color w:val="auto"/>
                <w:sz w:val="16"/>
                <w:szCs w:val="18"/>
              </w:rPr>
              <w:t>10.2</w:t>
            </w:r>
          </w:p>
        </w:tc>
        <w:tc>
          <w:tcPr>
            <w:tcW w:w="271" w:type="pct"/>
            <w:tcBorders>
              <w:top w:val="single" w:color="auto" w:sz="4" w:space="0"/>
              <w:left w:val="single" w:color="auto" w:sz="4" w:space="0"/>
              <w:bottom w:val="single" w:color="auto" w:sz="4" w:space="0"/>
              <w:right w:val="single" w:color="auto" w:sz="4" w:space="0"/>
            </w:tcBorders>
            <w:vAlign w:val="center"/>
          </w:tcPr>
          <w:p w14:paraId="14C89F06">
            <w:pPr>
              <w:pStyle w:val="751"/>
              <w:rPr>
                <w:color w:val="auto"/>
                <w:sz w:val="16"/>
                <w:szCs w:val="18"/>
              </w:rPr>
            </w:pPr>
            <w:r>
              <w:rPr>
                <w:color w:val="auto"/>
                <w:sz w:val="16"/>
                <w:szCs w:val="18"/>
              </w:rPr>
              <w:t>16.9</w:t>
            </w:r>
          </w:p>
        </w:tc>
        <w:tc>
          <w:tcPr>
            <w:tcW w:w="271" w:type="pct"/>
            <w:tcBorders>
              <w:top w:val="single" w:color="auto" w:sz="4" w:space="0"/>
              <w:left w:val="single" w:color="auto" w:sz="4" w:space="0"/>
              <w:bottom w:val="single" w:color="auto" w:sz="4" w:space="0"/>
              <w:right w:val="single" w:color="auto" w:sz="4" w:space="0"/>
            </w:tcBorders>
            <w:vAlign w:val="center"/>
          </w:tcPr>
          <w:p w14:paraId="6DA4C725">
            <w:pPr>
              <w:pStyle w:val="751"/>
              <w:rPr>
                <w:color w:val="auto"/>
                <w:sz w:val="16"/>
                <w:szCs w:val="18"/>
              </w:rPr>
            </w:pPr>
            <w:r>
              <w:rPr>
                <w:color w:val="auto"/>
                <w:sz w:val="16"/>
                <w:szCs w:val="18"/>
              </w:rPr>
              <w:t>8.6</w:t>
            </w:r>
          </w:p>
        </w:tc>
        <w:tc>
          <w:tcPr>
            <w:tcW w:w="299" w:type="pct"/>
            <w:tcBorders>
              <w:top w:val="single" w:color="auto" w:sz="4" w:space="0"/>
              <w:left w:val="single" w:color="auto" w:sz="4" w:space="0"/>
              <w:bottom w:val="single" w:color="auto" w:sz="4" w:space="0"/>
              <w:right w:val="single" w:color="auto" w:sz="4" w:space="0"/>
            </w:tcBorders>
            <w:vAlign w:val="center"/>
          </w:tcPr>
          <w:p w14:paraId="346CB1D2">
            <w:pPr>
              <w:pStyle w:val="751"/>
              <w:rPr>
                <w:color w:val="auto"/>
                <w:sz w:val="16"/>
                <w:szCs w:val="18"/>
              </w:rPr>
            </w:pPr>
            <w:r>
              <w:rPr>
                <w:color w:val="auto"/>
                <w:sz w:val="16"/>
                <w:szCs w:val="18"/>
              </w:rPr>
              <w:t>5.2</w:t>
            </w:r>
          </w:p>
        </w:tc>
        <w:tc>
          <w:tcPr>
            <w:tcW w:w="249" w:type="pct"/>
            <w:tcBorders>
              <w:top w:val="single" w:color="auto" w:sz="4" w:space="0"/>
              <w:left w:val="single" w:color="auto" w:sz="4" w:space="0"/>
              <w:bottom w:val="single" w:color="auto" w:sz="4" w:space="0"/>
              <w:right w:val="single" w:color="auto" w:sz="4" w:space="0"/>
            </w:tcBorders>
            <w:vAlign w:val="center"/>
          </w:tcPr>
          <w:p w14:paraId="200E3E90">
            <w:pPr>
              <w:pStyle w:val="751"/>
              <w:rPr>
                <w:color w:val="auto"/>
                <w:sz w:val="16"/>
                <w:szCs w:val="18"/>
              </w:rPr>
            </w:pPr>
            <w:r>
              <w:rPr>
                <w:color w:val="auto"/>
                <w:sz w:val="16"/>
                <w:szCs w:val="18"/>
              </w:rPr>
              <w:t>4.4</w:t>
            </w:r>
          </w:p>
        </w:tc>
        <w:tc>
          <w:tcPr>
            <w:tcW w:w="333" w:type="pct"/>
            <w:tcBorders>
              <w:top w:val="single" w:color="auto" w:sz="4" w:space="0"/>
              <w:left w:val="single" w:color="auto" w:sz="4" w:space="0"/>
              <w:bottom w:val="single" w:color="auto" w:sz="4" w:space="0"/>
              <w:right w:val="single" w:color="auto" w:sz="4" w:space="0"/>
            </w:tcBorders>
            <w:vAlign w:val="center"/>
          </w:tcPr>
          <w:p w14:paraId="67090078">
            <w:pPr>
              <w:pStyle w:val="751"/>
              <w:rPr>
                <w:color w:val="auto"/>
                <w:sz w:val="16"/>
                <w:szCs w:val="18"/>
              </w:rPr>
            </w:pPr>
            <w:r>
              <w:rPr>
                <w:color w:val="auto"/>
                <w:sz w:val="16"/>
                <w:szCs w:val="18"/>
              </w:rPr>
              <w:t>3.7</w:t>
            </w:r>
          </w:p>
        </w:tc>
        <w:tc>
          <w:tcPr>
            <w:tcW w:w="227" w:type="pct"/>
            <w:tcBorders>
              <w:top w:val="single" w:color="auto" w:sz="4" w:space="0"/>
              <w:left w:val="single" w:color="auto" w:sz="4" w:space="0"/>
              <w:bottom w:val="single" w:color="auto" w:sz="4" w:space="0"/>
              <w:right w:val="single" w:color="auto" w:sz="4" w:space="0"/>
            </w:tcBorders>
            <w:vAlign w:val="center"/>
          </w:tcPr>
          <w:p w14:paraId="08451A63">
            <w:pPr>
              <w:pStyle w:val="751"/>
              <w:rPr>
                <w:color w:val="auto"/>
                <w:sz w:val="16"/>
                <w:szCs w:val="18"/>
              </w:rPr>
            </w:pPr>
            <w:r>
              <w:rPr>
                <w:color w:val="auto"/>
                <w:sz w:val="16"/>
                <w:szCs w:val="18"/>
              </w:rPr>
              <w:t>3.0</w:t>
            </w:r>
          </w:p>
        </w:tc>
        <w:tc>
          <w:tcPr>
            <w:tcW w:w="348" w:type="pct"/>
            <w:tcBorders>
              <w:top w:val="single" w:color="auto" w:sz="4" w:space="0"/>
              <w:left w:val="single" w:color="auto" w:sz="4" w:space="0"/>
              <w:bottom w:val="single" w:color="auto" w:sz="4" w:space="0"/>
              <w:right w:val="single" w:color="auto" w:sz="4" w:space="0"/>
            </w:tcBorders>
            <w:vAlign w:val="center"/>
          </w:tcPr>
          <w:p w14:paraId="651ACC8B">
            <w:pPr>
              <w:pStyle w:val="751"/>
              <w:rPr>
                <w:color w:val="auto"/>
                <w:sz w:val="16"/>
                <w:szCs w:val="18"/>
              </w:rPr>
            </w:pPr>
            <w:r>
              <w:rPr>
                <w:color w:val="auto"/>
                <w:sz w:val="16"/>
                <w:szCs w:val="18"/>
              </w:rPr>
              <w:t>4.3</w:t>
            </w:r>
          </w:p>
        </w:tc>
        <w:tc>
          <w:tcPr>
            <w:tcW w:w="264" w:type="pct"/>
            <w:tcBorders>
              <w:top w:val="single" w:color="auto" w:sz="4" w:space="0"/>
              <w:left w:val="single" w:color="auto" w:sz="4" w:space="0"/>
              <w:bottom w:val="single" w:color="auto" w:sz="4" w:space="0"/>
              <w:right w:val="single" w:color="auto" w:sz="4" w:space="0"/>
            </w:tcBorders>
            <w:vAlign w:val="center"/>
          </w:tcPr>
          <w:p w14:paraId="0B415CDA">
            <w:pPr>
              <w:pStyle w:val="751"/>
              <w:rPr>
                <w:color w:val="auto"/>
                <w:sz w:val="16"/>
                <w:szCs w:val="18"/>
              </w:rPr>
            </w:pPr>
            <w:r>
              <w:rPr>
                <w:color w:val="auto"/>
                <w:sz w:val="16"/>
                <w:szCs w:val="18"/>
              </w:rPr>
              <w:t>4.0</w:t>
            </w:r>
          </w:p>
        </w:tc>
        <w:tc>
          <w:tcPr>
            <w:tcW w:w="328" w:type="pct"/>
            <w:tcBorders>
              <w:top w:val="single" w:color="auto" w:sz="4" w:space="0"/>
              <w:left w:val="single" w:color="auto" w:sz="4" w:space="0"/>
              <w:bottom w:val="single" w:color="auto" w:sz="4" w:space="0"/>
              <w:right w:val="single" w:color="auto" w:sz="4" w:space="0"/>
            </w:tcBorders>
            <w:vAlign w:val="center"/>
          </w:tcPr>
          <w:p w14:paraId="727A7643">
            <w:pPr>
              <w:pStyle w:val="751"/>
              <w:rPr>
                <w:color w:val="auto"/>
                <w:sz w:val="16"/>
                <w:szCs w:val="18"/>
              </w:rPr>
            </w:pPr>
            <w:r>
              <w:rPr>
                <w:color w:val="auto"/>
                <w:sz w:val="16"/>
                <w:szCs w:val="18"/>
              </w:rPr>
              <w:t>3.2</w:t>
            </w:r>
          </w:p>
        </w:tc>
        <w:tc>
          <w:tcPr>
            <w:tcW w:w="271" w:type="pct"/>
            <w:tcBorders>
              <w:top w:val="single" w:color="auto" w:sz="4" w:space="0"/>
              <w:left w:val="single" w:color="auto" w:sz="4" w:space="0"/>
              <w:bottom w:val="single" w:color="auto" w:sz="4" w:space="0"/>
              <w:right w:val="single" w:color="auto" w:sz="4" w:space="0"/>
            </w:tcBorders>
            <w:vAlign w:val="center"/>
          </w:tcPr>
          <w:p w14:paraId="3FC72F4A">
            <w:pPr>
              <w:pStyle w:val="751"/>
              <w:rPr>
                <w:color w:val="auto"/>
                <w:sz w:val="16"/>
                <w:szCs w:val="18"/>
              </w:rPr>
            </w:pPr>
            <w:r>
              <w:rPr>
                <w:color w:val="auto"/>
                <w:sz w:val="16"/>
                <w:szCs w:val="18"/>
              </w:rPr>
              <w:t>18.6</w:t>
            </w:r>
          </w:p>
        </w:tc>
      </w:tr>
      <w:tr w14:paraId="58F0BF42">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58113500">
            <w:pPr>
              <w:pStyle w:val="751"/>
              <w:rPr>
                <w:color w:val="auto"/>
                <w:sz w:val="16"/>
                <w:szCs w:val="18"/>
              </w:rPr>
            </w:pPr>
            <w:r>
              <w:rPr>
                <w:color w:val="auto"/>
                <w:sz w:val="16"/>
                <w:szCs w:val="18"/>
              </w:rPr>
              <w:t>十月</w:t>
            </w:r>
          </w:p>
        </w:tc>
        <w:tc>
          <w:tcPr>
            <w:tcW w:w="227" w:type="pct"/>
            <w:tcBorders>
              <w:top w:val="single" w:color="auto" w:sz="4" w:space="0"/>
              <w:left w:val="single" w:color="auto" w:sz="4" w:space="0"/>
              <w:bottom w:val="single" w:color="auto" w:sz="4" w:space="0"/>
              <w:right w:val="single" w:color="auto" w:sz="4" w:space="0"/>
            </w:tcBorders>
            <w:vAlign w:val="center"/>
          </w:tcPr>
          <w:p w14:paraId="2A34CFA5">
            <w:pPr>
              <w:pStyle w:val="751"/>
              <w:rPr>
                <w:color w:val="auto"/>
                <w:sz w:val="16"/>
                <w:szCs w:val="18"/>
              </w:rPr>
            </w:pPr>
            <w:r>
              <w:rPr>
                <w:color w:val="auto"/>
                <w:sz w:val="16"/>
                <w:szCs w:val="18"/>
              </w:rPr>
              <w:t>2.1</w:t>
            </w:r>
          </w:p>
        </w:tc>
        <w:tc>
          <w:tcPr>
            <w:tcW w:w="298" w:type="pct"/>
            <w:tcBorders>
              <w:top w:val="single" w:color="auto" w:sz="4" w:space="0"/>
              <w:left w:val="single" w:color="auto" w:sz="4" w:space="0"/>
              <w:bottom w:val="single" w:color="auto" w:sz="4" w:space="0"/>
              <w:right w:val="single" w:color="auto" w:sz="4" w:space="0"/>
            </w:tcBorders>
            <w:vAlign w:val="center"/>
          </w:tcPr>
          <w:p w14:paraId="3F371250">
            <w:pPr>
              <w:pStyle w:val="751"/>
              <w:rPr>
                <w:color w:val="auto"/>
                <w:sz w:val="16"/>
                <w:szCs w:val="18"/>
              </w:rPr>
            </w:pPr>
            <w:r>
              <w:rPr>
                <w:color w:val="auto"/>
                <w:sz w:val="16"/>
                <w:szCs w:val="18"/>
              </w:rPr>
              <w:t>2.4</w:t>
            </w:r>
          </w:p>
        </w:tc>
        <w:tc>
          <w:tcPr>
            <w:tcW w:w="271" w:type="pct"/>
            <w:tcBorders>
              <w:top w:val="single" w:color="auto" w:sz="4" w:space="0"/>
              <w:left w:val="single" w:color="auto" w:sz="4" w:space="0"/>
              <w:bottom w:val="single" w:color="auto" w:sz="4" w:space="0"/>
              <w:right w:val="single" w:color="auto" w:sz="4" w:space="0"/>
            </w:tcBorders>
            <w:vAlign w:val="center"/>
          </w:tcPr>
          <w:p w14:paraId="1C578661">
            <w:pPr>
              <w:pStyle w:val="751"/>
              <w:rPr>
                <w:color w:val="auto"/>
                <w:sz w:val="16"/>
                <w:szCs w:val="18"/>
              </w:rPr>
            </w:pPr>
            <w:r>
              <w:rPr>
                <w:color w:val="auto"/>
                <w:sz w:val="16"/>
                <w:szCs w:val="18"/>
              </w:rPr>
              <w:t>2.3</w:t>
            </w:r>
          </w:p>
        </w:tc>
        <w:tc>
          <w:tcPr>
            <w:tcW w:w="289" w:type="pct"/>
            <w:tcBorders>
              <w:top w:val="single" w:color="auto" w:sz="4" w:space="0"/>
              <w:left w:val="single" w:color="auto" w:sz="4" w:space="0"/>
              <w:bottom w:val="single" w:color="auto" w:sz="4" w:space="0"/>
              <w:right w:val="single" w:color="auto" w:sz="4" w:space="0"/>
            </w:tcBorders>
            <w:vAlign w:val="center"/>
          </w:tcPr>
          <w:p w14:paraId="2D86187A">
            <w:pPr>
              <w:pStyle w:val="751"/>
              <w:rPr>
                <w:color w:val="auto"/>
                <w:sz w:val="16"/>
                <w:szCs w:val="18"/>
              </w:rPr>
            </w:pPr>
            <w:r>
              <w:rPr>
                <w:color w:val="auto"/>
                <w:sz w:val="16"/>
                <w:szCs w:val="18"/>
              </w:rPr>
              <w:t>2.1</w:t>
            </w:r>
          </w:p>
        </w:tc>
        <w:tc>
          <w:tcPr>
            <w:tcW w:w="227" w:type="pct"/>
            <w:tcBorders>
              <w:top w:val="single" w:color="auto" w:sz="4" w:space="0"/>
              <w:left w:val="single" w:color="auto" w:sz="4" w:space="0"/>
              <w:bottom w:val="single" w:color="auto" w:sz="4" w:space="0"/>
              <w:right w:val="single" w:color="auto" w:sz="4" w:space="0"/>
            </w:tcBorders>
            <w:vAlign w:val="center"/>
          </w:tcPr>
          <w:p w14:paraId="1FFF9F9E">
            <w:pPr>
              <w:pStyle w:val="751"/>
              <w:rPr>
                <w:color w:val="auto"/>
                <w:sz w:val="16"/>
                <w:szCs w:val="18"/>
              </w:rPr>
            </w:pPr>
            <w:r>
              <w:rPr>
                <w:color w:val="auto"/>
                <w:sz w:val="16"/>
                <w:szCs w:val="18"/>
              </w:rPr>
              <w:t>3.1</w:t>
            </w:r>
          </w:p>
        </w:tc>
        <w:tc>
          <w:tcPr>
            <w:tcW w:w="275" w:type="pct"/>
            <w:tcBorders>
              <w:top w:val="single" w:color="auto" w:sz="4" w:space="0"/>
              <w:left w:val="single" w:color="auto" w:sz="4" w:space="0"/>
              <w:bottom w:val="single" w:color="auto" w:sz="4" w:space="0"/>
              <w:right w:val="single" w:color="auto" w:sz="4" w:space="0"/>
            </w:tcBorders>
            <w:vAlign w:val="center"/>
          </w:tcPr>
          <w:p w14:paraId="17AF7BBD">
            <w:pPr>
              <w:pStyle w:val="751"/>
              <w:rPr>
                <w:color w:val="auto"/>
                <w:sz w:val="16"/>
                <w:szCs w:val="18"/>
              </w:rPr>
            </w:pPr>
            <w:r>
              <w:rPr>
                <w:color w:val="auto"/>
                <w:sz w:val="16"/>
                <w:szCs w:val="18"/>
              </w:rPr>
              <w:t>3.9</w:t>
            </w:r>
          </w:p>
        </w:tc>
        <w:tc>
          <w:tcPr>
            <w:tcW w:w="271" w:type="pct"/>
            <w:tcBorders>
              <w:top w:val="single" w:color="auto" w:sz="4" w:space="0"/>
              <w:left w:val="single" w:color="auto" w:sz="4" w:space="0"/>
              <w:bottom w:val="single" w:color="auto" w:sz="4" w:space="0"/>
              <w:right w:val="single" w:color="auto" w:sz="4" w:space="0"/>
            </w:tcBorders>
            <w:vAlign w:val="center"/>
          </w:tcPr>
          <w:p w14:paraId="5730961E">
            <w:pPr>
              <w:pStyle w:val="751"/>
              <w:rPr>
                <w:color w:val="auto"/>
                <w:sz w:val="16"/>
                <w:szCs w:val="18"/>
              </w:rPr>
            </w:pPr>
            <w:r>
              <w:rPr>
                <w:color w:val="auto"/>
                <w:sz w:val="16"/>
                <w:szCs w:val="18"/>
              </w:rPr>
              <w:t>8.1</w:t>
            </w:r>
          </w:p>
        </w:tc>
        <w:tc>
          <w:tcPr>
            <w:tcW w:w="271" w:type="pct"/>
            <w:tcBorders>
              <w:top w:val="single" w:color="auto" w:sz="4" w:space="0"/>
              <w:left w:val="single" w:color="auto" w:sz="4" w:space="0"/>
              <w:bottom w:val="single" w:color="auto" w:sz="4" w:space="0"/>
              <w:right w:val="single" w:color="auto" w:sz="4" w:space="0"/>
            </w:tcBorders>
            <w:vAlign w:val="center"/>
          </w:tcPr>
          <w:p w14:paraId="6F72BC86">
            <w:pPr>
              <w:pStyle w:val="751"/>
              <w:rPr>
                <w:color w:val="auto"/>
                <w:sz w:val="16"/>
                <w:szCs w:val="18"/>
              </w:rPr>
            </w:pPr>
            <w:r>
              <w:rPr>
                <w:color w:val="auto"/>
                <w:sz w:val="16"/>
                <w:szCs w:val="18"/>
              </w:rPr>
              <w:t>12.4</w:t>
            </w:r>
          </w:p>
        </w:tc>
        <w:tc>
          <w:tcPr>
            <w:tcW w:w="271" w:type="pct"/>
            <w:tcBorders>
              <w:top w:val="single" w:color="auto" w:sz="4" w:space="0"/>
              <w:left w:val="single" w:color="auto" w:sz="4" w:space="0"/>
              <w:bottom w:val="single" w:color="auto" w:sz="4" w:space="0"/>
              <w:right w:val="single" w:color="auto" w:sz="4" w:space="0"/>
            </w:tcBorders>
            <w:vAlign w:val="center"/>
          </w:tcPr>
          <w:p w14:paraId="55B7BB00">
            <w:pPr>
              <w:pStyle w:val="751"/>
              <w:rPr>
                <w:color w:val="auto"/>
                <w:sz w:val="16"/>
                <w:szCs w:val="18"/>
              </w:rPr>
            </w:pPr>
            <w:r>
              <w:rPr>
                <w:color w:val="auto"/>
                <w:sz w:val="16"/>
                <w:szCs w:val="18"/>
              </w:rPr>
              <w:t>7.4</w:t>
            </w:r>
          </w:p>
        </w:tc>
        <w:tc>
          <w:tcPr>
            <w:tcW w:w="299" w:type="pct"/>
            <w:tcBorders>
              <w:top w:val="single" w:color="auto" w:sz="4" w:space="0"/>
              <w:left w:val="single" w:color="auto" w:sz="4" w:space="0"/>
              <w:bottom w:val="single" w:color="auto" w:sz="4" w:space="0"/>
              <w:right w:val="single" w:color="auto" w:sz="4" w:space="0"/>
            </w:tcBorders>
            <w:vAlign w:val="center"/>
          </w:tcPr>
          <w:p w14:paraId="703E6D4F">
            <w:pPr>
              <w:pStyle w:val="751"/>
              <w:rPr>
                <w:color w:val="auto"/>
                <w:sz w:val="16"/>
                <w:szCs w:val="18"/>
              </w:rPr>
            </w:pPr>
            <w:r>
              <w:rPr>
                <w:color w:val="auto"/>
                <w:sz w:val="16"/>
                <w:szCs w:val="18"/>
              </w:rPr>
              <w:t>5.7</w:t>
            </w:r>
          </w:p>
        </w:tc>
        <w:tc>
          <w:tcPr>
            <w:tcW w:w="249" w:type="pct"/>
            <w:tcBorders>
              <w:top w:val="single" w:color="auto" w:sz="4" w:space="0"/>
              <w:left w:val="single" w:color="auto" w:sz="4" w:space="0"/>
              <w:bottom w:val="single" w:color="auto" w:sz="4" w:space="0"/>
              <w:right w:val="single" w:color="auto" w:sz="4" w:space="0"/>
            </w:tcBorders>
            <w:vAlign w:val="center"/>
          </w:tcPr>
          <w:p w14:paraId="42A1FFA0">
            <w:pPr>
              <w:pStyle w:val="751"/>
              <w:rPr>
                <w:color w:val="auto"/>
                <w:sz w:val="16"/>
                <w:szCs w:val="18"/>
              </w:rPr>
            </w:pPr>
            <w:r>
              <w:rPr>
                <w:color w:val="auto"/>
                <w:sz w:val="16"/>
                <w:szCs w:val="18"/>
              </w:rPr>
              <w:t>4.6</w:t>
            </w:r>
          </w:p>
        </w:tc>
        <w:tc>
          <w:tcPr>
            <w:tcW w:w="333" w:type="pct"/>
            <w:tcBorders>
              <w:top w:val="single" w:color="auto" w:sz="4" w:space="0"/>
              <w:left w:val="single" w:color="auto" w:sz="4" w:space="0"/>
              <w:bottom w:val="single" w:color="auto" w:sz="4" w:space="0"/>
              <w:right w:val="single" w:color="auto" w:sz="4" w:space="0"/>
            </w:tcBorders>
            <w:vAlign w:val="center"/>
          </w:tcPr>
          <w:p w14:paraId="11017470">
            <w:pPr>
              <w:pStyle w:val="751"/>
              <w:rPr>
                <w:color w:val="auto"/>
                <w:sz w:val="16"/>
                <w:szCs w:val="18"/>
              </w:rPr>
            </w:pPr>
            <w:r>
              <w:rPr>
                <w:color w:val="auto"/>
                <w:sz w:val="16"/>
                <w:szCs w:val="18"/>
              </w:rPr>
              <w:t>4.9</w:t>
            </w:r>
          </w:p>
        </w:tc>
        <w:tc>
          <w:tcPr>
            <w:tcW w:w="227" w:type="pct"/>
            <w:tcBorders>
              <w:top w:val="single" w:color="auto" w:sz="4" w:space="0"/>
              <w:left w:val="single" w:color="auto" w:sz="4" w:space="0"/>
              <w:bottom w:val="single" w:color="auto" w:sz="4" w:space="0"/>
              <w:right w:val="single" w:color="auto" w:sz="4" w:space="0"/>
            </w:tcBorders>
            <w:vAlign w:val="center"/>
          </w:tcPr>
          <w:p w14:paraId="7AB9BE25">
            <w:pPr>
              <w:pStyle w:val="751"/>
              <w:rPr>
                <w:color w:val="auto"/>
                <w:sz w:val="16"/>
                <w:szCs w:val="18"/>
              </w:rPr>
            </w:pPr>
            <w:r>
              <w:rPr>
                <w:color w:val="auto"/>
                <w:sz w:val="16"/>
                <w:szCs w:val="18"/>
              </w:rPr>
              <w:t>4.7</w:t>
            </w:r>
          </w:p>
        </w:tc>
        <w:tc>
          <w:tcPr>
            <w:tcW w:w="348" w:type="pct"/>
            <w:tcBorders>
              <w:top w:val="single" w:color="auto" w:sz="4" w:space="0"/>
              <w:left w:val="single" w:color="auto" w:sz="4" w:space="0"/>
              <w:bottom w:val="single" w:color="auto" w:sz="4" w:space="0"/>
              <w:right w:val="single" w:color="auto" w:sz="4" w:space="0"/>
            </w:tcBorders>
            <w:vAlign w:val="center"/>
          </w:tcPr>
          <w:p w14:paraId="2C1868C7">
            <w:pPr>
              <w:pStyle w:val="751"/>
              <w:rPr>
                <w:color w:val="auto"/>
                <w:sz w:val="16"/>
                <w:szCs w:val="18"/>
              </w:rPr>
            </w:pPr>
            <w:r>
              <w:rPr>
                <w:color w:val="auto"/>
                <w:sz w:val="16"/>
                <w:szCs w:val="18"/>
              </w:rPr>
              <w:t>5.6</w:t>
            </w:r>
          </w:p>
        </w:tc>
        <w:tc>
          <w:tcPr>
            <w:tcW w:w="264" w:type="pct"/>
            <w:tcBorders>
              <w:top w:val="single" w:color="auto" w:sz="4" w:space="0"/>
              <w:left w:val="single" w:color="auto" w:sz="4" w:space="0"/>
              <w:bottom w:val="single" w:color="auto" w:sz="4" w:space="0"/>
              <w:right w:val="single" w:color="auto" w:sz="4" w:space="0"/>
            </w:tcBorders>
            <w:vAlign w:val="center"/>
          </w:tcPr>
          <w:p w14:paraId="5F42FFA9">
            <w:pPr>
              <w:pStyle w:val="751"/>
              <w:rPr>
                <w:color w:val="auto"/>
                <w:sz w:val="16"/>
                <w:szCs w:val="18"/>
              </w:rPr>
            </w:pPr>
            <w:r>
              <w:rPr>
                <w:color w:val="auto"/>
                <w:sz w:val="16"/>
                <w:szCs w:val="18"/>
              </w:rPr>
              <w:t>4.9</w:t>
            </w:r>
          </w:p>
        </w:tc>
        <w:tc>
          <w:tcPr>
            <w:tcW w:w="328" w:type="pct"/>
            <w:tcBorders>
              <w:top w:val="single" w:color="auto" w:sz="4" w:space="0"/>
              <w:left w:val="single" w:color="auto" w:sz="4" w:space="0"/>
              <w:bottom w:val="single" w:color="auto" w:sz="4" w:space="0"/>
              <w:right w:val="single" w:color="auto" w:sz="4" w:space="0"/>
            </w:tcBorders>
            <w:vAlign w:val="center"/>
          </w:tcPr>
          <w:p w14:paraId="0EB47361">
            <w:pPr>
              <w:pStyle w:val="751"/>
              <w:rPr>
                <w:color w:val="auto"/>
                <w:sz w:val="16"/>
                <w:szCs w:val="18"/>
              </w:rPr>
            </w:pPr>
            <w:r>
              <w:rPr>
                <w:color w:val="auto"/>
                <w:sz w:val="16"/>
                <w:szCs w:val="18"/>
              </w:rPr>
              <w:t>2.7</w:t>
            </w:r>
          </w:p>
        </w:tc>
        <w:tc>
          <w:tcPr>
            <w:tcW w:w="271" w:type="pct"/>
            <w:tcBorders>
              <w:top w:val="single" w:color="auto" w:sz="4" w:space="0"/>
              <w:left w:val="single" w:color="auto" w:sz="4" w:space="0"/>
              <w:bottom w:val="single" w:color="auto" w:sz="4" w:space="0"/>
              <w:right w:val="single" w:color="auto" w:sz="4" w:space="0"/>
            </w:tcBorders>
            <w:vAlign w:val="center"/>
          </w:tcPr>
          <w:p w14:paraId="50113A0A">
            <w:pPr>
              <w:pStyle w:val="751"/>
              <w:rPr>
                <w:color w:val="auto"/>
                <w:sz w:val="16"/>
                <w:szCs w:val="18"/>
              </w:rPr>
            </w:pPr>
            <w:r>
              <w:rPr>
                <w:color w:val="auto"/>
                <w:sz w:val="16"/>
                <w:szCs w:val="18"/>
              </w:rPr>
              <w:t>23.4</w:t>
            </w:r>
          </w:p>
        </w:tc>
      </w:tr>
      <w:tr w14:paraId="1956B22F">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10DC45EB">
            <w:pPr>
              <w:pStyle w:val="751"/>
              <w:rPr>
                <w:color w:val="auto"/>
                <w:sz w:val="16"/>
                <w:szCs w:val="18"/>
              </w:rPr>
            </w:pPr>
            <w:r>
              <w:rPr>
                <w:color w:val="auto"/>
                <w:sz w:val="16"/>
                <w:szCs w:val="18"/>
              </w:rPr>
              <w:t>十一月</w:t>
            </w:r>
          </w:p>
        </w:tc>
        <w:tc>
          <w:tcPr>
            <w:tcW w:w="227" w:type="pct"/>
            <w:tcBorders>
              <w:top w:val="single" w:color="auto" w:sz="4" w:space="0"/>
              <w:left w:val="single" w:color="auto" w:sz="4" w:space="0"/>
              <w:bottom w:val="single" w:color="auto" w:sz="4" w:space="0"/>
              <w:right w:val="single" w:color="auto" w:sz="4" w:space="0"/>
            </w:tcBorders>
            <w:vAlign w:val="center"/>
          </w:tcPr>
          <w:p w14:paraId="5D118868">
            <w:pPr>
              <w:pStyle w:val="751"/>
              <w:rPr>
                <w:color w:val="auto"/>
                <w:sz w:val="16"/>
                <w:szCs w:val="18"/>
              </w:rPr>
            </w:pPr>
            <w:r>
              <w:rPr>
                <w:color w:val="auto"/>
                <w:sz w:val="16"/>
                <w:szCs w:val="18"/>
              </w:rPr>
              <w:t>2.4</w:t>
            </w:r>
          </w:p>
        </w:tc>
        <w:tc>
          <w:tcPr>
            <w:tcW w:w="298" w:type="pct"/>
            <w:tcBorders>
              <w:top w:val="single" w:color="auto" w:sz="4" w:space="0"/>
              <w:left w:val="single" w:color="auto" w:sz="4" w:space="0"/>
              <w:bottom w:val="single" w:color="auto" w:sz="4" w:space="0"/>
              <w:right w:val="single" w:color="auto" w:sz="4" w:space="0"/>
            </w:tcBorders>
            <w:vAlign w:val="center"/>
          </w:tcPr>
          <w:p w14:paraId="5D81C6AF">
            <w:pPr>
              <w:pStyle w:val="751"/>
              <w:rPr>
                <w:color w:val="auto"/>
                <w:sz w:val="16"/>
                <w:szCs w:val="18"/>
              </w:rPr>
            </w:pPr>
            <w:r>
              <w:rPr>
                <w:color w:val="auto"/>
                <w:sz w:val="16"/>
                <w:szCs w:val="18"/>
              </w:rPr>
              <w:t>2.6</w:t>
            </w:r>
          </w:p>
        </w:tc>
        <w:tc>
          <w:tcPr>
            <w:tcW w:w="271" w:type="pct"/>
            <w:tcBorders>
              <w:top w:val="single" w:color="auto" w:sz="4" w:space="0"/>
              <w:left w:val="single" w:color="auto" w:sz="4" w:space="0"/>
              <w:bottom w:val="single" w:color="auto" w:sz="4" w:space="0"/>
              <w:right w:val="single" w:color="auto" w:sz="4" w:space="0"/>
            </w:tcBorders>
            <w:vAlign w:val="center"/>
          </w:tcPr>
          <w:p w14:paraId="0224DE7D">
            <w:pPr>
              <w:pStyle w:val="751"/>
              <w:rPr>
                <w:color w:val="auto"/>
                <w:sz w:val="16"/>
                <w:szCs w:val="18"/>
              </w:rPr>
            </w:pPr>
            <w:r>
              <w:rPr>
                <w:color w:val="auto"/>
                <w:sz w:val="16"/>
                <w:szCs w:val="18"/>
              </w:rPr>
              <w:t>1.6</w:t>
            </w:r>
          </w:p>
        </w:tc>
        <w:tc>
          <w:tcPr>
            <w:tcW w:w="289" w:type="pct"/>
            <w:tcBorders>
              <w:top w:val="single" w:color="auto" w:sz="4" w:space="0"/>
              <w:left w:val="single" w:color="auto" w:sz="4" w:space="0"/>
              <w:bottom w:val="single" w:color="auto" w:sz="4" w:space="0"/>
              <w:right w:val="single" w:color="auto" w:sz="4" w:space="0"/>
            </w:tcBorders>
            <w:vAlign w:val="center"/>
          </w:tcPr>
          <w:p w14:paraId="039C206E">
            <w:pPr>
              <w:pStyle w:val="751"/>
              <w:rPr>
                <w:color w:val="auto"/>
                <w:sz w:val="16"/>
                <w:szCs w:val="18"/>
              </w:rPr>
            </w:pPr>
            <w:r>
              <w:rPr>
                <w:color w:val="auto"/>
                <w:sz w:val="16"/>
                <w:szCs w:val="18"/>
              </w:rPr>
              <w:t>1.6</w:t>
            </w:r>
          </w:p>
        </w:tc>
        <w:tc>
          <w:tcPr>
            <w:tcW w:w="227" w:type="pct"/>
            <w:tcBorders>
              <w:top w:val="single" w:color="auto" w:sz="4" w:space="0"/>
              <w:left w:val="single" w:color="auto" w:sz="4" w:space="0"/>
              <w:bottom w:val="single" w:color="auto" w:sz="4" w:space="0"/>
              <w:right w:val="single" w:color="auto" w:sz="4" w:space="0"/>
            </w:tcBorders>
            <w:vAlign w:val="center"/>
          </w:tcPr>
          <w:p w14:paraId="15A9F8CB">
            <w:pPr>
              <w:pStyle w:val="751"/>
              <w:rPr>
                <w:color w:val="auto"/>
                <w:sz w:val="16"/>
                <w:szCs w:val="18"/>
              </w:rPr>
            </w:pPr>
            <w:r>
              <w:rPr>
                <w:color w:val="auto"/>
                <w:sz w:val="16"/>
                <w:szCs w:val="18"/>
              </w:rPr>
              <w:t>2.3</w:t>
            </w:r>
          </w:p>
        </w:tc>
        <w:tc>
          <w:tcPr>
            <w:tcW w:w="275" w:type="pct"/>
            <w:tcBorders>
              <w:top w:val="single" w:color="auto" w:sz="4" w:space="0"/>
              <w:left w:val="single" w:color="auto" w:sz="4" w:space="0"/>
              <w:bottom w:val="single" w:color="auto" w:sz="4" w:space="0"/>
              <w:right w:val="single" w:color="auto" w:sz="4" w:space="0"/>
            </w:tcBorders>
            <w:vAlign w:val="center"/>
          </w:tcPr>
          <w:p w14:paraId="2C691587">
            <w:pPr>
              <w:pStyle w:val="751"/>
              <w:rPr>
                <w:color w:val="auto"/>
                <w:sz w:val="16"/>
                <w:szCs w:val="18"/>
              </w:rPr>
            </w:pPr>
            <w:r>
              <w:rPr>
                <w:color w:val="auto"/>
                <w:sz w:val="16"/>
                <w:szCs w:val="18"/>
              </w:rPr>
              <w:t>4.1</w:t>
            </w:r>
          </w:p>
        </w:tc>
        <w:tc>
          <w:tcPr>
            <w:tcW w:w="271" w:type="pct"/>
            <w:tcBorders>
              <w:top w:val="single" w:color="auto" w:sz="4" w:space="0"/>
              <w:left w:val="single" w:color="auto" w:sz="4" w:space="0"/>
              <w:bottom w:val="single" w:color="auto" w:sz="4" w:space="0"/>
              <w:right w:val="single" w:color="auto" w:sz="4" w:space="0"/>
            </w:tcBorders>
            <w:vAlign w:val="center"/>
          </w:tcPr>
          <w:p w14:paraId="4B5428A2">
            <w:pPr>
              <w:pStyle w:val="751"/>
              <w:rPr>
                <w:color w:val="auto"/>
                <w:sz w:val="16"/>
                <w:szCs w:val="18"/>
              </w:rPr>
            </w:pPr>
            <w:r>
              <w:rPr>
                <w:color w:val="auto"/>
                <w:sz w:val="16"/>
                <w:szCs w:val="18"/>
              </w:rPr>
              <w:t>6.0</w:t>
            </w:r>
          </w:p>
        </w:tc>
        <w:tc>
          <w:tcPr>
            <w:tcW w:w="271" w:type="pct"/>
            <w:tcBorders>
              <w:top w:val="single" w:color="auto" w:sz="4" w:space="0"/>
              <w:left w:val="single" w:color="auto" w:sz="4" w:space="0"/>
              <w:bottom w:val="single" w:color="auto" w:sz="4" w:space="0"/>
              <w:right w:val="single" w:color="auto" w:sz="4" w:space="0"/>
            </w:tcBorders>
            <w:vAlign w:val="center"/>
          </w:tcPr>
          <w:p w14:paraId="23F43B9F">
            <w:pPr>
              <w:pStyle w:val="751"/>
              <w:rPr>
                <w:color w:val="auto"/>
                <w:sz w:val="16"/>
                <w:szCs w:val="18"/>
              </w:rPr>
            </w:pPr>
            <w:r>
              <w:rPr>
                <w:color w:val="auto"/>
                <w:sz w:val="16"/>
                <w:szCs w:val="18"/>
              </w:rPr>
              <w:t>8.3</w:t>
            </w:r>
          </w:p>
        </w:tc>
        <w:tc>
          <w:tcPr>
            <w:tcW w:w="271" w:type="pct"/>
            <w:tcBorders>
              <w:top w:val="single" w:color="auto" w:sz="4" w:space="0"/>
              <w:left w:val="single" w:color="auto" w:sz="4" w:space="0"/>
              <w:bottom w:val="single" w:color="auto" w:sz="4" w:space="0"/>
              <w:right w:val="single" w:color="auto" w:sz="4" w:space="0"/>
            </w:tcBorders>
            <w:vAlign w:val="center"/>
          </w:tcPr>
          <w:p w14:paraId="371E7598">
            <w:pPr>
              <w:pStyle w:val="751"/>
              <w:rPr>
                <w:color w:val="auto"/>
                <w:sz w:val="16"/>
                <w:szCs w:val="18"/>
              </w:rPr>
            </w:pPr>
            <w:r>
              <w:rPr>
                <w:color w:val="auto"/>
                <w:sz w:val="16"/>
                <w:szCs w:val="18"/>
              </w:rPr>
              <w:t>7.2</w:t>
            </w:r>
          </w:p>
        </w:tc>
        <w:tc>
          <w:tcPr>
            <w:tcW w:w="299" w:type="pct"/>
            <w:tcBorders>
              <w:top w:val="single" w:color="auto" w:sz="4" w:space="0"/>
              <w:left w:val="single" w:color="auto" w:sz="4" w:space="0"/>
              <w:bottom w:val="single" w:color="auto" w:sz="4" w:space="0"/>
              <w:right w:val="single" w:color="auto" w:sz="4" w:space="0"/>
            </w:tcBorders>
            <w:vAlign w:val="center"/>
          </w:tcPr>
          <w:p w14:paraId="6F193D2B">
            <w:pPr>
              <w:pStyle w:val="751"/>
              <w:rPr>
                <w:color w:val="auto"/>
                <w:sz w:val="16"/>
                <w:szCs w:val="18"/>
              </w:rPr>
            </w:pPr>
            <w:r>
              <w:rPr>
                <w:color w:val="auto"/>
                <w:sz w:val="16"/>
                <w:szCs w:val="18"/>
              </w:rPr>
              <w:t>6.9</w:t>
            </w:r>
          </w:p>
        </w:tc>
        <w:tc>
          <w:tcPr>
            <w:tcW w:w="249" w:type="pct"/>
            <w:tcBorders>
              <w:top w:val="single" w:color="auto" w:sz="4" w:space="0"/>
              <w:left w:val="single" w:color="auto" w:sz="4" w:space="0"/>
              <w:bottom w:val="single" w:color="auto" w:sz="4" w:space="0"/>
              <w:right w:val="single" w:color="auto" w:sz="4" w:space="0"/>
            </w:tcBorders>
            <w:vAlign w:val="center"/>
          </w:tcPr>
          <w:p w14:paraId="6337F4B8">
            <w:pPr>
              <w:pStyle w:val="751"/>
              <w:rPr>
                <w:color w:val="auto"/>
                <w:sz w:val="16"/>
                <w:szCs w:val="18"/>
              </w:rPr>
            </w:pPr>
            <w:r>
              <w:rPr>
                <w:color w:val="auto"/>
                <w:sz w:val="16"/>
                <w:szCs w:val="18"/>
              </w:rPr>
              <w:t>5.2</w:t>
            </w:r>
          </w:p>
        </w:tc>
        <w:tc>
          <w:tcPr>
            <w:tcW w:w="333" w:type="pct"/>
            <w:tcBorders>
              <w:top w:val="single" w:color="auto" w:sz="4" w:space="0"/>
              <w:left w:val="single" w:color="auto" w:sz="4" w:space="0"/>
              <w:bottom w:val="single" w:color="auto" w:sz="4" w:space="0"/>
              <w:right w:val="single" w:color="auto" w:sz="4" w:space="0"/>
            </w:tcBorders>
            <w:vAlign w:val="center"/>
          </w:tcPr>
          <w:p w14:paraId="531D010D">
            <w:pPr>
              <w:pStyle w:val="751"/>
              <w:rPr>
                <w:color w:val="auto"/>
                <w:sz w:val="16"/>
                <w:szCs w:val="18"/>
              </w:rPr>
            </w:pPr>
            <w:r>
              <w:rPr>
                <w:color w:val="auto"/>
                <w:sz w:val="16"/>
                <w:szCs w:val="18"/>
              </w:rPr>
              <w:t>4.8</w:t>
            </w:r>
          </w:p>
        </w:tc>
        <w:tc>
          <w:tcPr>
            <w:tcW w:w="227" w:type="pct"/>
            <w:tcBorders>
              <w:top w:val="single" w:color="auto" w:sz="4" w:space="0"/>
              <w:left w:val="single" w:color="auto" w:sz="4" w:space="0"/>
              <w:bottom w:val="single" w:color="auto" w:sz="4" w:space="0"/>
              <w:right w:val="single" w:color="auto" w:sz="4" w:space="0"/>
            </w:tcBorders>
            <w:vAlign w:val="center"/>
          </w:tcPr>
          <w:p w14:paraId="71F81215">
            <w:pPr>
              <w:pStyle w:val="751"/>
              <w:rPr>
                <w:color w:val="auto"/>
                <w:sz w:val="16"/>
                <w:szCs w:val="18"/>
              </w:rPr>
            </w:pPr>
            <w:r>
              <w:rPr>
                <w:color w:val="auto"/>
                <w:sz w:val="16"/>
                <w:szCs w:val="18"/>
              </w:rPr>
              <w:t>5.8</w:t>
            </w:r>
          </w:p>
        </w:tc>
        <w:tc>
          <w:tcPr>
            <w:tcW w:w="348" w:type="pct"/>
            <w:tcBorders>
              <w:top w:val="single" w:color="auto" w:sz="4" w:space="0"/>
              <w:left w:val="single" w:color="auto" w:sz="4" w:space="0"/>
              <w:bottom w:val="single" w:color="auto" w:sz="4" w:space="0"/>
              <w:right w:val="single" w:color="auto" w:sz="4" w:space="0"/>
            </w:tcBorders>
            <w:vAlign w:val="center"/>
          </w:tcPr>
          <w:p w14:paraId="7A73027A">
            <w:pPr>
              <w:pStyle w:val="751"/>
              <w:rPr>
                <w:color w:val="auto"/>
                <w:sz w:val="16"/>
                <w:szCs w:val="18"/>
              </w:rPr>
            </w:pPr>
            <w:r>
              <w:rPr>
                <w:color w:val="auto"/>
                <w:sz w:val="16"/>
                <w:szCs w:val="18"/>
              </w:rPr>
              <w:t>7.3</w:t>
            </w:r>
          </w:p>
        </w:tc>
        <w:tc>
          <w:tcPr>
            <w:tcW w:w="264" w:type="pct"/>
            <w:tcBorders>
              <w:top w:val="single" w:color="auto" w:sz="4" w:space="0"/>
              <w:left w:val="single" w:color="auto" w:sz="4" w:space="0"/>
              <w:bottom w:val="single" w:color="auto" w:sz="4" w:space="0"/>
              <w:right w:val="single" w:color="auto" w:sz="4" w:space="0"/>
            </w:tcBorders>
            <w:vAlign w:val="center"/>
          </w:tcPr>
          <w:p w14:paraId="24535103">
            <w:pPr>
              <w:pStyle w:val="751"/>
              <w:rPr>
                <w:color w:val="auto"/>
                <w:sz w:val="16"/>
                <w:szCs w:val="18"/>
              </w:rPr>
            </w:pPr>
            <w:r>
              <w:rPr>
                <w:color w:val="auto"/>
                <w:sz w:val="16"/>
                <w:szCs w:val="18"/>
              </w:rPr>
              <w:t>4.9</w:t>
            </w:r>
          </w:p>
        </w:tc>
        <w:tc>
          <w:tcPr>
            <w:tcW w:w="328" w:type="pct"/>
            <w:tcBorders>
              <w:top w:val="single" w:color="auto" w:sz="4" w:space="0"/>
              <w:left w:val="single" w:color="auto" w:sz="4" w:space="0"/>
              <w:bottom w:val="single" w:color="auto" w:sz="4" w:space="0"/>
              <w:right w:val="single" w:color="auto" w:sz="4" w:space="0"/>
            </w:tcBorders>
            <w:vAlign w:val="center"/>
          </w:tcPr>
          <w:p w14:paraId="0566E6FC">
            <w:pPr>
              <w:pStyle w:val="751"/>
              <w:rPr>
                <w:color w:val="auto"/>
                <w:sz w:val="16"/>
                <w:szCs w:val="18"/>
              </w:rPr>
            </w:pPr>
            <w:r>
              <w:rPr>
                <w:color w:val="auto"/>
                <w:sz w:val="16"/>
                <w:szCs w:val="18"/>
              </w:rPr>
              <w:t>3.0</w:t>
            </w:r>
          </w:p>
        </w:tc>
        <w:tc>
          <w:tcPr>
            <w:tcW w:w="271" w:type="pct"/>
            <w:tcBorders>
              <w:top w:val="single" w:color="auto" w:sz="4" w:space="0"/>
              <w:left w:val="single" w:color="auto" w:sz="4" w:space="0"/>
              <w:bottom w:val="single" w:color="auto" w:sz="4" w:space="0"/>
              <w:right w:val="single" w:color="auto" w:sz="4" w:space="0"/>
            </w:tcBorders>
            <w:vAlign w:val="center"/>
          </w:tcPr>
          <w:p w14:paraId="5A825703">
            <w:pPr>
              <w:pStyle w:val="751"/>
              <w:rPr>
                <w:color w:val="auto"/>
                <w:sz w:val="16"/>
                <w:szCs w:val="18"/>
              </w:rPr>
            </w:pPr>
            <w:r>
              <w:rPr>
                <w:color w:val="auto"/>
                <w:sz w:val="16"/>
                <w:szCs w:val="18"/>
              </w:rPr>
              <w:t>27.6</w:t>
            </w:r>
          </w:p>
        </w:tc>
      </w:tr>
      <w:tr w14:paraId="409E0AC8">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20"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0A5A6145">
            <w:pPr>
              <w:pStyle w:val="751"/>
              <w:rPr>
                <w:color w:val="auto"/>
                <w:sz w:val="16"/>
                <w:szCs w:val="18"/>
              </w:rPr>
            </w:pPr>
            <w:r>
              <w:rPr>
                <w:color w:val="auto"/>
                <w:sz w:val="16"/>
                <w:szCs w:val="18"/>
              </w:rPr>
              <w:t>十二月</w:t>
            </w:r>
          </w:p>
        </w:tc>
        <w:tc>
          <w:tcPr>
            <w:tcW w:w="227" w:type="pct"/>
            <w:tcBorders>
              <w:top w:val="single" w:color="auto" w:sz="4" w:space="0"/>
              <w:left w:val="single" w:color="auto" w:sz="4" w:space="0"/>
              <w:bottom w:val="single" w:color="auto" w:sz="4" w:space="0"/>
              <w:right w:val="single" w:color="auto" w:sz="4" w:space="0"/>
            </w:tcBorders>
            <w:vAlign w:val="center"/>
          </w:tcPr>
          <w:p w14:paraId="41CA116D">
            <w:pPr>
              <w:pStyle w:val="751"/>
              <w:rPr>
                <w:color w:val="auto"/>
                <w:sz w:val="16"/>
                <w:szCs w:val="18"/>
              </w:rPr>
            </w:pPr>
            <w:r>
              <w:rPr>
                <w:color w:val="auto"/>
                <w:sz w:val="16"/>
                <w:szCs w:val="18"/>
              </w:rPr>
              <w:t>2.7</w:t>
            </w:r>
          </w:p>
        </w:tc>
        <w:tc>
          <w:tcPr>
            <w:tcW w:w="298" w:type="pct"/>
            <w:tcBorders>
              <w:top w:val="single" w:color="auto" w:sz="4" w:space="0"/>
              <w:left w:val="single" w:color="auto" w:sz="4" w:space="0"/>
              <w:bottom w:val="single" w:color="auto" w:sz="4" w:space="0"/>
              <w:right w:val="single" w:color="auto" w:sz="4" w:space="0"/>
            </w:tcBorders>
            <w:vAlign w:val="center"/>
          </w:tcPr>
          <w:p w14:paraId="48B87FA0">
            <w:pPr>
              <w:pStyle w:val="751"/>
              <w:rPr>
                <w:color w:val="auto"/>
                <w:sz w:val="16"/>
                <w:szCs w:val="18"/>
              </w:rPr>
            </w:pPr>
            <w:r>
              <w:rPr>
                <w:color w:val="auto"/>
                <w:sz w:val="16"/>
                <w:szCs w:val="18"/>
              </w:rPr>
              <w:t>2.7</w:t>
            </w:r>
          </w:p>
        </w:tc>
        <w:tc>
          <w:tcPr>
            <w:tcW w:w="271" w:type="pct"/>
            <w:tcBorders>
              <w:top w:val="single" w:color="auto" w:sz="4" w:space="0"/>
              <w:left w:val="single" w:color="auto" w:sz="4" w:space="0"/>
              <w:bottom w:val="single" w:color="auto" w:sz="4" w:space="0"/>
              <w:right w:val="single" w:color="auto" w:sz="4" w:space="0"/>
            </w:tcBorders>
            <w:vAlign w:val="center"/>
          </w:tcPr>
          <w:p w14:paraId="7C3D26E8">
            <w:pPr>
              <w:pStyle w:val="751"/>
              <w:rPr>
                <w:color w:val="auto"/>
                <w:sz w:val="16"/>
                <w:szCs w:val="18"/>
              </w:rPr>
            </w:pPr>
            <w:r>
              <w:rPr>
                <w:color w:val="auto"/>
                <w:sz w:val="16"/>
                <w:szCs w:val="18"/>
              </w:rPr>
              <w:t>1.9</w:t>
            </w:r>
          </w:p>
        </w:tc>
        <w:tc>
          <w:tcPr>
            <w:tcW w:w="289" w:type="pct"/>
            <w:tcBorders>
              <w:top w:val="single" w:color="auto" w:sz="4" w:space="0"/>
              <w:left w:val="single" w:color="auto" w:sz="4" w:space="0"/>
              <w:bottom w:val="single" w:color="auto" w:sz="4" w:space="0"/>
              <w:right w:val="single" w:color="auto" w:sz="4" w:space="0"/>
            </w:tcBorders>
            <w:vAlign w:val="center"/>
          </w:tcPr>
          <w:p w14:paraId="54B364A4">
            <w:pPr>
              <w:pStyle w:val="751"/>
              <w:rPr>
                <w:color w:val="auto"/>
                <w:sz w:val="16"/>
                <w:szCs w:val="18"/>
              </w:rPr>
            </w:pPr>
            <w:r>
              <w:rPr>
                <w:color w:val="auto"/>
                <w:sz w:val="16"/>
                <w:szCs w:val="18"/>
              </w:rPr>
              <w:t>2.5</w:t>
            </w:r>
          </w:p>
        </w:tc>
        <w:tc>
          <w:tcPr>
            <w:tcW w:w="227" w:type="pct"/>
            <w:tcBorders>
              <w:top w:val="single" w:color="auto" w:sz="4" w:space="0"/>
              <w:left w:val="single" w:color="auto" w:sz="4" w:space="0"/>
              <w:bottom w:val="single" w:color="auto" w:sz="4" w:space="0"/>
              <w:right w:val="single" w:color="auto" w:sz="4" w:space="0"/>
            </w:tcBorders>
            <w:vAlign w:val="center"/>
          </w:tcPr>
          <w:p w14:paraId="2D1E324E">
            <w:pPr>
              <w:pStyle w:val="751"/>
              <w:rPr>
                <w:color w:val="auto"/>
                <w:sz w:val="16"/>
                <w:szCs w:val="18"/>
              </w:rPr>
            </w:pPr>
            <w:r>
              <w:rPr>
                <w:color w:val="auto"/>
                <w:sz w:val="16"/>
                <w:szCs w:val="18"/>
              </w:rPr>
              <w:t>2.8</w:t>
            </w:r>
          </w:p>
        </w:tc>
        <w:tc>
          <w:tcPr>
            <w:tcW w:w="275" w:type="pct"/>
            <w:tcBorders>
              <w:top w:val="single" w:color="auto" w:sz="4" w:space="0"/>
              <w:left w:val="single" w:color="auto" w:sz="4" w:space="0"/>
              <w:bottom w:val="single" w:color="auto" w:sz="4" w:space="0"/>
              <w:right w:val="single" w:color="auto" w:sz="4" w:space="0"/>
            </w:tcBorders>
            <w:vAlign w:val="center"/>
          </w:tcPr>
          <w:p w14:paraId="57A2A91B">
            <w:pPr>
              <w:pStyle w:val="751"/>
              <w:rPr>
                <w:color w:val="auto"/>
                <w:sz w:val="16"/>
                <w:szCs w:val="18"/>
              </w:rPr>
            </w:pPr>
            <w:r>
              <w:rPr>
                <w:color w:val="auto"/>
                <w:sz w:val="16"/>
                <w:szCs w:val="18"/>
              </w:rPr>
              <w:t>3.2</w:t>
            </w:r>
          </w:p>
        </w:tc>
        <w:tc>
          <w:tcPr>
            <w:tcW w:w="271" w:type="pct"/>
            <w:tcBorders>
              <w:top w:val="single" w:color="auto" w:sz="4" w:space="0"/>
              <w:left w:val="single" w:color="auto" w:sz="4" w:space="0"/>
              <w:bottom w:val="single" w:color="auto" w:sz="4" w:space="0"/>
              <w:right w:val="single" w:color="auto" w:sz="4" w:space="0"/>
            </w:tcBorders>
            <w:vAlign w:val="center"/>
          </w:tcPr>
          <w:p w14:paraId="44F760BC">
            <w:pPr>
              <w:pStyle w:val="751"/>
              <w:rPr>
                <w:color w:val="auto"/>
                <w:sz w:val="16"/>
                <w:szCs w:val="18"/>
              </w:rPr>
            </w:pPr>
            <w:r>
              <w:rPr>
                <w:color w:val="auto"/>
                <w:sz w:val="16"/>
                <w:szCs w:val="18"/>
              </w:rPr>
              <w:t>5.6</w:t>
            </w:r>
          </w:p>
        </w:tc>
        <w:tc>
          <w:tcPr>
            <w:tcW w:w="271" w:type="pct"/>
            <w:tcBorders>
              <w:top w:val="single" w:color="auto" w:sz="4" w:space="0"/>
              <w:left w:val="single" w:color="auto" w:sz="4" w:space="0"/>
              <w:bottom w:val="single" w:color="auto" w:sz="4" w:space="0"/>
              <w:right w:val="single" w:color="auto" w:sz="4" w:space="0"/>
            </w:tcBorders>
            <w:vAlign w:val="center"/>
          </w:tcPr>
          <w:p w14:paraId="3392D42C">
            <w:pPr>
              <w:pStyle w:val="751"/>
              <w:rPr>
                <w:color w:val="auto"/>
                <w:sz w:val="16"/>
                <w:szCs w:val="18"/>
              </w:rPr>
            </w:pPr>
            <w:r>
              <w:rPr>
                <w:color w:val="auto"/>
                <w:sz w:val="16"/>
                <w:szCs w:val="18"/>
              </w:rPr>
              <w:t>5.4</w:t>
            </w:r>
          </w:p>
        </w:tc>
        <w:tc>
          <w:tcPr>
            <w:tcW w:w="271" w:type="pct"/>
            <w:tcBorders>
              <w:top w:val="single" w:color="auto" w:sz="4" w:space="0"/>
              <w:left w:val="single" w:color="auto" w:sz="4" w:space="0"/>
              <w:bottom w:val="single" w:color="auto" w:sz="4" w:space="0"/>
              <w:right w:val="single" w:color="auto" w:sz="4" w:space="0"/>
            </w:tcBorders>
            <w:vAlign w:val="center"/>
          </w:tcPr>
          <w:p w14:paraId="34B90F23">
            <w:pPr>
              <w:pStyle w:val="751"/>
              <w:rPr>
                <w:color w:val="auto"/>
                <w:sz w:val="16"/>
                <w:szCs w:val="18"/>
              </w:rPr>
            </w:pPr>
            <w:r>
              <w:rPr>
                <w:color w:val="auto"/>
                <w:sz w:val="16"/>
                <w:szCs w:val="18"/>
              </w:rPr>
              <w:t>6.1</w:t>
            </w:r>
          </w:p>
        </w:tc>
        <w:tc>
          <w:tcPr>
            <w:tcW w:w="299" w:type="pct"/>
            <w:tcBorders>
              <w:top w:val="single" w:color="auto" w:sz="4" w:space="0"/>
              <w:left w:val="single" w:color="auto" w:sz="4" w:space="0"/>
              <w:bottom w:val="single" w:color="auto" w:sz="4" w:space="0"/>
              <w:right w:val="single" w:color="auto" w:sz="4" w:space="0"/>
            </w:tcBorders>
            <w:vAlign w:val="center"/>
          </w:tcPr>
          <w:p w14:paraId="75C72680">
            <w:pPr>
              <w:pStyle w:val="751"/>
              <w:rPr>
                <w:color w:val="auto"/>
                <w:sz w:val="16"/>
                <w:szCs w:val="18"/>
              </w:rPr>
            </w:pPr>
            <w:r>
              <w:rPr>
                <w:color w:val="auto"/>
                <w:sz w:val="16"/>
                <w:szCs w:val="18"/>
              </w:rPr>
              <w:t>4.9</w:t>
            </w:r>
          </w:p>
        </w:tc>
        <w:tc>
          <w:tcPr>
            <w:tcW w:w="249" w:type="pct"/>
            <w:tcBorders>
              <w:top w:val="single" w:color="auto" w:sz="4" w:space="0"/>
              <w:left w:val="single" w:color="auto" w:sz="4" w:space="0"/>
              <w:bottom w:val="single" w:color="auto" w:sz="4" w:space="0"/>
              <w:right w:val="single" w:color="auto" w:sz="4" w:space="0"/>
            </w:tcBorders>
            <w:vAlign w:val="center"/>
          </w:tcPr>
          <w:p w14:paraId="1DAC7F32">
            <w:pPr>
              <w:pStyle w:val="751"/>
              <w:rPr>
                <w:color w:val="auto"/>
                <w:sz w:val="16"/>
                <w:szCs w:val="18"/>
              </w:rPr>
            </w:pPr>
            <w:r>
              <w:rPr>
                <w:color w:val="auto"/>
                <w:sz w:val="16"/>
                <w:szCs w:val="18"/>
              </w:rPr>
              <w:t>5.7</w:t>
            </w:r>
          </w:p>
        </w:tc>
        <w:tc>
          <w:tcPr>
            <w:tcW w:w="333" w:type="pct"/>
            <w:tcBorders>
              <w:top w:val="single" w:color="auto" w:sz="4" w:space="0"/>
              <w:left w:val="single" w:color="auto" w:sz="4" w:space="0"/>
              <w:bottom w:val="single" w:color="auto" w:sz="4" w:space="0"/>
              <w:right w:val="single" w:color="auto" w:sz="4" w:space="0"/>
            </w:tcBorders>
            <w:vAlign w:val="center"/>
          </w:tcPr>
          <w:p w14:paraId="1C592199">
            <w:pPr>
              <w:pStyle w:val="751"/>
              <w:rPr>
                <w:color w:val="auto"/>
                <w:sz w:val="16"/>
                <w:szCs w:val="18"/>
              </w:rPr>
            </w:pPr>
            <w:r>
              <w:rPr>
                <w:color w:val="auto"/>
                <w:sz w:val="16"/>
                <w:szCs w:val="18"/>
              </w:rPr>
              <w:t>4.5</w:t>
            </w:r>
          </w:p>
        </w:tc>
        <w:tc>
          <w:tcPr>
            <w:tcW w:w="227" w:type="pct"/>
            <w:tcBorders>
              <w:top w:val="single" w:color="auto" w:sz="4" w:space="0"/>
              <w:left w:val="single" w:color="auto" w:sz="4" w:space="0"/>
              <w:bottom w:val="single" w:color="auto" w:sz="4" w:space="0"/>
              <w:right w:val="single" w:color="auto" w:sz="4" w:space="0"/>
            </w:tcBorders>
            <w:vAlign w:val="center"/>
          </w:tcPr>
          <w:p w14:paraId="1625505D">
            <w:pPr>
              <w:pStyle w:val="751"/>
              <w:rPr>
                <w:color w:val="auto"/>
                <w:sz w:val="16"/>
                <w:szCs w:val="18"/>
              </w:rPr>
            </w:pPr>
            <w:r>
              <w:rPr>
                <w:color w:val="auto"/>
                <w:sz w:val="16"/>
                <w:szCs w:val="18"/>
              </w:rPr>
              <w:t>6.2</w:t>
            </w:r>
          </w:p>
        </w:tc>
        <w:tc>
          <w:tcPr>
            <w:tcW w:w="348" w:type="pct"/>
            <w:tcBorders>
              <w:top w:val="single" w:color="auto" w:sz="4" w:space="0"/>
              <w:left w:val="single" w:color="auto" w:sz="4" w:space="0"/>
              <w:bottom w:val="single" w:color="auto" w:sz="4" w:space="0"/>
              <w:right w:val="single" w:color="auto" w:sz="4" w:space="0"/>
            </w:tcBorders>
            <w:vAlign w:val="center"/>
          </w:tcPr>
          <w:p w14:paraId="5666C1C3">
            <w:pPr>
              <w:pStyle w:val="751"/>
              <w:rPr>
                <w:color w:val="auto"/>
                <w:sz w:val="16"/>
                <w:szCs w:val="18"/>
              </w:rPr>
            </w:pPr>
            <w:r>
              <w:rPr>
                <w:color w:val="auto"/>
                <w:sz w:val="16"/>
                <w:szCs w:val="18"/>
              </w:rPr>
              <w:t>5.6</w:t>
            </w:r>
          </w:p>
        </w:tc>
        <w:tc>
          <w:tcPr>
            <w:tcW w:w="264" w:type="pct"/>
            <w:tcBorders>
              <w:top w:val="single" w:color="auto" w:sz="4" w:space="0"/>
              <w:left w:val="single" w:color="auto" w:sz="4" w:space="0"/>
              <w:bottom w:val="single" w:color="auto" w:sz="4" w:space="0"/>
              <w:right w:val="single" w:color="auto" w:sz="4" w:space="0"/>
            </w:tcBorders>
            <w:vAlign w:val="center"/>
          </w:tcPr>
          <w:p w14:paraId="5FC16068">
            <w:pPr>
              <w:pStyle w:val="751"/>
              <w:rPr>
                <w:color w:val="auto"/>
                <w:sz w:val="16"/>
                <w:szCs w:val="18"/>
              </w:rPr>
            </w:pPr>
            <w:r>
              <w:rPr>
                <w:color w:val="auto"/>
                <w:sz w:val="16"/>
                <w:szCs w:val="18"/>
              </w:rPr>
              <w:t>5.0</w:t>
            </w:r>
          </w:p>
        </w:tc>
        <w:tc>
          <w:tcPr>
            <w:tcW w:w="328" w:type="pct"/>
            <w:tcBorders>
              <w:top w:val="single" w:color="auto" w:sz="4" w:space="0"/>
              <w:left w:val="single" w:color="auto" w:sz="4" w:space="0"/>
              <w:bottom w:val="single" w:color="auto" w:sz="4" w:space="0"/>
              <w:right w:val="single" w:color="auto" w:sz="4" w:space="0"/>
            </w:tcBorders>
            <w:vAlign w:val="center"/>
          </w:tcPr>
          <w:p w14:paraId="524F6953">
            <w:pPr>
              <w:pStyle w:val="751"/>
              <w:rPr>
                <w:color w:val="auto"/>
                <w:sz w:val="16"/>
                <w:szCs w:val="18"/>
              </w:rPr>
            </w:pPr>
            <w:r>
              <w:rPr>
                <w:color w:val="auto"/>
                <w:sz w:val="16"/>
                <w:szCs w:val="18"/>
              </w:rPr>
              <w:t>3.7</w:t>
            </w:r>
          </w:p>
        </w:tc>
        <w:tc>
          <w:tcPr>
            <w:tcW w:w="271" w:type="pct"/>
            <w:tcBorders>
              <w:top w:val="single" w:color="auto" w:sz="4" w:space="0"/>
              <w:left w:val="single" w:color="auto" w:sz="4" w:space="0"/>
              <w:bottom w:val="single" w:color="auto" w:sz="4" w:space="0"/>
              <w:right w:val="single" w:color="auto" w:sz="4" w:space="0"/>
            </w:tcBorders>
            <w:vAlign w:val="center"/>
          </w:tcPr>
          <w:p w14:paraId="426F1CA4">
            <w:pPr>
              <w:pStyle w:val="751"/>
              <w:rPr>
                <w:color w:val="auto"/>
                <w:sz w:val="16"/>
                <w:szCs w:val="18"/>
              </w:rPr>
            </w:pPr>
            <w:r>
              <w:rPr>
                <w:color w:val="auto"/>
                <w:sz w:val="16"/>
                <w:szCs w:val="18"/>
              </w:rPr>
              <w:t>31.7</w:t>
            </w:r>
          </w:p>
        </w:tc>
      </w:tr>
    </w:tbl>
    <w:p w14:paraId="28F81C93">
      <w:pPr>
        <w:pStyle w:val="748"/>
        <w:rPr>
          <w:szCs w:val="22"/>
        </w:rPr>
      </w:pPr>
      <w:r>
        <w:drawing>
          <wp:inline distT="0" distB="0" distL="0" distR="0">
            <wp:extent cx="5551805" cy="6993890"/>
            <wp:effectExtent l="0" t="0" r="0" b="0"/>
            <wp:docPr id="1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3.jpeg"/>
                    <pic:cNvPicPr>
                      <a:picLocks noChangeAspect="1"/>
                    </pic:cNvPicPr>
                  </pic:nvPicPr>
                  <pic:blipFill>
                    <a:blip r:embed="rId110" cstate="print"/>
                    <a:stretch>
                      <a:fillRect/>
                    </a:stretch>
                  </pic:blipFill>
                  <pic:spPr>
                    <a:xfrm>
                      <a:off x="0" y="0"/>
                      <a:ext cx="5552327" cy="6994017"/>
                    </a:xfrm>
                    <a:prstGeom prst="rect">
                      <a:avLst/>
                    </a:prstGeom>
                  </pic:spPr>
                </pic:pic>
              </a:graphicData>
            </a:graphic>
          </wp:inline>
        </w:drawing>
      </w:r>
    </w:p>
    <w:p w14:paraId="53FA5F9D">
      <w:pPr>
        <w:pStyle w:val="749"/>
        <w:rPr>
          <w:color w:val="auto"/>
        </w:rPr>
      </w:pPr>
      <w:r>
        <w:rPr>
          <w:color w:val="auto"/>
        </w:rPr>
        <w:t>图5.2-3乌海市近30年各季及全年风向频率玫瑰图</w:t>
      </w:r>
    </w:p>
    <w:p w14:paraId="655DD348">
      <w:pPr>
        <w:pStyle w:val="12"/>
      </w:pPr>
      <w:r>
        <w:t>5.2.1.3气温</w:t>
      </w:r>
    </w:p>
    <w:p w14:paraId="1FE3F3BF">
      <w:pPr>
        <w:pStyle w:val="104"/>
        <w:rPr>
          <w:b/>
        </w:rPr>
      </w:pPr>
      <w:r>
        <w:t>根据乌海气象站近30年各月平均气温的统计值（见表5.2-6）及逐月平均气温变化曲线（见图5.2-6），乌海近30年的年平均气温为10.1℃，全年最冷月为一月份，平均气温为-8.1℃，最热月出现在七月份，平均气温为25.9℃。</w:t>
      </w:r>
    </w:p>
    <w:p w14:paraId="523B225C">
      <w:pPr>
        <w:pStyle w:val="756"/>
      </w:pPr>
      <w:r>
        <w:t>表5.2-6  乌海市气象站近30年各月、年平均气温</w:t>
      </w:r>
      <w:r>
        <w:tab/>
      </w:r>
      <w:r>
        <w:t>单位：℃</w:t>
      </w:r>
    </w:p>
    <w:tbl>
      <w:tblPr>
        <w:tblStyle w:val="82"/>
        <w:tblW w:w="9126"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595"/>
        <w:gridCol w:w="595"/>
        <w:gridCol w:w="595"/>
        <w:gridCol w:w="595"/>
        <w:gridCol w:w="595"/>
        <w:gridCol w:w="595"/>
        <w:gridCol w:w="595"/>
        <w:gridCol w:w="595"/>
        <w:gridCol w:w="595"/>
        <w:gridCol w:w="596"/>
        <w:gridCol w:w="596"/>
        <w:gridCol w:w="596"/>
        <w:gridCol w:w="595"/>
      </w:tblGrid>
      <w:tr w14:paraId="018E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exact"/>
        </w:trPr>
        <w:tc>
          <w:tcPr>
            <w:tcW w:w="1388" w:type="dxa"/>
          </w:tcPr>
          <w:p w14:paraId="25AE9C31">
            <w:pPr>
              <w:pStyle w:val="751"/>
              <w:rPr>
                <w:color w:val="auto"/>
              </w:rPr>
            </w:pPr>
            <w:r>
              <w:rPr>
                <w:color w:val="auto"/>
              </w:rPr>
              <w:t>月/年</w:t>
            </w:r>
          </w:p>
        </w:tc>
        <w:tc>
          <w:tcPr>
            <w:tcW w:w="595" w:type="dxa"/>
          </w:tcPr>
          <w:p w14:paraId="3B5D28B2">
            <w:pPr>
              <w:pStyle w:val="751"/>
              <w:rPr>
                <w:color w:val="auto"/>
              </w:rPr>
            </w:pPr>
            <w:r>
              <w:rPr>
                <w:color w:val="auto"/>
              </w:rPr>
              <w:t>1</w:t>
            </w:r>
          </w:p>
        </w:tc>
        <w:tc>
          <w:tcPr>
            <w:tcW w:w="595" w:type="dxa"/>
          </w:tcPr>
          <w:p w14:paraId="64BC9EA6">
            <w:pPr>
              <w:pStyle w:val="751"/>
              <w:rPr>
                <w:color w:val="auto"/>
              </w:rPr>
            </w:pPr>
            <w:r>
              <w:rPr>
                <w:color w:val="auto"/>
              </w:rPr>
              <w:t>2</w:t>
            </w:r>
          </w:p>
        </w:tc>
        <w:tc>
          <w:tcPr>
            <w:tcW w:w="595" w:type="dxa"/>
          </w:tcPr>
          <w:p w14:paraId="1F4F6BA0">
            <w:pPr>
              <w:pStyle w:val="751"/>
              <w:rPr>
                <w:color w:val="auto"/>
              </w:rPr>
            </w:pPr>
            <w:r>
              <w:rPr>
                <w:color w:val="auto"/>
              </w:rPr>
              <w:t>3</w:t>
            </w:r>
          </w:p>
        </w:tc>
        <w:tc>
          <w:tcPr>
            <w:tcW w:w="595" w:type="dxa"/>
          </w:tcPr>
          <w:p w14:paraId="6CB30D0B">
            <w:pPr>
              <w:pStyle w:val="751"/>
              <w:rPr>
                <w:color w:val="auto"/>
              </w:rPr>
            </w:pPr>
            <w:r>
              <w:rPr>
                <w:color w:val="auto"/>
              </w:rPr>
              <w:t>4</w:t>
            </w:r>
          </w:p>
        </w:tc>
        <w:tc>
          <w:tcPr>
            <w:tcW w:w="595" w:type="dxa"/>
          </w:tcPr>
          <w:p w14:paraId="3C175A3C">
            <w:pPr>
              <w:pStyle w:val="751"/>
              <w:rPr>
                <w:color w:val="auto"/>
              </w:rPr>
            </w:pPr>
            <w:r>
              <w:rPr>
                <w:color w:val="auto"/>
              </w:rPr>
              <w:t>5</w:t>
            </w:r>
          </w:p>
        </w:tc>
        <w:tc>
          <w:tcPr>
            <w:tcW w:w="595" w:type="dxa"/>
          </w:tcPr>
          <w:p w14:paraId="5C9D93C3">
            <w:pPr>
              <w:pStyle w:val="751"/>
              <w:rPr>
                <w:color w:val="auto"/>
              </w:rPr>
            </w:pPr>
            <w:r>
              <w:rPr>
                <w:color w:val="auto"/>
              </w:rPr>
              <w:t>6</w:t>
            </w:r>
          </w:p>
        </w:tc>
        <w:tc>
          <w:tcPr>
            <w:tcW w:w="595" w:type="dxa"/>
          </w:tcPr>
          <w:p w14:paraId="119ED822">
            <w:pPr>
              <w:pStyle w:val="751"/>
              <w:rPr>
                <w:color w:val="auto"/>
              </w:rPr>
            </w:pPr>
            <w:r>
              <w:rPr>
                <w:color w:val="auto"/>
              </w:rPr>
              <w:t>7</w:t>
            </w:r>
          </w:p>
        </w:tc>
        <w:tc>
          <w:tcPr>
            <w:tcW w:w="595" w:type="dxa"/>
          </w:tcPr>
          <w:p w14:paraId="7672108C">
            <w:pPr>
              <w:pStyle w:val="751"/>
              <w:rPr>
                <w:color w:val="auto"/>
              </w:rPr>
            </w:pPr>
            <w:r>
              <w:rPr>
                <w:color w:val="auto"/>
              </w:rPr>
              <w:t>8</w:t>
            </w:r>
          </w:p>
        </w:tc>
        <w:tc>
          <w:tcPr>
            <w:tcW w:w="595" w:type="dxa"/>
          </w:tcPr>
          <w:p w14:paraId="6CF9E1D7">
            <w:pPr>
              <w:pStyle w:val="751"/>
              <w:rPr>
                <w:color w:val="auto"/>
              </w:rPr>
            </w:pPr>
            <w:r>
              <w:rPr>
                <w:color w:val="auto"/>
              </w:rPr>
              <w:t>9</w:t>
            </w:r>
          </w:p>
        </w:tc>
        <w:tc>
          <w:tcPr>
            <w:tcW w:w="596" w:type="dxa"/>
          </w:tcPr>
          <w:p w14:paraId="11E6B2E6">
            <w:pPr>
              <w:pStyle w:val="751"/>
              <w:rPr>
                <w:color w:val="auto"/>
              </w:rPr>
            </w:pPr>
            <w:r>
              <w:rPr>
                <w:color w:val="auto"/>
              </w:rPr>
              <w:t>10</w:t>
            </w:r>
          </w:p>
        </w:tc>
        <w:tc>
          <w:tcPr>
            <w:tcW w:w="596" w:type="dxa"/>
          </w:tcPr>
          <w:p w14:paraId="109925F7">
            <w:pPr>
              <w:pStyle w:val="751"/>
              <w:rPr>
                <w:color w:val="auto"/>
              </w:rPr>
            </w:pPr>
            <w:r>
              <w:rPr>
                <w:color w:val="auto"/>
              </w:rPr>
              <w:t>11</w:t>
            </w:r>
          </w:p>
        </w:tc>
        <w:tc>
          <w:tcPr>
            <w:tcW w:w="596" w:type="dxa"/>
          </w:tcPr>
          <w:p w14:paraId="5B477A4D">
            <w:pPr>
              <w:pStyle w:val="751"/>
              <w:rPr>
                <w:color w:val="auto"/>
              </w:rPr>
            </w:pPr>
            <w:r>
              <w:rPr>
                <w:color w:val="auto"/>
              </w:rPr>
              <w:t>12</w:t>
            </w:r>
          </w:p>
        </w:tc>
        <w:tc>
          <w:tcPr>
            <w:tcW w:w="595" w:type="dxa"/>
          </w:tcPr>
          <w:p w14:paraId="6E39B622">
            <w:pPr>
              <w:pStyle w:val="751"/>
              <w:rPr>
                <w:color w:val="auto"/>
              </w:rPr>
            </w:pPr>
            <w:r>
              <w:rPr>
                <w:color w:val="auto"/>
              </w:rPr>
              <w:t>年</w:t>
            </w:r>
          </w:p>
        </w:tc>
      </w:tr>
      <w:tr w14:paraId="6366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exact"/>
        </w:trPr>
        <w:tc>
          <w:tcPr>
            <w:tcW w:w="1388" w:type="dxa"/>
          </w:tcPr>
          <w:p w14:paraId="6B59F68A">
            <w:pPr>
              <w:pStyle w:val="751"/>
              <w:rPr>
                <w:color w:val="auto"/>
              </w:rPr>
            </w:pPr>
            <w:r>
              <w:rPr>
                <w:color w:val="auto"/>
              </w:rPr>
              <w:t>平均气温</w:t>
            </w:r>
          </w:p>
        </w:tc>
        <w:tc>
          <w:tcPr>
            <w:tcW w:w="595" w:type="dxa"/>
          </w:tcPr>
          <w:p w14:paraId="21F4813C">
            <w:pPr>
              <w:pStyle w:val="751"/>
              <w:rPr>
                <w:color w:val="auto"/>
              </w:rPr>
            </w:pPr>
            <w:r>
              <w:rPr>
                <w:color w:val="auto"/>
              </w:rPr>
              <w:t>-8.1</w:t>
            </w:r>
          </w:p>
        </w:tc>
        <w:tc>
          <w:tcPr>
            <w:tcW w:w="595" w:type="dxa"/>
          </w:tcPr>
          <w:p w14:paraId="7876B2C6">
            <w:pPr>
              <w:pStyle w:val="751"/>
              <w:rPr>
                <w:color w:val="auto"/>
              </w:rPr>
            </w:pPr>
            <w:r>
              <w:rPr>
                <w:color w:val="auto"/>
              </w:rPr>
              <w:t>-3.5</w:t>
            </w:r>
          </w:p>
        </w:tc>
        <w:tc>
          <w:tcPr>
            <w:tcW w:w="595" w:type="dxa"/>
          </w:tcPr>
          <w:p w14:paraId="6C2C4EDD">
            <w:pPr>
              <w:pStyle w:val="751"/>
              <w:rPr>
                <w:color w:val="auto"/>
              </w:rPr>
            </w:pPr>
            <w:r>
              <w:rPr>
                <w:color w:val="auto"/>
              </w:rPr>
              <w:t>3.8</w:t>
            </w:r>
          </w:p>
        </w:tc>
        <w:tc>
          <w:tcPr>
            <w:tcW w:w="595" w:type="dxa"/>
          </w:tcPr>
          <w:p w14:paraId="33284CF5">
            <w:pPr>
              <w:pStyle w:val="751"/>
              <w:rPr>
                <w:color w:val="auto"/>
              </w:rPr>
            </w:pPr>
            <w:r>
              <w:rPr>
                <w:color w:val="auto"/>
              </w:rPr>
              <w:t>12.2</w:t>
            </w:r>
          </w:p>
        </w:tc>
        <w:tc>
          <w:tcPr>
            <w:tcW w:w="595" w:type="dxa"/>
          </w:tcPr>
          <w:p w14:paraId="3F37F0D3">
            <w:pPr>
              <w:pStyle w:val="751"/>
              <w:rPr>
                <w:color w:val="auto"/>
              </w:rPr>
            </w:pPr>
            <w:r>
              <w:rPr>
                <w:color w:val="auto"/>
              </w:rPr>
              <w:t>19.1</w:t>
            </w:r>
          </w:p>
        </w:tc>
        <w:tc>
          <w:tcPr>
            <w:tcW w:w="595" w:type="dxa"/>
          </w:tcPr>
          <w:p w14:paraId="5000A036">
            <w:pPr>
              <w:pStyle w:val="751"/>
              <w:rPr>
                <w:color w:val="auto"/>
              </w:rPr>
            </w:pPr>
            <w:r>
              <w:rPr>
                <w:color w:val="auto"/>
              </w:rPr>
              <w:t>24.0</w:t>
            </w:r>
          </w:p>
        </w:tc>
        <w:tc>
          <w:tcPr>
            <w:tcW w:w="595" w:type="dxa"/>
          </w:tcPr>
          <w:p w14:paraId="0B9ED095">
            <w:pPr>
              <w:pStyle w:val="751"/>
              <w:rPr>
                <w:color w:val="auto"/>
              </w:rPr>
            </w:pPr>
            <w:r>
              <w:rPr>
                <w:color w:val="auto"/>
              </w:rPr>
              <w:t>25.9</w:t>
            </w:r>
          </w:p>
        </w:tc>
        <w:tc>
          <w:tcPr>
            <w:tcW w:w="595" w:type="dxa"/>
          </w:tcPr>
          <w:p w14:paraId="021B3170">
            <w:pPr>
              <w:pStyle w:val="751"/>
              <w:rPr>
                <w:color w:val="auto"/>
              </w:rPr>
            </w:pPr>
            <w:r>
              <w:rPr>
                <w:color w:val="auto"/>
              </w:rPr>
              <w:t>23.9</w:t>
            </w:r>
          </w:p>
        </w:tc>
        <w:tc>
          <w:tcPr>
            <w:tcW w:w="595" w:type="dxa"/>
          </w:tcPr>
          <w:p w14:paraId="1D0B0164">
            <w:pPr>
              <w:pStyle w:val="751"/>
              <w:rPr>
                <w:color w:val="auto"/>
              </w:rPr>
            </w:pPr>
            <w:r>
              <w:rPr>
                <w:color w:val="auto"/>
              </w:rPr>
              <w:t>18.2</w:t>
            </w:r>
          </w:p>
        </w:tc>
        <w:tc>
          <w:tcPr>
            <w:tcW w:w="596" w:type="dxa"/>
          </w:tcPr>
          <w:p w14:paraId="5A4CCF52">
            <w:pPr>
              <w:pStyle w:val="751"/>
              <w:rPr>
                <w:color w:val="auto"/>
              </w:rPr>
            </w:pPr>
            <w:r>
              <w:rPr>
                <w:color w:val="auto"/>
              </w:rPr>
              <w:t>10.3</w:t>
            </w:r>
          </w:p>
        </w:tc>
        <w:tc>
          <w:tcPr>
            <w:tcW w:w="596" w:type="dxa"/>
          </w:tcPr>
          <w:p w14:paraId="78ACE823">
            <w:pPr>
              <w:pStyle w:val="751"/>
              <w:rPr>
                <w:color w:val="auto"/>
              </w:rPr>
            </w:pPr>
            <w:r>
              <w:rPr>
                <w:color w:val="auto"/>
              </w:rPr>
              <w:t>1.1</w:t>
            </w:r>
          </w:p>
        </w:tc>
        <w:tc>
          <w:tcPr>
            <w:tcW w:w="596" w:type="dxa"/>
          </w:tcPr>
          <w:p w14:paraId="2EC8BA26">
            <w:pPr>
              <w:pStyle w:val="751"/>
              <w:rPr>
                <w:color w:val="auto"/>
              </w:rPr>
            </w:pPr>
            <w:r>
              <w:rPr>
                <w:color w:val="auto"/>
              </w:rPr>
              <w:t>-6.1</w:t>
            </w:r>
          </w:p>
        </w:tc>
        <w:tc>
          <w:tcPr>
            <w:tcW w:w="595" w:type="dxa"/>
          </w:tcPr>
          <w:p w14:paraId="2DAD114B">
            <w:pPr>
              <w:pStyle w:val="751"/>
              <w:rPr>
                <w:color w:val="auto"/>
              </w:rPr>
            </w:pPr>
            <w:r>
              <w:rPr>
                <w:color w:val="auto"/>
              </w:rPr>
              <w:t>10.1</w:t>
            </w:r>
          </w:p>
        </w:tc>
      </w:tr>
    </w:tbl>
    <w:p w14:paraId="028602D1">
      <w:pPr>
        <w:pStyle w:val="748"/>
        <w:rPr>
          <w:szCs w:val="22"/>
        </w:rPr>
      </w:pPr>
      <w:r>
        <w:drawing>
          <wp:inline distT="0" distB="0" distL="0" distR="0">
            <wp:extent cx="5651500" cy="2170430"/>
            <wp:effectExtent l="0" t="0" r="6350" b="1270"/>
            <wp:docPr id="2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4.jpeg"/>
                    <pic:cNvPicPr>
                      <a:picLocks noChangeAspect="1"/>
                    </pic:cNvPicPr>
                  </pic:nvPicPr>
                  <pic:blipFill>
                    <a:blip r:embed="rId111" cstate="print"/>
                    <a:stretch>
                      <a:fillRect/>
                    </a:stretch>
                  </pic:blipFill>
                  <pic:spPr>
                    <a:xfrm>
                      <a:off x="0" y="0"/>
                      <a:ext cx="5651500" cy="2170767"/>
                    </a:xfrm>
                    <a:prstGeom prst="rect">
                      <a:avLst/>
                    </a:prstGeom>
                  </pic:spPr>
                </pic:pic>
              </a:graphicData>
            </a:graphic>
          </wp:inline>
        </w:drawing>
      </w:r>
    </w:p>
    <w:p w14:paraId="0DDEB1E8">
      <w:pPr>
        <w:pStyle w:val="749"/>
        <w:rPr>
          <w:color w:val="auto"/>
        </w:rPr>
      </w:pPr>
      <w:r>
        <w:rPr>
          <w:color w:val="auto"/>
        </w:rPr>
        <w:t>图5.2-4乌海市近30年逐月平均气温变化曲线</w:t>
      </w:r>
    </w:p>
    <w:p w14:paraId="7C40E3FC">
      <w:pPr>
        <w:pStyle w:val="11"/>
      </w:pPr>
      <w:bookmarkStart w:id="394" w:name="_Toc166572325"/>
      <w:r>
        <w:t>5.2.2大气环境影响分析与评价</w:t>
      </w:r>
      <w:bookmarkEnd w:id="394"/>
    </w:p>
    <w:p w14:paraId="3882BEFC">
      <w:pPr>
        <w:pStyle w:val="12"/>
      </w:pPr>
      <w:r>
        <w:t>5.2.2.1项目大气环境影响分析</w:t>
      </w:r>
    </w:p>
    <w:p w14:paraId="02531DA2">
      <w:pPr>
        <w:ind w:firstLine="480"/>
      </w:pPr>
      <w:r>
        <w:t>根据污染物排放情况，采用《环境影响评价技术导则 大气环境》（HJ2.2-2018）中推荐的估算模式进行环境空气影响预测。</w:t>
      </w:r>
    </w:p>
    <w:p w14:paraId="6B714137">
      <w:pPr>
        <w:ind w:firstLine="480"/>
      </w:pPr>
      <w:r>
        <w:t>（1）预测因子的确定</w:t>
      </w:r>
    </w:p>
    <w:p w14:paraId="71DCC5CC">
      <w:pPr>
        <w:ind w:firstLine="480"/>
      </w:pPr>
      <w:r>
        <w:t>根据项目污染分析和项目周围环境特征，本次评价大气环境影响预测因子确定为NH</w:t>
      </w:r>
      <w:r>
        <w:rPr>
          <w:vertAlign w:val="subscript"/>
        </w:rPr>
        <w:t>3</w:t>
      </w:r>
      <w:r>
        <w:t>、H</w:t>
      </w:r>
      <w:r>
        <w:rPr>
          <w:vertAlign w:val="subscript"/>
        </w:rPr>
        <w:t>2</w:t>
      </w:r>
      <w:r>
        <w:t>S、NO</w:t>
      </w:r>
      <w:r>
        <w:rPr>
          <w:vertAlign w:val="subscript"/>
        </w:rPr>
        <w:t>X</w:t>
      </w:r>
      <w:r>
        <w:t>、SO</w:t>
      </w:r>
      <w:r>
        <w:rPr>
          <w:vertAlign w:val="subscript"/>
        </w:rPr>
        <w:t>2</w:t>
      </w:r>
      <w:r>
        <w:t>和颗粒物。</w:t>
      </w:r>
    </w:p>
    <w:p w14:paraId="6D2C7577">
      <w:pPr>
        <w:ind w:firstLine="480"/>
      </w:pPr>
      <w:r>
        <w:t>（2）预测范围</w:t>
      </w:r>
    </w:p>
    <w:p w14:paraId="03885105">
      <w:pPr>
        <w:ind w:firstLine="480"/>
      </w:pPr>
      <w:r>
        <w:t>厂区5km为边长的评价范围作为预测范围。</w:t>
      </w:r>
    </w:p>
    <w:p w14:paraId="7C783DC0">
      <w:pPr>
        <w:ind w:firstLine="480"/>
      </w:pPr>
      <w:r>
        <w:t>（3）预测模式的选取</w:t>
      </w:r>
    </w:p>
    <w:p w14:paraId="56B6A2C5">
      <w:pPr>
        <w:ind w:firstLine="480"/>
      </w:pPr>
      <w:r>
        <w:t>预测模式采用《环境影响评价技术导则 大气环境》（HJ2.2-2018）中推荐的ARESCREEN模式。</w:t>
      </w:r>
    </w:p>
    <w:p w14:paraId="25B04F6B">
      <w:pPr>
        <w:tabs>
          <w:tab w:val="left" w:pos="282"/>
        </w:tabs>
        <w:adjustRightInd w:val="0"/>
        <w:snapToGrid w:val="0"/>
        <w:ind w:firstLine="480"/>
      </w:pPr>
      <w:r>
        <w:t>（4）模式中参数的选取</w:t>
      </w:r>
    </w:p>
    <w:p w14:paraId="213FC943">
      <w:pPr>
        <w:adjustRightInd w:val="0"/>
        <w:snapToGrid w:val="0"/>
        <w:ind w:firstLine="480"/>
      </w:pPr>
      <w:r>
        <w:t>根据工程分析，</w:t>
      </w:r>
      <w:r>
        <w:rPr>
          <w:rFonts w:hint="eastAsia"/>
        </w:rPr>
        <w:t>本项目大气污染源主要有饲料加工车间废气、锅炉燃烧废气、有机肥加工车间废气、污水处理废气和食堂油烟。</w:t>
      </w:r>
      <w:r>
        <w:t>本次预测</w:t>
      </w:r>
      <w:r>
        <w:rPr>
          <w:rFonts w:hint="eastAsia"/>
        </w:rPr>
        <w:t>选择饲料加工车间废气、锅炉燃烧废气、有机肥加工车间废气和污水处理废气</w:t>
      </w:r>
      <w:r>
        <w:t>进行预测，大气环境影响预测参数统计表见表5.2-7、5.2-8。</w:t>
      </w:r>
    </w:p>
    <w:p w14:paraId="26DBFF18">
      <w:pPr>
        <w:pStyle w:val="369"/>
      </w:pPr>
      <w:r>
        <w:t>表5.2-7 有组织废气污染源</w:t>
      </w:r>
      <w:r>
        <w:rPr>
          <w:rFonts w:hint="eastAsia"/>
          <w:bCs/>
        </w:rPr>
        <w:t>估算模式参数取值一览表</w:t>
      </w:r>
    </w:p>
    <w:tbl>
      <w:tblPr>
        <w:tblStyle w:val="82"/>
        <w:tblW w:w="5035" w:type="pct"/>
        <w:tblInd w:w="-1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33"/>
        <w:gridCol w:w="1055"/>
        <w:gridCol w:w="532"/>
        <w:gridCol w:w="431"/>
        <w:gridCol w:w="943"/>
        <w:gridCol w:w="499"/>
        <w:gridCol w:w="358"/>
        <w:gridCol w:w="536"/>
        <w:gridCol w:w="463"/>
        <w:gridCol w:w="664"/>
        <w:gridCol w:w="378"/>
        <w:gridCol w:w="483"/>
        <w:gridCol w:w="461"/>
        <w:gridCol w:w="697"/>
        <w:gridCol w:w="701"/>
        <w:gridCol w:w="730"/>
      </w:tblGrid>
      <w:tr w14:paraId="5D6097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7" w:type="pct"/>
            <w:vMerge w:val="restart"/>
            <w:tcBorders>
              <w:tl2br w:val="nil"/>
              <w:tr2bl w:val="nil"/>
            </w:tcBorders>
            <w:vAlign w:val="center"/>
          </w:tcPr>
          <w:p w14:paraId="38FB6690">
            <w:pPr>
              <w:pStyle w:val="766"/>
              <w:rPr>
                <w:color w:val="auto"/>
              </w:rPr>
            </w:pPr>
            <w:r>
              <w:rPr>
                <w:color w:val="auto"/>
              </w:rPr>
              <w:t>编 号</w:t>
            </w:r>
          </w:p>
        </w:tc>
        <w:tc>
          <w:tcPr>
            <w:tcW w:w="575" w:type="pct"/>
            <w:vMerge w:val="restart"/>
            <w:tcBorders>
              <w:tl2br w:val="nil"/>
              <w:tr2bl w:val="nil"/>
            </w:tcBorders>
            <w:vAlign w:val="center"/>
          </w:tcPr>
          <w:p w14:paraId="3B25D505">
            <w:pPr>
              <w:pStyle w:val="766"/>
              <w:rPr>
                <w:color w:val="auto"/>
              </w:rPr>
            </w:pPr>
            <w:r>
              <w:rPr>
                <w:color w:val="auto"/>
              </w:rPr>
              <w:t>名称</w:t>
            </w:r>
          </w:p>
        </w:tc>
        <w:tc>
          <w:tcPr>
            <w:tcW w:w="525" w:type="pct"/>
            <w:gridSpan w:val="2"/>
            <w:vMerge w:val="restart"/>
            <w:tcBorders>
              <w:tl2br w:val="nil"/>
              <w:tr2bl w:val="nil"/>
            </w:tcBorders>
            <w:vAlign w:val="center"/>
          </w:tcPr>
          <w:p w14:paraId="231B523F">
            <w:pPr>
              <w:pStyle w:val="766"/>
              <w:rPr>
                <w:color w:val="auto"/>
              </w:rPr>
            </w:pPr>
            <w:r>
              <w:rPr>
                <w:color w:val="auto"/>
              </w:rPr>
              <w:t>排</w:t>
            </w:r>
            <w:r>
              <w:rPr>
                <w:color w:val="auto"/>
                <w:spacing w:val="2"/>
              </w:rPr>
              <w:t>气</w:t>
            </w:r>
            <w:r>
              <w:rPr>
                <w:color w:val="auto"/>
              </w:rPr>
              <w:t>筒</w:t>
            </w:r>
            <w:r>
              <w:rPr>
                <w:color w:val="auto"/>
                <w:spacing w:val="2"/>
              </w:rPr>
              <w:t>底</w:t>
            </w:r>
            <w:r>
              <w:rPr>
                <w:color w:val="auto"/>
              </w:rPr>
              <w:t>部中</w:t>
            </w:r>
            <w:r>
              <w:rPr>
                <w:color w:val="auto"/>
                <w:spacing w:val="2"/>
              </w:rPr>
              <w:t>心</w:t>
            </w:r>
            <w:r>
              <w:rPr>
                <w:color w:val="auto"/>
              </w:rPr>
              <w:t>坐</w:t>
            </w:r>
            <w:r>
              <w:rPr>
                <w:color w:val="auto"/>
                <w:spacing w:val="2"/>
              </w:rPr>
              <w:t>标</w:t>
            </w:r>
            <w:r>
              <w:rPr>
                <w:color w:val="auto"/>
              </w:rPr>
              <w:t>/m</w:t>
            </w:r>
          </w:p>
        </w:tc>
        <w:tc>
          <w:tcPr>
            <w:tcW w:w="514" w:type="pct"/>
            <w:vMerge w:val="restart"/>
            <w:tcBorders>
              <w:tl2br w:val="nil"/>
              <w:tr2bl w:val="nil"/>
            </w:tcBorders>
            <w:vAlign w:val="center"/>
          </w:tcPr>
          <w:p w14:paraId="671FA82F">
            <w:pPr>
              <w:pStyle w:val="766"/>
              <w:rPr>
                <w:color w:val="auto"/>
              </w:rPr>
            </w:pPr>
            <w:r>
              <w:rPr>
                <w:color w:val="auto"/>
              </w:rPr>
              <w:t>排气筒底部海 拔高度/m</w:t>
            </w:r>
          </w:p>
        </w:tc>
        <w:tc>
          <w:tcPr>
            <w:tcW w:w="272" w:type="pct"/>
            <w:vMerge w:val="restart"/>
            <w:tcBorders>
              <w:tl2br w:val="nil"/>
              <w:tr2bl w:val="nil"/>
            </w:tcBorders>
            <w:vAlign w:val="center"/>
          </w:tcPr>
          <w:p w14:paraId="756E108F">
            <w:pPr>
              <w:pStyle w:val="766"/>
              <w:rPr>
                <w:color w:val="auto"/>
              </w:rPr>
            </w:pPr>
            <w:r>
              <w:rPr>
                <w:color w:val="auto"/>
              </w:rPr>
              <w:t>排气筒高度/m</w:t>
            </w:r>
          </w:p>
        </w:tc>
        <w:tc>
          <w:tcPr>
            <w:tcW w:w="195" w:type="pct"/>
            <w:vMerge w:val="restart"/>
            <w:tcBorders>
              <w:tl2br w:val="nil"/>
              <w:tr2bl w:val="nil"/>
            </w:tcBorders>
            <w:vAlign w:val="center"/>
          </w:tcPr>
          <w:p w14:paraId="6B9E4119">
            <w:pPr>
              <w:pStyle w:val="766"/>
              <w:rPr>
                <w:bCs/>
                <w:color w:val="auto"/>
                <w:lang w:val="zh-CN"/>
              </w:rPr>
            </w:pPr>
            <w:r>
              <w:rPr>
                <w:bCs/>
                <w:color w:val="auto"/>
                <w:lang w:val="zh-CN"/>
              </w:rPr>
              <w:t>出口内径</w:t>
            </w:r>
          </w:p>
          <w:p w14:paraId="1BA41E15">
            <w:pPr>
              <w:pStyle w:val="766"/>
              <w:rPr>
                <w:bCs/>
                <w:color w:val="auto"/>
                <w:lang w:val="zh-CN"/>
              </w:rPr>
            </w:pPr>
            <w:r>
              <w:rPr>
                <w:bCs/>
                <w:color w:val="auto"/>
                <w:lang w:val="zh-CN"/>
              </w:rPr>
              <w:t>/m</w:t>
            </w:r>
          </w:p>
        </w:tc>
        <w:tc>
          <w:tcPr>
            <w:tcW w:w="292" w:type="pct"/>
            <w:vMerge w:val="restart"/>
            <w:tcBorders>
              <w:tl2br w:val="nil"/>
              <w:tr2bl w:val="nil"/>
            </w:tcBorders>
            <w:vAlign w:val="center"/>
          </w:tcPr>
          <w:p w14:paraId="07284CDB">
            <w:pPr>
              <w:pStyle w:val="766"/>
              <w:rPr>
                <w:bCs/>
                <w:color w:val="auto"/>
                <w:lang w:val="zh-CN"/>
              </w:rPr>
            </w:pPr>
            <w:r>
              <w:rPr>
                <w:bCs/>
                <w:color w:val="auto"/>
                <w:lang w:val="zh-CN"/>
              </w:rPr>
              <w:t>烟气</w:t>
            </w:r>
          </w:p>
          <w:p w14:paraId="0C3CBBE9">
            <w:pPr>
              <w:pStyle w:val="766"/>
              <w:rPr>
                <w:bCs/>
                <w:color w:val="auto"/>
                <w:lang w:val="zh-CN"/>
              </w:rPr>
            </w:pPr>
            <w:r>
              <w:rPr>
                <w:bCs/>
                <w:color w:val="auto"/>
                <w:lang w:val="zh-CN"/>
              </w:rPr>
              <w:t>流量</w:t>
            </w:r>
          </w:p>
          <w:p w14:paraId="4E0B7646">
            <w:pPr>
              <w:pStyle w:val="766"/>
              <w:rPr>
                <w:bCs/>
                <w:color w:val="auto"/>
                <w:lang w:val="zh-CN"/>
              </w:rPr>
            </w:pPr>
            <w:r>
              <w:rPr>
                <w:bCs/>
                <w:color w:val="auto"/>
                <w:lang w:val="zh-CN"/>
              </w:rPr>
              <w:t>/m</w:t>
            </w:r>
            <w:r>
              <w:rPr>
                <w:bCs/>
                <w:color w:val="auto"/>
                <w:vertAlign w:val="superscript"/>
                <w:lang w:val="zh-CN"/>
              </w:rPr>
              <w:t>3</w:t>
            </w:r>
            <w:r>
              <w:rPr>
                <w:bCs/>
                <w:color w:val="auto"/>
                <w:lang w:val="zh-CN"/>
              </w:rPr>
              <w:t>/h</w:t>
            </w:r>
          </w:p>
        </w:tc>
        <w:tc>
          <w:tcPr>
            <w:tcW w:w="252" w:type="pct"/>
            <w:vMerge w:val="restart"/>
            <w:tcBorders>
              <w:tl2br w:val="nil"/>
              <w:tr2bl w:val="nil"/>
            </w:tcBorders>
            <w:vAlign w:val="center"/>
          </w:tcPr>
          <w:p w14:paraId="18DBEE0B">
            <w:pPr>
              <w:pStyle w:val="766"/>
              <w:rPr>
                <w:bCs/>
                <w:color w:val="auto"/>
                <w:lang w:val="zh-CN"/>
              </w:rPr>
            </w:pPr>
            <w:r>
              <w:rPr>
                <w:bCs/>
                <w:color w:val="auto"/>
                <w:lang w:val="zh-CN"/>
              </w:rPr>
              <w:t>烟气温度/℃</w:t>
            </w:r>
          </w:p>
        </w:tc>
        <w:tc>
          <w:tcPr>
            <w:tcW w:w="362" w:type="pct"/>
            <w:vMerge w:val="restart"/>
            <w:tcBorders>
              <w:tl2br w:val="nil"/>
              <w:tr2bl w:val="nil"/>
            </w:tcBorders>
            <w:vAlign w:val="center"/>
          </w:tcPr>
          <w:p w14:paraId="09004EB2">
            <w:pPr>
              <w:pStyle w:val="766"/>
              <w:rPr>
                <w:bCs/>
                <w:color w:val="auto"/>
                <w:lang w:val="zh-CN"/>
              </w:rPr>
            </w:pPr>
            <w:r>
              <w:rPr>
                <w:bCs/>
                <w:color w:val="auto"/>
                <w:lang w:val="zh-CN"/>
              </w:rPr>
              <w:t>年排放小时数/h</w:t>
            </w:r>
          </w:p>
        </w:tc>
        <w:tc>
          <w:tcPr>
            <w:tcW w:w="206" w:type="pct"/>
            <w:vMerge w:val="restart"/>
            <w:tcBorders>
              <w:tl2br w:val="nil"/>
              <w:tr2bl w:val="nil"/>
            </w:tcBorders>
            <w:vAlign w:val="center"/>
          </w:tcPr>
          <w:p w14:paraId="5E5712A4">
            <w:pPr>
              <w:pStyle w:val="766"/>
              <w:rPr>
                <w:color w:val="auto"/>
              </w:rPr>
            </w:pPr>
            <w:r>
              <w:rPr>
                <w:color w:val="auto"/>
              </w:rPr>
              <w:t>排放 工况</w:t>
            </w:r>
          </w:p>
        </w:tc>
        <w:tc>
          <w:tcPr>
            <w:tcW w:w="1673" w:type="pct"/>
            <w:gridSpan w:val="5"/>
            <w:tcBorders>
              <w:tl2br w:val="nil"/>
              <w:tr2bl w:val="nil"/>
            </w:tcBorders>
            <w:vAlign w:val="center"/>
          </w:tcPr>
          <w:p w14:paraId="1A9FE8B4">
            <w:pPr>
              <w:pStyle w:val="766"/>
              <w:rPr>
                <w:color w:val="auto"/>
                <w:position w:val="-1"/>
              </w:rPr>
            </w:pPr>
            <w:r>
              <w:rPr>
                <w:color w:val="auto"/>
                <w:position w:val="-1"/>
              </w:rPr>
              <w:t>污染物排放速率</w:t>
            </w:r>
          </w:p>
          <w:p w14:paraId="7CDB8033">
            <w:pPr>
              <w:pStyle w:val="766"/>
              <w:rPr>
                <w:color w:val="auto"/>
                <w:position w:val="-1"/>
              </w:rPr>
            </w:pPr>
            <w:r>
              <w:rPr>
                <w:color w:val="auto"/>
                <w:spacing w:val="2"/>
                <w:position w:val="-1"/>
              </w:rPr>
              <w:t>（</w:t>
            </w:r>
            <w:r>
              <w:rPr>
                <w:color w:val="auto"/>
                <w:spacing w:val="-1"/>
                <w:position w:val="-1"/>
              </w:rPr>
              <w:t>kg</w:t>
            </w:r>
            <w:r>
              <w:rPr>
                <w:color w:val="auto"/>
                <w:spacing w:val="2"/>
                <w:position w:val="-1"/>
              </w:rPr>
              <w:t>/</w:t>
            </w:r>
            <w:r>
              <w:rPr>
                <w:color w:val="auto"/>
                <w:spacing w:val="1"/>
                <w:position w:val="-1"/>
              </w:rPr>
              <w:t>h</w:t>
            </w:r>
            <w:r>
              <w:rPr>
                <w:color w:val="auto"/>
                <w:position w:val="-1"/>
              </w:rPr>
              <w:t>）</w:t>
            </w:r>
          </w:p>
        </w:tc>
      </w:tr>
      <w:tr w14:paraId="2BBB54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27" w:type="pct"/>
            <w:vMerge w:val="continue"/>
            <w:tcBorders>
              <w:tl2br w:val="nil"/>
              <w:tr2bl w:val="nil"/>
            </w:tcBorders>
            <w:vAlign w:val="center"/>
          </w:tcPr>
          <w:p w14:paraId="36CA44D3">
            <w:pPr>
              <w:pStyle w:val="766"/>
              <w:rPr>
                <w:color w:val="auto"/>
              </w:rPr>
            </w:pPr>
          </w:p>
        </w:tc>
        <w:tc>
          <w:tcPr>
            <w:tcW w:w="575" w:type="pct"/>
            <w:vMerge w:val="continue"/>
            <w:tcBorders>
              <w:tl2br w:val="nil"/>
              <w:tr2bl w:val="nil"/>
            </w:tcBorders>
            <w:vAlign w:val="center"/>
          </w:tcPr>
          <w:p w14:paraId="71F90843">
            <w:pPr>
              <w:pStyle w:val="766"/>
              <w:rPr>
                <w:color w:val="auto"/>
              </w:rPr>
            </w:pPr>
          </w:p>
        </w:tc>
        <w:tc>
          <w:tcPr>
            <w:tcW w:w="525" w:type="pct"/>
            <w:gridSpan w:val="2"/>
            <w:vMerge w:val="continue"/>
            <w:tcBorders>
              <w:tl2br w:val="nil"/>
              <w:tr2bl w:val="nil"/>
            </w:tcBorders>
            <w:vAlign w:val="center"/>
          </w:tcPr>
          <w:p w14:paraId="180E981D">
            <w:pPr>
              <w:pStyle w:val="766"/>
              <w:rPr>
                <w:color w:val="auto"/>
              </w:rPr>
            </w:pPr>
          </w:p>
        </w:tc>
        <w:tc>
          <w:tcPr>
            <w:tcW w:w="514" w:type="pct"/>
            <w:vMerge w:val="continue"/>
            <w:tcBorders>
              <w:tl2br w:val="nil"/>
              <w:tr2bl w:val="nil"/>
            </w:tcBorders>
            <w:vAlign w:val="center"/>
          </w:tcPr>
          <w:p w14:paraId="1F0020BE">
            <w:pPr>
              <w:pStyle w:val="766"/>
              <w:rPr>
                <w:color w:val="auto"/>
              </w:rPr>
            </w:pPr>
          </w:p>
        </w:tc>
        <w:tc>
          <w:tcPr>
            <w:tcW w:w="272" w:type="pct"/>
            <w:vMerge w:val="continue"/>
            <w:tcBorders>
              <w:tl2br w:val="nil"/>
              <w:tr2bl w:val="nil"/>
            </w:tcBorders>
            <w:vAlign w:val="center"/>
          </w:tcPr>
          <w:p w14:paraId="47958665">
            <w:pPr>
              <w:pStyle w:val="766"/>
              <w:rPr>
                <w:color w:val="auto"/>
              </w:rPr>
            </w:pPr>
          </w:p>
        </w:tc>
        <w:tc>
          <w:tcPr>
            <w:tcW w:w="195" w:type="pct"/>
            <w:vMerge w:val="continue"/>
            <w:tcBorders>
              <w:tl2br w:val="nil"/>
              <w:tr2bl w:val="nil"/>
            </w:tcBorders>
            <w:vAlign w:val="center"/>
          </w:tcPr>
          <w:p w14:paraId="4B2EBE99">
            <w:pPr>
              <w:pStyle w:val="766"/>
              <w:rPr>
                <w:color w:val="auto"/>
              </w:rPr>
            </w:pPr>
          </w:p>
        </w:tc>
        <w:tc>
          <w:tcPr>
            <w:tcW w:w="292" w:type="pct"/>
            <w:vMerge w:val="continue"/>
            <w:tcBorders>
              <w:tl2br w:val="nil"/>
              <w:tr2bl w:val="nil"/>
            </w:tcBorders>
            <w:vAlign w:val="center"/>
          </w:tcPr>
          <w:p w14:paraId="040880D6">
            <w:pPr>
              <w:pStyle w:val="766"/>
              <w:rPr>
                <w:color w:val="auto"/>
              </w:rPr>
            </w:pPr>
          </w:p>
        </w:tc>
        <w:tc>
          <w:tcPr>
            <w:tcW w:w="252" w:type="pct"/>
            <w:vMerge w:val="continue"/>
            <w:tcBorders>
              <w:tl2br w:val="nil"/>
              <w:tr2bl w:val="nil"/>
            </w:tcBorders>
            <w:vAlign w:val="center"/>
          </w:tcPr>
          <w:p w14:paraId="4FFBF68D">
            <w:pPr>
              <w:pStyle w:val="766"/>
              <w:rPr>
                <w:color w:val="auto"/>
              </w:rPr>
            </w:pPr>
          </w:p>
        </w:tc>
        <w:tc>
          <w:tcPr>
            <w:tcW w:w="362" w:type="pct"/>
            <w:vMerge w:val="continue"/>
            <w:tcBorders>
              <w:tl2br w:val="nil"/>
              <w:tr2bl w:val="nil"/>
            </w:tcBorders>
            <w:vAlign w:val="center"/>
          </w:tcPr>
          <w:p w14:paraId="4AA71EE2">
            <w:pPr>
              <w:pStyle w:val="766"/>
              <w:rPr>
                <w:color w:val="auto"/>
              </w:rPr>
            </w:pPr>
          </w:p>
        </w:tc>
        <w:tc>
          <w:tcPr>
            <w:tcW w:w="206" w:type="pct"/>
            <w:vMerge w:val="continue"/>
            <w:tcBorders>
              <w:tl2br w:val="nil"/>
              <w:tr2bl w:val="nil"/>
            </w:tcBorders>
            <w:vAlign w:val="center"/>
          </w:tcPr>
          <w:p w14:paraId="31D2C532">
            <w:pPr>
              <w:pStyle w:val="766"/>
              <w:rPr>
                <w:color w:val="auto"/>
              </w:rPr>
            </w:pPr>
          </w:p>
        </w:tc>
        <w:tc>
          <w:tcPr>
            <w:tcW w:w="263" w:type="pct"/>
            <w:vMerge w:val="restart"/>
            <w:tcBorders>
              <w:tl2br w:val="nil"/>
              <w:tr2bl w:val="nil"/>
            </w:tcBorders>
            <w:vAlign w:val="center"/>
          </w:tcPr>
          <w:p w14:paraId="7268218C">
            <w:pPr>
              <w:pStyle w:val="766"/>
              <w:rPr>
                <w:color w:val="auto"/>
              </w:rPr>
            </w:pPr>
            <w:r>
              <w:rPr>
                <w:color w:val="auto"/>
              </w:rPr>
              <w:t>NO</w:t>
            </w:r>
            <w:r>
              <w:rPr>
                <w:color w:val="auto"/>
                <w:vertAlign w:val="subscript"/>
              </w:rPr>
              <w:t>X</w:t>
            </w:r>
          </w:p>
        </w:tc>
        <w:tc>
          <w:tcPr>
            <w:tcW w:w="251" w:type="pct"/>
            <w:vMerge w:val="restart"/>
            <w:tcBorders>
              <w:tl2br w:val="nil"/>
              <w:tr2bl w:val="nil"/>
            </w:tcBorders>
            <w:vAlign w:val="center"/>
          </w:tcPr>
          <w:p w14:paraId="566F12EC">
            <w:pPr>
              <w:pStyle w:val="766"/>
              <w:rPr>
                <w:color w:val="auto"/>
                <w:spacing w:val="-1"/>
                <w:w w:val="99"/>
                <w:position w:val="2"/>
              </w:rPr>
            </w:pPr>
            <w:r>
              <w:rPr>
                <w:color w:val="auto"/>
              </w:rPr>
              <w:t>SO</w:t>
            </w:r>
            <w:r>
              <w:rPr>
                <w:color w:val="auto"/>
                <w:vertAlign w:val="subscript"/>
              </w:rPr>
              <w:t>2</w:t>
            </w:r>
          </w:p>
        </w:tc>
        <w:tc>
          <w:tcPr>
            <w:tcW w:w="380" w:type="pct"/>
            <w:vMerge w:val="restart"/>
            <w:tcBorders>
              <w:tl2br w:val="nil"/>
              <w:tr2bl w:val="nil"/>
            </w:tcBorders>
            <w:vAlign w:val="center"/>
          </w:tcPr>
          <w:p w14:paraId="1FB87AB5">
            <w:pPr>
              <w:pStyle w:val="766"/>
              <w:rPr>
                <w:color w:val="auto"/>
              </w:rPr>
            </w:pPr>
            <w:r>
              <w:rPr>
                <w:rFonts w:hint="eastAsia"/>
                <w:color w:val="auto"/>
              </w:rPr>
              <w:t>PM</w:t>
            </w:r>
            <w:r>
              <w:rPr>
                <w:rFonts w:hint="eastAsia"/>
                <w:color w:val="auto"/>
                <w:vertAlign w:val="subscript"/>
              </w:rPr>
              <w:t>10</w:t>
            </w:r>
          </w:p>
        </w:tc>
        <w:tc>
          <w:tcPr>
            <w:tcW w:w="382" w:type="pct"/>
            <w:vMerge w:val="restart"/>
            <w:tcBorders>
              <w:tl2br w:val="nil"/>
              <w:tr2bl w:val="nil"/>
            </w:tcBorders>
            <w:vAlign w:val="center"/>
          </w:tcPr>
          <w:p w14:paraId="25C783AC">
            <w:pPr>
              <w:pStyle w:val="766"/>
              <w:rPr>
                <w:color w:val="auto"/>
              </w:rPr>
            </w:pPr>
            <w:r>
              <w:rPr>
                <w:color w:val="auto"/>
              </w:rPr>
              <w:t>NH</w:t>
            </w:r>
            <w:r>
              <w:rPr>
                <w:color w:val="auto"/>
                <w:vertAlign w:val="subscript"/>
              </w:rPr>
              <w:t>3</w:t>
            </w:r>
          </w:p>
        </w:tc>
        <w:tc>
          <w:tcPr>
            <w:tcW w:w="396" w:type="pct"/>
            <w:vMerge w:val="restart"/>
            <w:tcBorders>
              <w:tl2br w:val="nil"/>
              <w:tr2bl w:val="nil"/>
            </w:tcBorders>
            <w:vAlign w:val="center"/>
          </w:tcPr>
          <w:p w14:paraId="04783A05">
            <w:pPr>
              <w:pStyle w:val="766"/>
              <w:rPr>
                <w:color w:val="auto"/>
              </w:rPr>
            </w:pPr>
            <w:r>
              <w:rPr>
                <w:color w:val="auto"/>
              </w:rPr>
              <w:t>H</w:t>
            </w:r>
            <w:r>
              <w:rPr>
                <w:color w:val="auto"/>
                <w:vertAlign w:val="subscript"/>
              </w:rPr>
              <w:t>2</w:t>
            </w:r>
            <w:r>
              <w:rPr>
                <w:color w:val="auto"/>
              </w:rPr>
              <w:t>S</w:t>
            </w:r>
          </w:p>
        </w:tc>
      </w:tr>
      <w:tr w14:paraId="48399F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127" w:type="pct"/>
            <w:vMerge w:val="continue"/>
            <w:tcBorders>
              <w:tl2br w:val="nil"/>
              <w:tr2bl w:val="nil"/>
            </w:tcBorders>
            <w:vAlign w:val="center"/>
          </w:tcPr>
          <w:p w14:paraId="6202F492">
            <w:pPr>
              <w:pStyle w:val="766"/>
              <w:rPr>
                <w:color w:val="auto"/>
              </w:rPr>
            </w:pPr>
          </w:p>
        </w:tc>
        <w:tc>
          <w:tcPr>
            <w:tcW w:w="575" w:type="pct"/>
            <w:vMerge w:val="continue"/>
            <w:tcBorders>
              <w:tl2br w:val="nil"/>
              <w:tr2bl w:val="nil"/>
            </w:tcBorders>
            <w:vAlign w:val="center"/>
          </w:tcPr>
          <w:p w14:paraId="34596760">
            <w:pPr>
              <w:pStyle w:val="766"/>
              <w:rPr>
                <w:color w:val="auto"/>
              </w:rPr>
            </w:pPr>
          </w:p>
        </w:tc>
        <w:tc>
          <w:tcPr>
            <w:tcW w:w="290" w:type="pct"/>
            <w:tcBorders>
              <w:tl2br w:val="nil"/>
              <w:tr2bl w:val="nil"/>
            </w:tcBorders>
            <w:vAlign w:val="center"/>
          </w:tcPr>
          <w:p w14:paraId="2C6EDCF4">
            <w:pPr>
              <w:pStyle w:val="766"/>
              <w:rPr>
                <w:color w:val="auto"/>
              </w:rPr>
            </w:pPr>
            <w:r>
              <w:rPr>
                <w:color w:val="auto"/>
              </w:rPr>
              <w:t>X</w:t>
            </w:r>
          </w:p>
        </w:tc>
        <w:tc>
          <w:tcPr>
            <w:tcW w:w="235" w:type="pct"/>
            <w:tcBorders>
              <w:tl2br w:val="nil"/>
              <w:tr2bl w:val="nil"/>
            </w:tcBorders>
            <w:vAlign w:val="center"/>
          </w:tcPr>
          <w:p w14:paraId="7899E431">
            <w:pPr>
              <w:pStyle w:val="766"/>
              <w:rPr>
                <w:color w:val="auto"/>
              </w:rPr>
            </w:pPr>
            <w:r>
              <w:rPr>
                <w:color w:val="auto"/>
              </w:rPr>
              <w:t>Y</w:t>
            </w:r>
          </w:p>
        </w:tc>
        <w:tc>
          <w:tcPr>
            <w:tcW w:w="514" w:type="pct"/>
            <w:vMerge w:val="continue"/>
            <w:tcBorders>
              <w:tl2br w:val="nil"/>
              <w:tr2bl w:val="nil"/>
            </w:tcBorders>
            <w:vAlign w:val="center"/>
          </w:tcPr>
          <w:p w14:paraId="198204C9">
            <w:pPr>
              <w:pStyle w:val="766"/>
              <w:rPr>
                <w:color w:val="auto"/>
              </w:rPr>
            </w:pPr>
          </w:p>
        </w:tc>
        <w:tc>
          <w:tcPr>
            <w:tcW w:w="272" w:type="pct"/>
            <w:vMerge w:val="continue"/>
            <w:tcBorders>
              <w:tl2br w:val="nil"/>
              <w:tr2bl w:val="nil"/>
            </w:tcBorders>
            <w:vAlign w:val="center"/>
          </w:tcPr>
          <w:p w14:paraId="50101A73">
            <w:pPr>
              <w:pStyle w:val="766"/>
              <w:rPr>
                <w:color w:val="auto"/>
              </w:rPr>
            </w:pPr>
          </w:p>
        </w:tc>
        <w:tc>
          <w:tcPr>
            <w:tcW w:w="195" w:type="pct"/>
            <w:vMerge w:val="continue"/>
            <w:tcBorders>
              <w:tl2br w:val="nil"/>
              <w:tr2bl w:val="nil"/>
            </w:tcBorders>
            <w:vAlign w:val="center"/>
          </w:tcPr>
          <w:p w14:paraId="22242263">
            <w:pPr>
              <w:pStyle w:val="766"/>
              <w:rPr>
                <w:color w:val="auto"/>
              </w:rPr>
            </w:pPr>
          </w:p>
        </w:tc>
        <w:tc>
          <w:tcPr>
            <w:tcW w:w="292" w:type="pct"/>
            <w:vMerge w:val="continue"/>
            <w:tcBorders>
              <w:tl2br w:val="nil"/>
              <w:tr2bl w:val="nil"/>
            </w:tcBorders>
            <w:vAlign w:val="center"/>
          </w:tcPr>
          <w:p w14:paraId="5E095E58">
            <w:pPr>
              <w:pStyle w:val="766"/>
              <w:rPr>
                <w:color w:val="auto"/>
              </w:rPr>
            </w:pPr>
          </w:p>
        </w:tc>
        <w:tc>
          <w:tcPr>
            <w:tcW w:w="252" w:type="pct"/>
            <w:vMerge w:val="continue"/>
            <w:tcBorders>
              <w:tl2br w:val="nil"/>
              <w:tr2bl w:val="nil"/>
            </w:tcBorders>
            <w:vAlign w:val="center"/>
          </w:tcPr>
          <w:p w14:paraId="5B82D63D">
            <w:pPr>
              <w:pStyle w:val="766"/>
              <w:rPr>
                <w:color w:val="auto"/>
              </w:rPr>
            </w:pPr>
          </w:p>
        </w:tc>
        <w:tc>
          <w:tcPr>
            <w:tcW w:w="362" w:type="pct"/>
            <w:vMerge w:val="continue"/>
            <w:tcBorders>
              <w:tl2br w:val="nil"/>
              <w:tr2bl w:val="nil"/>
            </w:tcBorders>
            <w:vAlign w:val="center"/>
          </w:tcPr>
          <w:p w14:paraId="0650FA1D">
            <w:pPr>
              <w:pStyle w:val="766"/>
              <w:rPr>
                <w:color w:val="auto"/>
              </w:rPr>
            </w:pPr>
          </w:p>
        </w:tc>
        <w:tc>
          <w:tcPr>
            <w:tcW w:w="206" w:type="pct"/>
            <w:vMerge w:val="continue"/>
            <w:tcBorders>
              <w:tl2br w:val="nil"/>
              <w:tr2bl w:val="nil"/>
            </w:tcBorders>
            <w:vAlign w:val="center"/>
          </w:tcPr>
          <w:p w14:paraId="0B80C5C2">
            <w:pPr>
              <w:pStyle w:val="766"/>
              <w:rPr>
                <w:color w:val="auto"/>
              </w:rPr>
            </w:pPr>
          </w:p>
        </w:tc>
        <w:tc>
          <w:tcPr>
            <w:tcW w:w="263" w:type="pct"/>
            <w:vMerge w:val="continue"/>
            <w:tcBorders>
              <w:tl2br w:val="nil"/>
              <w:tr2bl w:val="nil"/>
            </w:tcBorders>
            <w:vAlign w:val="center"/>
          </w:tcPr>
          <w:p w14:paraId="3B7A846C">
            <w:pPr>
              <w:pStyle w:val="766"/>
              <w:rPr>
                <w:color w:val="auto"/>
              </w:rPr>
            </w:pPr>
          </w:p>
        </w:tc>
        <w:tc>
          <w:tcPr>
            <w:tcW w:w="251" w:type="pct"/>
            <w:vMerge w:val="continue"/>
            <w:tcBorders>
              <w:tl2br w:val="nil"/>
              <w:tr2bl w:val="nil"/>
            </w:tcBorders>
            <w:vAlign w:val="center"/>
          </w:tcPr>
          <w:p w14:paraId="2968EDA7">
            <w:pPr>
              <w:pStyle w:val="766"/>
              <w:rPr>
                <w:color w:val="auto"/>
              </w:rPr>
            </w:pPr>
          </w:p>
        </w:tc>
        <w:tc>
          <w:tcPr>
            <w:tcW w:w="380" w:type="pct"/>
            <w:vMerge w:val="continue"/>
            <w:tcBorders>
              <w:tl2br w:val="nil"/>
              <w:tr2bl w:val="nil"/>
            </w:tcBorders>
            <w:vAlign w:val="center"/>
          </w:tcPr>
          <w:p w14:paraId="5D79BCD9">
            <w:pPr>
              <w:pStyle w:val="766"/>
              <w:rPr>
                <w:color w:val="auto"/>
              </w:rPr>
            </w:pPr>
          </w:p>
        </w:tc>
        <w:tc>
          <w:tcPr>
            <w:tcW w:w="382" w:type="pct"/>
            <w:vMerge w:val="continue"/>
            <w:tcBorders>
              <w:tl2br w:val="nil"/>
              <w:tr2bl w:val="nil"/>
            </w:tcBorders>
          </w:tcPr>
          <w:p w14:paraId="1AAE6AB3">
            <w:pPr>
              <w:pStyle w:val="766"/>
              <w:rPr>
                <w:color w:val="auto"/>
              </w:rPr>
            </w:pPr>
          </w:p>
        </w:tc>
        <w:tc>
          <w:tcPr>
            <w:tcW w:w="396" w:type="pct"/>
            <w:vMerge w:val="continue"/>
            <w:tcBorders>
              <w:tl2br w:val="nil"/>
              <w:tr2bl w:val="nil"/>
            </w:tcBorders>
          </w:tcPr>
          <w:p w14:paraId="4BFC57CF">
            <w:pPr>
              <w:pStyle w:val="766"/>
              <w:rPr>
                <w:color w:val="auto"/>
              </w:rPr>
            </w:pPr>
          </w:p>
        </w:tc>
      </w:tr>
      <w:tr w14:paraId="5546B2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14" w:hRule="atLeast"/>
        </w:trPr>
        <w:tc>
          <w:tcPr>
            <w:tcW w:w="127" w:type="pct"/>
            <w:tcBorders>
              <w:tl2br w:val="nil"/>
              <w:tr2bl w:val="nil"/>
            </w:tcBorders>
            <w:vAlign w:val="center"/>
          </w:tcPr>
          <w:p w14:paraId="6C371167">
            <w:pPr>
              <w:pStyle w:val="766"/>
              <w:rPr>
                <w:bCs/>
                <w:color w:val="auto"/>
                <w:lang w:val="zh-CN"/>
              </w:rPr>
            </w:pPr>
            <w:r>
              <w:rPr>
                <w:bCs/>
                <w:color w:val="auto"/>
                <w:lang w:val="zh-CN"/>
              </w:rPr>
              <w:t>1</w:t>
            </w:r>
          </w:p>
        </w:tc>
        <w:tc>
          <w:tcPr>
            <w:tcW w:w="575" w:type="pct"/>
            <w:tcBorders>
              <w:tl2br w:val="nil"/>
              <w:tr2bl w:val="nil"/>
            </w:tcBorders>
            <w:vAlign w:val="center"/>
          </w:tcPr>
          <w:p w14:paraId="75BC8C41">
            <w:pPr>
              <w:pStyle w:val="766"/>
              <w:rPr>
                <w:bCs/>
                <w:color w:val="auto"/>
              </w:rPr>
            </w:pPr>
            <w:r>
              <w:rPr>
                <w:bCs/>
                <w:color w:val="auto"/>
              </w:rPr>
              <w:t>饲料加工排气筒（DA001）</w:t>
            </w:r>
          </w:p>
        </w:tc>
        <w:tc>
          <w:tcPr>
            <w:tcW w:w="290" w:type="pct"/>
            <w:tcBorders>
              <w:tl2br w:val="nil"/>
              <w:tr2bl w:val="nil"/>
            </w:tcBorders>
            <w:vAlign w:val="center"/>
          </w:tcPr>
          <w:p w14:paraId="6F006BE9">
            <w:pPr>
              <w:pStyle w:val="766"/>
              <w:rPr>
                <w:bCs/>
                <w:color w:val="auto"/>
              </w:rPr>
            </w:pPr>
            <w:r>
              <w:rPr>
                <w:rFonts w:hint="eastAsia" w:hAnsi="宋体"/>
                <w:color w:val="auto"/>
              </w:rPr>
              <w:t>-</w:t>
            </w:r>
            <w:r>
              <w:rPr>
                <w:rFonts w:hAnsi="宋体"/>
                <w:color w:val="auto"/>
              </w:rPr>
              <w:t>45</w:t>
            </w:r>
          </w:p>
        </w:tc>
        <w:tc>
          <w:tcPr>
            <w:tcW w:w="235" w:type="pct"/>
            <w:tcBorders>
              <w:tl2br w:val="nil"/>
              <w:tr2bl w:val="nil"/>
            </w:tcBorders>
            <w:vAlign w:val="center"/>
          </w:tcPr>
          <w:p w14:paraId="4CF2D73E">
            <w:pPr>
              <w:pStyle w:val="766"/>
              <w:rPr>
                <w:bCs/>
                <w:color w:val="auto"/>
              </w:rPr>
            </w:pPr>
            <w:r>
              <w:rPr>
                <w:rFonts w:hAnsi="宋体"/>
                <w:color w:val="auto"/>
              </w:rPr>
              <w:t>125</w:t>
            </w:r>
          </w:p>
        </w:tc>
        <w:tc>
          <w:tcPr>
            <w:tcW w:w="514" w:type="pct"/>
            <w:tcBorders>
              <w:tl2br w:val="nil"/>
              <w:tr2bl w:val="nil"/>
            </w:tcBorders>
            <w:vAlign w:val="center"/>
          </w:tcPr>
          <w:p w14:paraId="0C9036B6">
            <w:pPr>
              <w:pStyle w:val="766"/>
              <w:rPr>
                <w:bCs/>
                <w:color w:val="auto"/>
              </w:rPr>
            </w:pPr>
            <w:r>
              <w:rPr>
                <w:rFonts w:hint="eastAsia" w:hAnsi="宋体"/>
                <w:color w:val="auto"/>
              </w:rPr>
              <w:t>1142</w:t>
            </w:r>
          </w:p>
        </w:tc>
        <w:tc>
          <w:tcPr>
            <w:tcW w:w="272" w:type="pct"/>
            <w:tcBorders>
              <w:tl2br w:val="nil"/>
              <w:tr2bl w:val="nil"/>
            </w:tcBorders>
            <w:vAlign w:val="center"/>
          </w:tcPr>
          <w:p w14:paraId="2FD2C617">
            <w:pPr>
              <w:pStyle w:val="766"/>
              <w:rPr>
                <w:bCs/>
                <w:color w:val="auto"/>
                <w:lang w:val="zh-CN"/>
              </w:rPr>
            </w:pPr>
            <w:r>
              <w:rPr>
                <w:bCs/>
                <w:color w:val="auto"/>
                <w:lang w:val="zh-CN"/>
              </w:rPr>
              <w:t>15</w:t>
            </w:r>
          </w:p>
        </w:tc>
        <w:tc>
          <w:tcPr>
            <w:tcW w:w="195" w:type="pct"/>
            <w:tcBorders>
              <w:tl2br w:val="nil"/>
              <w:tr2bl w:val="nil"/>
            </w:tcBorders>
            <w:vAlign w:val="center"/>
          </w:tcPr>
          <w:p w14:paraId="761BCBCC">
            <w:pPr>
              <w:pStyle w:val="766"/>
              <w:rPr>
                <w:bCs/>
                <w:color w:val="auto"/>
                <w:lang w:val="zh-CN"/>
              </w:rPr>
            </w:pPr>
            <w:r>
              <w:rPr>
                <w:rFonts w:hAnsi="宋体"/>
                <w:color w:val="auto"/>
              </w:rPr>
              <w:t>0.3</w:t>
            </w:r>
          </w:p>
        </w:tc>
        <w:tc>
          <w:tcPr>
            <w:tcW w:w="292" w:type="pct"/>
            <w:tcBorders>
              <w:tl2br w:val="nil"/>
              <w:tr2bl w:val="nil"/>
            </w:tcBorders>
            <w:vAlign w:val="center"/>
          </w:tcPr>
          <w:p w14:paraId="12802352">
            <w:pPr>
              <w:pStyle w:val="766"/>
              <w:rPr>
                <w:bCs/>
                <w:color w:val="auto"/>
                <w:lang w:val="zh-CN"/>
              </w:rPr>
            </w:pPr>
            <w:r>
              <w:rPr>
                <w:bCs/>
                <w:color w:val="auto"/>
                <w:lang w:val="zh-CN"/>
              </w:rPr>
              <w:t>4000</w:t>
            </w:r>
          </w:p>
        </w:tc>
        <w:tc>
          <w:tcPr>
            <w:tcW w:w="252" w:type="pct"/>
            <w:tcBorders>
              <w:tl2br w:val="nil"/>
              <w:tr2bl w:val="nil"/>
            </w:tcBorders>
            <w:vAlign w:val="center"/>
          </w:tcPr>
          <w:p w14:paraId="2135166B">
            <w:pPr>
              <w:pStyle w:val="766"/>
              <w:rPr>
                <w:bCs/>
                <w:color w:val="auto"/>
                <w:lang w:val="zh-CN"/>
              </w:rPr>
            </w:pPr>
            <w:r>
              <w:rPr>
                <w:bCs/>
                <w:color w:val="auto"/>
                <w:lang w:val="zh-CN"/>
              </w:rPr>
              <w:t>20</w:t>
            </w:r>
          </w:p>
        </w:tc>
        <w:tc>
          <w:tcPr>
            <w:tcW w:w="362" w:type="pct"/>
            <w:tcBorders>
              <w:tl2br w:val="nil"/>
              <w:tr2bl w:val="nil"/>
            </w:tcBorders>
            <w:vAlign w:val="center"/>
          </w:tcPr>
          <w:p w14:paraId="46481730">
            <w:pPr>
              <w:pStyle w:val="766"/>
              <w:rPr>
                <w:bCs/>
                <w:color w:val="auto"/>
              </w:rPr>
            </w:pPr>
            <w:r>
              <w:rPr>
                <w:bCs/>
                <w:color w:val="auto"/>
              </w:rPr>
              <w:t>2400</w:t>
            </w:r>
          </w:p>
        </w:tc>
        <w:tc>
          <w:tcPr>
            <w:tcW w:w="206" w:type="pct"/>
            <w:tcBorders>
              <w:tl2br w:val="nil"/>
              <w:tr2bl w:val="nil"/>
            </w:tcBorders>
            <w:vAlign w:val="center"/>
          </w:tcPr>
          <w:p w14:paraId="00D99C94">
            <w:pPr>
              <w:pStyle w:val="766"/>
              <w:rPr>
                <w:bCs/>
                <w:color w:val="auto"/>
                <w:lang w:val="zh-CN"/>
              </w:rPr>
            </w:pPr>
            <w:r>
              <w:rPr>
                <w:bCs/>
                <w:color w:val="auto"/>
                <w:lang w:val="zh-CN"/>
              </w:rPr>
              <w:t>正常</w:t>
            </w:r>
          </w:p>
          <w:p w14:paraId="1A2468D1">
            <w:pPr>
              <w:pStyle w:val="766"/>
              <w:rPr>
                <w:bCs/>
                <w:color w:val="auto"/>
                <w:lang w:val="zh-CN"/>
              </w:rPr>
            </w:pPr>
            <w:r>
              <w:rPr>
                <w:bCs/>
                <w:color w:val="auto"/>
                <w:lang w:val="zh-CN"/>
              </w:rPr>
              <w:t>排放</w:t>
            </w:r>
          </w:p>
        </w:tc>
        <w:tc>
          <w:tcPr>
            <w:tcW w:w="263" w:type="pct"/>
            <w:tcBorders>
              <w:tl2br w:val="nil"/>
              <w:tr2bl w:val="nil"/>
            </w:tcBorders>
            <w:vAlign w:val="center"/>
          </w:tcPr>
          <w:p w14:paraId="1CA49FBC">
            <w:pPr>
              <w:pStyle w:val="766"/>
              <w:rPr>
                <w:bCs/>
                <w:color w:val="auto"/>
              </w:rPr>
            </w:pPr>
            <w:r>
              <w:rPr>
                <w:bCs/>
                <w:color w:val="auto"/>
              </w:rPr>
              <w:t>/</w:t>
            </w:r>
          </w:p>
        </w:tc>
        <w:tc>
          <w:tcPr>
            <w:tcW w:w="251" w:type="pct"/>
            <w:tcBorders>
              <w:tl2br w:val="nil"/>
              <w:tr2bl w:val="nil"/>
            </w:tcBorders>
            <w:vAlign w:val="center"/>
          </w:tcPr>
          <w:p w14:paraId="3B6C4A25">
            <w:pPr>
              <w:pStyle w:val="766"/>
              <w:rPr>
                <w:bCs/>
                <w:color w:val="auto"/>
              </w:rPr>
            </w:pPr>
            <w:r>
              <w:rPr>
                <w:bCs/>
                <w:color w:val="auto"/>
              </w:rPr>
              <w:t>/</w:t>
            </w:r>
          </w:p>
        </w:tc>
        <w:tc>
          <w:tcPr>
            <w:tcW w:w="380" w:type="pct"/>
            <w:tcBorders>
              <w:tl2br w:val="nil"/>
              <w:tr2bl w:val="nil"/>
            </w:tcBorders>
            <w:vAlign w:val="center"/>
          </w:tcPr>
          <w:p w14:paraId="3AF15C01">
            <w:pPr>
              <w:pStyle w:val="766"/>
              <w:rPr>
                <w:bCs/>
                <w:color w:val="auto"/>
              </w:rPr>
            </w:pPr>
            <w:r>
              <w:rPr>
                <w:rFonts w:hint="eastAsia"/>
                <w:color w:val="auto"/>
              </w:rPr>
              <w:t>0</w:t>
            </w:r>
            <w:r>
              <w:rPr>
                <w:color w:val="auto"/>
              </w:rPr>
              <w:t>.00934</w:t>
            </w:r>
          </w:p>
        </w:tc>
        <w:tc>
          <w:tcPr>
            <w:tcW w:w="382" w:type="pct"/>
            <w:tcBorders>
              <w:tl2br w:val="nil"/>
              <w:tr2bl w:val="nil"/>
            </w:tcBorders>
            <w:vAlign w:val="center"/>
          </w:tcPr>
          <w:p w14:paraId="6CD32EE7">
            <w:pPr>
              <w:pStyle w:val="766"/>
              <w:rPr>
                <w:color w:val="auto"/>
              </w:rPr>
            </w:pPr>
            <w:r>
              <w:rPr>
                <w:bCs/>
                <w:color w:val="auto"/>
              </w:rPr>
              <w:t>/</w:t>
            </w:r>
          </w:p>
        </w:tc>
        <w:tc>
          <w:tcPr>
            <w:tcW w:w="396" w:type="pct"/>
            <w:tcBorders>
              <w:tl2br w:val="nil"/>
              <w:tr2bl w:val="nil"/>
            </w:tcBorders>
            <w:vAlign w:val="center"/>
          </w:tcPr>
          <w:p w14:paraId="49CD4A27">
            <w:pPr>
              <w:pStyle w:val="766"/>
              <w:rPr>
                <w:color w:val="auto"/>
              </w:rPr>
            </w:pPr>
            <w:r>
              <w:rPr>
                <w:bCs/>
                <w:color w:val="auto"/>
              </w:rPr>
              <w:t>/</w:t>
            </w:r>
          </w:p>
        </w:tc>
      </w:tr>
      <w:tr w14:paraId="71CAD2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27" w:type="pct"/>
            <w:vMerge w:val="restart"/>
            <w:tcBorders>
              <w:tl2br w:val="nil"/>
              <w:tr2bl w:val="nil"/>
            </w:tcBorders>
            <w:vAlign w:val="center"/>
          </w:tcPr>
          <w:p w14:paraId="64545956">
            <w:pPr>
              <w:pStyle w:val="766"/>
              <w:rPr>
                <w:bCs/>
                <w:color w:val="auto"/>
                <w:lang w:val="zh-CN"/>
              </w:rPr>
            </w:pPr>
            <w:r>
              <w:rPr>
                <w:bCs/>
                <w:color w:val="auto"/>
                <w:lang w:val="zh-CN"/>
              </w:rPr>
              <w:t>2</w:t>
            </w:r>
          </w:p>
        </w:tc>
        <w:tc>
          <w:tcPr>
            <w:tcW w:w="575" w:type="pct"/>
            <w:vMerge w:val="restart"/>
            <w:tcBorders>
              <w:tl2br w:val="nil"/>
              <w:tr2bl w:val="nil"/>
            </w:tcBorders>
            <w:vAlign w:val="center"/>
          </w:tcPr>
          <w:p w14:paraId="697F4CD3">
            <w:pPr>
              <w:pStyle w:val="766"/>
              <w:rPr>
                <w:bCs/>
                <w:color w:val="auto"/>
              </w:rPr>
            </w:pPr>
            <w:r>
              <w:rPr>
                <w:color w:val="auto"/>
              </w:rPr>
              <w:t>锅炉排气筒（DA00</w:t>
            </w:r>
            <w:r>
              <w:rPr>
                <w:rFonts w:hint="eastAsia"/>
                <w:color w:val="auto"/>
              </w:rPr>
              <w:t>4、DA005、DA006，两用一备</w:t>
            </w:r>
            <w:r>
              <w:rPr>
                <w:color w:val="auto"/>
              </w:rPr>
              <w:t>）</w:t>
            </w:r>
          </w:p>
        </w:tc>
        <w:tc>
          <w:tcPr>
            <w:tcW w:w="290" w:type="pct"/>
            <w:tcBorders>
              <w:tl2br w:val="nil"/>
              <w:tr2bl w:val="nil"/>
            </w:tcBorders>
            <w:vAlign w:val="center"/>
          </w:tcPr>
          <w:p w14:paraId="252D9CEA">
            <w:pPr>
              <w:pStyle w:val="766"/>
              <w:rPr>
                <w:color w:val="auto"/>
              </w:rPr>
            </w:pPr>
            <w:r>
              <w:rPr>
                <w:rFonts w:hint="eastAsia" w:hAnsi="宋体"/>
                <w:color w:val="auto"/>
              </w:rPr>
              <w:t>-</w:t>
            </w:r>
            <w:r>
              <w:rPr>
                <w:rFonts w:hAnsi="宋体"/>
                <w:color w:val="auto"/>
              </w:rPr>
              <w:t>275</w:t>
            </w:r>
          </w:p>
        </w:tc>
        <w:tc>
          <w:tcPr>
            <w:tcW w:w="235" w:type="pct"/>
            <w:tcBorders>
              <w:tl2br w:val="nil"/>
              <w:tr2bl w:val="nil"/>
            </w:tcBorders>
            <w:vAlign w:val="center"/>
          </w:tcPr>
          <w:p w14:paraId="6B0D0457">
            <w:pPr>
              <w:pStyle w:val="766"/>
              <w:rPr>
                <w:color w:val="auto"/>
              </w:rPr>
            </w:pPr>
            <w:r>
              <w:rPr>
                <w:rFonts w:hAnsi="宋体"/>
                <w:color w:val="auto"/>
              </w:rPr>
              <w:t>141</w:t>
            </w:r>
          </w:p>
        </w:tc>
        <w:tc>
          <w:tcPr>
            <w:tcW w:w="514" w:type="pct"/>
            <w:tcBorders>
              <w:tl2br w:val="nil"/>
              <w:tr2bl w:val="nil"/>
            </w:tcBorders>
            <w:vAlign w:val="center"/>
          </w:tcPr>
          <w:p w14:paraId="60DCCA84">
            <w:pPr>
              <w:pStyle w:val="766"/>
              <w:rPr>
                <w:bCs/>
                <w:color w:val="auto"/>
              </w:rPr>
            </w:pPr>
            <w:r>
              <w:rPr>
                <w:rFonts w:hint="eastAsia" w:hAnsi="宋体"/>
                <w:color w:val="auto"/>
              </w:rPr>
              <w:t>1135</w:t>
            </w:r>
          </w:p>
        </w:tc>
        <w:tc>
          <w:tcPr>
            <w:tcW w:w="272" w:type="pct"/>
            <w:tcBorders>
              <w:tl2br w:val="nil"/>
              <w:tr2bl w:val="nil"/>
            </w:tcBorders>
            <w:vAlign w:val="center"/>
          </w:tcPr>
          <w:p w14:paraId="03B50614">
            <w:pPr>
              <w:pStyle w:val="766"/>
              <w:rPr>
                <w:bCs/>
                <w:color w:val="auto"/>
                <w:lang w:val="zh-CN"/>
              </w:rPr>
            </w:pPr>
            <w:r>
              <w:rPr>
                <w:rFonts w:hint="eastAsia"/>
                <w:bCs/>
                <w:color w:val="auto"/>
              </w:rPr>
              <w:t>8</w:t>
            </w:r>
          </w:p>
        </w:tc>
        <w:tc>
          <w:tcPr>
            <w:tcW w:w="195" w:type="pct"/>
            <w:tcBorders>
              <w:tl2br w:val="nil"/>
              <w:tr2bl w:val="nil"/>
            </w:tcBorders>
            <w:vAlign w:val="center"/>
          </w:tcPr>
          <w:p w14:paraId="6891B604">
            <w:pPr>
              <w:pStyle w:val="766"/>
              <w:rPr>
                <w:bCs/>
                <w:color w:val="auto"/>
                <w:lang w:val="zh-CN"/>
              </w:rPr>
            </w:pPr>
            <w:r>
              <w:rPr>
                <w:rFonts w:hint="eastAsia" w:hAnsi="宋体"/>
                <w:color w:val="auto"/>
              </w:rPr>
              <w:t>0.</w:t>
            </w:r>
            <w:r>
              <w:rPr>
                <w:rFonts w:hAnsi="宋体"/>
                <w:color w:val="auto"/>
              </w:rPr>
              <w:t>3</w:t>
            </w:r>
          </w:p>
        </w:tc>
        <w:tc>
          <w:tcPr>
            <w:tcW w:w="292" w:type="pct"/>
            <w:tcBorders>
              <w:tl2br w:val="nil"/>
              <w:tr2bl w:val="nil"/>
            </w:tcBorders>
            <w:vAlign w:val="center"/>
          </w:tcPr>
          <w:p w14:paraId="30AB3594">
            <w:pPr>
              <w:pStyle w:val="766"/>
              <w:rPr>
                <w:bCs/>
                <w:color w:val="auto"/>
                <w:lang w:val="zh-CN"/>
              </w:rPr>
            </w:pPr>
            <w:r>
              <w:rPr>
                <w:bCs/>
                <w:color w:val="auto"/>
                <w:lang w:val="zh-CN"/>
              </w:rPr>
              <w:t>5000</w:t>
            </w:r>
          </w:p>
        </w:tc>
        <w:tc>
          <w:tcPr>
            <w:tcW w:w="252" w:type="pct"/>
            <w:tcBorders>
              <w:tl2br w:val="nil"/>
              <w:tr2bl w:val="nil"/>
            </w:tcBorders>
            <w:vAlign w:val="center"/>
          </w:tcPr>
          <w:p w14:paraId="79FF05B2">
            <w:pPr>
              <w:pStyle w:val="766"/>
              <w:rPr>
                <w:bCs/>
                <w:color w:val="auto"/>
                <w:lang w:val="zh-CN"/>
              </w:rPr>
            </w:pPr>
            <w:r>
              <w:rPr>
                <w:bCs/>
                <w:color w:val="auto"/>
                <w:lang w:val="zh-CN"/>
              </w:rPr>
              <w:t>20</w:t>
            </w:r>
          </w:p>
        </w:tc>
        <w:tc>
          <w:tcPr>
            <w:tcW w:w="362" w:type="pct"/>
            <w:tcBorders>
              <w:tl2br w:val="nil"/>
              <w:tr2bl w:val="nil"/>
            </w:tcBorders>
            <w:vAlign w:val="center"/>
          </w:tcPr>
          <w:p w14:paraId="2865FCD9">
            <w:pPr>
              <w:pStyle w:val="766"/>
              <w:rPr>
                <w:bCs/>
                <w:color w:val="auto"/>
              </w:rPr>
            </w:pPr>
            <w:r>
              <w:rPr>
                <w:bCs/>
                <w:color w:val="auto"/>
              </w:rPr>
              <w:t>1920</w:t>
            </w:r>
          </w:p>
        </w:tc>
        <w:tc>
          <w:tcPr>
            <w:tcW w:w="206" w:type="pct"/>
            <w:tcBorders>
              <w:tl2br w:val="nil"/>
              <w:tr2bl w:val="nil"/>
            </w:tcBorders>
            <w:vAlign w:val="center"/>
          </w:tcPr>
          <w:p w14:paraId="4A2CA3A1">
            <w:pPr>
              <w:pStyle w:val="766"/>
              <w:rPr>
                <w:bCs/>
                <w:color w:val="auto"/>
                <w:lang w:val="zh-CN"/>
              </w:rPr>
            </w:pPr>
            <w:r>
              <w:rPr>
                <w:bCs/>
                <w:color w:val="auto"/>
                <w:lang w:val="zh-CN"/>
              </w:rPr>
              <w:t>正常</w:t>
            </w:r>
          </w:p>
          <w:p w14:paraId="494DCB6F">
            <w:pPr>
              <w:pStyle w:val="766"/>
              <w:rPr>
                <w:bCs/>
                <w:color w:val="auto"/>
                <w:lang w:val="zh-CN"/>
              </w:rPr>
            </w:pPr>
            <w:r>
              <w:rPr>
                <w:bCs/>
                <w:color w:val="auto"/>
                <w:lang w:val="zh-CN"/>
              </w:rPr>
              <w:t>排放</w:t>
            </w:r>
          </w:p>
        </w:tc>
        <w:tc>
          <w:tcPr>
            <w:tcW w:w="263" w:type="pct"/>
            <w:tcBorders>
              <w:tl2br w:val="nil"/>
              <w:tr2bl w:val="nil"/>
            </w:tcBorders>
            <w:vAlign w:val="center"/>
          </w:tcPr>
          <w:p w14:paraId="29468B60">
            <w:pPr>
              <w:pStyle w:val="766"/>
              <w:rPr>
                <w:bCs/>
                <w:color w:val="auto"/>
              </w:rPr>
            </w:pPr>
            <w:r>
              <w:rPr>
                <w:rFonts w:hint="eastAsia"/>
                <w:bCs/>
                <w:color w:val="auto"/>
              </w:rPr>
              <w:t>0.19</w:t>
            </w:r>
          </w:p>
        </w:tc>
        <w:tc>
          <w:tcPr>
            <w:tcW w:w="251" w:type="pct"/>
            <w:tcBorders>
              <w:tl2br w:val="nil"/>
              <w:tr2bl w:val="nil"/>
            </w:tcBorders>
            <w:vAlign w:val="center"/>
          </w:tcPr>
          <w:p w14:paraId="487E43D8">
            <w:pPr>
              <w:pStyle w:val="766"/>
              <w:rPr>
                <w:bCs/>
                <w:color w:val="auto"/>
              </w:rPr>
            </w:pPr>
            <w:r>
              <w:rPr>
                <w:rFonts w:hint="eastAsia"/>
                <w:bCs/>
                <w:color w:val="auto"/>
              </w:rPr>
              <w:t>/</w:t>
            </w:r>
          </w:p>
        </w:tc>
        <w:tc>
          <w:tcPr>
            <w:tcW w:w="380" w:type="pct"/>
            <w:tcBorders>
              <w:tl2br w:val="nil"/>
              <w:tr2bl w:val="nil"/>
            </w:tcBorders>
            <w:vAlign w:val="center"/>
          </w:tcPr>
          <w:p w14:paraId="1C4E2574">
            <w:pPr>
              <w:pStyle w:val="766"/>
              <w:rPr>
                <w:bCs/>
                <w:color w:val="auto"/>
              </w:rPr>
            </w:pPr>
            <w:r>
              <w:rPr>
                <w:rFonts w:hint="eastAsia"/>
                <w:bCs/>
                <w:color w:val="auto"/>
              </w:rPr>
              <w:t>0.019</w:t>
            </w:r>
          </w:p>
        </w:tc>
        <w:tc>
          <w:tcPr>
            <w:tcW w:w="382" w:type="pct"/>
            <w:tcBorders>
              <w:tl2br w:val="nil"/>
              <w:tr2bl w:val="nil"/>
            </w:tcBorders>
            <w:vAlign w:val="center"/>
          </w:tcPr>
          <w:p w14:paraId="7203950E">
            <w:pPr>
              <w:pStyle w:val="766"/>
              <w:rPr>
                <w:bCs/>
                <w:color w:val="auto"/>
              </w:rPr>
            </w:pPr>
            <w:r>
              <w:rPr>
                <w:bCs/>
                <w:color w:val="auto"/>
              </w:rPr>
              <w:t>/</w:t>
            </w:r>
          </w:p>
        </w:tc>
        <w:tc>
          <w:tcPr>
            <w:tcW w:w="396" w:type="pct"/>
            <w:tcBorders>
              <w:tl2br w:val="nil"/>
              <w:tr2bl w:val="nil"/>
            </w:tcBorders>
            <w:vAlign w:val="center"/>
          </w:tcPr>
          <w:p w14:paraId="21F3E32D">
            <w:pPr>
              <w:pStyle w:val="766"/>
              <w:rPr>
                <w:bCs/>
                <w:color w:val="auto"/>
              </w:rPr>
            </w:pPr>
            <w:r>
              <w:rPr>
                <w:bCs/>
                <w:color w:val="auto"/>
              </w:rPr>
              <w:t>/</w:t>
            </w:r>
          </w:p>
        </w:tc>
      </w:tr>
      <w:tr w14:paraId="64F235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27" w:type="pct"/>
            <w:vMerge w:val="continue"/>
            <w:tcBorders>
              <w:tl2br w:val="nil"/>
              <w:tr2bl w:val="nil"/>
            </w:tcBorders>
            <w:vAlign w:val="center"/>
          </w:tcPr>
          <w:p w14:paraId="2874EEF8">
            <w:pPr>
              <w:pStyle w:val="766"/>
              <w:rPr>
                <w:bCs/>
                <w:color w:val="auto"/>
                <w:lang w:val="zh-CN"/>
              </w:rPr>
            </w:pPr>
          </w:p>
        </w:tc>
        <w:tc>
          <w:tcPr>
            <w:tcW w:w="575" w:type="pct"/>
            <w:vMerge w:val="continue"/>
            <w:tcBorders>
              <w:tl2br w:val="nil"/>
              <w:tr2bl w:val="nil"/>
            </w:tcBorders>
            <w:vAlign w:val="center"/>
          </w:tcPr>
          <w:p w14:paraId="7E255E7A">
            <w:pPr>
              <w:pStyle w:val="766"/>
              <w:rPr>
                <w:color w:val="auto"/>
              </w:rPr>
            </w:pPr>
          </w:p>
        </w:tc>
        <w:tc>
          <w:tcPr>
            <w:tcW w:w="290" w:type="pct"/>
            <w:tcBorders>
              <w:tl2br w:val="nil"/>
              <w:tr2bl w:val="nil"/>
            </w:tcBorders>
            <w:vAlign w:val="center"/>
          </w:tcPr>
          <w:p w14:paraId="41264860">
            <w:pPr>
              <w:pStyle w:val="766"/>
              <w:rPr>
                <w:color w:val="auto"/>
              </w:rPr>
            </w:pPr>
            <w:r>
              <w:rPr>
                <w:rFonts w:hint="eastAsia" w:hAnsi="宋体"/>
                <w:color w:val="auto"/>
              </w:rPr>
              <w:t>-</w:t>
            </w:r>
            <w:r>
              <w:rPr>
                <w:rFonts w:hAnsi="宋体"/>
                <w:color w:val="auto"/>
              </w:rPr>
              <w:t>275</w:t>
            </w:r>
          </w:p>
        </w:tc>
        <w:tc>
          <w:tcPr>
            <w:tcW w:w="235" w:type="pct"/>
            <w:tcBorders>
              <w:tl2br w:val="nil"/>
              <w:tr2bl w:val="nil"/>
            </w:tcBorders>
            <w:vAlign w:val="center"/>
          </w:tcPr>
          <w:p w14:paraId="0E3E03B4">
            <w:pPr>
              <w:pStyle w:val="766"/>
              <w:rPr>
                <w:color w:val="auto"/>
              </w:rPr>
            </w:pPr>
            <w:r>
              <w:rPr>
                <w:rFonts w:hAnsi="宋体"/>
                <w:color w:val="auto"/>
              </w:rPr>
              <w:t>141</w:t>
            </w:r>
          </w:p>
        </w:tc>
        <w:tc>
          <w:tcPr>
            <w:tcW w:w="514" w:type="pct"/>
            <w:tcBorders>
              <w:tl2br w:val="nil"/>
              <w:tr2bl w:val="nil"/>
            </w:tcBorders>
            <w:vAlign w:val="center"/>
          </w:tcPr>
          <w:p w14:paraId="2B0E8164">
            <w:pPr>
              <w:pStyle w:val="766"/>
              <w:rPr>
                <w:bCs/>
                <w:color w:val="auto"/>
              </w:rPr>
            </w:pPr>
            <w:r>
              <w:rPr>
                <w:rFonts w:hint="eastAsia" w:hAnsi="宋体"/>
                <w:color w:val="auto"/>
              </w:rPr>
              <w:t>1135</w:t>
            </w:r>
          </w:p>
        </w:tc>
        <w:tc>
          <w:tcPr>
            <w:tcW w:w="272" w:type="pct"/>
            <w:tcBorders>
              <w:tl2br w:val="nil"/>
              <w:tr2bl w:val="nil"/>
            </w:tcBorders>
            <w:vAlign w:val="center"/>
          </w:tcPr>
          <w:p w14:paraId="0E3C0239">
            <w:pPr>
              <w:pStyle w:val="766"/>
              <w:rPr>
                <w:bCs/>
                <w:color w:val="auto"/>
              </w:rPr>
            </w:pPr>
            <w:r>
              <w:rPr>
                <w:rFonts w:hint="eastAsia"/>
                <w:bCs/>
                <w:color w:val="auto"/>
              </w:rPr>
              <w:t>8</w:t>
            </w:r>
          </w:p>
        </w:tc>
        <w:tc>
          <w:tcPr>
            <w:tcW w:w="195" w:type="pct"/>
            <w:tcBorders>
              <w:tl2br w:val="nil"/>
              <w:tr2bl w:val="nil"/>
            </w:tcBorders>
            <w:vAlign w:val="center"/>
          </w:tcPr>
          <w:p w14:paraId="686381FA">
            <w:pPr>
              <w:pStyle w:val="766"/>
              <w:rPr>
                <w:bCs/>
                <w:color w:val="auto"/>
                <w:lang w:val="zh-CN"/>
              </w:rPr>
            </w:pPr>
            <w:r>
              <w:rPr>
                <w:rFonts w:hint="eastAsia" w:hAnsi="宋体"/>
                <w:color w:val="auto"/>
              </w:rPr>
              <w:t>0.</w:t>
            </w:r>
            <w:r>
              <w:rPr>
                <w:rFonts w:hAnsi="宋体"/>
                <w:color w:val="auto"/>
              </w:rPr>
              <w:t>3</w:t>
            </w:r>
          </w:p>
        </w:tc>
        <w:tc>
          <w:tcPr>
            <w:tcW w:w="292" w:type="pct"/>
            <w:tcBorders>
              <w:tl2br w:val="nil"/>
              <w:tr2bl w:val="nil"/>
            </w:tcBorders>
            <w:vAlign w:val="center"/>
          </w:tcPr>
          <w:p w14:paraId="17092206">
            <w:pPr>
              <w:pStyle w:val="766"/>
              <w:rPr>
                <w:bCs/>
                <w:color w:val="auto"/>
                <w:lang w:val="zh-CN"/>
              </w:rPr>
            </w:pPr>
            <w:r>
              <w:rPr>
                <w:bCs/>
                <w:color w:val="auto"/>
                <w:lang w:val="zh-CN"/>
              </w:rPr>
              <w:t>5000</w:t>
            </w:r>
          </w:p>
        </w:tc>
        <w:tc>
          <w:tcPr>
            <w:tcW w:w="252" w:type="pct"/>
            <w:tcBorders>
              <w:tl2br w:val="nil"/>
              <w:tr2bl w:val="nil"/>
            </w:tcBorders>
            <w:vAlign w:val="center"/>
          </w:tcPr>
          <w:p w14:paraId="4CEECD06">
            <w:pPr>
              <w:pStyle w:val="766"/>
              <w:rPr>
                <w:bCs/>
                <w:color w:val="auto"/>
                <w:lang w:val="zh-CN"/>
              </w:rPr>
            </w:pPr>
            <w:r>
              <w:rPr>
                <w:bCs/>
                <w:color w:val="auto"/>
                <w:lang w:val="zh-CN"/>
              </w:rPr>
              <w:t>20</w:t>
            </w:r>
          </w:p>
        </w:tc>
        <w:tc>
          <w:tcPr>
            <w:tcW w:w="362" w:type="pct"/>
            <w:tcBorders>
              <w:tl2br w:val="nil"/>
              <w:tr2bl w:val="nil"/>
            </w:tcBorders>
            <w:vAlign w:val="center"/>
          </w:tcPr>
          <w:p w14:paraId="7C55943C">
            <w:pPr>
              <w:pStyle w:val="766"/>
              <w:rPr>
                <w:bCs/>
                <w:color w:val="auto"/>
              </w:rPr>
            </w:pPr>
            <w:r>
              <w:rPr>
                <w:bCs/>
                <w:color w:val="auto"/>
              </w:rPr>
              <w:t>1920</w:t>
            </w:r>
          </w:p>
        </w:tc>
        <w:tc>
          <w:tcPr>
            <w:tcW w:w="206" w:type="pct"/>
            <w:tcBorders>
              <w:tl2br w:val="nil"/>
              <w:tr2bl w:val="nil"/>
            </w:tcBorders>
            <w:vAlign w:val="center"/>
          </w:tcPr>
          <w:p w14:paraId="1EB19888">
            <w:pPr>
              <w:pStyle w:val="766"/>
              <w:rPr>
                <w:bCs/>
                <w:color w:val="auto"/>
                <w:lang w:val="zh-CN"/>
              </w:rPr>
            </w:pPr>
            <w:r>
              <w:rPr>
                <w:bCs/>
                <w:color w:val="auto"/>
                <w:lang w:val="zh-CN"/>
              </w:rPr>
              <w:t>正常</w:t>
            </w:r>
          </w:p>
          <w:p w14:paraId="45F3CFCE">
            <w:pPr>
              <w:pStyle w:val="766"/>
              <w:rPr>
                <w:bCs/>
                <w:color w:val="auto"/>
                <w:lang w:val="zh-CN"/>
              </w:rPr>
            </w:pPr>
            <w:r>
              <w:rPr>
                <w:bCs/>
                <w:color w:val="auto"/>
                <w:lang w:val="zh-CN"/>
              </w:rPr>
              <w:t>排放</w:t>
            </w:r>
          </w:p>
        </w:tc>
        <w:tc>
          <w:tcPr>
            <w:tcW w:w="263" w:type="pct"/>
            <w:tcBorders>
              <w:tl2br w:val="nil"/>
              <w:tr2bl w:val="nil"/>
            </w:tcBorders>
            <w:vAlign w:val="center"/>
          </w:tcPr>
          <w:p w14:paraId="08926BC5">
            <w:pPr>
              <w:pStyle w:val="766"/>
              <w:rPr>
                <w:bCs/>
                <w:color w:val="auto"/>
              </w:rPr>
            </w:pPr>
            <w:r>
              <w:rPr>
                <w:rFonts w:hint="eastAsia"/>
                <w:bCs/>
                <w:color w:val="auto"/>
              </w:rPr>
              <w:t>0.19</w:t>
            </w:r>
          </w:p>
        </w:tc>
        <w:tc>
          <w:tcPr>
            <w:tcW w:w="251" w:type="pct"/>
            <w:tcBorders>
              <w:tl2br w:val="nil"/>
              <w:tr2bl w:val="nil"/>
            </w:tcBorders>
            <w:vAlign w:val="center"/>
          </w:tcPr>
          <w:p w14:paraId="241D4E36">
            <w:pPr>
              <w:pStyle w:val="766"/>
              <w:rPr>
                <w:bCs/>
                <w:color w:val="auto"/>
              </w:rPr>
            </w:pPr>
            <w:r>
              <w:rPr>
                <w:rFonts w:hint="eastAsia"/>
                <w:bCs/>
                <w:color w:val="auto"/>
              </w:rPr>
              <w:t>/</w:t>
            </w:r>
          </w:p>
        </w:tc>
        <w:tc>
          <w:tcPr>
            <w:tcW w:w="380" w:type="pct"/>
            <w:tcBorders>
              <w:tl2br w:val="nil"/>
              <w:tr2bl w:val="nil"/>
            </w:tcBorders>
            <w:vAlign w:val="center"/>
          </w:tcPr>
          <w:p w14:paraId="22A7D4E2">
            <w:pPr>
              <w:pStyle w:val="766"/>
              <w:rPr>
                <w:bCs/>
                <w:color w:val="auto"/>
              </w:rPr>
            </w:pPr>
            <w:r>
              <w:rPr>
                <w:rFonts w:hint="eastAsia"/>
                <w:bCs/>
                <w:color w:val="auto"/>
              </w:rPr>
              <w:t>0.019</w:t>
            </w:r>
          </w:p>
        </w:tc>
        <w:tc>
          <w:tcPr>
            <w:tcW w:w="382" w:type="pct"/>
            <w:tcBorders>
              <w:tl2br w:val="nil"/>
              <w:tr2bl w:val="nil"/>
            </w:tcBorders>
            <w:vAlign w:val="center"/>
          </w:tcPr>
          <w:p w14:paraId="346C6DB6">
            <w:pPr>
              <w:pStyle w:val="766"/>
              <w:rPr>
                <w:bCs/>
                <w:color w:val="auto"/>
              </w:rPr>
            </w:pPr>
            <w:r>
              <w:rPr>
                <w:bCs/>
                <w:color w:val="auto"/>
              </w:rPr>
              <w:t>/</w:t>
            </w:r>
          </w:p>
        </w:tc>
        <w:tc>
          <w:tcPr>
            <w:tcW w:w="396" w:type="pct"/>
            <w:tcBorders>
              <w:tl2br w:val="nil"/>
              <w:tr2bl w:val="nil"/>
            </w:tcBorders>
            <w:vAlign w:val="center"/>
          </w:tcPr>
          <w:p w14:paraId="75756A82">
            <w:pPr>
              <w:pStyle w:val="766"/>
              <w:rPr>
                <w:bCs/>
                <w:color w:val="auto"/>
              </w:rPr>
            </w:pPr>
            <w:r>
              <w:rPr>
                <w:bCs/>
                <w:color w:val="auto"/>
              </w:rPr>
              <w:t>/</w:t>
            </w:r>
          </w:p>
        </w:tc>
      </w:tr>
      <w:tr w14:paraId="3A6B4B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27" w:type="pct"/>
            <w:tcBorders>
              <w:tl2br w:val="nil"/>
              <w:tr2bl w:val="nil"/>
            </w:tcBorders>
            <w:vAlign w:val="center"/>
          </w:tcPr>
          <w:p w14:paraId="014FEBF9">
            <w:pPr>
              <w:pStyle w:val="766"/>
              <w:rPr>
                <w:bCs/>
                <w:color w:val="auto"/>
                <w:lang w:val="zh-CN"/>
              </w:rPr>
            </w:pPr>
            <w:r>
              <w:rPr>
                <w:rFonts w:hint="eastAsia"/>
                <w:bCs/>
                <w:color w:val="auto"/>
                <w:lang w:val="zh-CN"/>
              </w:rPr>
              <w:t>3</w:t>
            </w:r>
          </w:p>
        </w:tc>
        <w:tc>
          <w:tcPr>
            <w:tcW w:w="575" w:type="pct"/>
            <w:tcBorders>
              <w:tl2br w:val="nil"/>
              <w:tr2bl w:val="nil"/>
            </w:tcBorders>
            <w:vAlign w:val="center"/>
          </w:tcPr>
          <w:p w14:paraId="6454EFA8">
            <w:pPr>
              <w:pStyle w:val="766"/>
              <w:rPr>
                <w:color w:val="auto"/>
              </w:rPr>
            </w:pPr>
            <w:r>
              <w:rPr>
                <w:rFonts w:hint="eastAsia"/>
                <w:color w:val="auto"/>
              </w:rPr>
              <w:t>有机肥排气筒（D</w:t>
            </w:r>
            <w:r>
              <w:rPr>
                <w:color w:val="auto"/>
              </w:rPr>
              <w:t>A00</w:t>
            </w:r>
            <w:r>
              <w:rPr>
                <w:rFonts w:hint="eastAsia"/>
                <w:color w:val="auto"/>
              </w:rPr>
              <w:t>2）</w:t>
            </w:r>
          </w:p>
        </w:tc>
        <w:tc>
          <w:tcPr>
            <w:tcW w:w="290" w:type="pct"/>
            <w:tcBorders>
              <w:tl2br w:val="nil"/>
              <w:tr2bl w:val="nil"/>
            </w:tcBorders>
            <w:vAlign w:val="center"/>
          </w:tcPr>
          <w:p w14:paraId="3CAD491F">
            <w:pPr>
              <w:pStyle w:val="766"/>
              <w:rPr>
                <w:color w:val="auto"/>
              </w:rPr>
            </w:pPr>
            <w:r>
              <w:rPr>
                <w:rFonts w:hAnsi="宋体"/>
                <w:color w:val="auto"/>
              </w:rPr>
              <w:t>458</w:t>
            </w:r>
          </w:p>
        </w:tc>
        <w:tc>
          <w:tcPr>
            <w:tcW w:w="235" w:type="pct"/>
            <w:tcBorders>
              <w:tl2br w:val="nil"/>
              <w:tr2bl w:val="nil"/>
            </w:tcBorders>
            <w:vAlign w:val="center"/>
          </w:tcPr>
          <w:p w14:paraId="5CB92A37">
            <w:pPr>
              <w:pStyle w:val="766"/>
              <w:rPr>
                <w:color w:val="auto"/>
              </w:rPr>
            </w:pPr>
            <w:r>
              <w:rPr>
                <w:rFonts w:hint="eastAsia" w:hAnsi="宋体"/>
                <w:color w:val="auto"/>
              </w:rPr>
              <w:t>2</w:t>
            </w:r>
            <w:r>
              <w:rPr>
                <w:rFonts w:hAnsi="宋体"/>
                <w:color w:val="auto"/>
              </w:rPr>
              <w:t>80</w:t>
            </w:r>
          </w:p>
        </w:tc>
        <w:tc>
          <w:tcPr>
            <w:tcW w:w="514" w:type="pct"/>
            <w:tcBorders>
              <w:tl2br w:val="nil"/>
              <w:tr2bl w:val="nil"/>
            </w:tcBorders>
            <w:vAlign w:val="center"/>
          </w:tcPr>
          <w:p w14:paraId="7B509688">
            <w:pPr>
              <w:pStyle w:val="766"/>
              <w:rPr>
                <w:bCs/>
                <w:color w:val="auto"/>
              </w:rPr>
            </w:pPr>
            <w:r>
              <w:rPr>
                <w:rFonts w:hint="eastAsia" w:hAnsi="宋体"/>
                <w:color w:val="auto"/>
              </w:rPr>
              <w:t>1</w:t>
            </w:r>
            <w:r>
              <w:rPr>
                <w:rFonts w:hAnsi="宋体"/>
                <w:color w:val="auto"/>
              </w:rPr>
              <w:t>140</w:t>
            </w:r>
          </w:p>
        </w:tc>
        <w:tc>
          <w:tcPr>
            <w:tcW w:w="272" w:type="pct"/>
            <w:tcBorders>
              <w:tl2br w:val="nil"/>
              <w:tr2bl w:val="nil"/>
            </w:tcBorders>
            <w:vAlign w:val="center"/>
          </w:tcPr>
          <w:p w14:paraId="09C76D32">
            <w:pPr>
              <w:pStyle w:val="766"/>
              <w:rPr>
                <w:bCs/>
                <w:color w:val="auto"/>
                <w:lang w:val="zh-CN"/>
              </w:rPr>
            </w:pPr>
            <w:r>
              <w:rPr>
                <w:rFonts w:hint="eastAsia"/>
                <w:bCs/>
                <w:color w:val="auto"/>
                <w:lang w:val="zh-CN"/>
              </w:rPr>
              <w:t>1</w:t>
            </w:r>
            <w:r>
              <w:rPr>
                <w:bCs/>
                <w:color w:val="auto"/>
                <w:lang w:val="zh-CN"/>
              </w:rPr>
              <w:t>5</w:t>
            </w:r>
          </w:p>
        </w:tc>
        <w:tc>
          <w:tcPr>
            <w:tcW w:w="195" w:type="pct"/>
            <w:tcBorders>
              <w:tl2br w:val="nil"/>
              <w:tr2bl w:val="nil"/>
            </w:tcBorders>
            <w:vAlign w:val="center"/>
          </w:tcPr>
          <w:p w14:paraId="5207BE8D">
            <w:pPr>
              <w:pStyle w:val="766"/>
              <w:rPr>
                <w:bCs/>
                <w:color w:val="auto"/>
                <w:lang w:val="zh-CN"/>
              </w:rPr>
            </w:pPr>
            <w:r>
              <w:rPr>
                <w:rFonts w:hint="eastAsia"/>
                <w:bCs/>
                <w:color w:val="auto"/>
                <w:lang w:val="zh-CN"/>
              </w:rPr>
              <w:t>0</w:t>
            </w:r>
            <w:r>
              <w:rPr>
                <w:bCs/>
                <w:color w:val="auto"/>
                <w:lang w:val="zh-CN"/>
              </w:rPr>
              <w:t>.6</w:t>
            </w:r>
          </w:p>
        </w:tc>
        <w:tc>
          <w:tcPr>
            <w:tcW w:w="292" w:type="pct"/>
            <w:tcBorders>
              <w:tl2br w:val="nil"/>
              <w:tr2bl w:val="nil"/>
            </w:tcBorders>
            <w:vAlign w:val="center"/>
          </w:tcPr>
          <w:p w14:paraId="65847D85">
            <w:pPr>
              <w:pStyle w:val="766"/>
              <w:rPr>
                <w:bCs/>
                <w:color w:val="auto"/>
                <w:lang w:val="zh-CN"/>
              </w:rPr>
            </w:pPr>
            <w:r>
              <w:rPr>
                <w:rFonts w:hint="eastAsia"/>
                <w:bCs/>
                <w:color w:val="auto"/>
                <w:lang w:val="zh-CN"/>
              </w:rPr>
              <w:t>1</w:t>
            </w:r>
            <w:r>
              <w:rPr>
                <w:bCs/>
                <w:color w:val="auto"/>
                <w:lang w:val="zh-CN"/>
              </w:rPr>
              <w:t>0000</w:t>
            </w:r>
          </w:p>
        </w:tc>
        <w:tc>
          <w:tcPr>
            <w:tcW w:w="252" w:type="pct"/>
            <w:tcBorders>
              <w:tl2br w:val="nil"/>
              <w:tr2bl w:val="nil"/>
            </w:tcBorders>
            <w:vAlign w:val="center"/>
          </w:tcPr>
          <w:p w14:paraId="04EF65DE">
            <w:pPr>
              <w:pStyle w:val="766"/>
              <w:rPr>
                <w:bCs/>
                <w:color w:val="auto"/>
                <w:lang w:val="zh-CN"/>
              </w:rPr>
            </w:pPr>
            <w:r>
              <w:rPr>
                <w:rFonts w:hint="eastAsia"/>
                <w:bCs/>
                <w:color w:val="auto"/>
                <w:lang w:val="zh-CN"/>
              </w:rPr>
              <w:t>2</w:t>
            </w:r>
            <w:r>
              <w:rPr>
                <w:bCs/>
                <w:color w:val="auto"/>
                <w:lang w:val="zh-CN"/>
              </w:rPr>
              <w:t>0</w:t>
            </w:r>
          </w:p>
        </w:tc>
        <w:tc>
          <w:tcPr>
            <w:tcW w:w="362" w:type="pct"/>
            <w:tcBorders>
              <w:tl2br w:val="nil"/>
              <w:tr2bl w:val="nil"/>
            </w:tcBorders>
            <w:vAlign w:val="center"/>
          </w:tcPr>
          <w:p w14:paraId="3B4E6B7C">
            <w:pPr>
              <w:pStyle w:val="766"/>
              <w:rPr>
                <w:bCs/>
                <w:color w:val="auto"/>
              </w:rPr>
            </w:pPr>
            <w:r>
              <w:rPr>
                <w:rFonts w:hint="eastAsia"/>
                <w:bCs/>
                <w:color w:val="auto"/>
              </w:rPr>
              <w:t>8</w:t>
            </w:r>
            <w:r>
              <w:rPr>
                <w:bCs/>
                <w:color w:val="auto"/>
              </w:rPr>
              <w:t>760</w:t>
            </w:r>
          </w:p>
        </w:tc>
        <w:tc>
          <w:tcPr>
            <w:tcW w:w="206" w:type="pct"/>
            <w:tcBorders>
              <w:tl2br w:val="nil"/>
              <w:tr2bl w:val="nil"/>
            </w:tcBorders>
            <w:vAlign w:val="center"/>
          </w:tcPr>
          <w:p w14:paraId="35652118">
            <w:pPr>
              <w:pStyle w:val="766"/>
              <w:rPr>
                <w:bCs/>
                <w:color w:val="auto"/>
                <w:lang w:val="zh-CN"/>
              </w:rPr>
            </w:pPr>
            <w:r>
              <w:rPr>
                <w:bCs/>
                <w:color w:val="auto"/>
                <w:lang w:val="zh-CN"/>
              </w:rPr>
              <w:t>正常</w:t>
            </w:r>
          </w:p>
          <w:p w14:paraId="56848B39">
            <w:pPr>
              <w:pStyle w:val="766"/>
              <w:rPr>
                <w:bCs/>
                <w:color w:val="auto"/>
                <w:lang w:val="zh-CN"/>
              </w:rPr>
            </w:pPr>
            <w:r>
              <w:rPr>
                <w:bCs/>
                <w:color w:val="auto"/>
                <w:lang w:val="zh-CN"/>
              </w:rPr>
              <w:t>排放</w:t>
            </w:r>
          </w:p>
        </w:tc>
        <w:tc>
          <w:tcPr>
            <w:tcW w:w="263" w:type="pct"/>
            <w:tcBorders>
              <w:tl2br w:val="nil"/>
              <w:tr2bl w:val="nil"/>
            </w:tcBorders>
            <w:vAlign w:val="center"/>
          </w:tcPr>
          <w:p w14:paraId="73CA10D1">
            <w:pPr>
              <w:pStyle w:val="766"/>
              <w:rPr>
                <w:bCs/>
                <w:color w:val="auto"/>
              </w:rPr>
            </w:pPr>
            <w:r>
              <w:rPr>
                <w:bCs/>
                <w:color w:val="auto"/>
              </w:rPr>
              <w:t>/</w:t>
            </w:r>
          </w:p>
        </w:tc>
        <w:tc>
          <w:tcPr>
            <w:tcW w:w="251" w:type="pct"/>
            <w:tcBorders>
              <w:tl2br w:val="nil"/>
              <w:tr2bl w:val="nil"/>
            </w:tcBorders>
            <w:vAlign w:val="center"/>
          </w:tcPr>
          <w:p w14:paraId="3717C8F4">
            <w:pPr>
              <w:pStyle w:val="766"/>
              <w:rPr>
                <w:bCs/>
                <w:color w:val="auto"/>
              </w:rPr>
            </w:pPr>
            <w:r>
              <w:rPr>
                <w:bCs/>
                <w:color w:val="auto"/>
              </w:rPr>
              <w:t>/</w:t>
            </w:r>
          </w:p>
        </w:tc>
        <w:tc>
          <w:tcPr>
            <w:tcW w:w="380" w:type="pct"/>
            <w:tcBorders>
              <w:tl2br w:val="nil"/>
              <w:tr2bl w:val="nil"/>
            </w:tcBorders>
            <w:vAlign w:val="center"/>
          </w:tcPr>
          <w:p w14:paraId="5CDFC55C">
            <w:pPr>
              <w:pStyle w:val="766"/>
              <w:rPr>
                <w:bCs/>
                <w:color w:val="auto"/>
              </w:rPr>
            </w:pPr>
            <w:r>
              <w:rPr>
                <w:rFonts w:hint="eastAsia"/>
                <w:bCs/>
                <w:color w:val="auto"/>
              </w:rPr>
              <w:t>0.02</w:t>
            </w:r>
          </w:p>
        </w:tc>
        <w:tc>
          <w:tcPr>
            <w:tcW w:w="382" w:type="pct"/>
            <w:tcBorders>
              <w:tl2br w:val="nil"/>
              <w:tr2bl w:val="nil"/>
            </w:tcBorders>
            <w:vAlign w:val="center"/>
          </w:tcPr>
          <w:p w14:paraId="21EBD99D">
            <w:pPr>
              <w:pStyle w:val="766"/>
              <w:rPr>
                <w:bCs/>
                <w:color w:val="auto"/>
              </w:rPr>
            </w:pPr>
            <w:r>
              <w:rPr>
                <w:rFonts w:hint="eastAsia"/>
                <w:bCs/>
                <w:color w:val="auto"/>
              </w:rPr>
              <w:t>0.48</w:t>
            </w:r>
          </w:p>
        </w:tc>
        <w:tc>
          <w:tcPr>
            <w:tcW w:w="396" w:type="pct"/>
            <w:tcBorders>
              <w:tl2br w:val="nil"/>
              <w:tr2bl w:val="nil"/>
            </w:tcBorders>
            <w:vAlign w:val="center"/>
          </w:tcPr>
          <w:p w14:paraId="4B485A46">
            <w:pPr>
              <w:pStyle w:val="766"/>
              <w:rPr>
                <w:bCs/>
                <w:color w:val="auto"/>
              </w:rPr>
            </w:pPr>
            <w:r>
              <w:rPr>
                <w:rFonts w:hint="eastAsia"/>
                <w:bCs/>
                <w:color w:val="auto"/>
              </w:rPr>
              <w:t>0.048</w:t>
            </w:r>
          </w:p>
        </w:tc>
      </w:tr>
      <w:tr w14:paraId="0D0F70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24" w:hRule="atLeast"/>
        </w:trPr>
        <w:tc>
          <w:tcPr>
            <w:tcW w:w="127" w:type="pct"/>
            <w:tcBorders>
              <w:tl2br w:val="nil"/>
              <w:tr2bl w:val="nil"/>
            </w:tcBorders>
            <w:vAlign w:val="center"/>
          </w:tcPr>
          <w:p w14:paraId="63E7B53A">
            <w:pPr>
              <w:pStyle w:val="766"/>
              <w:rPr>
                <w:bCs/>
                <w:color w:val="auto"/>
                <w:lang w:val="zh-CN"/>
              </w:rPr>
            </w:pPr>
            <w:r>
              <w:rPr>
                <w:rFonts w:hint="eastAsia"/>
                <w:bCs/>
                <w:color w:val="auto"/>
                <w:lang w:val="zh-CN"/>
              </w:rPr>
              <w:t>4</w:t>
            </w:r>
          </w:p>
        </w:tc>
        <w:tc>
          <w:tcPr>
            <w:tcW w:w="575" w:type="pct"/>
            <w:tcBorders>
              <w:tl2br w:val="nil"/>
              <w:tr2bl w:val="nil"/>
            </w:tcBorders>
            <w:vAlign w:val="center"/>
          </w:tcPr>
          <w:p w14:paraId="7358C1A4">
            <w:pPr>
              <w:pStyle w:val="766"/>
              <w:rPr>
                <w:color w:val="auto"/>
              </w:rPr>
            </w:pPr>
            <w:r>
              <w:rPr>
                <w:rFonts w:hint="eastAsia"/>
                <w:color w:val="auto"/>
              </w:rPr>
              <w:t>污水处理措施排气筒（D</w:t>
            </w:r>
            <w:r>
              <w:rPr>
                <w:color w:val="auto"/>
              </w:rPr>
              <w:t>A00</w:t>
            </w:r>
            <w:r>
              <w:rPr>
                <w:rFonts w:hint="eastAsia"/>
                <w:color w:val="auto"/>
              </w:rPr>
              <w:t>7）</w:t>
            </w:r>
          </w:p>
        </w:tc>
        <w:tc>
          <w:tcPr>
            <w:tcW w:w="290" w:type="pct"/>
            <w:tcBorders>
              <w:tl2br w:val="nil"/>
              <w:tr2bl w:val="nil"/>
            </w:tcBorders>
            <w:vAlign w:val="center"/>
          </w:tcPr>
          <w:p w14:paraId="3834EDE7">
            <w:pPr>
              <w:pStyle w:val="766"/>
              <w:rPr>
                <w:color w:val="auto"/>
              </w:rPr>
            </w:pPr>
            <w:r>
              <w:rPr>
                <w:rFonts w:hint="eastAsia" w:hAnsi="宋体"/>
                <w:color w:val="auto"/>
              </w:rPr>
              <w:t>4</w:t>
            </w:r>
            <w:r>
              <w:rPr>
                <w:rFonts w:hAnsi="宋体"/>
                <w:color w:val="auto"/>
              </w:rPr>
              <w:t>46</w:t>
            </w:r>
          </w:p>
        </w:tc>
        <w:tc>
          <w:tcPr>
            <w:tcW w:w="235" w:type="pct"/>
            <w:tcBorders>
              <w:tl2br w:val="nil"/>
              <w:tr2bl w:val="nil"/>
            </w:tcBorders>
            <w:vAlign w:val="center"/>
          </w:tcPr>
          <w:p w14:paraId="754D80B1">
            <w:pPr>
              <w:pStyle w:val="766"/>
              <w:rPr>
                <w:color w:val="auto"/>
              </w:rPr>
            </w:pPr>
            <w:r>
              <w:rPr>
                <w:rFonts w:hint="eastAsia" w:hAnsi="宋体"/>
                <w:color w:val="auto"/>
              </w:rPr>
              <w:t>1</w:t>
            </w:r>
            <w:r>
              <w:rPr>
                <w:rFonts w:hAnsi="宋体"/>
                <w:color w:val="auto"/>
              </w:rPr>
              <w:t>80</w:t>
            </w:r>
          </w:p>
        </w:tc>
        <w:tc>
          <w:tcPr>
            <w:tcW w:w="514" w:type="pct"/>
            <w:tcBorders>
              <w:tl2br w:val="nil"/>
              <w:tr2bl w:val="nil"/>
            </w:tcBorders>
            <w:vAlign w:val="center"/>
          </w:tcPr>
          <w:p w14:paraId="4AD172BF">
            <w:pPr>
              <w:pStyle w:val="766"/>
              <w:rPr>
                <w:bCs/>
                <w:color w:val="auto"/>
              </w:rPr>
            </w:pPr>
            <w:r>
              <w:rPr>
                <w:rFonts w:hint="eastAsia" w:hAnsi="宋体"/>
                <w:color w:val="auto"/>
              </w:rPr>
              <w:t>1</w:t>
            </w:r>
            <w:r>
              <w:rPr>
                <w:rFonts w:hAnsi="宋体"/>
                <w:color w:val="auto"/>
              </w:rPr>
              <w:t>138</w:t>
            </w:r>
          </w:p>
        </w:tc>
        <w:tc>
          <w:tcPr>
            <w:tcW w:w="272" w:type="pct"/>
            <w:tcBorders>
              <w:tl2br w:val="nil"/>
              <w:tr2bl w:val="nil"/>
            </w:tcBorders>
            <w:vAlign w:val="center"/>
          </w:tcPr>
          <w:p w14:paraId="00CC4759">
            <w:pPr>
              <w:pStyle w:val="766"/>
              <w:rPr>
                <w:bCs/>
                <w:color w:val="auto"/>
                <w:lang w:val="zh-CN"/>
              </w:rPr>
            </w:pPr>
            <w:r>
              <w:rPr>
                <w:rFonts w:hint="eastAsia"/>
                <w:bCs/>
                <w:color w:val="auto"/>
                <w:lang w:val="zh-CN"/>
              </w:rPr>
              <w:t>1</w:t>
            </w:r>
            <w:r>
              <w:rPr>
                <w:bCs/>
                <w:color w:val="auto"/>
                <w:lang w:val="zh-CN"/>
              </w:rPr>
              <w:t>5</w:t>
            </w:r>
          </w:p>
        </w:tc>
        <w:tc>
          <w:tcPr>
            <w:tcW w:w="195" w:type="pct"/>
            <w:tcBorders>
              <w:tl2br w:val="nil"/>
              <w:tr2bl w:val="nil"/>
            </w:tcBorders>
            <w:vAlign w:val="center"/>
          </w:tcPr>
          <w:p w14:paraId="3F8D9A0F">
            <w:pPr>
              <w:pStyle w:val="766"/>
              <w:rPr>
                <w:bCs/>
                <w:color w:val="auto"/>
                <w:lang w:val="zh-CN"/>
              </w:rPr>
            </w:pPr>
            <w:r>
              <w:rPr>
                <w:rFonts w:hint="eastAsia"/>
                <w:bCs/>
                <w:color w:val="auto"/>
                <w:lang w:val="zh-CN"/>
              </w:rPr>
              <w:t>0</w:t>
            </w:r>
            <w:r>
              <w:rPr>
                <w:bCs/>
                <w:color w:val="auto"/>
                <w:lang w:val="zh-CN"/>
              </w:rPr>
              <w:t>.6</w:t>
            </w:r>
          </w:p>
        </w:tc>
        <w:tc>
          <w:tcPr>
            <w:tcW w:w="292" w:type="pct"/>
            <w:tcBorders>
              <w:tl2br w:val="nil"/>
              <w:tr2bl w:val="nil"/>
            </w:tcBorders>
            <w:vAlign w:val="center"/>
          </w:tcPr>
          <w:p w14:paraId="6F8B3E6F">
            <w:pPr>
              <w:pStyle w:val="766"/>
              <w:rPr>
                <w:bCs/>
                <w:color w:val="auto"/>
                <w:lang w:val="zh-CN"/>
              </w:rPr>
            </w:pPr>
            <w:r>
              <w:rPr>
                <w:rFonts w:hint="eastAsia"/>
                <w:bCs/>
                <w:color w:val="auto"/>
                <w:lang w:val="zh-CN"/>
              </w:rPr>
              <w:t>1</w:t>
            </w:r>
            <w:r>
              <w:rPr>
                <w:bCs/>
                <w:color w:val="auto"/>
                <w:lang w:val="zh-CN"/>
              </w:rPr>
              <w:t>0000</w:t>
            </w:r>
          </w:p>
        </w:tc>
        <w:tc>
          <w:tcPr>
            <w:tcW w:w="252" w:type="pct"/>
            <w:tcBorders>
              <w:tl2br w:val="nil"/>
              <w:tr2bl w:val="nil"/>
            </w:tcBorders>
            <w:vAlign w:val="center"/>
          </w:tcPr>
          <w:p w14:paraId="3BE8FADC">
            <w:pPr>
              <w:pStyle w:val="766"/>
              <w:rPr>
                <w:bCs/>
                <w:color w:val="auto"/>
                <w:lang w:val="zh-CN"/>
              </w:rPr>
            </w:pPr>
            <w:r>
              <w:rPr>
                <w:rFonts w:hint="eastAsia"/>
                <w:bCs/>
                <w:color w:val="auto"/>
                <w:lang w:val="zh-CN"/>
              </w:rPr>
              <w:t>2</w:t>
            </w:r>
            <w:r>
              <w:rPr>
                <w:bCs/>
                <w:color w:val="auto"/>
                <w:lang w:val="zh-CN"/>
              </w:rPr>
              <w:t>0</w:t>
            </w:r>
          </w:p>
        </w:tc>
        <w:tc>
          <w:tcPr>
            <w:tcW w:w="362" w:type="pct"/>
            <w:tcBorders>
              <w:tl2br w:val="nil"/>
              <w:tr2bl w:val="nil"/>
            </w:tcBorders>
            <w:vAlign w:val="center"/>
          </w:tcPr>
          <w:p w14:paraId="0EEC67BE">
            <w:pPr>
              <w:pStyle w:val="766"/>
              <w:rPr>
                <w:bCs/>
                <w:color w:val="auto"/>
              </w:rPr>
            </w:pPr>
            <w:r>
              <w:rPr>
                <w:rFonts w:hint="eastAsia"/>
                <w:bCs/>
                <w:color w:val="auto"/>
              </w:rPr>
              <w:t>8</w:t>
            </w:r>
            <w:r>
              <w:rPr>
                <w:bCs/>
                <w:color w:val="auto"/>
              </w:rPr>
              <w:t>760</w:t>
            </w:r>
          </w:p>
        </w:tc>
        <w:tc>
          <w:tcPr>
            <w:tcW w:w="206" w:type="pct"/>
            <w:tcBorders>
              <w:tl2br w:val="nil"/>
              <w:tr2bl w:val="nil"/>
            </w:tcBorders>
            <w:vAlign w:val="center"/>
          </w:tcPr>
          <w:p w14:paraId="636625B5">
            <w:pPr>
              <w:pStyle w:val="766"/>
              <w:rPr>
                <w:bCs/>
                <w:color w:val="auto"/>
                <w:lang w:val="zh-CN"/>
              </w:rPr>
            </w:pPr>
            <w:r>
              <w:rPr>
                <w:bCs/>
                <w:color w:val="auto"/>
                <w:lang w:val="zh-CN"/>
              </w:rPr>
              <w:t>正常</w:t>
            </w:r>
          </w:p>
          <w:p w14:paraId="3BE8177C">
            <w:pPr>
              <w:pStyle w:val="766"/>
              <w:rPr>
                <w:bCs/>
                <w:color w:val="auto"/>
                <w:lang w:val="zh-CN"/>
              </w:rPr>
            </w:pPr>
            <w:r>
              <w:rPr>
                <w:bCs/>
                <w:color w:val="auto"/>
                <w:lang w:val="zh-CN"/>
              </w:rPr>
              <w:t>排放</w:t>
            </w:r>
          </w:p>
        </w:tc>
        <w:tc>
          <w:tcPr>
            <w:tcW w:w="263" w:type="pct"/>
            <w:tcBorders>
              <w:tl2br w:val="nil"/>
              <w:tr2bl w:val="nil"/>
            </w:tcBorders>
            <w:vAlign w:val="center"/>
          </w:tcPr>
          <w:p w14:paraId="3D3A3771">
            <w:pPr>
              <w:pStyle w:val="766"/>
              <w:rPr>
                <w:bCs/>
                <w:color w:val="auto"/>
              </w:rPr>
            </w:pPr>
            <w:r>
              <w:rPr>
                <w:bCs/>
                <w:color w:val="auto"/>
              </w:rPr>
              <w:t>/</w:t>
            </w:r>
          </w:p>
        </w:tc>
        <w:tc>
          <w:tcPr>
            <w:tcW w:w="251" w:type="pct"/>
            <w:tcBorders>
              <w:tl2br w:val="nil"/>
              <w:tr2bl w:val="nil"/>
            </w:tcBorders>
            <w:vAlign w:val="center"/>
          </w:tcPr>
          <w:p w14:paraId="2E6E4162">
            <w:pPr>
              <w:pStyle w:val="766"/>
              <w:rPr>
                <w:bCs/>
                <w:color w:val="auto"/>
              </w:rPr>
            </w:pPr>
            <w:r>
              <w:rPr>
                <w:bCs/>
                <w:color w:val="auto"/>
              </w:rPr>
              <w:t>/</w:t>
            </w:r>
          </w:p>
        </w:tc>
        <w:tc>
          <w:tcPr>
            <w:tcW w:w="380" w:type="pct"/>
            <w:tcBorders>
              <w:tl2br w:val="nil"/>
              <w:tr2bl w:val="nil"/>
            </w:tcBorders>
            <w:vAlign w:val="center"/>
          </w:tcPr>
          <w:p w14:paraId="2BC097D1">
            <w:pPr>
              <w:pStyle w:val="766"/>
              <w:rPr>
                <w:bCs/>
                <w:color w:val="auto"/>
              </w:rPr>
            </w:pPr>
            <w:r>
              <w:rPr>
                <w:bCs/>
                <w:color w:val="auto"/>
              </w:rPr>
              <w:t>/</w:t>
            </w:r>
          </w:p>
        </w:tc>
        <w:tc>
          <w:tcPr>
            <w:tcW w:w="382" w:type="pct"/>
            <w:tcBorders>
              <w:tl2br w:val="nil"/>
              <w:tr2bl w:val="nil"/>
            </w:tcBorders>
            <w:vAlign w:val="center"/>
          </w:tcPr>
          <w:p w14:paraId="29A8D7E8">
            <w:pPr>
              <w:pStyle w:val="766"/>
              <w:rPr>
                <w:bCs/>
                <w:color w:val="auto"/>
              </w:rPr>
            </w:pPr>
            <w:r>
              <w:rPr>
                <w:rFonts w:hint="eastAsia"/>
                <w:bCs/>
                <w:color w:val="auto"/>
              </w:rPr>
              <w:t>0.0019</w:t>
            </w:r>
          </w:p>
        </w:tc>
        <w:tc>
          <w:tcPr>
            <w:tcW w:w="396" w:type="pct"/>
            <w:tcBorders>
              <w:tl2br w:val="nil"/>
              <w:tr2bl w:val="nil"/>
            </w:tcBorders>
            <w:vAlign w:val="center"/>
          </w:tcPr>
          <w:p w14:paraId="32CF035B">
            <w:pPr>
              <w:pStyle w:val="766"/>
              <w:rPr>
                <w:bCs/>
                <w:color w:val="auto"/>
              </w:rPr>
            </w:pPr>
            <w:r>
              <w:rPr>
                <w:rFonts w:hint="eastAsia"/>
                <w:bCs/>
                <w:color w:val="auto"/>
              </w:rPr>
              <w:t>0</w:t>
            </w:r>
            <w:r>
              <w:rPr>
                <w:bCs/>
                <w:color w:val="auto"/>
              </w:rPr>
              <w:t>.0</w:t>
            </w:r>
            <w:r>
              <w:rPr>
                <w:rFonts w:hint="eastAsia"/>
                <w:bCs/>
                <w:color w:val="auto"/>
              </w:rPr>
              <w:t>0</w:t>
            </w:r>
            <w:r>
              <w:rPr>
                <w:bCs/>
                <w:color w:val="auto"/>
              </w:rPr>
              <w:t>02</w:t>
            </w:r>
          </w:p>
        </w:tc>
      </w:tr>
    </w:tbl>
    <w:p w14:paraId="217D71CD">
      <w:pPr>
        <w:pStyle w:val="369"/>
      </w:pPr>
      <w:r>
        <w:t>表5.2-8  无组织废气</w:t>
      </w:r>
      <w:r>
        <w:rPr>
          <w:rFonts w:hint="eastAsia"/>
          <w:bCs/>
        </w:rPr>
        <w:t>污染源估算模式参数取值一览表</w:t>
      </w:r>
    </w:p>
    <w:tbl>
      <w:tblPr>
        <w:tblStyle w:val="82"/>
        <w:tblW w:w="92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384"/>
        <w:gridCol w:w="857"/>
        <w:gridCol w:w="663"/>
        <w:gridCol w:w="558"/>
        <w:gridCol w:w="1071"/>
        <w:gridCol w:w="371"/>
        <w:gridCol w:w="666"/>
        <w:gridCol w:w="1224"/>
        <w:gridCol w:w="1041"/>
        <w:gridCol w:w="430"/>
        <w:gridCol w:w="895"/>
        <w:gridCol w:w="1043"/>
      </w:tblGrid>
      <w:tr w14:paraId="4C8851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0" w:type="auto"/>
            <w:vMerge w:val="restart"/>
            <w:vAlign w:val="center"/>
          </w:tcPr>
          <w:p w14:paraId="58302E02">
            <w:pPr>
              <w:spacing w:line="240" w:lineRule="auto"/>
              <w:ind w:firstLine="0" w:firstLineChars="0"/>
              <w:jc w:val="center"/>
              <w:rPr>
                <w:sz w:val="21"/>
                <w:szCs w:val="21"/>
              </w:rPr>
            </w:pPr>
            <w:r>
              <w:rPr>
                <w:rFonts w:hAnsi="宋体"/>
                <w:sz w:val="21"/>
                <w:szCs w:val="21"/>
              </w:rPr>
              <w:t>编号</w:t>
            </w:r>
          </w:p>
        </w:tc>
        <w:tc>
          <w:tcPr>
            <w:tcW w:w="0" w:type="auto"/>
            <w:vMerge w:val="restart"/>
            <w:vAlign w:val="center"/>
          </w:tcPr>
          <w:p w14:paraId="59836338">
            <w:pPr>
              <w:spacing w:line="240" w:lineRule="auto"/>
              <w:ind w:firstLine="0" w:firstLineChars="0"/>
              <w:jc w:val="center"/>
              <w:rPr>
                <w:sz w:val="21"/>
                <w:szCs w:val="21"/>
              </w:rPr>
            </w:pPr>
            <w:r>
              <w:rPr>
                <w:rFonts w:hAnsi="宋体"/>
                <w:sz w:val="21"/>
                <w:szCs w:val="21"/>
              </w:rPr>
              <w:t>名称</w:t>
            </w:r>
          </w:p>
        </w:tc>
        <w:tc>
          <w:tcPr>
            <w:tcW w:w="0" w:type="auto"/>
            <w:gridSpan w:val="2"/>
            <w:vAlign w:val="center"/>
          </w:tcPr>
          <w:p w14:paraId="56047806">
            <w:pPr>
              <w:snapToGrid w:val="0"/>
              <w:spacing w:line="240" w:lineRule="auto"/>
              <w:ind w:firstLine="0" w:firstLineChars="0"/>
              <w:jc w:val="center"/>
              <w:rPr>
                <w:sz w:val="21"/>
                <w:szCs w:val="21"/>
              </w:rPr>
            </w:pPr>
            <w:r>
              <w:rPr>
                <w:rFonts w:hAnsi="宋体"/>
                <w:sz w:val="21"/>
                <w:szCs w:val="21"/>
              </w:rPr>
              <w:t>面源起点坐标</w:t>
            </w:r>
            <w:r>
              <w:rPr>
                <w:sz w:val="21"/>
                <w:szCs w:val="21"/>
              </w:rPr>
              <w:t>/m</w:t>
            </w:r>
          </w:p>
        </w:tc>
        <w:tc>
          <w:tcPr>
            <w:tcW w:w="0" w:type="auto"/>
            <w:vMerge w:val="restart"/>
            <w:vAlign w:val="center"/>
          </w:tcPr>
          <w:p w14:paraId="7EF01D06">
            <w:pPr>
              <w:snapToGrid w:val="0"/>
              <w:spacing w:line="240" w:lineRule="auto"/>
              <w:ind w:firstLine="0" w:firstLineChars="0"/>
              <w:jc w:val="center"/>
              <w:rPr>
                <w:sz w:val="21"/>
                <w:szCs w:val="21"/>
              </w:rPr>
            </w:pPr>
            <w:r>
              <w:rPr>
                <w:rFonts w:hAnsi="宋体"/>
                <w:sz w:val="21"/>
                <w:szCs w:val="21"/>
              </w:rPr>
              <w:t>面源海拔高度</w:t>
            </w:r>
            <w:r>
              <w:rPr>
                <w:sz w:val="21"/>
                <w:szCs w:val="21"/>
              </w:rPr>
              <w:t>/m</w:t>
            </w:r>
          </w:p>
        </w:tc>
        <w:tc>
          <w:tcPr>
            <w:tcW w:w="0" w:type="auto"/>
            <w:vMerge w:val="restart"/>
            <w:vAlign w:val="center"/>
          </w:tcPr>
          <w:p w14:paraId="146278B1">
            <w:pPr>
              <w:snapToGrid w:val="0"/>
              <w:spacing w:line="240" w:lineRule="auto"/>
              <w:ind w:left="-120" w:leftChars="-50" w:right="-120" w:rightChars="-50" w:firstLine="0" w:firstLineChars="0"/>
              <w:jc w:val="center"/>
              <w:rPr>
                <w:sz w:val="21"/>
                <w:szCs w:val="21"/>
              </w:rPr>
            </w:pPr>
            <w:r>
              <w:rPr>
                <w:rFonts w:hAnsi="宋体"/>
                <w:sz w:val="21"/>
                <w:szCs w:val="21"/>
              </w:rPr>
              <w:t>面源</w:t>
            </w:r>
          </w:p>
          <w:p w14:paraId="5B68D536">
            <w:pPr>
              <w:snapToGrid w:val="0"/>
              <w:spacing w:line="240" w:lineRule="auto"/>
              <w:ind w:left="-120" w:leftChars="-50" w:right="-120" w:rightChars="-50" w:firstLine="0" w:firstLineChars="0"/>
              <w:jc w:val="center"/>
              <w:rPr>
                <w:sz w:val="21"/>
                <w:szCs w:val="21"/>
              </w:rPr>
            </w:pPr>
            <w:r>
              <w:rPr>
                <w:rFonts w:hAnsi="宋体"/>
                <w:sz w:val="21"/>
                <w:szCs w:val="21"/>
              </w:rPr>
              <w:t>长度</w:t>
            </w:r>
          </w:p>
          <w:p w14:paraId="1091D18E">
            <w:pPr>
              <w:snapToGrid w:val="0"/>
              <w:spacing w:line="240" w:lineRule="auto"/>
              <w:ind w:firstLine="0" w:firstLineChars="0"/>
              <w:jc w:val="center"/>
              <w:rPr>
                <w:sz w:val="21"/>
                <w:szCs w:val="21"/>
              </w:rPr>
            </w:pPr>
            <w:r>
              <w:rPr>
                <w:sz w:val="21"/>
                <w:szCs w:val="21"/>
              </w:rPr>
              <w:t>/m</w:t>
            </w:r>
          </w:p>
        </w:tc>
        <w:tc>
          <w:tcPr>
            <w:tcW w:w="0" w:type="auto"/>
            <w:vMerge w:val="restart"/>
            <w:vAlign w:val="center"/>
          </w:tcPr>
          <w:p w14:paraId="1A57BB27">
            <w:pPr>
              <w:snapToGrid w:val="0"/>
              <w:spacing w:line="240" w:lineRule="auto"/>
              <w:ind w:firstLine="0" w:firstLineChars="0"/>
              <w:jc w:val="center"/>
              <w:rPr>
                <w:sz w:val="21"/>
                <w:szCs w:val="21"/>
              </w:rPr>
            </w:pPr>
            <w:r>
              <w:rPr>
                <w:rFonts w:hAnsi="宋体"/>
                <w:sz w:val="21"/>
                <w:szCs w:val="21"/>
              </w:rPr>
              <w:t>面源宽度</w:t>
            </w:r>
          </w:p>
          <w:p w14:paraId="19F3691C">
            <w:pPr>
              <w:snapToGrid w:val="0"/>
              <w:spacing w:line="240" w:lineRule="auto"/>
              <w:ind w:firstLine="0" w:firstLineChars="0"/>
              <w:jc w:val="center"/>
              <w:rPr>
                <w:sz w:val="21"/>
                <w:szCs w:val="21"/>
              </w:rPr>
            </w:pPr>
            <w:r>
              <w:rPr>
                <w:sz w:val="21"/>
                <w:szCs w:val="21"/>
              </w:rPr>
              <w:t>/m</w:t>
            </w:r>
          </w:p>
        </w:tc>
        <w:tc>
          <w:tcPr>
            <w:tcW w:w="0" w:type="auto"/>
            <w:vMerge w:val="restart"/>
            <w:vAlign w:val="center"/>
          </w:tcPr>
          <w:p w14:paraId="47FB3A18">
            <w:pPr>
              <w:spacing w:line="240" w:lineRule="auto"/>
              <w:ind w:firstLine="0" w:firstLineChars="0"/>
              <w:jc w:val="center"/>
              <w:rPr>
                <w:sz w:val="21"/>
                <w:szCs w:val="21"/>
              </w:rPr>
            </w:pPr>
            <w:r>
              <w:rPr>
                <w:rFonts w:hAnsi="宋体"/>
                <w:sz w:val="21"/>
                <w:szCs w:val="21"/>
              </w:rPr>
              <w:t>面源有效排放高度</w:t>
            </w:r>
            <w:r>
              <w:rPr>
                <w:sz w:val="21"/>
                <w:szCs w:val="21"/>
              </w:rPr>
              <w:t>/m</w:t>
            </w:r>
          </w:p>
        </w:tc>
        <w:tc>
          <w:tcPr>
            <w:tcW w:w="0" w:type="auto"/>
            <w:vMerge w:val="restart"/>
            <w:vAlign w:val="center"/>
          </w:tcPr>
          <w:p w14:paraId="105DD0C8">
            <w:pPr>
              <w:spacing w:line="240" w:lineRule="auto"/>
              <w:ind w:firstLine="0" w:firstLineChars="0"/>
              <w:jc w:val="center"/>
              <w:rPr>
                <w:sz w:val="21"/>
                <w:szCs w:val="21"/>
              </w:rPr>
            </w:pPr>
            <w:r>
              <w:rPr>
                <w:rFonts w:hAnsi="宋体"/>
                <w:sz w:val="21"/>
                <w:szCs w:val="21"/>
              </w:rPr>
              <w:t>年排放小时数</w:t>
            </w:r>
            <w:r>
              <w:rPr>
                <w:sz w:val="21"/>
                <w:szCs w:val="21"/>
              </w:rPr>
              <w:t>/h</w:t>
            </w:r>
          </w:p>
        </w:tc>
        <w:tc>
          <w:tcPr>
            <w:tcW w:w="430" w:type="dxa"/>
            <w:vMerge w:val="restart"/>
            <w:vAlign w:val="center"/>
          </w:tcPr>
          <w:p w14:paraId="2AA8CF99">
            <w:pPr>
              <w:spacing w:line="240" w:lineRule="auto"/>
              <w:ind w:firstLine="0" w:firstLineChars="0"/>
              <w:jc w:val="center"/>
              <w:rPr>
                <w:sz w:val="21"/>
                <w:szCs w:val="21"/>
              </w:rPr>
            </w:pPr>
            <w:r>
              <w:rPr>
                <w:rFonts w:hAnsi="宋体"/>
                <w:sz w:val="21"/>
                <w:szCs w:val="21"/>
              </w:rPr>
              <w:t>排放</w:t>
            </w:r>
          </w:p>
          <w:p w14:paraId="353615B0">
            <w:pPr>
              <w:spacing w:line="240" w:lineRule="auto"/>
              <w:ind w:firstLine="0" w:firstLineChars="0"/>
              <w:jc w:val="center"/>
              <w:rPr>
                <w:sz w:val="21"/>
                <w:szCs w:val="21"/>
              </w:rPr>
            </w:pPr>
            <w:r>
              <w:rPr>
                <w:rFonts w:hAnsi="宋体"/>
                <w:sz w:val="21"/>
                <w:szCs w:val="21"/>
              </w:rPr>
              <w:t>工况</w:t>
            </w:r>
          </w:p>
        </w:tc>
        <w:tc>
          <w:tcPr>
            <w:tcW w:w="0" w:type="auto"/>
            <w:gridSpan w:val="2"/>
            <w:vAlign w:val="center"/>
          </w:tcPr>
          <w:p w14:paraId="14003E69">
            <w:pPr>
              <w:spacing w:line="240" w:lineRule="auto"/>
              <w:ind w:firstLine="0" w:firstLineChars="0"/>
              <w:jc w:val="center"/>
              <w:rPr>
                <w:rFonts w:hAnsi="宋体"/>
                <w:sz w:val="21"/>
                <w:szCs w:val="21"/>
              </w:rPr>
            </w:pPr>
            <w:r>
              <w:rPr>
                <w:rFonts w:hAnsi="宋体"/>
                <w:sz w:val="21"/>
                <w:szCs w:val="21"/>
              </w:rPr>
              <w:t>污染物排放速率</w:t>
            </w:r>
            <w:r>
              <w:rPr>
                <w:sz w:val="21"/>
                <w:szCs w:val="21"/>
              </w:rPr>
              <w:t>/</w:t>
            </w:r>
            <w:r>
              <w:rPr>
                <w:rFonts w:hAnsi="宋体"/>
                <w:sz w:val="21"/>
                <w:szCs w:val="21"/>
              </w:rPr>
              <w:t>（</w:t>
            </w:r>
            <w:r>
              <w:rPr>
                <w:sz w:val="21"/>
                <w:szCs w:val="21"/>
              </w:rPr>
              <w:t>kg/h</w:t>
            </w:r>
            <w:r>
              <w:rPr>
                <w:rFonts w:hAnsi="宋体"/>
                <w:sz w:val="21"/>
                <w:szCs w:val="21"/>
              </w:rPr>
              <w:t>）</w:t>
            </w:r>
          </w:p>
        </w:tc>
      </w:tr>
      <w:tr w14:paraId="41C7E5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0" w:type="auto"/>
            <w:vMerge w:val="continue"/>
            <w:vAlign w:val="center"/>
          </w:tcPr>
          <w:p w14:paraId="49F93744">
            <w:pPr>
              <w:spacing w:line="240" w:lineRule="auto"/>
              <w:ind w:firstLine="0" w:firstLineChars="0"/>
              <w:jc w:val="center"/>
              <w:rPr>
                <w:sz w:val="21"/>
                <w:szCs w:val="21"/>
              </w:rPr>
            </w:pPr>
          </w:p>
        </w:tc>
        <w:tc>
          <w:tcPr>
            <w:tcW w:w="0" w:type="auto"/>
            <w:vMerge w:val="continue"/>
            <w:vAlign w:val="center"/>
          </w:tcPr>
          <w:p w14:paraId="7B7E39D5">
            <w:pPr>
              <w:spacing w:line="240" w:lineRule="auto"/>
              <w:ind w:firstLine="0" w:firstLineChars="0"/>
              <w:jc w:val="center"/>
              <w:rPr>
                <w:sz w:val="21"/>
                <w:szCs w:val="21"/>
              </w:rPr>
            </w:pPr>
          </w:p>
        </w:tc>
        <w:tc>
          <w:tcPr>
            <w:tcW w:w="0" w:type="auto"/>
            <w:vAlign w:val="center"/>
          </w:tcPr>
          <w:p w14:paraId="684C8D03">
            <w:pPr>
              <w:spacing w:line="240" w:lineRule="auto"/>
              <w:ind w:firstLine="0" w:firstLineChars="0"/>
              <w:jc w:val="center"/>
              <w:rPr>
                <w:sz w:val="21"/>
                <w:szCs w:val="21"/>
              </w:rPr>
            </w:pPr>
            <w:r>
              <w:rPr>
                <w:sz w:val="21"/>
                <w:szCs w:val="21"/>
              </w:rPr>
              <w:t>X</w:t>
            </w:r>
          </w:p>
        </w:tc>
        <w:tc>
          <w:tcPr>
            <w:tcW w:w="0" w:type="auto"/>
            <w:vAlign w:val="center"/>
          </w:tcPr>
          <w:p w14:paraId="24407C1E">
            <w:pPr>
              <w:snapToGrid w:val="0"/>
              <w:spacing w:line="240" w:lineRule="auto"/>
              <w:ind w:firstLine="0" w:firstLineChars="0"/>
              <w:jc w:val="center"/>
              <w:rPr>
                <w:sz w:val="21"/>
                <w:szCs w:val="21"/>
              </w:rPr>
            </w:pPr>
            <w:r>
              <w:rPr>
                <w:sz w:val="21"/>
                <w:szCs w:val="21"/>
              </w:rPr>
              <w:t>Y</w:t>
            </w:r>
          </w:p>
        </w:tc>
        <w:tc>
          <w:tcPr>
            <w:tcW w:w="0" w:type="auto"/>
            <w:vMerge w:val="continue"/>
            <w:vAlign w:val="center"/>
          </w:tcPr>
          <w:p w14:paraId="6CDF0163">
            <w:pPr>
              <w:snapToGrid w:val="0"/>
              <w:spacing w:line="240" w:lineRule="auto"/>
              <w:ind w:firstLine="0" w:firstLineChars="0"/>
              <w:jc w:val="center"/>
              <w:rPr>
                <w:sz w:val="21"/>
                <w:szCs w:val="21"/>
              </w:rPr>
            </w:pPr>
          </w:p>
        </w:tc>
        <w:tc>
          <w:tcPr>
            <w:tcW w:w="0" w:type="auto"/>
            <w:vMerge w:val="continue"/>
            <w:vAlign w:val="center"/>
          </w:tcPr>
          <w:p w14:paraId="2112FFD3">
            <w:pPr>
              <w:snapToGrid w:val="0"/>
              <w:spacing w:line="240" w:lineRule="auto"/>
              <w:ind w:firstLine="0" w:firstLineChars="0"/>
              <w:jc w:val="center"/>
              <w:rPr>
                <w:sz w:val="21"/>
                <w:szCs w:val="21"/>
              </w:rPr>
            </w:pPr>
          </w:p>
        </w:tc>
        <w:tc>
          <w:tcPr>
            <w:tcW w:w="0" w:type="auto"/>
            <w:vMerge w:val="continue"/>
            <w:vAlign w:val="center"/>
          </w:tcPr>
          <w:p w14:paraId="47D41C77">
            <w:pPr>
              <w:snapToGrid w:val="0"/>
              <w:spacing w:line="240" w:lineRule="auto"/>
              <w:ind w:firstLine="0" w:firstLineChars="0"/>
              <w:jc w:val="center"/>
              <w:rPr>
                <w:sz w:val="21"/>
                <w:szCs w:val="21"/>
              </w:rPr>
            </w:pPr>
          </w:p>
        </w:tc>
        <w:tc>
          <w:tcPr>
            <w:tcW w:w="0" w:type="auto"/>
            <w:vMerge w:val="continue"/>
            <w:vAlign w:val="center"/>
          </w:tcPr>
          <w:p w14:paraId="114E1EFB">
            <w:pPr>
              <w:spacing w:line="240" w:lineRule="auto"/>
              <w:ind w:firstLine="0" w:firstLineChars="0"/>
              <w:jc w:val="center"/>
              <w:rPr>
                <w:sz w:val="21"/>
                <w:szCs w:val="21"/>
              </w:rPr>
            </w:pPr>
          </w:p>
        </w:tc>
        <w:tc>
          <w:tcPr>
            <w:tcW w:w="0" w:type="auto"/>
            <w:vMerge w:val="continue"/>
            <w:vAlign w:val="center"/>
          </w:tcPr>
          <w:p w14:paraId="76B5E4C4">
            <w:pPr>
              <w:spacing w:line="240" w:lineRule="auto"/>
              <w:ind w:firstLine="0" w:firstLineChars="0"/>
              <w:jc w:val="center"/>
              <w:rPr>
                <w:sz w:val="21"/>
                <w:szCs w:val="21"/>
              </w:rPr>
            </w:pPr>
          </w:p>
        </w:tc>
        <w:tc>
          <w:tcPr>
            <w:tcW w:w="430" w:type="dxa"/>
            <w:vMerge w:val="continue"/>
            <w:vAlign w:val="center"/>
          </w:tcPr>
          <w:p w14:paraId="2D591DA9">
            <w:pPr>
              <w:spacing w:line="240" w:lineRule="auto"/>
              <w:ind w:firstLine="0" w:firstLineChars="0"/>
              <w:jc w:val="center"/>
              <w:rPr>
                <w:sz w:val="21"/>
                <w:szCs w:val="21"/>
              </w:rPr>
            </w:pPr>
          </w:p>
        </w:tc>
        <w:tc>
          <w:tcPr>
            <w:tcW w:w="0" w:type="auto"/>
            <w:vAlign w:val="center"/>
          </w:tcPr>
          <w:p w14:paraId="5CFD55EF">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0" w:type="auto"/>
            <w:vAlign w:val="center"/>
          </w:tcPr>
          <w:p w14:paraId="5EECEDEA">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w:t>
            </w:r>
          </w:p>
        </w:tc>
      </w:tr>
      <w:tr w14:paraId="6EB0A9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0" w:type="auto"/>
            <w:vAlign w:val="center"/>
          </w:tcPr>
          <w:p w14:paraId="4DBD8193">
            <w:pPr>
              <w:spacing w:line="240" w:lineRule="auto"/>
              <w:ind w:firstLine="0" w:firstLineChars="0"/>
              <w:jc w:val="center"/>
              <w:rPr>
                <w:sz w:val="21"/>
                <w:szCs w:val="21"/>
              </w:rPr>
            </w:pPr>
            <w:r>
              <w:rPr>
                <w:rFonts w:hint="eastAsia"/>
                <w:sz w:val="21"/>
                <w:szCs w:val="21"/>
              </w:rPr>
              <w:t>2</w:t>
            </w:r>
          </w:p>
        </w:tc>
        <w:tc>
          <w:tcPr>
            <w:tcW w:w="0" w:type="auto"/>
            <w:vAlign w:val="center"/>
          </w:tcPr>
          <w:p w14:paraId="30B5B122">
            <w:pPr>
              <w:spacing w:line="240" w:lineRule="auto"/>
              <w:ind w:firstLine="0" w:firstLineChars="0"/>
              <w:jc w:val="center"/>
              <w:rPr>
                <w:sz w:val="21"/>
                <w:szCs w:val="21"/>
              </w:rPr>
            </w:pPr>
            <w:r>
              <w:rPr>
                <w:rFonts w:hint="eastAsia"/>
                <w:sz w:val="21"/>
                <w:szCs w:val="21"/>
              </w:rPr>
              <w:t>青年</w:t>
            </w:r>
          </w:p>
          <w:p w14:paraId="493CE867">
            <w:pPr>
              <w:spacing w:line="240" w:lineRule="auto"/>
              <w:ind w:firstLine="0" w:firstLineChars="0"/>
              <w:jc w:val="center"/>
              <w:rPr>
                <w:sz w:val="21"/>
                <w:szCs w:val="21"/>
              </w:rPr>
            </w:pPr>
            <w:r>
              <w:rPr>
                <w:rFonts w:hint="eastAsia"/>
                <w:sz w:val="21"/>
                <w:szCs w:val="21"/>
              </w:rPr>
              <w:t>鸡舍</w:t>
            </w:r>
          </w:p>
        </w:tc>
        <w:tc>
          <w:tcPr>
            <w:tcW w:w="0" w:type="auto"/>
            <w:vAlign w:val="center"/>
          </w:tcPr>
          <w:p w14:paraId="3493453F">
            <w:pPr>
              <w:spacing w:line="240" w:lineRule="auto"/>
              <w:ind w:firstLine="0" w:firstLineChars="0"/>
              <w:jc w:val="center"/>
              <w:rPr>
                <w:sz w:val="21"/>
                <w:szCs w:val="21"/>
              </w:rPr>
            </w:pPr>
            <w:r>
              <w:rPr>
                <w:rFonts w:hint="eastAsia"/>
                <w:sz w:val="21"/>
                <w:szCs w:val="21"/>
              </w:rPr>
              <w:t>-</w:t>
            </w:r>
            <w:r>
              <w:rPr>
                <w:sz w:val="21"/>
                <w:szCs w:val="21"/>
              </w:rPr>
              <w:t>454</w:t>
            </w:r>
          </w:p>
        </w:tc>
        <w:tc>
          <w:tcPr>
            <w:tcW w:w="0" w:type="auto"/>
            <w:vAlign w:val="center"/>
          </w:tcPr>
          <w:p w14:paraId="7771DD3B">
            <w:pPr>
              <w:snapToGrid w:val="0"/>
              <w:spacing w:line="240" w:lineRule="auto"/>
              <w:ind w:firstLine="0" w:firstLineChars="0"/>
              <w:jc w:val="center"/>
              <w:rPr>
                <w:sz w:val="21"/>
                <w:szCs w:val="21"/>
              </w:rPr>
            </w:pPr>
            <w:r>
              <w:rPr>
                <w:sz w:val="21"/>
                <w:szCs w:val="21"/>
              </w:rPr>
              <w:t>185</w:t>
            </w:r>
          </w:p>
        </w:tc>
        <w:tc>
          <w:tcPr>
            <w:tcW w:w="0" w:type="auto"/>
            <w:vAlign w:val="center"/>
          </w:tcPr>
          <w:p w14:paraId="4A0EA379">
            <w:pPr>
              <w:snapToGrid w:val="0"/>
              <w:spacing w:line="240" w:lineRule="auto"/>
              <w:ind w:firstLine="0" w:firstLineChars="0"/>
              <w:jc w:val="center"/>
              <w:rPr>
                <w:sz w:val="21"/>
                <w:szCs w:val="21"/>
              </w:rPr>
            </w:pPr>
            <w:r>
              <w:rPr>
                <w:rFonts w:hint="eastAsia"/>
                <w:sz w:val="21"/>
                <w:szCs w:val="21"/>
              </w:rPr>
              <w:t>1138</w:t>
            </w:r>
          </w:p>
        </w:tc>
        <w:tc>
          <w:tcPr>
            <w:tcW w:w="0" w:type="auto"/>
            <w:vAlign w:val="center"/>
          </w:tcPr>
          <w:p w14:paraId="7A44C961">
            <w:pPr>
              <w:snapToGrid w:val="0"/>
              <w:spacing w:line="240" w:lineRule="auto"/>
              <w:ind w:firstLine="0" w:firstLineChars="0"/>
              <w:jc w:val="center"/>
              <w:rPr>
                <w:sz w:val="21"/>
                <w:szCs w:val="21"/>
              </w:rPr>
            </w:pPr>
            <w:r>
              <w:rPr>
                <w:sz w:val="20"/>
              </w:rPr>
              <w:t>185</w:t>
            </w:r>
          </w:p>
        </w:tc>
        <w:tc>
          <w:tcPr>
            <w:tcW w:w="0" w:type="auto"/>
            <w:vAlign w:val="center"/>
          </w:tcPr>
          <w:p w14:paraId="2AE77918">
            <w:pPr>
              <w:snapToGrid w:val="0"/>
              <w:spacing w:line="240" w:lineRule="auto"/>
              <w:ind w:firstLine="0" w:firstLineChars="0"/>
              <w:jc w:val="center"/>
              <w:rPr>
                <w:sz w:val="21"/>
                <w:szCs w:val="21"/>
              </w:rPr>
            </w:pPr>
            <w:r>
              <w:rPr>
                <w:sz w:val="21"/>
                <w:szCs w:val="21"/>
              </w:rPr>
              <w:t>122</w:t>
            </w:r>
          </w:p>
        </w:tc>
        <w:tc>
          <w:tcPr>
            <w:tcW w:w="0" w:type="auto"/>
            <w:vAlign w:val="center"/>
          </w:tcPr>
          <w:p w14:paraId="5F40F9B3">
            <w:pPr>
              <w:spacing w:line="240" w:lineRule="auto"/>
              <w:ind w:firstLine="0" w:firstLineChars="0"/>
              <w:jc w:val="center"/>
              <w:rPr>
                <w:sz w:val="21"/>
                <w:szCs w:val="21"/>
              </w:rPr>
            </w:pPr>
            <w:r>
              <w:rPr>
                <w:rFonts w:hint="eastAsia"/>
                <w:sz w:val="21"/>
                <w:szCs w:val="21"/>
              </w:rPr>
              <w:t>8</w:t>
            </w:r>
          </w:p>
        </w:tc>
        <w:tc>
          <w:tcPr>
            <w:tcW w:w="0" w:type="auto"/>
            <w:vAlign w:val="center"/>
          </w:tcPr>
          <w:p w14:paraId="5D4B72AA">
            <w:pPr>
              <w:spacing w:line="240" w:lineRule="auto"/>
              <w:ind w:firstLine="0" w:firstLineChars="0"/>
              <w:jc w:val="center"/>
              <w:rPr>
                <w:sz w:val="21"/>
                <w:szCs w:val="21"/>
              </w:rPr>
            </w:pPr>
            <w:r>
              <w:rPr>
                <w:rFonts w:hint="eastAsia"/>
                <w:sz w:val="21"/>
                <w:szCs w:val="21"/>
              </w:rPr>
              <w:t>8760</w:t>
            </w:r>
          </w:p>
        </w:tc>
        <w:tc>
          <w:tcPr>
            <w:tcW w:w="430" w:type="dxa"/>
            <w:vAlign w:val="center"/>
          </w:tcPr>
          <w:p w14:paraId="1EA8D497">
            <w:pPr>
              <w:spacing w:line="240" w:lineRule="auto"/>
              <w:ind w:left="-120" w:leftChars="-50" w:right="-120" w:rightChars="-50" w:firstLine="0" w:firstLineChars="0"/>
              <w:jc w:val="center"/>
              <w:rPr>
                <w:sz w:val="21"/>
                <w:szCs w:val="21"/>
              </w:rPr>
            </w:pPr>
            <w:r>
              <w:rPr>
                <w:rFonts w:hAnsi="宋体"/>
                <w:sz w:val="21"/>
                <w:szCs w:val="21"/>
              </w:rPr>
              <w:t>正常</w:t>
            </w:r>
          </w:p>
          <w:p w14:paraId="12955FC6">
            <w:pPr>
              <w:spacing w:line="240" w:lineRule="auto"/>
              <w:ind w:left="-120" w:leftChars="-50" w:right="-120" w:rightChars="-50" w:firstLine="0" w:firstLineChars="0"/>
              <w:jc w:val="center"/>
              <w:rPr>
                <w:sz w:val="21"/>
                <w:szCs w:val="21"/>
              </w:rPr>
            </w:pPr>
            <w:r>
              <w:rPr>
                <w:rFonts w:hAnsi="宋体"/>
                <w:sz w:val="21"/>
                <w:szCs w:val="21"/>
              </w:rPr>
              <w:t>工况</w:t>
            </w:r>
          </w:p>
        </w:tc>
        <w:tc>
          <w:tcPr>
            <w:tcW w:w="0" w:type="auto"/>
            <w:vAlign w:val="center"/>
          </w:tcPr>
          <w:p w14:paraId="72C909C9">
            <w:pPr>
              <w:spacing w:line="240" w:lineRule="auto"/>
              <w:ind w:firstLine="0" w:firstLineChars="0"/>
              <w:jc w:val="center"/>
              <w:rPr>
                <w:sz w:val="21"/>
                <w:szCs w:val="21"/>
              </w:rPr>
            </w:pPr>
            <w:r>
              <w:rPr>
                <w:rFonts w:hint="eastAsia"/>
                <w:sz w:val="21"/>
                <w:szCs w:val="21"/>
              </w:rPr>
              <w:t>0</w:t>
            </w:r>
            <w:r>
              <w:rPr>
                <w:sz w:val="21"/>
                <w:szCs w:val="21"/>
              </w:rPr>
              <w:t>.0075</w:t>
            </w:r>
          </w:p>
        </w:tc>
        <w:tc>
          <w:tcPr>
            <w:tcW w:w="0" w:type="auto"/>
            <w:vAlign w:val="center"/>
          </w:tcPr>
          <w:p w14:paraId="15B25C12">
            <w:pPr>
              <w:spacing w:line="240" w:lineRule="auto"/>
              <w:ind w:firstLine="0" w:firstLineChars="0"/>
              <w:jc w:val="center"/>
              <w:rPr>
                <w:sz w:val="21"/>
                <w:szCs w:val="21"/>
              </w:rPr>
            </w:pPr>
            <w:r>
              <w:rPr>
                <w:rFonts w:hint="eastAsia"/>
                <w:sz w:val="21"/>
                <w:szCs w:val="21"/>
              </w:rPr>
              <w:t>0</w:t>
            </w:r>
            <w:r>
              <w:rPr>
                <w:sz w:val="21"/>
                <w:szCs w:val="21"/>
              </w:rPr>
              <w:t>.00004</w:t>
            </w:r>
          </w:p>
        </w:tc>
      </w:tr>
      <w:tr w14:paraId="3B5E89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0" w:type="auto"/>
            <w:vAlign w:val="center"/>
          </w:tcPr>
          <w:p w14:paraId="71BC0C8E">
            <w:pPr>
              <w:spacing w:line="240" w:lineRule="auto"/>
              <w:ind w:firstLine="0" w:firstLineChars="0"/>
              <w:jc w:val="center"/>
              <w:rPr>
                <w:sz w:val="21"/>
                <w:szCs w:val="21"/>
              </w:rPr>
            </w:pPr>
            <w:r>
              <w:rPr>
                <w:rFonts w:hint="eastAsia"/>
                <w:sz w:val="21"/>
                <w:szCs w:val="21"/>
              </w:rPr>
              <w:t>3</w:t>
            </w:r>
          </w:p>
        </w:tc>
        <w:tc>
          <w:tcPr>
            <w:tcW w:w="0" w:type="auto"/>
            <w:vAlign w:val="center"/>
          </w:tcPr>
          <w:p w14:paraId="44AD0360">
            <w:pPr>
              <w:spacing w:line="240" w:lineRule="auto"/>
              <w:ind w:firstLine="0" w:firstLineChars="0"/>
              <w:jc w:val="center"/>
              <w:rPr>
                <w:sz w:val="21"/>
                <w:szCs w:val="21"/>
              </w:rPr>
            </w:pPr>
            <w:r>
              <w:rPr>
                <w:rFonts w:hint="eastAsia"/>
                <w:sz w:val="21"/>
                <w:szCs w:val="21"/>
              </w:rPr>
              <w:t>蛋鸡舍</w:t>
            </w:r>
          </w:p>
        </w:tc>
        <w:tc>
          <w:tcPr>
            <w:tcW w:w="0" w:type="auto"/>
            <w:vAlign w:val="center"/>
          </w:tcPr>
          <w:p w14:paraId="2FA5DC4D">
            <w:pPr>
              <w:spacing w:line="240" w:lineRule="auto"/>
              <w:ind w:firstLine="0" w:firstLineChars="0"/>
              <w:jc w:val="center"/>
              <w:rPr>
                <w:sz w:val="21"/>
                <w:szCs w:val="21"/>
              </w:rPr>
            </w:pPr>
            <w:r>
              <w:rPr>
                <w:rFonts w:hint="eastAsia"/>
                <w:sz w:val="21"/>
                <w:szCs w:val="21"/>
              </w:rPr>
              <w:t>-</w:t>
            </w:r>
            <w:r>
              <w:rPr>
                <w:sz w:val="21"/>
                <w:szCs w:val="21"/>
              </w:rPr>
              <w:t>41</w:t>
            </w:r>
          </w:p>
        </w:tc>
        <w:tc>
          <w:tcPr>
            <w:tcW w:w="0" w:type="auto"/>
            <w:vAlign w:val="center"/>
          </w:tcPr>
          <w:p w14:paraId="65761BA9">
            <w:pPr>
              <w:snapToGrid w:val="0"/>
              <w:spacing w:line="240" w:lineRule="auto"/>
              <w:ind w:firstLine="0" w:firstLineChars="0"/>
              <w:jc w:val="center"/>
              <w:rPr>
                <w:sz w:val="21"/>
                <w:szCs w:val="21"/>
              </w:rPr>
            </w:pPr>
            <w:r>
              <w:rPr>
                <w:rFonts w:hint="eastAsia"/>
                <w:sz w:val="21"/>
                <w:szCs w:val="21"/>
              </w:rPr>
              <w:t>1</w:t>
            </w:r>
            <w:r>
              <w:rPr>
                <w:sz w:val="21"/>
                <w:szCs w:val="21"/>
              </w:rPr>
              <w:t>85</w:t>
            </w:r>
          </w:p>
        </w:tc>
        <w:tc>
          <w:tcPr>
            <w:tcW w:w="0" w:type="auto"/>
            <w:vAlign w:val="center"/>
          </w:tcPr>
          <w:p w14:paraId="5CB29531">
            <w:pPr>
              <w:snapToGrid w:val="0"/>
              <w:spacing w:line="240" w:lineRule="auto"/>
              <w:ind w:firstLine="0" w:firstLineChars="0"/>
              <w:jc w:val="center"/>
              <w:rPr>
                <w:sz w:val="21"/>
                <w:szCs w:val="21"/>
              </w:rPr>
            </w:pPr>
            <w:r>
              <w:rPr>
                <w:rFonts w:hint="eastAsia"/>
                <w:sz w:val="21"/>
                <w:szCs w:val="21"/>
              </w:rPr>
              <w:t>1</w:t>
            </w:r>
            <w:r>
              <w:rPr>
                <w:sz w:val="21"/>
                <w:szCs w:val="21"/>
              </w:rPr>
              <w:t>139</w:t>
            </w:r>
          </w:p>
        </w:tc>
        <w:tc>
          <w:tcPr>
            <w:tcW w:w="0" w:type="auto"/>
            <w:vAlign w:val="center"/>
          </w:tcPr>
          <w:p w14:paraId="561DA5B8">
            <w:pPr>
              <w:snapToGrid w:val="0"/>
              <w:spacing w:line="240" w:lineRule="auto"/>
              <w:ind w:firstLine="0" w:firstLineChars="0"/>
              <w:jc w:val="center"/>
              <w:rPr>
                <w:sz w:val="21"/>
                <w:szCs w:val="21"/>
              </w:rPr>
            </w:pPr>
            <w:r>
              <w:rPr>
                <w:rFonts w:hint="eastAsia"/>
                <w:sz w:val="21"/>
                <w:szCs w:val="21"/>
              </w:rPr>
              <w:t>3</w:t>
            </w:r>
            <w:r>
              <w:rPr>
                <w:sz w:val="21"/>
                <w:szCs w:val="21"/>
              </w:rPr>
              <w:t>30</w:t>
            </w:r>
          </w:p>
        </w:tc>
        <w:tc>
          <w:tcPr>
            <w:tcW w:w="0" w:type="auto"/>
            <w:vAlign w:val="center"/>
          </w:tcPr>
          <w:p w14:paraId="41EF93E8">
            <w:pPr>
              <w:snapToGrid w:val="0"/>
              <w:spacing w:line="240" w:lineRule="auto"/>
              <w:ind w:firstLine="0" w:firstLineChars="0"/>
              <w:jc w:val="center"/>
              <w:rPr>
                <w:sz w:val="21"/>
                <w:szCs w:val="21"/>
              </w:rPr>
            </w:pPr>
            <w:r>
              <w:rPr>
                <w:rFonts w:hint="eastAsia"/>
                <w:sz w:val="21"/>
                <w:szCs w:val="21"/>
              </w:rPr>
              <w:t>1</w:t>
            </w:r>
            <w:r>
              <w:rPr>
                <w:sz w:val="21"/>
                <w:szCs w:val="21"/>
              </w:rPr>
              <w:t>50</w:t>
            </w:r>
          </w:p>
        </w:tc>
        <w:tc>
          <w:tcPr>
            <w:tcW w:w="0" w:type="auto"/>
            <w:vAlign w:val="center"/>
          </w:tcPr>
          <w:p w14:paraId="27F92244">
            <w:pPr>
              <w:spacing w:line="240" w:lineRule="auto"/>
              <w:ind w:firstLine="0" w:firstLineChars="0"/>
              <w:jc w:val="center"/>
              <w:rPr>
                <w:sz w:val="21"/>
                <w:szCs w:val="21"/>
              </w:rPr>
            </w:pPr>
            <w:r>
              <w:rPr>
                <w:rFonts w:hint="eastAsia"/>
                <w:sz w:val="21"/>
                <w:szCs w:val="21"/>
              </w:rPr>
              <w:t>8</w:t>
            </w:r>
          </w:p>
        </w:tc>
        <w:tc>
          <w:tcPr>
            <w:tcW w:w="0" w:type="auto"/>
            <w:vAlign w:val="center"/>
          </w:tcPr>
          <w:p w14:paraId="1EC62BA8">
            <w:pPr>
              <w:spacing w:line="240" w:lineRule="auto"/>
              <w:ind w:firstLine="0" w:firstLineChars="0"/>
              <w:jc w:val="center"/>
              <w:rPr>
                <w:sz w:val="21"/>
                <w:szCs w:val="21"/>
              </w:rPr>
            </w:pPr>
            <w:r>
              <w:rPr>
                <w:rFonts w:hint="eastAsia"/>
                <w:sz w:val="21"/>
                <w:szCs w:val="21"/>
              </w:rPr>
              <w:t>8760</w:t>
            </w:r>
          </w:p>
        </w:tc>
        <w:tc>
          <w:tcPr>
            <w:tcW w:w="430" w:type="dxa"/>
            <w:vAlign w:val="center"/>
          </w:tcPr>
          <w:p w14:paraId="28E36B8F">
            <w:pPr>
              <w:spacing w:line="240" w:lineRule="auto"/>
              <w:ind w:left="-120" w:leftChars="-50" w:right="-120" w:rightChars="-50" w:firstLine="0" w:firstLineChars="0"/>
              <w:jc w:val="center"/>
              <w:rPr>
                <w:sz w:val="21"/>
                <w:szCs w:val="21"/>
              </w:rPr>
            </w:pPr>
            <w:r>
              <w:rPr>
                <w:rFonts w:hAnsi="宋体"/>
                <w:sz w:val="21"/>
                <w:szCs w:val="21"/>
              </w:rPr>
              <w:t>正常</w:t>
            </w:r>
          </w:p>
          <w:p w14:paraId="5EF4ABD2">
            <w:pPr>
              <w:spacing w:line="240" w:lineRule="auto"/>
              <w:ind w:left="-120" w:leftChars="-50" w:right="-120" w:rightChars="-50" w:firstLine="0" w:firstLineChars="0"/>
              <w:jc w:val="center"/>
              <w:rPr>
                <w:rFonts w:hAnsi="宋体"/>
                <w:sz w:val="21"/>
                <w:szCs w:val="21"/>
              </w:rPr>
            </w:pPr>
            <w:r>
              <w:rPr>
                <w:rFonts w:hAnsi="宋体"/>
                <w:sz w:val="21"/>
                <w:szCs w:val="21"/>
              </w:rPr>
              <w:t>工况</w:t>
            </w:r>
          </w:p>
        </w:tc>
        <w:tc>
          <w:tcPr>
            <w:tcW w:w="0" w:type="auto"/>
            <w:vAlign w:val="center"/>
          </w:tcPr>
          <w:p w14:paraId="6CA4DE28">
            <w:pPr>
              <w:spacing w:line="240" w:lineRule="auto"/>
              <w:ind w:firstLine="0" w:firstLineChars="0"/>
              <w:jc w:val="center"/>
              <w:rPr>
                <w:sz w:val="21"/>
                <w:szCs w:val="21"/>
              </w:rPr>
            </w:pPr>
            <w:r>
              <w:rPr>
                <w:rFonts w:hint="eastAsia"/>
                <w:sz w:val="21"/>
                <w:szCs w:val="21"/>
              </w:rPr>
              <w:t>0</w:t>
            </w:r>
            <w:r>
              <w:rPr>
                <w:sz w:val="21"/>
                <w:szCs w:val="21"/>
              </w:rPr>
              <w:t>.0225</w:t>
            </w:r>
          </w:p>
        </w:tc>
        <w:tc>
          <w:tcPr>
            <w:tcW w:w="0" w:type="auto"/>
            <w:vAlign w:val="center"/>
          </w:tcPr>
          <w:p w14:paraId="4AEF47FB">
            <w:pPr>
              <w:spacing w:line="240" w:lineRule="auto"/>
              <w:ind w:firstLine="0" w:firstLineChars="0"/>
              <w:jc w:val="center"/>
              <w:rPr>
                <w:sz w:val="21"/>
                <w:szCs w:val="21"/>
              </w:rPr>
            </w:pPr>
            <w:r>
              <w:rPr>
                <w:rFonts w:hint="eastAsia"/>
                <w:sz w:val="21"/>
                <w:szCs w:val="21"/>
              </w:rPr>
              <w:t>0</w:t>
            </w:r>
            <w:r>
              <w:rPr>
                <w:sz w:val="21"/>
                <w:szCs w:val="21"/>
              </w:rPr>
              <w:t>.00113</w:t>
            </w:r>
          </w:p>
        </w:tc>
      </w:tr>
      <w:tr w14:paraId="46080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0" w:type="auto"/>
            <w:vAlign w:val="center"/>
          </w:tcPr>
          <w:p w14:paraId="02C77D53">
            <w:pPr>
              <w:spacing w:line="240" w:lineRule="auto"/>
              <w:ind w:firstLine="0" w:firstLineChars="0"/>
              <w:jc w:val="center"/>
              <w:rPr>
                <w:sz w:val="21"/>
                <w:szCs w:val="21"/>
              </w:rPr>
            </w:pPr>
            <w:r>
              <w:rPr>
                <w:rFonts w:hint="eastAsia"/>
                <w:sz w:val="21"/>
                <w:szCs w:val="21"/>
              </w:rPr>
              <w:t>4</w:t>
            </w:r>
          </w:p>
        </w:tc>
        <w:tc>
          <w:tcPr>
            <w:tcW w:w="0" w:type="auto"/>
            <w:vAlign w:val="center"/>
          </w:tcPr>
          <w:p w14:paraId="6AC9824C">
            <w:pPr>
              <w:spacing w:line="240" w:lineRule="auto"/>
              <w:ind w:firstLine="0" w:firstLineChars="0"/>
              <w:jc w:val="center"/>
              <w:rPr>
                <w:sz w:val="21"/>
                <w:szCs w:val="21"/>
              </w:rPr>
            </w:pPr>
            <w:r>
              <w:rPr>
                <w:rFonts w:hint="eastAsia"/>
                <w:sz w:val="21"/>
                <w:szCs w:val="21"/>
              </w:rPr>
              <w:t>污水处理设施</w:t>
            </w:r>
          </w:p>
        </w:tc>
        <w:tc>
          <w:tcPr>
            <w:tcW w:w="0" w:type="auto"/>
            <w:vAlign w:val="center"/>
          </w:tcPr>
          <w:p w14:paraId="2C03828F">
            <w:pPr>
              <w:spacing w:line="240" w:lineRule="auto"/>
              <w:ind w:firstLine="0" w:firstLineChars="0"/>
              <w:jc w:val="center"/>
              <w:rPr>
                <w:sz w:val="21"/>
                <w:szCs w:val="21"/>
              </w:rPr>
            </w:pPr>
            <w:r>
              <w:rPr>
                <w:sz w:val="21"/>
                <w:szCs w:val="21"/>
              </w:rPr>
              <w:t>453</w:t>
            </w:r>
          </w:p>
        </w:tc>
        <w:tc>
          <w:tcPr>
            <w:tcW w:w="0" w:type="auto"/>
            <w:vAlign w:val="center"/>
          </w:tcPr>
          <w:p w14:paraId="33C623FB">
            <w:pPr>
              <w:snapToGrid w:val="0"/>
              <w:spacing w:line="240" w:lineRule="auto"/>
              <w:ind w:firstLine="0" w:firstLineChars="0"/>
              <w:jc w:val="center"/>
              <w:rPr>
                <w:sz w:val="21"/>
                <w:szCs w:val="21"/>
              </w:rPr>
            </w:pPr>
            <w:r>
              <w:rPr>
                <w:sz w:val="21"/>
                <w:szCs w:val="21"/>
              </w:rPr>
              <w:t>191</w:t>
            </w:r>
          </w:p>
        </w:tc>
        <w:tc>
          <w:tcPr>
            <w:tcW w:w="0" w:type="auto"/>
            <w:vAlign w:val="center"/>
          </w:tcPr>
          <w:p w14:paraId="1C408FD2">
            <w:pPr>
              <w:snapToGrid w:val="0"/>
              <w:spacing w:line="240" w:lineRule="auto"/>
              <w:ind w:firstLine="0" w:firstLineChars="0"/>
              <w:jc w:val="center"/>
              <w:rPr>
                <w:sz w:val="21"/>
                <w:szCs w:val="21"/>
              </w:rPr>
            </w:pPr>
            <w:r>
              <w:rPr>
                <w:rFonts w:hint="eastAsia"/>
                <w:sz w:val="21"/>
                <w:szCs w:val="21"/>
              </w:rPr>
              <w:t>1140</w:t>
            </w:r>
          </w:p>
        </w:tc>
        <w:tc>
          <w:tcPr>
            <w:tcW w:w="0" w:type="auto"/>
            <w:vAlign w:val="center"/>
          </w:tcPr>
          <w:p w14:paraId="09932BFB">
            <w:pPr>
              <w:snapToGrid w:val="0"/>
              <w:spacing w:line="240" w:lineRule="auto"/>
              <w:ind w:firstLine="0" w:firstLineChars="0"/>
              <w:jc w:val="center"/>
              <w:rPr>
                <w:sz w:val="21"/>
                <w:szCs w:val="21"/>
              </w:rPr>
            </w:pPr>
            <w:r>
              <w:rPr>
                <w:sz w:val="21"/>
                <w:szCs w:val="21"/>
              </w:rPr>
              <w:t>17</w:t>
            </w:r>
          </w:p>
        </w:tc>
        <w:tc>
          <w:tcPr>
            <w:tcW w:w="0" w:type="auto"/>
            <w:vAlign w:val="center"/>
          </w:tcPr>
          <w:p w14:paraId="7E803084">
            <w:pPr>
              <w:snapToGrid w:val="0"/>
              <w:spacing w:line="240" w:lineRule="auto"/>
              <w:ind w:firstLine="0" w:firstLineChars="0"/>
              <w:jc w:val="center"/>
              <w:rPr>
                <w:sz w:val="21"/>
                <w:szCs w:val="21"/>
              </w:rPr>
            </w:pPr>
            <w:r>
              <w:rPr>
                <w:sz w:val="21"/>
                <w:szCs w:val="21"/>
              </w:rPr>
              <w:t>17</w:t>
            </w:r>
          </w:p>
        </w:tc>
        <w:tc>
          <w:tcPr>
            <w:tcW w:w="0" w:type="auto"/>
            <w:vAlign w:val="center"/>
          </w:tcPr>
          <w:p w14:paraId="642B6780">
            <w:pPr>
              <w:spacing w:line="240" w:lineRule="auto"/>
              <w:ind w:firstLine="0" w:firstLineChars="0"/>
              <w:jc w:val="center"/>
              <w:rPr>
                <w:sz w:val="21"/>
                <w:szCs w:val="21"/>
              </w:rPr>
            </w:pPr>
            <w:r>
              <w:rPr>
                <w:rFonts w:hint="eastAsia"/>
                <w:sz w:val="21"/>
                <w:szCs w:val="21"/>
              </w:rPr>
              <w:t>8</w:t>
            </w:r>
          </w:p>
        </w:tc>
        <w:tc>
          <w:tcPr>
            <w:tcW w:w="0" w:type="auto"/>
            <w:vAlign w:val="center"/>
          </w:tcPr>
          <w:p w14:paraId="495E313F">
            <w:pPr>
              <w:spacing w:line="240" w:lineRule="auto"/>
              <w:ind w:firstLine="0" w:firstLineChars="0"/>
              <w:jc w:val="center"/>
              <w:rPr>
                <w:sz w:val="21"/>
                <w:szCs w:val="21"/>
              </w:rPr>
            </w:pPr>
            <w:r>
              <w:rPr>
                <w:rFonts w:hint="eastAsia"/>
                <w:sz w:val="21"/>
                <w:szCs w:val="21"/>
              </w:rPr>
              <w:t>8760</w:t>
            </w:r>
          </w:p>
        </w:tc>
        <w:tc>
          <w:tcPr>
            <w:tcW w:w="430" w:type="dxa"/>
            <w:vAlign w:val="center"/>
          </w:tcPr>
          <w:p w14:paraId="7DF3AF13">
            <w:pPr>
              <w:spacing w:line="240" w:lineRule="auto"/>
              <w:ind w:left="-120" w:leftChars="-50" w:right="-120" w:rightChars="-50" w:firstLine="0" w:firstLineChars="0"/>
              <w:jc w:val="center"/>
              <w:rPr>
                <w:sz w:val="21"/>
                <w:szCs w:val="21"/>
              </w:rPr>
            </w:pPr>
            <w:r>
              <w:rPr>
                <w:rFonts w:hAnsi="宋体"/>
                <w:sz w:val="21"/>
                <w:szCs w:val="21"/>
              </w:rPr>
              <w:t>正常</w:t>
            </w:r>
          </w:p>
          <w:p w14:paraId="61938D94">
            <w:pPr>
              <w:spacing w:line="240" w:lineRule="auto"/>
              <w:ind w:left="-120" w:leftChars="-50" w:right="-120" w:rightChars="-50" w:firstLine="0" w:firstLineChars="0"/>
              <w:jc w:val="center"/>
              <w:rPr>
                <w:sz w:val="21"/>
                <w:szCs w:val="21"/>
              </w:rPr>
            </w:pPr>
            <w:r>
              <w:rPr>
                <w:rFonts w:hAnsi="宋体"/>
                <w:sz w:val="21"/>
                <w:szCs w:val="21"/>
              </w:rPr>
              <w:t>工况</w:t>
            </w:r>
          </w:p>
        </w:tc>
        <w:tc>
          <w:tcPr>
            <w:tcW w:w="0" w:type="auto"/>
            <w:vAlign w:val="center"/>
          </w:tcPr>
          <w:p w14:paraId="767ECAA6">
            <w:pPr>
              <w:spacing w:line="240" w:lineRule="auto"/>
              <w:ind w:firstLine="0" w:firstLineChars="0"/>
              <w:jc w:val="center"/>
              <w:rPr>
                <w:sz w:val="21"/>
                <w:szCs w:val="21"/>
              </w:rPr>
            </w:pPr>
            <w:r>
              <w:rPr>
                <w:rFonts w:hint="eastAsia"/>
                <w:sz w:val="21"/>
                <w:szCs w:val="21"/>
              </w:rPr>
              <w:t>0</w:t>
            </w:r>
            <w:r>
              <w:rPr>
                <w:sz w:val="21"/>
                <w:szCs w:val="21"/>
              </w:rPr>
              <w:t>.0003</w:t>
            </w:r>
          </w:p>
        </w:tc>
        <w:tc>
          <w:tcPr>
            <w:tcW w:w="0" w:type="auto"/>
            <w:vAlign w:val="center"/>
          </w:tcPr>
          <w:p w14:paraId="58069BEC">
            <w:pPr>
              <w:spacing w:line="240" w:lineRule="auto"/>
              <w:ind w:firstLine="0" w:firstLineChars="0"/>
              <w:jc w:val="center"/>
              <w:rPr>
                <w:sz w:val="21"/>
                <w:szCs w:val="21"/>
              </w:rPr>
            </w:pPr>
            <w:r>
              <w:rPr>
                <w:rFonts w:hint="eastAsia"/>
                <w:sz w:val="21"/>
                <w:szCs w:val="21"/>
              </w:rPr>
              <w:t>0</w:t>
            </w:r>
            <w:r>
              <w:rPr>
                <w:sz w:val="21"/>
                <w:szCs w:val="21"/>
              </w:rPr>
              <w:t>.00001</w:t>
            </w:r>
          </w:p>
        </w:tc>
      </w:tr>
    </w:tbl>
    <w:p w14:paraId="137A171B">
      <w:pPr>
        <w:spacing w:before="120" w:beforeLines="50"/>
        <w:ind w:firstLine="480"/>
        <w:rPr>
          <w:bCs/>
        </w:rPr>
      </w:pPr>
      <w:r>
        <w:rPr>
          <w:bCs/>
        </w:rPr>
        <w:t>（5）估算模式计算结果</w:t>
      </w:r>
    </w:p>
    <w:p w14:paraId="110391FF">
      <w:pPr>
        <w:ind w:firstLine="480"/>
      </w:pPr>
      <w:r>
        <w:t>本项目恶臭气体估算模式预测结果详见表5.2-9。</w:t>
      </w:r>
    </w:p>
    <w:p w14:paraId="750D7B1E">
      <w:pPr>
        <w:pStyle w:val="369"/>
      </w:pPr>
      <w:r>
        <w:t>表5.2-9  估算模式预测结果汇总表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1050"/>
        <w:gridCol w:w="1609"/>
        <w:gridCol w:w="1719"/>
        <w:gridCol w:w="1869"/>
        <w:gridCol w:w="1322"/>
      </w:tblGrid>
      <w:tr w14:paraId="679C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Align w:val="center"/>
          </w:tcPr>
          <w:p w14:paraId="558B2891">
            <w:pPr>
              <w:pStyle w:val="766"/>
              <w:rPr>
                <w:color w:val="auto"/>
              </w:rPr>
            </w:pPr>
            <w:r>
              <w:rPr>
                <w:color w:val="auto"/>
              </w:rPr>
              <w:t>污染源</w:t>
            </w:r>
          </w:p>
        </w:tc>
        <w:tc>
          <w:tcPr>
            <w:tcW w:w="565" w:type="pct"/>
            <w:vAlign w:val="center"/>
          </w:tcPr>
          <w:p w14:paraId="1B38A1EB">
            <w:pPr>
              <w:pStyle w:val="766"/>
              <w:rPr>
                <w:color w:val="auto"/>
              </w:rPr>
            </w:pPr>
            <w:r>
              <w:rPr>
                <w:color w:val="auto"/>
              </w:rPr>
              <w:t>污染物</w:t>
            </w:r>
          </w:p>
        </w:tc>
        <w:tc>
          <w:tcPr>
            <w:tcW w:w="866" w:type="pct"/>
            <w:vAlign w:val="center"/>
          </w:tcPr>
          <w:p w14:paraId="3EA5003C">
            <w:pPr>
              <w:pStyle w:val="766"/>
              <w:rPr>
                <w:color w:val="auto"/>
              </w:rPr>
            </w:pPr>
            <w:r>
              <w:rPr>
                <w:color w:val="auto"/>
              </w:rPr>
              <w:t>最大质量浓度出现距离（m）</w:t>
            </w:r>
          </w:p>
        </w:tc>
        <w:tc>
          <w:tcPr>
            <w:tcW w:w="925" w:type="pct"/>
            <w:vAlign w:val="center"/>
          </w:tcPr>
          <w:p w14:paraId="45909B9E">
            <w:pPr>
              <w:pStyle w:val="766"/>
              <w:rPr>
                <w:color w:val="auto"/>
              </w:rPr>
            </w:pPr>
            <w:r>
              <w:rPr>
                <w:color w:val="auto"/>
              </w:rPr>
              <w:t>下风向最大质量浓度（μg /m</w:t>
            </w:r>
            <w:r>
              <w:rPr>
                <w:color w:val="auto"/>
                <w:vertAlign w:val="superscript"/>
              </w:rPr>
              <w:t>3</w:t>
            </w:r>
            <w:r>
              <w:rPr>
                <w:color w:val="auto"/>
              </w:rPr>
              <w:t>）</w:t>
            </w:r>
          </w:p>
        </w:tc>
        <w:tc>
          <w:tcPr>
            <w:tcW w:w="1006" w:type="pct"/>
            <w:vAlign w:val="center"/>
          </w:tcPr>
          <w:p w14:paraId="6C2D4B17">
            <w:pPr>
              <w:pStyle w:val="766"/>
              <w:rPr>
                <w:color w:val="auto"/>
              </w:rPr>
            </w:pPr>
            <w:r>
              <w:rPr>
                <w:color w:val="auto"/>
              </w:rPr>
              <w:t>下风向最大质量浓度占标率（%）</w:t>
            </w:r>
          </w:p>
        </w:tc>
        <w:tc>
          <w:tcPr>
            <w:tcW w:w="712" w:type="pct"/>
            <w:vAlign w:val="center"/>
          </w:tcPr>
          <w:p w14:paraId="5B481BDF">
            <w:pPr>
              <w:pStyle w:val="766"/>
              <w:rPr>
                <w:color w:val="auto"/>
              </w:rPr>
            </w:pPr>
            <w:r>
              <w:rPr>
                <w:color w:val="auto"/>
              </w:rPr>
              <w:t>评价标准（μg/m</w:t>
            </w:r>
            <w:r>
              <w:rPr>
                <w:color w:val="auto"/>
                <w:vertAlign w:val="superscript"/>
              </w:rPr>
              <w:t>3</w:t>
            </w:r>
            <w:r>
              <w:rPr>
                <w:color w:val="auto"/>
              </w:rPr>
              <w:t>）</w:t>
            </w:r>
          </w:p>
        </w:tc>
      </w:tr>
      <w:tr w14:paraId="12F4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Align w:val="center"/>
          </w:tcPr>
          <w:p w14:paraId="472516C9">
            <w:pPr>
              <w:pStyle w:val="766"/>
              <w:rPr>
                <w:color w:val="auto"/>
              </w:rPr>
            </w:pPr>
            <w:r>
              <w:rPr>
                <w:color w:val="auto"/>
              </w:rPr>
              <w:t>饲料加工排气筒（DA001）</w:t>
            </w:r>
          </w:p>
        </w:tc>
        <w:tc>
          <w:tcPr>
            <w:tcW w:w="565" w:type="pct"/>
            <w:vAlign w:val="center"/>
          </w:tcPr>
          <w:p w14:paraId="4311DAF9">
            <w:pPr>
              <w:pStyle w:val="766"/>
              <w:rPr>
                <w:color w:val="auto"/>
              </w:rPr>
            </w:pPr>
            <w:r>
              <w:rPr>
                <w:rFonts w:hint="eastAsia"/>
                <w:color w:val="auto"/>
              </w:rPr>
              <w:t>PM</w:t>
            </w:r>
            <w:r>
              <w:rPr>
                <w:rFonts w:hint="eastAsia"/>
                <w:color w:val="auto"/>
                <w:vertAlign w:val="subscript"/>
              </w:rPr>
              <w:t>10</w:t>
            </w:r>
          </w:p>
        </w:tc>
        <w:tc>
          <w:tcPr>
            <w:tcW w:w="866" w:type="pct"/>
            <w:vAlign w:val="center"/>
          </w:tcPr>
          <w:p w14:paraId="7C769C19">
            <w:pPr>
              <w:pStyle w:val="766"/>
              <w:rPr>
                <w:color w:val="auto"/>
              </w:rPr>
            </w:pPr>
            <w:r>
              <w:rPr>
                <w:rFonts w:hint="eastAsia"/>
                <w:color w:val="auto"/>
              </w:rPr>
              <w:t>9</w:t>
            </w:r>
            <w:r>
              <w:rPr>
                <w:color w:val="auto"/>
              </w:rPr>
              <w:t>75</w:t>
            </w:r>
          </w:p>
        </w:tc>
        <w:tc>
          <w:tcPr>
            <w:tcW w:w="925" w:type="pct"/>
            <w:vAlign w:val="center"/>
          </w:tcPr>
          <w:p w14:paraId="2A032070">
            <w:pPr>
              <w:pStyle w:val="766"/>
              <w:rPr>
                <w:color w:val="auto"/>
              </w:rPr>
            </w:pPr>
            <w:r>
              <w:rPr>
                <w:color w:val="auto"/>
              </w:rPr>
              <w:t>1.0985</w:t>
            </w:r>
          </w:p>
        </w:tc>
        <w:tc>
          <w:tcPr>
            <w:tcW w:w="1006" w:type="pct"/>
            <w:vAlign w:val="center"/>
          </w:tcPr>
          <w:p w14:paraId="08A24163">
            <w:pPr>
              <w:pStyle w:val="766"/>
              <w:rPr>
                <w:color w:val="auto"/>
              </w:rPr>
            </w:pPr>
            <w:r>
              <w:rPr>
                <w:color w:val="auto"/>
              </w:rPr>
              <w:t>0.24</w:t>
            </w:r>
          </w:p>
        </w:tc>
        <w:tc>
          <w:tcPr>
            <w:tcW w:w="712" w:type="pct"/>
            <w:vAlign w:val="center"/>
          </w:tcPr>
          <w:p w14:paraId="7C09E019">
            <w:pPr>
              <w:pStyle w:val="766"/>
              <w:rPr>
                <w:color w:val="auto"/>
              </w:rPr>
            </w:pPr>
            <w:r>
              <w:rPr>
                <w:color w:val="auto"/>
              </w:rPr>
              <w:t>450</w:t>
            </w:r>
          </w:p>
        </w:tc>
      </w:tr>
      <w:tr w14:paraId="7D74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24" w:type="pct"/>
            <w:vMerge w:val="restart"/>
            <w:vAlign w:val="center"/>
          </w:tcPr>
          <w:p w14:paraId="1872764F">
            <w:pPr>
              <w:pStyle w:val="766"/>
              <w:rPr>
                <w:color w:val="auto"/>
              </w:rPr>
            </w:pPr>
            <w:r>
              <w:rPr>
                <w:color w:val="auto"/>
              </w:rPr>
              <w:t>锅炉排气筒（DA00</w:t>
            </w:r>
            <w:r>
              <w:rPr>
                <w:rFonts w:hint="eastAsia"/>
                <w:color w:val="auto"/>
              </w:rPr>
              <w:t>4、DA005、DA006，两用一备</w:t>
            </w:r>
            <w:r>
              <w:rPr>
                <w:color w:val="auto"/>
              </w:rPr>
              <w:t>）</w:t>
            </w:r>
          </w:p>
        </w:tc>
        <w:tc>
          <w:tcPr>
            <w:tcW w:w="565" w:type="pct"/>
            <w:vAlign w:val="center"/>
          </w:tcPr>
          <w:p w14:paraId="293533AE">
            <w:pPr>
              <w:pStyle w:val="766"/>
              <w:rPr>
                <w:color w:val="auto"/>
              </w:rPr>
            </w:pPr>
            <w:r>
              <w:rPr>
                <w:color w:val="auto"/>
              </w:rPr>
              <w:t>NOx</w:t>
            </w:r>
          </w:p>
        </w:tc>
        <w:tc>
          <w:tcPr>
            <w:tcW w:w="866" w:type="pct"/>
            <w:vMerge w:val="restart"/>
            <w:vAlign w:val="center"/>
          </w:tcPr>
          <w:p w14:paraId="71A65B8A">
            <w:pPr>
              <w:pStyle w:val="766"/>
              <w:rPr>
                <w:color w:val="auto"/>
              </w:rPr>
            </w:pPr>
            <w:r>
              <w:rPr>
                <w:color w:val="auto"/>
              </w:rPr>
              <w:t>1100</w:t>
            </w:r>
          </w:p>
        </w:tc>
        <w:tc>
          <w:tcPr>
            <w:tcW w:w="925" w:type="pct"/>
            <w:vAlign w:val="center"/>
          </w:tcPr>
          <w:p w14:paraId="7B878078">
            <w:pPr>
              <w:pStyle w:val="766"/>
              <w:rPr>
                <w:color w:val="auto"/>
              </w:rPr>
            </w:pPr>
            <w:r>
              <w:rPr>
                <w:color w:val="auto"/>
              </w:rPr>
              <w:t>5.9610</w:t>
            </w:r>
          </w:p>
        </w:tc>
        <w:tc>
          <w:tcPr>
            <w:tcW w:w="1006" w:type="pct"/>
            <w:vAlign w:val="center"/>
          </w:tcPr>
          <w:p w14:paraId="201561AD">
            <w:pPr>
              <w:pStyle w:val="766"/>
              <w:rPr>
                <w:color w:val="auto"/>
              </w:rPr>
            </w:pPr>
            <w:r>
              <w:rPr>
                <w:color w:val="auto"/>
              </w:rPr>
              <w:t>2.38</w:t>
            </w:r>
          </w:p>
        </w:tc>
        <w:tc>
          <w:tcPr>
            <w:tcW w:w="712" w:type="pct"/>
            <w:vAlign w:val="center"/>
          </w:tcPr>
          <w:p w14:paraId="0CA9C36E">
            <w:pPr>
              <w:pStyle w:val="766"/>
              <w:rPr>
                <w:color w:val="auto"/>
              </w:rPr>
            </w:pPr>
            <w:r>
              <w:rPr>
                <w:color w:val="auto"/>
              </w:rPr>
              <w:t>250</w:t>
            </w:r>
          </w:p>
        </w:tc>
      </w:tr>
      <w:tr w14:paraId="1A08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924" w:type="pct"/>
            <w:vMerge w:val="continue"/>
            <w:vAlign w:val="center"/>
          </w:tcPr>
          <w:p w14:paraId="7165E283">
            <w:pPr>
              <w:pStyle w:val="766"/>
              <w:rPr>
                <w:color w:val="auto"/>
              </w:rPr>
            </w:pPr>
          </w:p>
        </w:tc>
        <w:tc>
          <w:tcPr>
            <w:tcW w:w="565" w:type="pct"/>
            <w:vAlign w:val="center"/>
          </w:tcPr>
          <w:p w14:paraId="4FFE2CA3">
            <w:pPr>
              <w:pStyle w:val="766"/>
              <w:rPr>
                <w:color w:val="auto"/>
              </w:rPr>
            </w:pPr>
            <w:r>
              <w:rPr>
                <w:rFonts w:hint="eastAsia"/>
                <w:color w:val="auto"/>
              </w:rPr>
              <w:t>PM</w:t>
            </w:r>
            <w:r>
              <w:rPr>
                <w:rFonts w:hint="eastAsia"/>
                <w:color w:val="auto"/>
                <w:vertAlign w:val="subscript"/>
              </w:rPr>
              <w:t>10</w:t>
            </w:r>
          </w:p>
        </w:tc>
        <w:tc>
          <w:tcPr>
            <w:tcW w:w="866" w:type="pct"/>
            <w:vMerge w:val="continue"/>
            <w:vAlign w:val="center"/>
          </w:tcPr>
          <w:p w14:paraId="75D8B4AF">
            <w:pPr>
              <w:pStyle w:val="766"/>
              <w:rPr>
                <w:color w:val="auto"/>
              </w:rPr>
            </w:pPr>
          </w:p>
        </w:tc>
        <w:tc>
          <w:tcPr>
            <w:tcW w:w="925" w:type="pct"/>
            <w:vAlign w:val="center"/>
          </w:tcPr>
          <w:p w14:paraId="49B59CCD">
            <w:pPr>
              <w:pStyle w:val="766"/>
              <w:rPr>
                <w:color w:val="auto"/>
              </w:rPr>
            </w:pPr>
            <w:r>
              <w:rPr>
                <w:rFonts w:hint="eastAsia"/>
                <w:color w:val="auto"/>
              </w:rPr>
              <w:t>0.3015</w:t>
            </w:r>
          </w:p>
        </w:tc>
        <w:tc>
          <w:tcPr>
            <w:tcW w:w="1006" w:type="pct"/>
            <w:vAlign w:val="center"/>
          </w:tcPr>
          <w:p w14:paraId="29DADC51">
            <w:pPr>
              <w:pStyle w:val="766"/>
              <w:rPr>
                <w:color w:val="auto"/>
              </w:rPr>
            </w:pPr>
            <w:r>
              <w:rPr>
                <w:rFonts w:hint="eastAsia"/>
                <w:color w:val="auto"/>
              </w:rPr>
              <w:t>1.51</w:t>
            </w:r>
          </w:p>
        </w:tc>
        <w:tc>
          <w:tcPr>
            <w:tcW w:w="712" w:type="pct"/>
            <w:vAlign w:val="center"/>
          </w:tcPr>
          <w:p w14:paraId="48FFBA38">
            <w:pPr>
              <w:pStyle w:val="766"/>
              <w:rPr>
                <w:color w:val="auto"/>
              </w:rPr>
            </w:pPr>
            <w:r>
              <w:rPr>
                <w:rFonts w:hint="eastAsia"/>
                <w:color w:val="auto"/>
              </w:rPr>
              <w:t>20</w:t>
            </w:r>
          </w:p>
        </w:tc>
      </w:tr>
      <w:tr w14:paraId="7372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restart"/>
            <w:vAlign w:val="center"/>
          </w:tcPr>
          <w:p w14:paraId="0E7AAFD4">
            <w:pPr>
              <w:pStyle w:val="766"/>
              <w:rPr>
                <w:color w:val="auto"/>
              </w:rPr>
            </w:pPr>
            <w:r>
              <w:rPr>
                <w:rFonts w:hint="eastAsia"/>
                <w:color w:val="auto"/>
              </w:rPr>
              <w:t>有机肥排气筒（D</w:t>
            </w:r>
            <w:r>
              <w:rPr>
                <w:color w:val="auto"/>
              </w:rPr>
              <w:t>A00</w:t>
            </w:r>
            <w:r>
              <w:rPr>
                <w:rFonts w:hint="eastAsia"/>
                <w:color w:val="auto"/>
              </w:rPr>
              <w:t>2）</w:t>
            </w:r>
          </w:p>
        </w:tc>
        <w:tc>
          <w:tcPr>
            <w:tcW w:w="565" w:type="pct"/>
            <w:vAlign w:val="center"/>
          </w:tcPr>
          <w:p w14:paraId="07983BB8">
            <w:pPr>
              <w:pStyle w:val="766"/>
              <w:rPr>
                <w:color w:val="auto"/>
              </w:rPr>
            </w:pPr>
            <w:r>
              <w:rPr>
                <w:color w:val="auto"/>
              </w:rPr>
              <w:t>NH</w:t>
            </w:r>
            <w:r>
              <w:rPr>
                <w:color w:val="auto"/>
                <w:vertAlign w:val="subscript"/>
              </w:rPr>
              <w:t>3</w:t>
            </w:r>
          </w:p>
        </w:tc>
        <w:tc>
          <w:tcPr>
            <w:tcW w:w="866" w:type="pct"/>
            <w:vMerge w:val="restart"/>
            <w:vAlign w:val="center"/>
          </w:tcPr>
          <w:p w14:paraId="10BC7B07">
            <w:pPr>
              <w:pStyle w:val="766"/>
              <w:rPr>
                <w:color w:val="auto"/>
              </w:rPr>
            </w:pPr>
            <w:r>
              <w:rPr>
                <w:rFonts w:hint="eastAsia"/>
                <w:color w:val="auto"/>
              </w:rPr>
              <w:t>1</w:t>
            </w:r>
            <w:r>
              <w:rPr>
                <w:color w:val="auto"/>
              </w:rPr>
              <w:t>54</w:t>
            </w:r>
          </w:p>
        </w:tc>
        <w:tc>
          <w:tcPr>
            <w:tcW w:w="925" w:type="pct"/>
            <w:vAlign w:val="center"/>
          </w:tcPr>
          <w:p w14:paraId="010A6A9F">
            <w:pPr>
              <w:pStyle w:val="766"/>
              <w:rPr>
                <w:color w:val="auto"/>
              </w:rPr>
            </w:pPr>
            <w:r>
              <w:rPr>
                <w:color w:val="auto"/>
              </w:rPr>
              <w:t>1.1509</w:t>
            </w:r>
          </w:p>
        </w:tc>
        <w:tc>
          <w:tcPr>
            <w:tcW w:w="1006" w:type="pct"/>
            <w:vAlign w:val="center"/>
          </w:tcPr>
          <w:p w14:paraId="3569F4FE">
            <w:pPr>
              <w:pStyle w:val="766"/>
              <w:rPr>
                <w:color w:val="auto"/>
              </w:rPr>
            </w:pPr>
            <w:r>
              <w:rPr>
                <w:color w:val="auto"/>
              </w:rPr>
              <w:t>0.58</w:t>
            </w:r>
          </w:p>
        </w:tc>
        <w:tc>
          <w:tcPr>
            <w:tcW w:w="712" w:type="pct"/>
            <w:vAlign w:val="center"/>
          </w:tcPr>
          <w:p w14:paraId="48095DA7">
            <w:pPr>
              <w:pStyle w:val="766"/>
              <w:rPr>
                <w:color w:val="auto"/>
              </w:rPr>
            </w:pPr>
            <w:r>
              <w:rPr>
                <w:rFonts w:hint="eastAsia"/>
                <w:color w:val="auto"/>
              </w:rPr>
              <w:t>2</w:t>
            </w:r>
            <w:r>
              <w:rPr>
                <w:color w:val="auto"/>
              </w:rPr>
              <w:t>00</w:t>
            </w:r>
          </w:p>
        </w:tc>
      </w:tr>
      <w:tr w14:paraId="6DA3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continue"/>
            <w:vAlign w:val="center"/>
          </w:tcPr>
          <w:p w14:paraId="3847DEB0">
            <w:pPr>
              <w:pStyle w:val="766"/>
              <w:rPr>
                <w:color w:val="auto"/>
              </w:rPr>
            </w:pPr>
          </w:p>
        </w:tc>
        <w:tc>
          <w:tcPr>
            <w:tcW w:w="565" w:type="pct"/>
            <w:vAlign w:val="center"/>
          </w:tcPr>
          <w:p w14:paraId="60BBA412">
            <w:pPr>
              <w:pStyle w:val="766"/>
              <w:rPr>
                <w:color w:val="auto"/>
              </w:rPr>
            </w:pPr>
            <w:r>
              <w:rPr>
                <w:color w:val="auto"/>
              </w:rPr>
              <w:t>H</w:t>
            </w:r>
            <w:r>
              <w:rPr>
                <w:color w:val="auto"/>
                <w:vertAlign w:val="subscript"/>
              </w:rPr>
              <w:t>2</w:t>
            </w:r>
            <w:r>
              <w:rPr>
                <w:color w:val="auto"/>
              </w:rPr>
              <w:t>S</w:t>
            </w:r>
          </w:p>
        </w:tc>
        <w:tc>
          <w:tcPr>
            <w:tcW w:w="866" w:type="pct"/>
            <w:vMerge w:val="continue"/>
            <w:vAlign w:val="center"/>
          </w:tcPr>
          <w:p w14:paraId="657A0B07">
            <w:pPr>
              <w:pStyle w:val="766"/>
              <w:rPr>
                <w:color w:val="auto"/>
              </w:rPr>
            </w:pPr>
          </w:p>
        </w:tc>
        <w:tc>
          <w:tcPr>
            <w:tcW w:w="925" w:type="pct"/>
            <w:vAlign w:val="center"/>
          </w:tcPr>
          <w:p w14:paraId="183E701E">
            <w:pPr>
              <w:pStyle w:val="766"/>
              <w:rPr>
                <w:color w:val="auto"/>
              </w:rPr>
            </w:pPr>
            <w:r>
              <w:rPr>
                <w:color w:val="auto"/>
              </w:rPr>
              <w:t>0.1151</w:t>
            </w:r>
          </w:p>
        </w:tc>
        <w:tc>
          <w:tcPr>
            <w:tcW w:w="1006" w:type="pct"/>
            <w:vAlign w:val="center"/>
          </w:tcPr>
          <w:p w14:paraId="6F1F6FDC">
            <w:pPr>
              <w:pStyle w:val="766"/>
              <w:rPr>
                <w:color w:val="auto"/>
              </w:rPr>
            </w:pPr>
            <w:r>
              <w:rPr>
                <w:color w:val="auto"/>
              </w:rPr>
              <w:t>1.15</w:t>
            </w:r>
          </w:p>
        </w:tc>
        <w:tc>
          <w:tcPr>
            <w:tcW w:w="712" w:type="pct"/>
            <w:vAlign w:val="center"/>
          </w:tcPr>
          <w:p w14:paraId="7792EEE7">
            <w:pPr>
              <w:pStyle w:val="766"/>
              <w:rPr>
                <w:color w:val="auto"/>
              </w:rPr>
            </w:pPr>
            <w:r>
              <w:rPr>
                <w:rFonts w:hint="eastAsia"/>
                <w:color w:val="auto"/>
              </w:rPr>
              <w:t>1</w:t>
            </w:r>
            <w:r>
              <w:rPr>
                <w:color w:val="auto"/>
              </w:rPr>
              <w:t>0</w:t>
            </w:r>
          </w:p>
        </w:tc>
      </w:tr>
      <w:tr w14:paraId="2915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continue"/>
            <w:vAlign w:val="center"/>
          </w:tcPr>
          <w:p w14:paraId="4521FA63">
            <w:pPr>
              <w:pStyle w:val="766"/>
              <w:rPr>
                <w:color w:val="auto"/>
              </w:rPr>
            </w:pPr>
          </w:p>
        </w:tc>
        <w:tc>
          <w:tcPr>
            <w:tcW w:w="565" w:type="pct"/>
            <w:vAlign w:val="center"/>
          </w:tcPr>
          <w:p w14:paraId="570CAC78">
            <w:pPr>
              <w:pStyle w:val="766"/>
              <w:rPr>
                <w:color w:val="auto"/>
              </w:rPr>
            </w:pPr>
            <w:r>
              <w:rPr>
                <w:rFonts w:hint="eastAsia"/>
                <w:color w:val="auto"/>
              </w:rPr>
              <w:t>PM</w:t>
            </w:r>
            <w:r>
              <w:rPr>
                <w:rFonts w:hint="eastAsia"/>
                <w:color w:val="auto"/>
                <w:vertAlign w:val="subscript"/>
              </w:rPr>
              <w:t>10</w:t>
            </w:r>
          </w:p>
        </w:tc>
        <w:tc>
          <w:tcPr>
            <w:tcW w:w="866" w:type="pct"/>
            <w:vMerge w:val="continue"/>
            <w:vAlign w:val="center"/>
          </w:tcPr>
          <w:p w14:paraId="3B3CFA3B">
            <w:pPr>
              <w:pStyle w:val="766"/>
              <w:rPr>
                <w:color w:val="auto"/>
              </w:rPr>
            </w:pPr>
          </w:p>
        </w:tc>
        <w:tc>
          <w:tcPr>
            <w:tcW w:w="925" w:type="pct"/>
            <w:vAlign w:val="center"/>
          </w:tcPr>
          <w:p w14:paraId="0B965531">
            <w:pPr>
              <w:pStyle w:val="766"/>
              <w:rPr>
                <w:color w:val="auto"/>
              </w:rPr>
            </w:pPr>
            <w:r>
              <w:rPr>
                <w:rFonts w:hint="eastAsia"/>
                <w:color w:val="auto"/>
              </w:rPr>
              <w:t>0.2836</w:t>
            </w:r>
          </w:p>
        </w:tc>
        <w:tc>
          <w:tcPr>
            <w:tcW w:w="1006" w:type="pct"/>
            <w:vAlign w:val="center"/>
          </w:tcPr>
          <w:p w14:paraId="22892A52">
            <w:pPr>
              <w:pStyle w:val="766"/>
              <w:rPr>
                <w:color w:val="auto"/>
              </w:rPr>
            </w:pPr>
            <w:r>
              <w:rPr>
                <w:rFonts w:hint="eastAsia"/>
                <w:color w:val="auto"/>
              </w:rPr>
              <w:t>0.24</w:t>
            </w:r>
          </w:p>
        </w:tc>
        <w:tc>
          <w:tcPr>
            <w:tcW w:w="712" w:type="pct"/>
            <w:vAlign w:val="center"/>
          </w:tcPr>
          <w:p w14:paraId="30687E02">
            <w:pPr>
              <w:pStyle w:val="766"/>
              <w:rPr>
                <w:color w:val="auto"/>
              </w:rPr>
            </w:pPr>
            <w:r>
              <w:rPr>
                <w:rFonts w:hint="eastAsia"/>
                <w:color w:val="auto"/>
              </w:rPr>
              <w:t>120</w:t>
            </w:r>
          </w:p>
        </w:tc>
      </w:tr>
      <w:tr w14:paraId="12F2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restart"/>
            <w:vAlign w:val="center"/>
          </w:tcPr>
          <w:p w14:paraId="3B718C9A">
            <w:pPr>
              <w:pStyle w:val="766"/>
              <w:rPr>
                <w:color w:val="auto"/>
              </w:rPr>
            </w:pPr>
            <w:r>
              <w:rPr>
                <w:rFonts w:hint="eastAsia"/>
                <w:color w:val="auto"/>
              </w:rPr>
              <w:t>污水站排气筒（D</w:t>
            </w:r>
            <w:r>
              <w:rPr>
                <w:color w:val="auto"/>
              </w:rPr>
              <w:t>A00</w:t>
            </w:r>
            <w:r>
              <w:rPr>
                <w:rFonts w:hint="eastAsia"/>
                <w:color w:val="auto"/>
              </w:rPr>
              <w:t>7）</w:t>
            </w:r>
          </w:p>
        </w:tc>
        <w:tc>
          <w:tcPr>
            <w:tcW w:w="565" w:type="pct"/>
            <w:vAlign w:val="center"/>
          </w:tcPr>
          <w:p w14:paraId="3582F018">
            <w:pPr>
              <w:pStyle w:val="766"/>
              <w:rPr>
                <w:color w:val="auto"/>
              </w:rPr>
            </w:pPr>
            <w:r>
              <w:rPr>
                <w:color w:val="auto"/>
              </w:rPr>
              <w:t>NH</w:t>
            </w:r>
            <w:r>
              <w:rPr>
                <w:color w:val="auto"/>
                <w:vertAlign w:val="subscript"/>
              </w:rPr>
              <w:t>3</w:t>
            </w:r>
          </w:p>
        </w:tc>
        <w:tc>
          <w:tcPr>
            <w:tcW w:w="866" w:type="pct"/>
            <w:vMerge w:val="restart"/>
            <w:vAlign w:val="center"/>
          </w:tcPr>
          <w:p w14:paraId="3A5E06C8">
            <w:pPr>
              <w:pStyle w:val="766"/>
              <w:rPr>
                <w:color w:val="auto"/>
              </w:rPr>
            </w:pPr>
            <w:r>
              <w:rPr>
                <w:rFonts w:hint="eastAsia"/>
                <w:color w:val="auto"/>
              </w:rPr>
              <w:t>1</w:t>
            </w:r>
            <w:r>
              <w:rPr>
                <w:color w:val="auto"/>
              </w:rPr>
              <w:t>55</w:t>
            </w:r>
          </w:p>
        </w:tc>
        <w:tc>
          <w:tcPr>
            <w:tcW w:w="925" w:type="pct"/>
            <w:vAlign w:val="center"/>
          </w:tcPr>
          <w:p w14:paraId="4B4657E7">
            <w:pPr>
              <w:pStyle w:val="766"/>
              <w:rPr>
                <w:color w:val="auto"/>
              </w:rPr>
            </w:pPr>
            <w:r>
              <w:rPr>
                <w:color w:val="auto"/>
              </w:rPr>
              <w:t>0.0653</w:t>
            </w:r>
          </w:p>
        </w:tc>
        <w:tc>
          <w:tcPr>
            <w:tcW w:w="1006" w:type="pct"/>
            <w:vAlign w:val="center"/>
          </w:tcPr>
          <w:p w14:paraId="73140BBD">
            <w:pPr>
              <w:pStyle w:val="766"/>
              <w:rPr>
                <w:color w:val="auto"/>
              </w:rPr>
            </w:pPr>
            <w:r>
              <w:rPr>
                <w:color w:val="auto"/>
              </w:rPr>
              <w:t>0.03</w:t>
            </w:r>
          </w:p>
        </w:tc>
        <w:tc>
          <w:tcPr>
            <w:tcW w:w="712" w:type="pct"/>
            <w:vAlign w:val="center"/>
          </w:tcPr>
          <w:p w14:paraId="05DA3478">
            <w:pPr>
              <w:pStyle w:val="766"/>
              <w:rPr>
                <w:color w:val="auto"/>
              </w:rPr>
            </w:pPr>
            <w:r>
              <w:rPr>
                <w:rFonts w:hint="eastAsia"/>
                <w:color w:val="auto"/>
              </w:rPr>
              <w:t>2</w:t>
            </w:r>
            <w:r>
              <w:rPr>
                <w:color w:val="auto"/>
              </w:rPr>
              <w:t>00</w:t>
            </w:r>
          </w:p>
        </w:tc>
      </w:tr>
      <w:tr w14:paraId="3E2D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continue"/>
            <w:vAlign w:val="center"/>
          </w:tcPr>
          <w:p w14:paraId="3AFD2076">
            <w:pPr>
              <w:pStyle w:val="766"/>
              <w:rPr>
                <w:color w:val="auto"/>
              </w:rPr>
            </w:pPr>
          </w:p>
        </w:tc>
        <w:tc>
          <w:tcPr>
            <w:tcW w:w="565" w:type="pct"/>
            <w:vAlign w:val="center"/>
          </w:tcPr>
          <w:p w14:paraId="01FEEDA2">
            <w:pPr>
              <w:pStyle w:val="766"/>
              <w:rPr>
                <w:color w:val="auto"/>
              </w:rPr>
            </w:pPr>
            <w:r>
              <w:rPr>
                <w:color w:val="auto"/>
              </w:rPr>
              <w:t>H</w:t>
            </w:r>
            <w:r>
              <w:rPr>
                <w:color w:val="auto"/>
                <w:vertAlign w:val="subscript"/>
              </w:rPr>
              <w:t>2</w:t>
            </w:r>
            <w:r>
              <w:rPr>
                <w:color w:val="auto"/>
              </w:rPr>
              <w:t>S</w:t>
            </w:r>
          </w:p>
        </w:tc>
        <w:tc>
          <w:tcPr>
            <w:tcW w:w="866" w:type="pct"/>
            <w:vMerge w:val="continue"/>
            <w:vAlign w:val="center"/>
          </w:tcPr>
          <w:p w14:paraId="336C01E1">
            <w:pPr>
              <w:pStyle w:val="766"/>
              <w:rPr>
                <w:color w:val="auto"/>
              </w:rPr>
            </w:pPr>
          </w:p>
        </w:tc>
        <w:tc>
          <w:tcPr>
            <w:tcW w:w="925" w:type="pct"/>
            <w:vAlign w:val="center"/>
          </w:tcPr>
          <w:p w14:paraId="09A4F0EB">
            <w:pPr>
              <w:pStyle w:val="766"/>
              <w:rPr>
                <w:color w:val="auto"/>
              </w:rPr>
            </w:pPr>
            <w:r>
              <w:rPr>
                <w:color w:val="auto"/>
              </w:rPr>
              <w:t>0.0022</w:t>
            </w:r>
          </w:p>
        </w:tc>
        <w:tc>
          <w:tcPr>
            <w:tcW w:w="1006" w:type="pct"/>
            <w:vAlign w:val="center"/>
          </w:tcPr>
          <w:p w14:paraId="462F7059">
            <w:pPr>
              <w:pStyle w:val="766"/>
              <w:rPr>
                <w:color w:val="auto"/>
              </w:rPr>
            </w:pPr>
            <w:r>
              <w:rPr>
                <w:color w:val="auto"/>
              </w:rPr>
              <w:t>0.02</w:t>
            </w:r>
          </w:p>
        </w:tc>
        <w:tc>
          <w:tcPr>
            <w:tcW w:w="712" w:type="pct"/>
            <w:vAlign w:val="center"/>
          </w:tcPr>
          <w:p w14:paraId="551EC769">
            <w:pPr>
              <w:pStyle w:val="766"/>
              <w:rPr>
                <w:color w:val="auto"/>
              </w:rPr>
            </w:pPr>
            <w:r>
              <w:rPr>
                <w:rFonts w:hint="eastAsia"/>
                <w:color w:val="auto"/>
              </w:rPr>
              <w:t>1</w:t>
            </w:r>
            <w:r>
              <w:rPr>
                <w:color w:val="auto"/>
              </w:rPr>
              <w:t>0</w:t>
            </w:r>
          </w:p>
        </w:tc>
      </w:tr>
      <w:tr w14:paraId="3649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restart"/>
            <w:vAlign w:val="center"/>
          </w:tcPr>
          <w:p w14:paraId="6FA73212">
            <w:pPr>
              <w:pStyle w:val="766"/>
              <w:rPr>
                <w:color w:val="auto"/>
              </w:rPr>
            </w:pPr>
            <w:r>
              <w:rPr>
                <w:rFonts w:hint="eastAsia"/>
                <w:color w:val="auto"/>
              </w:rPr>
              <w:t>鸡舍</w:t>
            </w:r>
          </w:p>
        </w:tc>
        <w:tc>
          <w:tcPr>
            <w:tcW w:w="565" w:type="pct"/>
            <w:vAlign w:val="center"/>
          </w:tcPr>
          <w:p w14:paraId="3B5B7BD3">
            <w:pPr>
              <w:pStyle w:val="766"/>
              <w:rPr>
                <w:color w:val="auto"/>
              </w:rPr>
            </w:pPr>
            <w:r>
              <w:rPr>
                <w:color w:val="auto"/>
              </w:rPr>
              <w:t>NH</w:t>
            </w:r>
            <w:r>
              <w:rPr>
                <w:color w:val="auto"/>
                <w:vertAlign w:val="subscript"/>
              </w:rPr>
              <w:t>3</w:t>
            </w:r>
          </w:p>
        </w:tc>
        <w:tc>
          <w:tcPr>
            <w:tcW w:w="866" w:type="pct"/>
            <w:vMerge w:val="restart"/>
            <w:vAlign w:val="center"/>
          </w:tcPr>
          <w:p w14:paraId="685BAD3C">
            <w:pPr>
              <w:pStyle w:val="766"/>
              <w:rPr>
                <w:color w:val="auto"/>
              </w:rPr>
            </w:pPr>
            <w:r>
              <w:rPr>
                <w:rFonts w:hint="eastAsia"/>
                <w:color w:val="auto"/>
              </w:rPr>
              <w:t>2</w:t>
            </w:r>
            <w:r>
              <w:rPr>
                <w:color w:val="auto"/>
              </w:rPr>
              <w:t>46</w:t>
            </w:r>
          </w:p>
        </w:tc>
        <w:tc>
          <w:tcPr>
            <w:tcW w:w="925" w:type="pct"/>
            <w:vAlign w:val="center"/>
          </w:tcPr>
          <w:p w14:paraId="7FDCD075">
            <w:pPr>
              <w:pStyle w:val="766"/>
              <w:rPr>
                <w:color w:val="auto"/>
              </w:rPr>
            </w:pPr>
            <w:r>
              <w:rPr>
                <w:color w:val="auto"/>
              </w:rPr>
              <w:t>7.7657</w:t>
            </w:r>
          </w:p>
        </w:tc>
        <w:tc>
          <w:tcPr>
            <w:tcW w:w="1006" w:type="pct"/>
            <w:vAlign w:val="center"/>
          </w:tcPr>
          <w:p w14:paraId="13C5055E">
            <w:pPr>
              <w:pStyle w:val="766"/>
              <w:rPr>
                <w:color w:val="auto"/>
              </w:rPr>
            </w:pPr>
            <w:r>
              <w:rPr>
                <w:color w:val="auto"/>
              </w:rPr>
              <w:t>3.88</w:t>
            </w:r>
          </w:p>
        </w:tc>
        <w:tc>
          <w:tcPr>
            <w:tcW w:w="712" w:type="pct"/>
            <w:vAlign w:val="center"/>
          </w:tcPr>
          <w:p w14:paraId="07FFFCA4">
            <w:pPr>
              <w:pStyle w:val="766"/>
              <w:rPr>
                <w:color w:val="auto"/>
              </w:rPr>
            </w:pPr>
            <w:r>
              <w:rPr>
                <w:rFonts w:hint="eastAsia"/>
                <w:color w:val="auto"/>
              </w:rPr>
              <w:t>2</w:t>
            </w:r>
            <w:r>
              <w:rPr>
                <w:color w:val="auto"/>
              </w:rPr>
              <w:t>00</w:t>
            </w:r>
          </w:p>
        </w:tc>
      </w:tr>
      <w:tr w14:paraId="58C1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continue"/>
            <w:vAlign w:val="center"/>
          </w:tcPr>
          <w:p w14:paraId="5F8A5298">
            <w:pPr>
              <w:pStyle w:val="766"/>
              <w:rPr>
                <w:color w:val="auto"/>
              </w:rPr>
            </w:pPr>
          </w:p>
        </w:tc>
        <w:tc>
          <w:tcPr>
            <w:tcW w:w="565" w:type="pct"/>
            <w:vAlign w:val="center"/>
          </w:tcPr>
          <w:p w14:paraId="21F4A6D1">
            <w:pPr>
              <w:pStyle w:val="766"/>
              <w:rPr>
                <w:color w:val="auto"/>
              </w:rPr>
            </w:pPr>
            <w:r>
              <w:rPr>
                <w:color w:val="auto"/>
              </w:rPr>
              <w:t>H</w:t>
            </w:r>
            <w:r>
              <w:rPr>
                <w:color w:val="auto"/>
                <w:vertAlign w:val="subscript"/>
              </w:rPr>
              <w:t>2</w:t>
            </w:r>
            <w:r>
              <w:rPr>
                <w:color w:val="auto"/>
              </w:rPr>
              <w:t>S</w:t>
            </w:r>
          </w:p>
        </w:tc>
        <w:tc>
          <w:tcPr>
            <w:tcW w:w="866" w:type="pct"/>
            <w:vMerge w:val="continue"/>
            <w:vAlign w:val="center"/>
          </w:tcPr>
          <w:p w14:paraId="3DBE9CCB">
            <w:pPr>
              <w:pStyle w:val="766"/>
              <w:rPr>
                <w:color w:val="auto"/>
              </w:rPr>
            </w:pPr>
          </w:p>
        </w:tc>
        <w:tc>
          <w:tcPr>
            <w:tcW w:w="925" w:type="pct"/>
            <w:vAlign w:val="center"/>
          </w:tcPr>
          <w:p w14:paraId="5D0013EA">
            <w:pPr>
              <w:pStyle w:val="766"/>
              <w:rPr>
                <w:color w:val="auto"/>
              </w:rPr>
            </w:pPr>
            <w:r>
              <w:rPr>
                <w:color w:val="auto"/>
              </w:rPr>
              <w:t>0.3900</w:t>
            </w:r>
          </w:p>
        </w:tc>
        <w:tc>
          <w:tcPr>
            <w:tcW w:w="1006" w:type="pct"/>
            <w:vAlign w:val="center"/>
          </w:tcPr>
          <w:p w14:paraId="2666CF30">
            <w:pPr>
              <w:pStyle w:val="766"/>
              <w:rPr>
                <w:color w:val="auto"/>
              </w:rPr>
            </w:pPr>
            <w:r>
              <w:rPr>
                <w:color w:val="auto"/>
              </w:rPr>
              <w:t>3.9</w:t>
            </w:r>
          </w:p>
        </w:tc>
        <w:tc>
          <w:tcPr>
            <w:tcW w:w="712" w:type="pct"/>
            <w:vAlign w:val="center"/>
          </w:tcPr>
          <w:p w14:paraId="3773C64C">
            <w:pPr>
              <w:pStyle w:val="766"/>
              <w:rPr>
                <w:color w:val="auto"/>
              </w:rPr>
            </w:pPr>
            <w:r>
              <w:rPr>
                <w:rFonts w:hint="eastAsia"/>
                <w:color w:val="auto"/>
              </w:rPr>
              <w:t>1</w:t>
            </w:r>
            <w:r>
              <w:rPr>
                <w:color w:val="auto"/>
              </w:rPr>
              <w:t>0</w:t>
            </w:r>
          </w:p>
        </w:tc>
      </w:tr>
      <w:tr w14:paraId="087B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restart"/>
            <w:vAlign w:val="center"/>
          </w:tcPr>
          <w:p w14:paraId="320D61CF">
            <w:pPr>
              <w:pStyle w:val="766"/>
              <w:rPr>
                <w:color w:val="auto"/>
              </w:rPr>
            </w:pPr>
            <w:r>
              <w:rPr>
                <w:rFonts w:hint="eastAsia"/>
                <w:color w:val="auto"/>
              </w:rPr>
              <w:t>有机肥车间</w:t>
            </w:r>
          </w:p>
        </w:tc>
        <w:tc>
          <w:tcPr>
            <w:tcW w:w="565" w:type="pct"/>
            <w:vAlign w:val="center"/>
          </w:tcPr>
          <w:p w14:paraId="1A73C264">
            <w:pPr>
              <w:pStyle w:val="766"/>
              <w:rPr>
                <w:color w:val="auto"/>
              </w:rPr>
            </w:pPr>
            <w:r>
              <w:rPr>
                <w:color w:val="auto"/>
              </w:rPr>
              <w:t>NH</w:t>
            </w:r>
            <w:r>
              <w:rPr>
                <w:color w:val="auto"/>
                <w:vertAlign w:val="subscript"/>
              </w:rPr>
              <w:t>3</w:t>
            </w:r>
          </w:p>
        </w:tc>
        <w:tc>
          <w:tcPr>
            <w:tcW w:w="866" w:type="pct"/>
            <w:vMerge w:val="restart"/>
            <w:vAlign w:val="center"/>
          </w:tcPr>
          <w:p w14:paraId="59D9BF1B">
            <w:pPr>
              <w:pStyle w:val="766"/>
              <w:rPr>
                <w:color w:val="auto"/>
              </w:rPr>
            </w:pPr>
            <w:r>
              <w:rPr>
                <w:rFonts w:hint="eastAsia"/>
                <w:color w:val="auto"/>
              </w:rPr>
              <w:t>1</w:t>
            </w:r>
            <w:r>
              <w:rPr>
                <w:color w:val="auto"/>
              </w:rPr>
              <w:t>26</w:t>
            </w:r>
          </w:p>
        </w:tc>
        <w:tc>
          <w:tcPr>
            <w:tcW w:w="925" w:type="pct"/>
            <w:vAlign w:val="center"/>
          </w:tcPr>
          <w:p w14:paraId="2DE85CE4">
            <w:pPr>
              <w:pStyle w:val="766"/>
              <w:rPr>
                <w:color w:val="auto"/>
              </w:rPr>
            </w:pPr>
            <w:r>
              <w:rPr>
                <w:color w:val="auto"/>
              </w:rPr>
              <w:t>2.7270</w:t>
            </w:r>
          </w:p>
        </w:tc>
        <w:tc>
          <w:tcPr>
            <w:tcW w:w="1006" w:type="pct"/>
            <w:vAlign w:val="center"/>
          </w:tcPr>
          <w:p w14:paraId="66D5A4E7">
            <w:pPr>
              <w:pStyle w:val="766"/>
              <w:rPr>
                <w:color w:val="auto"/>
              </w:rPr>
            </w:pPr>
            <w:r>
              <w:rPr>
                <w:color w:val="auto"/>
              </w:rPr>
              <w:t>1.36</w:t>
            </w:r>
          </w:p>
        </w:tc>
        <w:tc>
          <w:tcPr>
            <w:tcW w:w="712" w:type="pct"/>
            <w:vAlign w:val="center"/>
          </w:tcPr>
          <w:p w14:paraId="33AEC578">
            <w:pPr>
              <w:pStyle w:val="766"/>
              <w:rPr>
                <w:color w:val="auto"/>
              </w:rPr>
            </w:pPr>
            <w:r>
              <w:rPr>
                <w:rFonts w:hint="eastAsia"/>
                <w:color w:val="auto"/>
              </w:rPr>
              <w:t>2</w:t>
            </w:r>
            <w:r>
              <w:rPr>
                <w:color w:val="auto"/>
              </w:rPr>
              <w:t>00</w:t>
            </w:r>
          </w:p>
        </w:tc>
      </w:tr>
      <w:tr w14:paraId="35A8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continue"/>
            <w:vAlign w:val="center"/>
          </w:tcPr>
          <w:p w14:paraId="1C6150FF">
            <w:pPr>
              <w:pStyle w:val="766"/>
              <w:rPr>
                <w:color w:val="auto"/>
              </w:rPr>
            </w:pPr>
          </w:p>
        </w:tc>
        <w:tc>
          <w:tcPr>
            <w:tcW w:w="565" w:type="pct"/>
            <w:vAlign w:val="center"/>
          </w:tcPr>
          <w:p w14:paraId="002CF077">
            <w:pPr>
              <w:pStyle w:val="766"/>
              <w:rPr>
                <w:color w:val="auto"/>
              </w:rPr>
            </w:pPr>
            <w:r>
              <w:rPr>
                <w:color w:val="auto"/>
              </w:rPr>
              <w:t>H</w:t>
            </w:r>
            <w:r>
              <w:rPr>
                <w:color w:val="auto"/>
                <w:vertAlign w:val="subscript"/>
              </w:rPr>
              <w:t>2</w:t>
            </w:r>
            <w:r>
              <w:rPr>
                <w:color w:val="auto"/>
              </w:rPr>
              <w:t>S</w:t>
            </w:r>
          </w:p>
        </w:tc>
        <w:tc>
          <w:tcPr>
            <w:tcW w:w="866" w:type="pct"/>
            <w:vMerge w:val="continue"/>
            <w:vAlign w:val="center"/>
          </w:tcPr>
          <w:p w14:paraId="101DC90F">
            <w:pPr>
              <w:pStyle w:val="766"/>
              <w:rPr>
                <w:color w:val="auto"/>
              </w:rPr>
            </w:pPr>
          </w:p>
        </w:tc>
        <w:tc>
          <w:tcPr>
            <w:tcW w:w="925" w:type="pct"/>
            <w:vAlign w:val="center"/>
          </w:tcPr>
          <w:p w14:paraId="17DC7032">
            <w:pPr>
              <w:pStyle w:val="766"/>
              <w:rPr>
                <w:color w:val="auto"/>
              </w:rPr>
            </w:pPr>
            <w:r>
              <w:rPr>
                <w:color w:val="auto"/>
              </w:rPr>
              <w:t>0.2975</w:t>
            </w:r>
          </w:p>
        </w:tc>
        <w:tc>
          <w:tcPr>
            <w:tcW w:w="1006" w:type="pct"/>
            <w:vAlign w:val="center"/>
          </w:tcPr>
          <w:p w14:paraId="6B48B849">
            <w:pPr>
              <w:pStyle w:val="766"/>
              <w:rPr>
                <w:color w:val="auto"/>
              </w:rPr>
            </w:pPr>
            <w:r>
              <w:rPr>
                <w:color w:val="auto"/>
              </w:rPr>
              <w:t>2.97</w:t>
            </w:r>
          </w:p>
        </w:tc>
        <w:tc>
          <w:tcPr>
            <w:tcW w:w="712" w:type="pct"/>
            <w:vAlign w:val="center"/>
          </w:tcPr>
          <w:p w14:paraId="249A9E46">
            <w:pPr>
              <w:pStyle w:val="766"/>
              <w:rPr>
                <w:color w:val="auto"/>
              </w:rPr>
            </w:pPr>
            <w:r>
              <w:rPr>
                <w:rFonts w:hint="eastAsia"/>
                <w:color w:val="auto"/>
              </w:rPr>
              <w:t>1</w:t>
            </w:r>
            <w:r>
              <w:rPr>
                <w:color w:val="auto"/>
              </w:rPr>
              <w:t>0</w:t>
            </w:r>
          </w:p>
        </w:tc>
      </w:tr>
      <w:tr w14:paraId="559C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restart"/>
            <w:vAlign w:val="center"/>
          </w:tcPr>
          <w:p w14:paraId="3FE4E6EF">
            <w:pPr>
              <w:pStyle w:val="766"/>
              <w:rPr>
                <w:color w:val="auto"/>
              </w:rPr>
            </w:pPr>
            <w:r>
              <w:rPr>
                <w:color w:val="auto"/>
              </w:rPr>
              <w:t>污水处理设施</w:t>
            </w:r>
          </w:p>
        </w:tc>
        <w:tc>
          <w:tcPr>
            <w:tcW w:w="565" w:type="pct"/>
            <w:vAlign w:val="center"/>
          </w:tcPr>
          <w:p w14:paraId="7685BD38">
            <w:pPr>
              <w:pStyle w:val="766"/>
              <w:rPr>
                <w:color w:val="auto"/>
              </w:rPr>
            </w:pPr>
            <w:r>
              <w:rPr>
                <w:color w:val="auto"/>
              </w:rPr>
              <w:t>NH</w:t>
            </w:r>
            <w:r>
              <w:rPr>
                <w:color w:val="auto"/>
                <w:vertAlign w:val="subscript"/>
              </w:rPr>
              <w:t>3</w:t>
            </w:r>
          </w:p>
        </w:tc>
        <w:tc>
          <w:tcPr>
            <w:tcW w:w="866" w:type="pct"/>
            <w:vMerge w:val="restart"/>
            <w:vAlign w:val="center"/>
          </w:tcPr>
          <w:p w14:paraId="4E315466">
            <w:pPr>
              <w:pStyle w:val="766"/>
              <w:rPr>
                <w:color w:val="auto"/>
              </w:rPr>
            </w:pPr>
            <w:r>
              <w:rPr>
                <w:rFonts w:hint="eastAsia"/>
                <w:color w:val="auto"/>
              </w:rPr>
              <w:t>1</w:t>
            </w:r>
            <w:r>
              <w:rPr>
                <w:color w:val="auto"/>
              </w:rPr>
              <w:t>3</w:t>
            </w:r>
          </w:p>
        </w:tc>
        <w:tc>
          <w:tcPr>
            <w:tcW w:w="925" w:type="pct"/>
            <w:vAlign w:val="center"/>
          </w:tcPr>
          <w:p w14:paraId="39483209">
            <w:pPr>
              <w:pStyle w:val="766"/>
              <w:rPr>
                <w:color w:val="auto"/>
              </w:rPr>
            </w:pPr>
            <w:r>
              <w:rPr>
                <w:color w:val="auto"/>
              </w:rPr>
              <w:t>0.5897</w:t>
            </w:r>
          </w:p>
        </w:tc>
        <w:tc>
          <w:tcPr>
            <w:tcW w:w="1006" w:type="pct"/>
            <w:vAlign w:val="center"/>
          </w:tcPr>
          <w:p w14:paraId="05F44618">
            <w:pPr>
              <w:pStyle w:val="766"/>
              <w:rPr>
                <w:color w:val="auto"/>
              </w:rPr>
            </w:pPr>
            <w:r>
              <w:rPr>
                <w:color w:val="auto"/>
              </w:rPr>
              <w:t>0.29</w:t>
            </w:r>
          </w:p>
        </w:tc>
        <w:tc>
          <w:tcPr>
            <w:tcW w:w="712" w:type="pct"/>
            <w:vAlign w:val="center"/>
          </w:tcPr>
          <w:p w14:paraId="78A28F84">
            <w:pPr>
              <w:pStyle w:val="766"/>
              <w:rPr>
                <w:color w:val="auto"/>
              </w:rPr>
            </w:pPr>
            <w:r>
              <w:rPr>
                <w:rFonts w:hint="eastAsia"/>
                <w:color w:val="auto"/>
              </w:rPr>
              <w:t>2</w:t>
            </w:r>
            <w:r>
              <w:rPr>
                <w:color w:val="auto"/>
              </w:rPr>
              <w:t>00</w:t>
            </w:r>
          </w:p>
        </w:tc>
      </w:tr>
      <w:tr w14:paraId="1A968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4" w:type="pct"/>
            <w:vMerge w:val="continue"/>
            <w:vAlign w:val="center"/>
          </w:tcPr>
          <w:p w14:paraId="531C3389">
            <w:pPr>
              <w:pStyle w:val="766"/>
              <w:rPr>
                <w:color w:val="auto"/>
              </w:rPr>
            </w:pPr>
          </w:p>
        </w:tc>
        <w:tc>
          <w:tcPr>
            <w:tcW w:w="565" w:type="pct"/>
            <w:vAlign w:val="center"/>
          </w:tcPr>
          <w:p w14:paraId="5464B135">
            <w:pPr>
              <w:pStyle w:val="766"/>
              <w:rPr>
                <w:color w:val="auto"/>
              </w:rPr>
            </w:pPr>
            <w:r>
              <w:rPr>
                <w:color w:val="auto"/>
              </w:rPr>
              <w:t>H</w:t>
            </w:r>
            <w:r>
              <w:rPr>
                <w:color w:val="auto"/>
                <w:vertAlign w:val="subscript"/>
              </w:rPr>
              <w:t>2</w:t>
            </w:r>
            <w:r>
              <w:rPr>
                <w:color w:val="auto"/>
              </w:rPr>
              <w:t>S</w:t>
            </w:r>
          </w:p>
        </w:tc>
        <w:tc>
          <w:tcPr>
            <w:tcW w:w="866" w:type="pct"/>
            <w:vMerge w:val="continue"/>
            <w:vAlign w:val="center"/>
          </w:tcPr>
          <w:p w14:paraId="7CA6BDF5">
            <w:pPr>
              <w:pStyle w:val="766"/>
              <w:rPr>
                <w:color w:val="auto"/>
              </w:rPr>
            </w:pPr>
          </w:p>
        </w:tc>
        <w:tc>
          <w:tcPr>
            <w:tcW w:w="925" w:type="pct"/>
            <w:vAlign w:val="center"/>
          </w:tcPr>
          <w:p w14:paraId="219F0201">
            <w:pPr>
              <w:pStyle w:val="766"/>
              <w:rPr>
                <w:color w:val="auto"/>
              </w:rPr>
            </w:pPr>
            <w:r>
              <w:rPr>
                <w:color w:val="auto"/>
              </w:rPr>
              <w:t>0.0197</w:t>
            </w:r>
          </w:p>
        </w:tc>
        <w:tc>
          <w:tcPr>
            <w:tcW w:w="1006" w:type="pct"/>
            <w:vAlign w:val="center"/>
          </w:tcPr>
          <w:p w14:paraId="57120EBB">
            <w:pPr>
              <w:pStyle w:val="766"/>
              <w:rPr>
                <w:color w:val="auto"/>
              </w:rPr>
            </w:pPr>
            <w:r>
              <w:rPr>
                <w:color w:val="auto"/>
              </w:rPr>
              <w:t>0.20</w:t>
            </w:r>
          </w:p>
        </w:tc>
        <w:tc>
          <w:tcPr>
            <w:tcW w:w="712" w:type="pct"/>
            <w:vAlign w:val="center"/>
          </w:tcPr>
          <w:p w14:paraId="513A0E0C">
            <w:pPr>
              <w:pStyle w:val="766"/>
              <w:rPr>
                <w:color w:val="auto"/>
              </w:rPr>
            </w:pPr>
            <w:r>
              <w:rPr>
                <w:rFonts w:hint="eastAsia"/>
                <w:color w:val="auto"/>
              </w:rPr>
              <w:t>1</w:t>
            </w:r>
            <w:r>
              <w:rPr>
                <w:color w:val="auto"/>
              </w:rPr>
              <w:t>0</w:t>
            </w:r>
          </w:p>
        </w:tc>
      </w:tr>
    </w:tbl>
    <w:p w14:paraId="63DD617E">
      <w:pPr>
        <w:pStyle w:val="772"/>
        <w:ind w:firstLine="480"/>
      </w:pPr>
      <w:r>
        <w:t>（6）环境影响分析</w:t>
      </w:r>
    </w:p>
    <w:p w14:paraId="32060214">
      <w:pPr>
        <w:ind w:firstLine="480"/>
      </w:pPr>
      <w:r>
        <w:t>由估算结果可知，</w:t>
      </w:r>
      <w:r>
        <w:rPr>
          <w:rFonts w:hint="eastAsia"/>
        </w:rPr>
        <w:t>本项目Pmax最大值出现为鸡舍排放的H</w:t>
      </w:r>
      <w:r>
        <w:rPr>
          <w:rFonts w:hint="eastAsia"/>
          <w:vertAlign w:val="subscript"/>
        </w:rPr>
        <w:t>2</w:t>
      </w:r>
      <w:r>
        <w:rPr>
          <w:rFonts w:hint="eastAsia"/>
        </w:rPr>
        <w:t>S，Pmax值为3.90%，Cmax为0.39</w:t>
      </w:r>
      <w:r>
        <w:t>μg</w:t>
      </w:r>
      <w:r>
        <w:rPr>
          <w:rFonts w:hint="eastAsia"/>
        </w:rPr>
        <w:t>/m</w:t>
      </w:r>
      <w:r>
        <w:t>。根据《环境影响评价技术导则 大气环境》（HJ2.2-2018）分级判据，确定本项目大气环境影响评价工作等级为二级，只对污染物排放量进行核算。根据预测结果，项目建设运营后，各污染因子正常排放情况下均可满足相应标准要求，对周围敏感点的大气环境影响较小。本项目排放浓度均不超标，不需要设置大气防护距离。</w:t>
      </w:r>
    </w:p>
    <w:p w14:paraId="03893EDE">
      <w:pPr>
        <w:ind w:firstLine="480"/>
      </w:pPr>
      <w:r>
        <w:rPr>
          <w:rFonts w:hint="eastAsia"/>
        </w:rPr>
        <w:t>本项目位于西鄂尔多斯国家级自然保护区西侧，项目区域主导风向为东南风，本项目产生的废气污染物会随风飘散远离保护区，因此本项目的废气污染物对西鄂尔多斯国家级自然保护区影响极小。本次环评采用AERSCREEN估算模型对本项目废气对西鄂尔多斯国家级自然保护区大气环境影响进行预测，预测结果见下表。</w:t>
      </w:r>
    </w:p>
    <w:p w14:paraId="29DDC158">
      <w:pPr>
        <w:spacing w:line="240" w:lineRule="auto"/>
        <w:ind w:firstLine="0" w:firstLineChars="0"/>
        <w:jc w:val="center"/>
      </w:pPr>
      <w:r>
        <w:rPr>
          <w:rFonts w:hint="eastAsia"/>
          <w:b/>
          <w:bCs/>
        </w:rPr>
        <w:t>表5.2-10 西鄂尔多斯国家级自然保护区大气污染因子占标率预测结果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6"/>
        <w:gridCol w:w="968"/>
        <w:gridCol w:w="2198"/>
        <w:gridCol w:w="1496"/>
        <w:gridCol w:w="1848"/>
      </w:tblGrid>
      <w:tr w14:paraId="7482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Align w:val="center"/>
          </w:tcPr>
          <w:p w14:paraId="37261252">
            <w:pPr>
              <w:spacing w:line="240" w:lineRule="auto"/>
              <w:ind w:firstLine="0" w:firstLineChars="0"/>
              <w:jc w:val="center"/>
              <w:rPr>
                <w:sz w:val="21"/>
                <w:szCs w:val="21"/>
              </w:rPr>
            </w:pPr>
            <w:r>
              <w:rPr>
                <w:rFonts w:hint="eastAsia"/>
                <w:sz w:val="21"/>
                <w:szCs w:val="21"/>
              </w:rPr>
              <w:t>污染源</w:t>
            </w:r>
          </w:p>
        </w:tc>
        <w:tc>
          <w:tcPr>
            <w:tcW w:w="968" w:type="dxa"/>
            <w:vAlign w:val="center"/>
          </w:tcPr>
          <w:p w14:paraId="4445FED8">
            <w:pPr>
              <w:spacing w:line="240" w:lineRule="auto"/>
              <w:ind w:firstLine="0" w:firstLineChars="0"/>
              <w:jc w:val="center"/>
              <w:rPr>
                <w:sz w:val="21"/>
                <w:szCs w:val="21"/>
              </w:rPr>
            </w:pPr>
            <w:r>
              <w:rPr>
                <w:rFonts w:hint="eastAsia"/>
                <w:sz w:val="21"/>
                <w:szCs w:val="21"/>
              </w:rPr>
              <w:t>污染物</w:t>
            </w:r>
          </w:p>
        </w:tc>
        <w:tc>
          <w:tcPr>
            <w:tcW w:w="2198" w:type="dxa"/>
            <w:vAlign w:val="center"/>
          </w:tcPr>
          <w:p w14:paraId="764B8475">
            <w:pPr>
              <w:spacing w:line="240" w:lineRule="auto"/>
              <w:ind w:firstLine="0" w:firstLineChars="0"/>
              <w:jc w:val="center"/>
              <w:rPr>
                <w:sz w:val="21"/>
                <w:szCs w:val="21"/>
              </w:rPr>
            </w:pPr>
            <w:r>
              <w:rPr>
                <w:rFonts w:hint="eastAsia"/>
                <w:sz w:val="21"/>
                <w:szCs w:val="21"/>
              </w:rPr>
              <w:t>质量浓度（</w:t>
            </w:r>
            <w:r>
              <w:t>μg/m</w:t>
            </w:r>
            <w:r>
              <w:rPr>
                <w:vertAlign w:val="superscript"/>
              </w:rPr>
              <w:t>3</w:t>
            </w:r>
            <w:r>
              <w:rPr>
                <w:rFonts w:hint="eastAsia"/>
                <w:sz w:val="21"/>
                <w:szCs w:val="21"/>
              </w:rPr>
              <w:t>）</w:t>
            </w:r>
          </w:p>
        </w:tc>
        <w:tc>
          <w:tcPr>
            <w:tcW w:w="1496" w:type="dxa"/>
            <w:vAlign w:val="center"/>
          </w:tcPr>
          <w:p w14:paraId="6E1F1B0D">
            <w:pPr>
              <w:spacing w:line="240" w:lineRule="auto"/>
              <w:ind w:firstLine="0" w:firstLineChars="0"/>
              <w:jc w:val="center"/>
              <w:rPr>
                <w:sz w:val="21"/>
                <w:szCs w:val="21"/>
              </w:rPr>
            </w:pPr>
            <w:r>
              <w:rPr>
                <w:rFonts w:hint="eastAsia"/>
                <w:sz w:val="21"/>
                <w:szCs w:val="21"/>
              </w:rPr>
              <w:t>占标率（%）</w:t>
            </w:r>
          </w:p>
        </w:tc>
        <w:tc>
          <w:tcPr>
            <w:tcW w:w="1848" w:type="dxa"/>
            <w:vAlign w:val="center"/>
          </w:tcPr>
          <w:p w14:paraId="317EAB94">
            <w:pPr>
              <w:spacing w:line="240" w:lineRule="auto"/>
              <w:ind w:firstLine="0" w:firstLineChars="0"/>
              <w:jc w:val="center"/>
              <w:rPr>
                <w:sz w:val="21"/>
                <w:szCs w:val="21"/>
              </w:rPr>
            </w:pPr>
            <w:r>
              <w:rPr>
                <w:sz w:val="21"/>
                <w:szCs w:val="21"/>
              </w:rPr>
              <w:t>评价标准（μg/m</w:t>
            </w:r>
            <w:r>
              <w:rPr>
                <w:sz w:val="21"/>
                <w:szCs w:val="21"/>
                <w:vertAlign w:val="superscript"/>
              </w:rPr>
              <w:t>3</w:t>
            </w:r>
            <w:r>
              <w:rPr>
                <w:sz w:val="21"/>
                <w:szCs w:val="21"/>
              </w:rPr>
              <w:t>）</w:t>
            </w:r>
          </w:p>
        </w:tc>
      </w:tr>
      <w:tr w14:paraId="50F6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Align w:val="center"/>
          </w:tcPr>
          <w:p w14:paraId="26CECCB6">
            <w:pPr>
              <w:pStyle w:val="766"/>
              <w:rPr>
                <w:color w:val="auto"/>
              </w:rPr>
            </w:pPr>
            <w:r>
              <w:rPr>
                <w:color w:val="auto"/>
              </w:rPr>
              <w:t>饲料加工排气筒（DA001）</w:t>
            </w:r>
          </w:p>
        </w:tc>
        <w:tc>
          <w:tcPr>
            <w:tcW w:w="968" w:type="dxa"/>
            <w:vAlign w:val="center"/>
          </w:tcPr>
          <w:p w14:paraId="5977808F">
            <w:pPr>
              <w:pStyle w:val="766"/>
              <w:rPr>
                <w:color w:val="auto"/>
              </w:rPr>
            </w:pPr>
            <w:r>
              <w:rPr>
                <w:rFonts w:hint="eastAsia"/>
                <w:color w:val="auto"/>
              </w:rPr>
              <w:t>PM</w:t>
            </w:r>
            <w:r>
              <w:rPr>
                <w:rFonts w:hint="eastAsia"/>
                <w:color w:val="auto"/>
                <w:vertAlign w:val="subscript"/>
              </w:rPr>
              <w:t>10</w:t>
            </w:r>
          </w:p>
        </w:tc>
        <w:tc>
          <w:tcPr>
            <w:tcW w:w="2198" w:type="dxa"/>
            <w:vAlign w:val="center"/>
          </w:tcPr>
          <w:p w14:paraId="67C0115F">
            <w:pPr>
              <w:spacing w:line="240" w:lineRule="auto"/>
              <w:ind w:firstLine="0" w:firstLineChars="0"/>
              <w:jc w:val="center"/>
              <w:rPr>
                <w:sz w:val="21"/>
                <w:szCs w:val="21"/>
              </w:rPr>
            </w:pPr>
            <w:r>
              <w:rPr>
                <w:rFonts w:hint="eastAsia"/>
                <w:sz w:val="21"/>
                <w:szCs w:val="21"/>
              </w:rPr>
              <w:t>0.4935</w:t>
            </w:r>
          </w:p>
        </w:tc>
        <w:tc>
          <w:tcPr>
            <w:tcW w:w="1496" w:type="dxa"/>
            <w:vAlign w:val="center"/>
          </w:tcPr>
          <w:p w14:paraId="6B2822EB">
            <w:pPr>
              <w:spacing w:line="240" w:lineRule="auto"/>
              <w:ind w:firstLine="0" w:firstLineChars="0"/>
              <w:jc w:val="center"/>
              <w:rPr>
                <w:sz w:val="21"/>
                <w:szCs w:val="21"/>
              </w:rPr>
            </w:pPr>
            <w:r>
              <w:rPr>
                <w:rFonts w:hint="eastAsia"/>
                <w:sz w:val="21"/>
                <w:szCs w:val="21"/>
              </w:rPr>
              <w:t>0.0004</w:t>
            </w:r>
          </w:p>
        </w:tc>
        <w:tc>
          <w:tcPr>
            <w:tcW w:w="1848" w:type="dxa"/>
            <w:vAlign w:val="center"/>
          </w:tcPr>
          <w:p w14:paraId="2E2CCB24">
            <w:pPr>
              <w:spacing w:line="240" w:lineRule="auto"/>
              <w:ind w:firstLine="0" w:firstLineChars="0"/>
              <w:jc w:val="center"/>
              <w:rPr>
                <w:sz w:val="21"/>
                <w:szCs w:val="21"/>
              </w:rPr>
            </w:pPr>
            <w:r>
              <w:rPr>
                <w:rFonts w:hint="eastAsia"/>
                <w:sz w:val="21"/>
                <w:szCs w:val="21"/>
              </w:rPr>
              <w:t>120</w:t>
            </w:r>
          </w:p>
        </w:tc>
      </w:tr>
      <w:tr w14:paraId="356A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restart"/>
            <w:vAlign w:val="center"/>
          </w:tcPr>
          <w:p w14:paraId="328B2C99">
            <w:pPr>
              <w:pStyle w:val="766"/>
              <w:rPr>
                <w:color w:val="auto"/>
              </w:rPr>
            </w:pPr>
            <w:r>
              <w:rPr>
                <w:color w:val="auto"/>
              </w:rPr>
              <w:t>锅炉排气筒（DA00</w:t>
            </w:r>
            <w:r>
              <w:rPr>
                <w:rFonts w:hint="eastAsia"/>
                <w:color w:val="auto"/>
              </w:rPr>
              <w:t>4、DA005、DA006，两用一备</w:t>
            </w:r>
            <w:r>
              <w:rPr>
                <w:color w:val="auto"/>
              </w:rPr>
              <w:t>）</w:t>
            </w:r>
          </w:p>
        </w:tc>
        <w:tc>
          <w:tcPr>
            <w:tcW w:w="968" w:type="dxa"/>
            <w:vAlign w:val="center"/>
          </w:tcPr>
          <w:p w14:paraId="1166E8BD">
            <w:pPr>
              <w:pStyle w:val="766"/>
              <w:rPr>
                <w:color w:val="auto"/>
              </w:rPr>
            </w:pPr>
            <w:r>
              <w:rPr>
                <w:color w:val="auto"/>
              </w:rPr>
              <w:t>NOx</w:t>
            </w:r>
          </w:p>
        </w:tc>
        <w:tc>
          <w:tcPr>
            <w:tcW w:w="2198" w:type="dxa"/>
            <w:vAlign w:val="center"/>
          </w:tcPr>
          <w:p w14:paraId="3E405BD2">
            <w:pPr>
              <w:spacing w:line="240" w:lineRule="auto"/>
              <w:ind w:firstLine="0" w:firstLineChars="0"/>
              <w:jc w:val="center"/>
              <w:rPr>
                <w:sz w:val="21"/>
                <w:szCs w:val="21"/>
              </w:rPr>
            </w:pPr>
            <w:r>
              <w:rPr>
                <w:rFonts w:hint="eastAsia"/>
                <w:sz w:val="21"/>
                <w:szCs w:val="21"/>
              </w:rPr>
              <w:t>1.0384</w:t>
            </w:r>
          </w:p>
        </w:tc>
        <w:tc>
          <w:tcPr>
            <w:tcW w:w="1496" w:type="dxa"/>
            <w:vAlign w:val="center"/>
          </w:tcPr>
          <w:p w14:paraId="7CBF9833">
            <w:pPr>
              <w:spacing w:line="240" w:lineRule="auto"/>
              <w:ind w:firstLine="0" w:firstLineChars="0"/>
              <w:jc w:val="center"/>
              <w:rPr>
                <w:sz w:val="21"/>
                <w:szCs w:val="21"/>
              </w:rPr>
            </w:pPr>
            <w:r>
              <w:rPr>
                <w:rFonts w:hint="eastAsia"/>
                <w:sz w:val="21"/>
                <w:szCs w:val="21"/>
              </w:rPr>
              <w:t>0.0007</w:t>
            </w:r>
          </w:p>
        </w:tc>
        <w:tc>
          <w:tcPr>
            <w:tcW w:w="1848" w:type="dxa"/>
            <w:vAlign w:val="center"/>
          </w:tcPr>
          <w:p w14:paraId="71537B4F">
            <w:pPr>
              <w:spacing w:line="240" w:lineRule="auto"/>
              <w:ind w:firstLine="0" w:firstLineChars="0"/>
              <w:jc w:val="center"/>
              <w:rPr>
                <w:sz w:val="21"/>
                <w:szCs w:val="21"/>
              </w:rPr>
            </w:pPr>
            <w:r>
              <w:rPr>
                <w:rFonts w:hint="eastAsia"/>
                <w:sz w:val="21"/>
                <w:szCs w:val="21"/>
              </w:rPr>
              <w:t>150</w:t>
            </w:r>
          </w:p>
        </w:tc>
      </w:tr>
      <w:tr w14:paraId="7F56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continue"/>
            <w:vAlign w:val="center"/>
          </w:tcPr>
          <w:p w14:paraId="53D43AB8">
            <w:pPr>
              <w:pStyle w:val="766"/>
              <w:rPr>
                <w:color w:val="auto"/>
              </w:rPr>
            </w:pPr>
          </w:p>
        </w:tc>
        <w:tc>
          <w:tcPr>
            <w:tcW w:w="968" w:type="dxa"/>
            <w:vAlign w:val="center"/>
          </w:tcPr>
          <w:p w14:paraId="4643EFCD">
            <w:pPr>
              <w:pStyle w:val="766"/>
              <w:rPr>
                <w:color w:val="auto"/>
              </w:rPr>
            </w:pPr>
            <w:r>
              <w:rPr>
                <w:rFonts w:hint="eastAsia"/>
                <w:color w:val="auto"/>
              </w:rPr>
              <w:t>PM</w:t>
            </w:r>
            <w:r>
              <w:rPr>
                <w:rFonts w:hint="eastAsia"/>
                <w:color w:val="auto"/>
                <w:vertAlign w:val="subscript"/>
              </w:rPr>
              <w:t>10</w:t>
            </w:r>
          </w:p>
        </w:tc>
        <w:tc>
          <w:tcPr>
            <w:tcW w:w="2198" w:type="dxa"/>
            <w:vAlign w:val="center"/>
          </w:tcPr>
          <w:p w14:paraId="6AE9EF9F">
            <w:pPr>
              <w:spacing w:line="240" w:lineRule="auto"/>
              <w:ind w:firstLine="0" w:firstLineChars="0"/>
              <w:jc w:val="center"/>
              <w:rPr>
                <w:sz w:val="21"/>
                <w:szCs w:val="21"/>
              </w:rPr>
            </w:pPr>
            <w:r>
              <w:rPr>
                <w:rFonts w:hint="eastAsia"/>
                <w:sz w:val="21"/>
                <w:szCs w:val="21"/>
              </w:rPr>
              <w:t>0.0734</w:t>
            </w:r>
          </w:p>
        </w:tc>
        <w:tc>
          <w:tcPr>
            <w:tcW w:w="1496" w:type="dxa"/>
            <w:vAlign w:val="center"/>
          </w:tcPr>
          <w:p w14:paraId="3CCAEC92">
            <w:pPr>
              <w:spacing w:line="240" w:lineRule="auto"/>
              <w:ind w:firstLine="0" w:firstLineChars="0"/>
              <w:jc w:val="center"/>
              <w:rPr>
                <w:sz w:val="21"/>
                <w:szCs w:val="21"/>
              </w:rPr>
            </w:pPr>
            <w:r>
              <w:rPr>
                <w:rFonts w:hint="eastAsia"/>
                <w:sz w:val="21"/>
                <w:szCs w:val="21"/>
              </w:rPr>
              <w:t>0.37</w:t>
            </w:r>
          </w:p>
        </w:tc>
        <w:tc>
          <w:tcPr>
            <w:tcW w:w="1848" w:type="dxa"/>
            <w:vAlign w:val="center"/>
          </w:tcPr>
          <w:p w14:paraId="642D94DD">
            <w:pPr>
              <w:spacing w:line="240" w:lineRule="auto"/>
              <w:ind w:firstLine="0" w:firstLineChars="0"/>
              <w:jc w:val="center"/>
              <w:rPr>
                <w:sz w:val="21"/>
                <w:szCs w:val="21"/>
              </w:rPr>
            </w:pPr>
            <w:r>
              <w:rPr>
                <w:rFonts w:hint="eastAsia"/>
                <w:sz w:val="21"/>
                <w:szCs w:val="21"/>
              </w:rPr>
              <w:t>20</w:t>
            </w:r>
          </w:p>
        </w:tc>
      </w:tr>
      <w:tr w14:paraId="25FB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restart"/>
            <w:vAlign w:val="center"/>
          </w:tcPr>
          <w:p w14:paraId="0D18CD19">
            <w:pPr>
              <w:pStyle w:val="766"/>
              <w:rPr>
                <w:color w:val="auto"/>
              </w:rPr>
            </w:pPr>
            <w:r>
              <w:rPr>
                <w:rFonts w:hint="eastAsia"/>
                <w:color w:val="auto"/>
              </w:rPr>
              <w:t>有机肥排气筒（D</w:t>
            </w:r>
            <w:r>
              <w:rPr>
                <w:color w:val="auto"/>
              </w:rPr>
              <w:t>A00</w:t>
            </w:r>
            <w:r>
              <w:rPr>
                <w:rFonts w:hint="eastAsia"/>
                <w:color w:val="auto"/>
              </w:rPr>
              <w:t>2）</w:t>
            </w:r>
          </w:p>
        </w:tc>
        <w:tc>
          <w:tcPr>
            <w:tcW w:w="968" w:type="dxa"/>
            <w:vAlign w:val="center"/>
          </w:tcPr>
          <w:p w14:paraId="0ECE736A">
            <w:pPr>
              <w:pStyle w:val="766"/>
              <w:rPr>
                <w:color w:val="auto"/>
              </w:rPr>
            </w:pPr>
            <w:r>
              <w:rPr>
                <w:color w:val="auto"/>
              </w:rPr>
              <w:t>NH</w:t>
            </w:r>
            <w:r>
              <w:rPr>
                <w:color w:val="auto"/>
                <w:vertAlign w:val="subscript"/>
              </w:rPr>
              <w:t>3</w:t>
            </w:r>
          </w:p>
        </w:tc>
        <w:tc>
          <w:tcPr>
            <w:tcW w:w="2198" w:type="dxa"/>
            <w:vAlign w:val="center"/>
          </w:tcPr>
          <w:p w14:paraId="4829F2DA">
            <w:pPr>
              <w:spacing w:line="240" w:lineRule="auto"/>
              <w:ind w:firstLine="0" w:firstLineChars="0"/>
              <w:jc w:val="center"/>
              <w:rPr>
                <w:sz w:val="21"/>
                <w:szCs w:val="21"/>
              </w:rPr>
            </w:pPr>
            <w:r>
              <w:rPr>
                <w:rFonts w:hint="eastAsia"/>
                <w:sz w:val="21"/>
                <w:szCs w:val="21"/>
              </w:rPr>
              <w:t>0.5321</w:t>
            </w:r>
          </w:p>
        </w:tc>
        <w:tc>
          <w:tcPr>
            <w:tcW w:w="1496" w:type="dxa"/>
            <w:vAlign w:val="center"/>
          </w:tcPr>
          <w:p w14:paraId="4AFEEC44">
            <w:pPr>
              <w:spacing w:line="240" w:lineRule="auto"/>
              <w:ind w:firstLine="0" w:firstLineChars="0"/>
              <w:jc w:val="center"/>
              <w:rPr>
                <w:sz w:val="21"/>
                <w:szCs w:val="21"/>
              </w:rPr>
            </w:pPr>
            <w:r>
              <w:rPr>
                <w:rFonts w:hint="eastAsia"/>
                <w:sz w:val="21"/>
                <w:szCs w:val="21"/>
              </w:rPr>
              <w:t>0.0532</w:t>
            </w:r>
          </w:p>
        </w:tc>
        <w:tc>
          <w:tcPr>
            <w:tcW w:w="1848" w:type="dxa"/>
            <w:vAlign w:val="center"/>
          </w:tcPr>
          <w:p w14:paraId="023ED33C">
            <w:pPr>
              <w:spacing w:line="240" w:lineRule="auto"/>
              <w:ind w:firstLine="0" w:firstLineChars="0"/>
              <w:jc w:val="center"/>
              <w:rPr>
                <w:sz w:val="21"/>
                <w:szCs w:val="21"/>
              </w:rPr>
            </w:pPr>
            <w:r>
              <w:rPr>
                <w:rFonts w:hint="eastAsia"/>
                <w:sz w:val="21"/>
                <w:szCs w:val="21"/>
              </w:rPr>
              <w:t>100</w:t>
            </w:r>
          </w:p>
        </w:tc>
      </w:tr>
      <w:tr w14:paraId="78E3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26" w:type="dxa"/>
            <w:vMerge w:val="continue"/>
            <w:vAlign w:val="center"/>
          </w:tcPr>
          <w:p w14:paraId="6EEB099F">
            <w:pPr>
              <w:spacing w:line="240" w:lineRule="auto"/>
              <w:ind w:firstLine="0" w:firstLineChars="0"/>
              <w:jc w:val="center"/>
              <w:rPr>
                <w:sz w:val="21"/>
                <w:szCs w:val="21"/>
              </w:rPr>
            </w:pPr>
          </w:p>
        </w:tc>
        <w:tc>
          <w:tcPr>
            <w:tcW w:w="968" w:type="dxa"/>
            <w:vAlign w:val="center"/>
          </w:tcPr>
          <w:p w14:paraId="201ACD93">
            <w:pPr>
              <w:pStyle w:val="766"/>
              <w:rPr>
                <w:color w:val="auto"/>
              </w:rPr>
            </w:pPr>
            <w:r>
              <w:rPr>
                <w:color w:val="auto"/>
              </w:rPr>
              <w:t>H</w:t>
            </w:r>
            <w:r>
              <w:rPr>
                <w:color w:val="auto"/>
                <w:vertAlign w:val="subscript"/>
              </w:rPr>
              <w:t>2</w:t>
            </w:r>
            <w:r>
              <w:rPr>
                <w:color w:val="auto"/>
              </w:rPr>
              <w:t>S</w:t>
            </w:r>
          </w:p>
        </w:tc>
        <w:tc>
          <w:tcPr>
            <w:tcW w:w="2198" w:type="dxa"/>
            <w:vAlign w:val="center"/>
          </w:tcPr>
          <w:p w14:paraId="39CD8BB3">
            <w:pPr>
              <w:spacing w:line="240" w:lineRule="auto"/>
              <w:ind w:firstLine="0" w:firstLineChars="0"/>
              <w:jc w:val="center"/>
              <w:rPr>
                <w:sz w:val="21"/>
                <w:szCs w:val="21"/>
              </w:rPr>
            </w:pPr>
            <w:r>
              <w:rPr>
                <w:rFonts w:hint="eastAsia"/>
                <w:sz w:val="21"/>
                <w:szCs w:val="21"/>
              </w:rPr>
              <w:t>0.0527</w:t>
            </w:r>
          </w:p>
        </w:tc>
        <w:tc>
          <w:tcPr>
            <w:tcW w:w="1496" w:type="dxa"/>
            <w:vAlign w:val="center"/>
          </w:tcPr>
          <w:p w14:paraId="79E849E8">
            <w:pPr>
              <w:spacing w:line="240" w:lineRule="auto"/>
              <w:ind w:firstLine="0" w:firstLineChars="0"/>
              <w:jc w:val="center"/>
              <w:rPr>
                <w:sz w:val="21"/>
                <w:szCs w:val="21"/>
              </w:rPr>
            </w:pPr>
            <w:r>
              <w:rPr>
                <w:rFonts w:hint="eastAsia"/>
                <w:sz w:val="21"/>
                <w:szCs w:val="21"/>
              </w:rPr>
              <w:t>0.1756</w:t>
            </w:r>
          </w:p>
        </w:tc>
        <w:tc>
          <w:tcPr>
            <w:tcW w:w="1848" w:type="dxa"/>
            <w:vAlign w:val="center"/>
          </w:tcPr>
          <w:p w14:paraId="15DCC52A">
            <w:pPr>
              <w:spacing w:line="240" w:lineRule="auto"/>
              <w:ind w:firstLine="0" w:firstLineChars="0"/>
              <w:jc w:val="center"/>
              <w:rPr>
                <w:sz w:val="21"/>
                <w:szCs w:val="21"/>
              </w:rPr>
            </w:pPr>
            <w:r>
              <w:rPr>
                <w:rFonts w:hint="eastAsia"/>
                <w:sz w:val="21"/>
                <w:szCs w:val="21"/>
              </w:rPr>
              <w:t>3</w:t>
            </w:r>
          </w:p>
        </w:tc>
      </w:tr>
      <w:tr w14:paraId="6DE2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26" w:type="dxa"/>
            <w:vMerge w:val="continue"/>
            <w:vAlign w:val="center"/>
          </w:tcPr>
          <w:p w14:paraId="173CCD77">
            <w:pPr>
              <w:spacing w:line="240" w:lineRule="auto"/>
              <w:ind w:firstLine="0" w:firstLineChars="0"/>
              <w:jc w:val="center"/>
              <w:rPr>
                <w:sz w:val="21"/>
                <w:szCs w:val="21"/>
              </w:rPr>
            </w:pPr>
          </w:p>
        </w:tc>
        <w:tc>
          <w:tcPr>
            <w:tcW w:w="968" w:type="dxa"/>
            <w:vAlign w:val="center"/>
          </w:tcPr>
          <w:p w14:paraId="1942F5F8">
            <w:pPr>
              <w:pStyle w:val="766"/>
              <w:rPr>
                <w:color w:val="auto"/>
              </w:rPr>
            </w:pPr>
            <w:r>
              <w:rPr>
                <w:rFonts w:hint="eastAsia"/>
                <w:color w:val="auto"/>
              </w:rPr>
              <w:t>PM</w:t>
            </w:r>
            <w:r>
              <w:rPr>
                <w:rFonts w:hint="eastAsia"/>
                <w:color w:val="auto"/>
                <w:vertAlign w:val="subscript"/>
              </w:rPr>
              <w:t>10</w:t>
            </w:r>
          </w:p>
        </w:tc>
        <w:tc>
          <w:tcPr>
            <w:tcW w:w="2198" w:type="dxa"/>
            <w:vAlign w:val="center"/>
          </w:tcPr>
          <w:p w14:paraId="14CE632B">
            <w:pPr>
              <w:spacing w:line="240" w:lineRule="auto"/>
              <w:ind w:firstLine="0" w:firstLineChars="0"/>
              <w:jc w:val="center"/>
              <w:rPr>
                <w:sz w:val="21"/>
                <w:szCs w:val="21"/>
              </w:rPr>
            </w:pPr>
            <w:r>
              <w:rPr>
                <w:rFonts w:hint="eastAsia"/>
                <w:sz w:val="21"/>
                <w:szCs w:val="21"/>
              </w:rPr>
              <w:t>0.0925</w:t>
            </w:r>
          </w:p>
        </w:tc>
        <w:tc>
          <w:tcPr>
            <w:tcW w:w="1496" w:type="dxa"/>
            <w:vAlign w:val="center"/>
          </w:tcPr>
          <w:p w14:paraId="21F3C6AC">
            <w:pPr>
              <w:spacing w:line="240" w:lineRule="auto"/>
              <w:ind w:firstLine="0" w:firstLineChars="0"/>
              <w:jc w:val="center"/>
              <w:rPr>
                <w:sz w:val="21"/>
                <w:szCs w:val="21"/>
              </w:rPr>
            </w:pPr>
            <w:r>
              <w:rPr>
                <w:rFonts w:hint="eastAsia"/>
                <w:sz w:val="21"/>
                <w:szCs w:val="21"/>
              </w:rPr>
              <w:t>0.077</w:t>
            </w:r>
          </w:p>
        </w:tc>
        <w:tc>
          <w:tcPr>
            <w:tcW w:w="1848" w:type="dxa"/>
            <w:vAlign w:val="center"/>
          </w:tcPr>
          <w:p w14:paraId="7529CE6D">
            <w:pPr>
              <w:spacing w:line="240" w:lineRule="auto"/>
              <w:ind w:firstLine="0" w:firstLineChars="0"/>
              <w:jc w:val="center"/>
              <w:rPr>
                <w:sz w:val="21"/>
                <w:szCs w:val="21"/>
              </w:rPr>
            </w:pPr>
            <w:r>
              <w:rPr>
                <w:rFonts w:hint="eastAsia"/>
                <w:sz w:val="21"/>
                <w:szCs w:val="21"/>
              </w:rPr>
              <w:t>120</w:t>
            </w:r>
          </w:p>
        </w:tc>
      </w:tr>
      <w:tr w14:paraId="51B4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restart"/>
            <w:vAlign w:val="center"/>
          </w:tcPr>
          <w:p w14:paraId="101E0E19">
            <w:pPr>
              <w:pStyle w:val="766"/>
              <w:rPr>
                <w:color w:val="auto"/>
              </w:rPr>
            </w:pPr>
            <w:r>
              <w:rPr>
                <w:rFonts w:hint="eastAsia"/>
                <w:color w:val="auto"/>
              </w:rPr>
              <w:t>污水站排气筒（D</w:t>
            </w:r>
            <w:r>
              <w:rPr>
                <w:color w:val="auto"/>
              </w:rPr>
              <w:t>A00</w:t>
            </w:r>
            <w:r>
              <w:rPr>
                <w:rFonts w:hint="eastAsia"/>
                <w:color w:val="auto"/>
              </w:rPr>
              <w:t>7）</w:t>
            </w:r>
          </w:p>
        </w:tc>
        <w:tc>
          <w:tcPr>
            <w:tcW w:w="968" w:type="dxa"/>
            <w:vAlign w:val="center"/>
          </w:tcPr>
          <w:p w14:paraId="33E77179">
            <w:pPr>
              <w:pStyle w:val="766"/>
              <w:rPr>
                <w:color w:val="auto"/>
              </w:rPr>
            </w:pPr>
            <w:r>
              <w:rPr>
                <w:color w:val="auto"/>
              </w:rPr>
              <w:t>NH</w:t>
            </w:r>
            <w:r>
              <w:rPr>
                <w:color w:val="auto"/>
                <w:vertAlign w:val="subscript"/>
              </w:rPr>
              <w:t>3</w:t>
            </w:r>
          </w:p>
        </w:tc>
        <w:tc>
          <w:tcPr>
            <w:tcW w:w="2198" w:type="dxa"/>
            <w:vAlign w:val="center"/>
          </w:tcPr>
          <w:p w14:paraId="433C70F6">
            <w:pPr>
              <w:spacing w:line="240" w:lineRule="auto"/>
              <w:ind w:firstLine="0" w:firstLineChars="0"/>
              <w:jc w:val="center"/>
              <w:rPr>
                <w:sz w:val="21"/>
                <w:szCs w:val="21"/>
              </w:rPr>
            </w:pPr>
            <w:r>
              <w:rPr>
                <w:rFonts w:hint="eastAsia"/>
                <w:sz w:val="21"/>
                <w:szCs w:val="21"/>
              </w:rPr>
              <w:t>0.0201</w:t>
            </w:r>
          </w:p>
        </w:tc>
        <w:tc>
          <w:tcPr>
            <w:tcW w:w="1496" w:type="dxa"/>
            <w:vAlign w:val="center"/>
          </w:tcPr>
          <w:p w14:paraId="68B91A68">
            <w:pPr>
              <w:spacing w:line="240" w:lineRule="auto"/>
              <w:ind w:firstLine="0" w:firstLineChars="0"/>
              <w:jc w:val="center"/>
              <w:rPr>
                <w:sz w:val="21"/>
                <w:szCs w:val="21"/>
              </w:rPr>
            </w:pPr>
            <w:r>
              <w:rPr>
                <w:rFonts w:hint="eastAsia"/>
                <w:sz w:val="21"/>
                <w:szCs w:val="21"/>
              </w:rPr>
              <w:t>0.002</w:t>
            </w:r>
          </w:p>
        </w:tc>
        <w:tc>
          <w:tcPr>
            <w:tcW w:w="1848" w:type="dxa"/>
            <w:vAlign w:val="center"/>
          </w:tcPr>
          <w:p w14:paraId="3DDEDDAB">
            <w:pPr>
              <w:spacing w:line="240" w:lineRule="auto"/>
              <w:ind w:firstLine="0" w:firstLineChars="0"/>
              <w:jc w:val="center"/>
              <w:rPr>
                <w:sz w:val="21"/>
                <w:szCs w:val="21"/>
              </w:rPr>
            </w:pPr>
            <w:r>
              <w:rPr>
                <w:rFonts w:hint="eastAsia"/>
                <w:sz w:val="21"/>
                <w:szCs w:val="21"/>
              </w:rPr>
              <w:t>100</w:t>
            </w:r>
          </w:p>
        </w:tc>
      </w:tr>
      <w:tr w14:paraId="0019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continue"/>
            <w:vAlign w:val="center"/>
          </w:tcPr>
          <w:p w14:paraId="76585190">
            <w:pPr>
              <w:spacing w:line="240" w:lineRule="auto"/>
              <w:ind w:firstLine="0" w:firstLineChars="0"/>
              <w:jc w:val="center"/>
              <w:rPr>
                <w:sz w:val="21"/>
                <w:szCs w:val="21"/>
              </w:rPr>
            </w:pPr>
          </w:p>
        </w:tc>
        <w:tc>
          <w:tcPr>
            <w:tcW w:w="968" w:type="dxa"/>
            <w:vAlign w:val="center"/>
          </w:tcPr>
          <w:p w14:paraId="56ACD1B3">
            <w:pPr>
              <w:pStyle w:val="766"/>
              <w:rPr>
                <w:color w:val="auto"/>
              </w:rPr>
            </w:pPr>
            <w:r>
              <w:rPr>
                <w:color w:val="auto"/>
              </w:rPr>
              <w:t>H</w:t>
            </w:r>
            <w:r>
              <w:rPr>
                <w:color w:val="auto"/>
                <w:vertAlign w:val="subscript"/>
              </w:rPr>
              <w:t>2</w:t>
            </w:r>
            <w:r>
              <w:rPr>
                <w:color w:val="auto"/>
              </w:rPr>
              <w:t>S</w:t>
            </w:r>
          </w:p>
        </w:tc>
        <w:tc>
          <w:tcPr>
            <w:tcW w:w="2198" w:type="dxa"/>
            <w:vAlign w:val="center"/>
          </w:tcPr>
          <w:p w14:paraId="6651AFDC">
            <w:pPr>
              <w:spacing w:line="240" w:lineRule="auto"/>
              <w:ind w:firstLine="0" w:firstLineChars="0"/>
              <w:jc w:val="center"/>
              <w:rPr>
                <w:sz w:val="21"/>
                <w:szCs w:val="21"/>
              </w:rPr>
            </w:pPr>
            <w:r>
              <w:rPr>
                <w:rFonts w:hint="eastAsia"/>
                <w:sz w:val="21"/>
                <w:szCs w:val="21"/>
              </w:rPr>
              <w:t>0.0009</w:t>
            </w:r>
          </w:p>
        </w:tc>
        <w:tc>
          <w:tcPr>
            <w:tcW w:w="1496" w:type="dxa"/>
            <w:vAlign w:val="center"/>
          </w:tcPr>
          <w:p w14:paraId="1FC8F5FC">
            <w:pPr>
              <w:spacing w:line="240" w:lineRule="auto"/>
              <w:ind w:firstLine="0" w:firstLineChars="0"/>
              <w:jc w:val="center"/>
              <w:rPr>
                <w:sz w:val="21"/>
                <w:szCs w:val="21"/>
              </w:rPr>
            </w:pPr>
            <w:r>
              <w:rPr>
                <w:rFonts w:hint="eastAsia"/>
                <w:sz w:val="21"/>
                <w:szCs w:val="21"/>
              </w:rPr>
              <w:t>0.003</w:t>
            </w:r>
          </w:p>
        </w:tc>
        <w:tc>
          <w:tcPr>
            <w:tcW w:w="1848" w:type="dxa"/>
            <w:vAlign w:val="center"/>
          </w:tcPr>
          <w:p w14:paraId="03771302">
            <w:pPr>
              <w:spacing w:line="240" w:lineRule="auto"/>
              <w:ind w:firstLine="0" w:firstLineChars="0"/>
              <w:jc w:val="center"/>
              <w:rPr>
                <w:sz w:val="21"/>
                <w:szCs w:val="21"/>
              </w:rPr>
            </w:pPr>
            <w:r>
              <w:rPr>
                <w:rFonts w:hint="eastAsia"/>
                <w:sz w:val="21"/>
                <w:szCs w:val="21"/>
              </w:rPr>
              <w:t>3</w:t>
            </w:r>
          </w:p>
        </w:tc>
      </w:tr>
      <w:tr w14:paraId="60D8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restart"/>
            <w:vAlign w:val="center"/>
          </w:tcPr>
          <w:p w14:paraId="7D490F62">
            <w:pPr>
              <w:pStyle w:val="766"/>
              <w:rPr>
                <w:color w:val="auto"/>
              </w:rPr>
            </w:pPr>
            <w:r>
              <w:rPr>
                <w:rFonts w:hint="eastAsia"/>
                <w:color w:val="auto"/>
              </w:rPr>
              <w:t>鸡舍</w:t>
            </w:r>
          </w:p>
        </w:tc>
        <w:tc>
          <w:tcPr>
            <w:tcW w:w="968" w:type="dxa"/>
            <w:vAlign w:val="center"/>
          </w:tcPr>
          <w:p w14:paraId="71F268C6">
            <w:pPr>
              <w:pStyle w:val="766"/>
              <w:rPr>
                <w:color w:val="auto"/>
              </w:rPr>
            </w:pPr>
            <w:r>
              <w:rPr>
                <w:color w:val="auto"/>
              </w:rPr>
              <w:t>NH</w:t>
            </w:r>
            <w:r>
              <w:rPr>
                <w:color w:val="auto"/>
                <w:vertAlign w:val="subscript"/>
              </w:rPr>
              <w:t>3</w:t>
            </w:r>
          </w:p>
        </w:tc>
        <w:tc>
          <w:tcPr>
            <w:tcW w:w="2198" w:type="dxa"/>
            <w:vAlign w:val="center"/>
          </w:tcPr>
          <w:p w14:paraId="5287B3B6">
            <w:pPr>
              <w:spacing w:line="240" w:lineRule="auto"/>
              <w:ind w:firstLine="0" w:firstLineChars="0"/>
              <w:jc w:val="center"/>
              <w:rPr>
                <w:sz w:val="21"/>
                <w:szCs w:val="21"/>
              </w:rPr>
            </w:pPr>
            <w:r>
              <w:rPr>
                <w:rFonts w:hint="eastAsia"/>
                <w:sz w:val="21"/>
                <w:szCs w:val="21"/>
              </w:rPr>
              <w:t>3.4361</w:t>
            </w:r>
          </w:p>
        </w:tc>
        <w:tc>
          <w:tcPr>
            <w:tcW w:w="1496" w:type="dxa"/>
            <w:vAlign w:val="center"/>
          </w:tcPr>
          <w:p w14:paraId="2D962FD8">
            <w:pPr>
              <w:spacing w:line="240" w:lineRule="auto"/>
              <w:ind w:firstLine="0" w:firstLineChars="0"/>
              <w:jc w:val="center"/>
              <w:rPr>
                <w:sz w:val="21"/>
                <w:szCs w:val="21"/>
              </w:rPr>
            </w:pPr>
            <w:r>
              <w:rPr>
                <w:rFonts w:hint="eastAsia"/>
                <w:sz w:val="21"/>
                <w:szCs w:val="21"/>
              </w:rPr>
              <w:t>0.3436</w:t>
            </w:r>
          </w:p>
        </w:tc>
        <w:tc>
          <w:tcPr>
            <w:tcW w:w="1848" w:type="dxa"/>
            <w:vAlign w:val="center"/>
          </w:tcPr>
          <w:p w14:paraId="7631F08F">
            <w:pPr>
              <w:spacing w:line="240" w:lineRule="auto"/>
              <w:ind w:firstLine="0" w:firstLineChars="0"/>
              <w:jc w:val="center"/>
              <w:rPr>
                <w:sz w:val="21"/>
                <w:szCs w:val="21"/>
              </w:rPr>
            </w:pPr>
            <w:r>
              <w:rPr>
                <w:rFonts w:hint="eastAsia"/>
                <w:sz w:val="21"/>
                <w:szCs w:val="21"/>
              </w:rPr>
              <w:t>100</w:t>
            </w:r>
          </w:p>
        </w:tc>
      </w:tr>
      <w:tr w14:paraId="70A2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continue"/>
            <w:vAlign w:val="center"/>
          </w:tcPr>
          <w:p w14:paraId="1FE3DE7B">
            <w:pPr>
              <w:spacing w:line="240" w:lineRule="auto"/>
              <w:ind w:firstLine="0" w:firstLineChars="0"/>
              <w:jc w:val="center"/>
              <w:rPr>
                <w:sz w:val="21"/>
                <w:szCs w:val="21"/>
              </w:rPr>
            </w:pPr>
          </w:p>
        </w:tc>
        <w:tc>
          <w:tcPr>
            <w:tcW w:w="968" w:type="dxa"/>
            <w:vAlign w:val="center"/>
          </w:tcPr>
          <w:p w14:paraId="3E9F7838">
            <w:pPr>
              <w:pStyle w:val="766"/>
              <w:rPr>
                <w:color w:val="auto"/>
              </w:rPr>
            </w:pPr>
            <w:r>
              <w:rPr>
                <w:color w:val="auto"/>
              </w:rPr>
              <w:t>H</w:t>
            </w:r>
            <w:r>
              <w:rPr>
                <w:color w:val="auto"/>
                <w:vertAlign w:val="subscript"/>
              </w:rPr>
              <w:t>2</w:t>
            </w:r>
            <w:r>
              <w:rPr>
                <w:color w:val="auto"/>
              </w:rPr>
              <w:t>S</w:t>
            </w:r>
          </w:p>
        </w:tc>
        <w:tc>
          <w:tcPr>
            <w:tcW w:w="2198" w:type="dxa"/>
            <w:vAlign w:val="center"/>
          </w:tcPr>
          <w:p w14:paraId="5F4C2D56">
            <w:pPr>
              <w:spacing w:line="240" w:lineRule="auto"/>
              <w:ind w:firstLine="0" w:firstLineChars="0"/>
              <w:jc w:val="center"/>
              <w:rPr>
                <w:sz w:val="21"/>
                <w:szCs w:val="21"/>
              </w:rPr>
            </w:pPr>
            <w:r>
              <w:rPr>
                <w:rFonts w:hint="eastAsia"/>
                <w:sz w:val="21"/>
                <w:szCs w:val="21"/>
              </w:rPr>
              <w:t>0.1525</w:t>
            </w:r>
          </w:p>
        </w:tc>
        <w:tc>
          <w:tcPr>
            <w:tcW w:w="1496" w:type="dxa"/>
            <w:vAlign w:val="center"/>
          </w:tcPr>
          <w:p w14:paraId="27CA35DD">
            <w:pPr>
              <w:spacing w:line="240" w:lineRule="auto"/>
              <w:ind w:firstLine="0" w:firstLineChars="0"/>
              <w:jc w:val="center"/>
              <w:rPr>
                <w:sz w:val="21"/>
                <w:szCs w:val="21"/>
              </w:rPr>
            </w:pPr>
            <w:r>
              <w:rPr>
                <w:rFonts w:hint="eastAsia"/>
                <w:sz w:val="21"/>
                <w:szCs w:val="21"/>
              </w:rPr>
              <w:t>0.5083</w:t>
            </w:r>
          </w:p>
        </w:tc>
        <w:tc>
          <w:tcPr>
            <w:tcW w:w="1848" w:type="dxa"/>
            <w:vAlign w:val="center"/>
          </w:tcPr>
          <w:p w14:paraId="53183285">
            <w:pPr>
              <w:spacing w:line="240" w:lineRule="auto"/>
              <w:ind w:firstLine="0" w:firstLineChars="0"/>
              <w:jc w:val="center"/>
              <w:rPr>
                <w:sz w:val="21"/>
                <w:szCs w:val="21"/>
              </w:rPr>
            </w:pPr>
            <w:r>
              <w:rPr>
                <w:rFonts w:hint="eastAsia"/>
                <w:sz w:val="21"/>
                <w:szCs w:val="21"/>
              </w:rPr>
              <w:t>3</w:t>
            </w:r>
          </w:p>
        </w:tc>
      </w:tr>
      <w:tr w14:paraId="4DDD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restart"/>
            <w:vAlign w:val="center"/>
          </w:tcPr>
          <w:p w14:paraId="66C9016E">
            <w:pPr>
              <w:pStyle w:val="766"/>
              <w:rPr>
                <w:color w:val="auto"/>
              </w:rPr>
            </w:pPr>
            <w:r>
              <w:rPr>
                <w:rFonts w:hint="eastAsia"/>
                <w:color w:val="auto"/>
              </w:rPr>
              <w:t>有机肥车间</w:t>
            </w:r>
          </w:p>
        </w:tc>
        <w:tc>
          <w:tcPr>
            <w:tcW w:w="968" w:type="dxa"/>
            <w:vAlign w:val="center"/>
          </w:tcPr>
          <w:p w14:paraId="7847439B">
            <w:pPr>
              <w:pStyle w:val="766"/>
              <w:rPr>
                <w:color w:val="auto"/>
              </w:rPr>
            </w:pPr>
            <w:r>
              <w:rPr>
                <w:color w:val="auto"/>
              </w:rPr>
              <w:t>NH</w:t>
            </w:r>
            <w:r>
              <w:rPr>
                <w:color w:val="auto"/>
                <w:vertAlign w:val="subscript"/>
              </w:rPr>
              <w:t>3</w:t>
            </w:r>
          </w:p>
        </w:tc>
        <w:tc>
          <w:tcPr>
            <w:tcW w:w="2198" w:type="dxa"/>
            <w:vAlign w:val="center"/>
          </w:tcPr>
          <w:p w14:paraId="2618412E">
            <w:pPr>
              <w:spacing w:line="240" w:lineRule="auto"/>
              <w:ind w:firstLine="0" w:firstLineChars="0"/>
              <w:jc w:val="center"/>
              <w:rPr>
                <w:sz w:val="21"/>
                <w:szCs w:val="21"/>
              </w:rPr>
            </w:pPr>
            <w:r>
              <w:rPr>
                <w:rFonts w:hint="eastAsia"/>
                <w:sz w:val="21"/>
                <w:szCs w:val="21"/>
              </w:rPr>
              <w:t>1.7271</w:t>
            </w:r>
          </w:p>
        </w:tc>
        <w:tc>
          <w:tcPr>
            <w:tcW w:w="1496" w:type="dxa"/>
            <w:vAlign w:val="center"/>
          </w:tcPr>
          <w:p w14:paraId="580E4856">
            <w:pPr>
              <w:spacing w:line="240" w:lineRule="auto"/>
              <w:ind w:firstLine="0" w:firstLineChars="0"/>
              <w:jc w:val="center"/>
              <w:rPr>
                <w:sz w:val="21"/>
                <w:szCs w:val="21"/>
              </w:rPr>
            </w:pPr>
            <w:r>
              <w:rPr>
                <w:rFonts w:hint="eastAsia"/>
                <w:sz w:val="21"/>
                <w:szCs w:val="21"/>
              </w:rPr>
              <w:t>0.0727</w:t>
            </w:r>
          </w:p>
        </w:tc>
        <w:tc>
          <w:tcPr>
            <w:tcW w:w="1848" w:type="dxa"/>
            <w:vAlign w:val="center"/>
          </w:tcPr>
          <w:p w14:paraId="6F50D237">
            <w:pPr>
              <w:spacing w:line="240" w:lineRule="auto"/>
              <w:ind w:firstLine="0" w:firstLineChars="0"/>
              <w:jc w:val="center"/>
              <w:rPr>
                <w:sz w:val="21"/>
                <w:szCs w:val="21"/>
              </w:rPr>
            </w:pPr>
            <w:r>
              <w:rPr>
                <w:rFonts w:hint="eastAsia"/>
                <w:sz w:val="21"/>
                <w:szCs w:val="21"/>
              </w:rPr>
              <w:t>100</w:t>
            </w:r>
          </w:p>
        </w:tc>
      </w:tr>
      <w:tr w14:paraId="6EBA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continue"/>
            <w:vAlign w:val="center"/>
          </w:tcPr>
          <w:p w14:paraId="097F78B8">
            <w:pPr>
              <w:spacing w:line="240" w:lineRule="auto"/>
              <w:ind w:firstLine="0" w:firstLineChars="0"/>
              <w:jc w:val="center"/>
              <w:rPr>
                <w:sz w:val="21"/>
                <w:szCs w:val="21"/>
              </w:rPr>
            </w:pPr>
          </w:p>
        </w:tc>
        <w:tc>
          <w:tcPr>
            <w:tcW w:w="968" w:type="dxa"/>
            <w:vAlign w:val="center"/>
          </w:tcPr>
          <w:p w14:paraId="741F0862">
            <w:pPr>
              <w:pStyle w:val="766"/>
              <w:rPr>
                <w:color w:val="auto"/>
              </w:rPr>
            </w:pPr>
            <w:r>
              <w:rPr>
                <w:color w:val="auto"/>
              </w:rPr>
              <w:t>H</w:t>
            </w:r>
            <w:r>
              <w:rPr>
                <w:color w:val="auto"/>
                <w:vertAlign w:val="subscript"/>
              </w:rPr>
              <w:t>2</w:t>
            </w:r>
            <w:r>
              <w:rPr>
                <w:color w:val="auto"/>
              </w:rPr>
              <w:t>S</w:t>
            </w:r>
          </w:p>
        </w:tc>
        <w:tc>
          <w:tcPr>
            <w:tcW w:w="2198" w:type="dxa"/>
            <w:vAlign w:val="center"/>
          </w:tcPr>
          <w:p w14:paraId="02242901">
            <w:pPr>
              <w:spacing w:line="240" w:lineRule="auto"/>
              <w:ind w:firstLine="0" w:firstLineChars="0"/>
              <w:jc w:val="center"/>
              <w:rPr>
                <w:sz w:val="21"/>
                <w:szCs w:val="21"/>
              </w:rPr>
            </w:pPr>
            <w:r>
              <w:rPr>
                <w:rFonts w:hint="eastAsia"/>
                <w:sz w:val="21"/>
                <w:szCs w:val="21"/>
              </w:rPr>
              <w:t>0.0309</w:t>
            </w:r>
          </w:p>
        </w:tc>
        <w:tc>
          <w:tcPr>
            <w:tcW w:w="1496" w:type="dxa"/>
            <w:vAlign w:val="center"/>
          </w:tcPr>
          <w:p w14:paraId="5177B126">
            <w:pPr>
              <w:spacing w:line="240" w:lineRule="auto"/>
              <w:ind w:firstLine="0" w:firstLineChars="0"/>
              <w:jc w:val="center"/>
              <w:rPr>
                <w:sz w:val="21"/>
                <w:szCs w:val="21"/>
              </w:rPr>
            </w:pPr>
            <w:r>
              <w:rPr>
                <w:rFonts w:hint="eastAsia"/>
                <w:sz w:val="21"/>
                <w:szCs w:val="21"/>
              </w:rPr>
              <w:t>0.103</w:t>
            </w:r>
          </w:p>
        </w:tc>
        <w:tc>
          <w:tcPr>
            <w:tcW w:w="1848" w:type="dxa"/>
            <w:vAlign w:val="center"/>
          </w:tcPr>
          <w:p w14:paraId="594F7939">
            <w:pPr>
              <w:spacing w:line="240" w:lineRule="auto"/>
              <w:ind w:firstLine="0" w:firstLineChars="0"/>
              <w:jc w:val="center"/>
              <w:rPr>
                <w:sz w:val="21"/>
                <w:szCs w:val="21"/>
              </w:rPr>
            </w:pPr>
            <w:r>
              <w:rPr>
                <w:rFonts w:hint="eastAsia"/>
                <w:sz w:val="21"/>
                <w:szCs w:val="21"/>
              </w:rPr>
              <w:t>3</w:t>
            </w:r>
          </w:p>
        </w:tc>
      </w:tr>
      <w:tr w14:paraId="3F11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restart"/>
            <w:vAlign w:val="center"/>
          </w:tcPr>
          <w:p w14:paraId="1F077F66">
            <w:pPr>
              <w:pStyle w:val="766"/>
              <w:rPr>
                <w:color w:val="auto"/>
              </w:rPr>
            </w:pPr>
            <w:r>
              <w:rPr>
                <w:color w:val="auto"/>
              </w:rPr>
              <w:t>污水处理设施</w:t>
            </w:r>
          </w:p>
        </w:tc>
        <w:tc>
          <w:tcPr>
            <w:tcW w:w="968" w:type="dxa"/>
            <w:vAlign w:val="center"/>
          </w:tcPr>
          <w:p w14:paraId="45788E43">
            <w:pPr>
              <w:pStyle w:val="766"/>
              <w:rPr>
                <w:color w:val="auto"/>
              </w:rPr>
            </w:pPr>
            <w:r>
              <w:rPr>
                <w:color w:val="auto"/>
              </w:rPr>
              <w:t>NH</w:t>
            </w:r>
            <w:r>
              <w:rPr>
                <w:color w:val="auto"/>
                <w:vertAlign w:val="subscript"/>
              </w:rPr>
              <w:t>3</w:t>
            </w:r>
          </w:p>
        </w:tc>
        <w:tc>
          <w:tcPr>
            <w:tcW w:w="2198" w:type="dxa"/>
            <w:vAlign w:val="center"/>
          </w:tcPr>
          <w:p w14:paraId="5FA6377B">
            <w:pPr>
              <w:spacing w:line="240" w:lineRule="auto"/>
              <w:ind w:firstLine="0" w:firstLineChars="0"/>
              <w:jc w:val="center"/>
              <w:rPr>
                <w:sz w:val="21"/>
                <w:szCs w:val="21"/>
              </w:rPr>
            </w:pPr>
            <w:r>
              <w:rPr>
                <w:rFonts w:hint="eastAsia"/>
                <w:sz w:val="21"/>
                <w:szCs w:val="21"/>
              </w:rPr>
              <w:t>0.0112</w:t>
            </w:r>
          </w:p>
        </w:tc>
        <w:tc>
          <w:tcPr>
            <w:tcW w:w="1496" w:type="dxa"/>
            <w:vAlign w:val="center"/>
          </w:tcPr>
          <w:p w14:paraId="6DFD0017">
            <w:pPr>
              <w:spacing w:line="240" w:lineRule="auto"/>
              <w:ind w:firstLine="0" w:firstLineChars="0"/>
              <w:jc w:val="center"/>
              <w:rPr>
                <w:sz w:val="21"/>
                <w:szCs w:val="21"/>
              </w:rPr>
            </w:pPr>
            <w:r>
              <w:rPr>
                <w:rFonts w:hint="eastAsia"/>
                <w:sz w:val="21"/>
                <w:szCs w:val="21"/>
              </w:rPr>
              <w:t>0.0011</w:t>
            </w:r>
          </w:p>
        </w:tc>
        <w:tc>
          <w:tcPr>
            <w:tcW w:w="1848" w:type="dxa"/>
            <w:vAlign w:val="center"/>
          </w:tcPr>
          <w:p w14:paraId="60E7D277">
            <w:pPr>
              <w:spacing w:line="240" w:lineRule="auto"/>
              <w:ind w:firstLine="0" w:firstLineChars="0"/>
              <w:jc w:val="center"/>
              <w:rPr>
                <w:sz w:val="21"/>
                <w:szCs w:val="21"/>
              </w:rPr>
            </w:pPr>
            <w:r>
              <w:rPr>
                <w:rFonts w:hint="eastAsia"/>
                <w:sz w:val="21"/>
                <w:szCs w:val="21"/>
              </w:rPr>
              <w:t>100</w:t>
            </w:r>
          </w:p>
        </w:tc>
      </w:tr>
      <w:tr w14:paraId="024B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6" w:type="dxa"/>
            <w:vMerge w:val="continue"/>
            <w:vAlign w:val="center"/>
          </w:tcPr>
          <w:p w14:paraId="71373BD9">
            <w:pPr>
              <w:spacing w:line="240" w:lineRule="auto"/>
              <w:ind w:firstLine="0" w:firstLineChars="0"/>
              <w:jc w:val="center"/>
              <w:rPr>
                <w:sz w:val="21"/>
                <w:szCs w:val="21"/>
              </w:rPr>
            </w:pPr>
          </w:p>
        </w:tc>
        <w:tc>
          <w:tcPr>
            <w:tcW w:w="968" w:type="dxa"/>
            <w:vAlign w:val="center"/>
          </w:tcPr>
          <w:p w14:paraId="712ED83A">
            <w:pPr>
              <w:pStyle w:val="766"/>
              <w:rPr>
                <w:color w:val="auto"/>
              </w:rPr>
            </w:pPr>
            <w:r>
              <w:rPr>
                <w:color w:val="auto"/>
              </w:rPr>
              <w:t>H</w:t>
            </w:r>
            <w:r>
              <w:rPr>
                <w:color w:val="auto"/>
                <w:vertAlign w:val="subscript"/>
              </w:rPr>
              <w:t>2</w:t>
            </w:r>
            <w:r>
              <w:rPr>
                <w:color w:val="auto"/>
              </w:rPr>
              <w:t>S</w:t>
            </w:r>
          </w:p>
        </w:tc>
        <w:tc>
          <w:tcPr>
            <w:tcW w:w="2198" w:type="dxa"/>
            <w:vAlign w:val="center"/>
          </w:tcPr>
          <w:p w14:paraId="672D7A1D">
            <w:pPr>
              <w:spacing w:line="240" w:lineRule="auto"/>
              <w:ind w:firstLine="0" w:firstLineChars="0"/>
              <w:jc w:val="center"/>
              <w:rPr>
                <w:sz w:val="21"/>
                <w:szCs w:val="21"/>
              </w:rPr>
            </w:pPr>
            <w:r>
              <w:rPr>
                <w:rFonts w:hint="eastAsia"/>
                <w:sz w:val="21"/>
                <w:szCs w:val="21"/>
              </w:rPr>
              <w:t>0.0004</w:t>
            </w:r>
          </w:p>
        </w:tc>
        <w:tc>
          <w:tcPr>
            <w:tcW w:w="1496" w:type="dxa"/>
            <w:vAlign w:val="center"/>
          </w:tcPr>
          <w:p w14:paraId="54D288FF">
            <w:pPr>
              <w:spacing w:line="240" w:lineRule="auto"/>
              <w:ind w:firstLine="0" w:firstLineChars="0"/>
              <w:jc w:val="center"/>
              <w:rPr>
                <w:sz w:val="21"/>
                <w:szCs w:val="21"/>
              </w:rPr>
            </w:pPr>
            <w:r>
              <w:rPr>
                <w:rFonts w:hint="eastAsia"/>
                <w:sz w:val="21"/>
                <w:szCs w:val="21"/>
              </w:rPr>
              <w:t>0.0013</w:t>
            </w:r>
          </w:p>
        </w:tc>
        <w:tc>
          <w:tcPr>
            <w:tcW w:w="1848" w:type="dxa"/>
            <w:vAlign w:val="center"/>
          </w:tcPr>
          <w:p w14:paraId="79075950">
            <w:pPr>
              <w:spacing w:line="240" w:lineRule="auto"/>
              <w:ind w:firstLine="0" w:firstLineChars="0"/>
              <w:jc w:val="center"/>
              <w:rPr>
                <w:sz w:val="21"/>
                <w:szCs w:val="21"/>
              </w:rPr>
            </w:pPr>
            <w:r>
              <w:rPr>
                <w:rFonts w:hint="eastAsia"/>
                <w:sz w:val="21"/>
                <w:szCs w:val="21"/>
              </w:rPr>
              <w:t>3</w:t>
            </w:r>
          </w:p>
        </w:tc>
      </w:tr>
    </w:tbl>
    <w:p w14:paraId="4A28F6CE">
      <w:pPr>
        <w:ind w:firstLine="480"/>
      </w:pPr>
      <w:r>
        <w:rPr>
          <w:rFonts w:hint="eastAsia"/>
        </w:rPr>
        <w:t>由上表可知，本项目排放的大气污染物浓度在西鄂尔多斯国家级自然保护区的最大占标率为0.5083%。</w:t>
      </w:r>
    </w:p>
    <w:p w14:paraId="63E477DE">
      <w:pPr>
        <w:pStyle w:val="12"/>
      </w:pPr>
      <w:r>
        <w:t>5.2.2.2污染物源强核算</w:t>
      </w:r>
    </w:p>
    <w:p w14:paraId="46F320B6">
      <w:pPr>
        <w:ind w:firstLine="480"/>
      </w:pPr>
      <w:r>
        <w:t>本项目大气污染物有组织排放量核算表见5.2-1</w:t>
      </w:r>
      <w:r>
        <w:rPr>
          <w:rFonts w:hint="eastAsia"/>
        </w:rPr>
        <w:t>1</w:t>
      </w:r>
      <w:r>
        <w:t>，大气污染物无组织排放量核算表见5.2-1</w:t>
      </w:r>
      <w:r>
        <w:rPr>
          <w:rFonts w:hint="eastAsia"/>
        </w:rPr>
        <w:t>2</w:t>
      </w:r>
      <w:r>
        <w:t>，大气污染物年综合排放量核算表见5.2-1</w:t>
      </w:r>
      <w:r>
        <w:rPr>
          <w:rFonts w:hint="eastAsia"/>
        </w:rPr>
        <w:t>3</w:t>
      </w:r>
      <w:r>
        <w:t>。</w:t>
      </w:r>
    </w:p>
    <w:p w14:paraId="51B44588">
      <w:pPr>
        <w:pStyle w:val="369"/>
      </w:pPr>
      <w:r>
        <w:t>表5.2-1</w:t>
      </w:r>
      <w:r>
        <w:rPr>
          <w:rFonts w:hint="eastAsia"/>
        </w:rPr>
        <w:t>1</w:t>
      </w:r>
      <w:r>
        <w:t xml:space="preserve">  大气污染物有组织排放量核算表</w:t>
      </w:r>
    </w:p>
    <w:tbl>
      <w:tblPr>
        <w:tblStyle w:val="8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1440"/>
        <w:gridCol w:w="1505"/>
        <w:gridCol w:w="1394"/>
        <w:gridCol w:w="1355"/>
        <w:gridCol w:w="1517"/>
      </w:tblGrid>
      <w:tr w14:paraId="3240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11" w:type="dxa"/>
            <w:gridSpan w:val="2"/>
            <w:shd w:val="clear" w:color="auto" w:fill="auto"/>
            <w:vAlign w:val="center"/>
          </w:tcPr>
          <w:p w14:paraId="34EF8E1B">
            <w:pPr>
              <w:pStyle w:val="766"/>
              <w:rPr>
                <w:color w:val="auto"/>
              </w:rPr>
            </w:pPr>
            <w:r>
              <w:rPr>
                <w:color w:val="auto"/>
              </w:rPr>
              <w:t>排放口编号</w:t>
            </w:r>
          </w:p>
        </w:tc>
        <w:tc>
          <w:tcPr>
            <w:tcW w:w="1505" w:type="dxa"/>
            <w:shd w:val="clear" w:color="auto" w:fill="auto"/>
            <w:vAlign w:val="center"/>
          </w:tcPr>
          <w:p w14:paraId="75AD4490">
            <w:pPr>
              <w:pStyle w:val="766"/>
              <w:rPr>
                <w:color w:val="auto"/>
              </w:rPr>
            </w:pPr>
            <w:r>
              <w:rPr>
                <w:color w:val="auto"/>
              </w:rPr>
              <w:t>污染物</w:t>
            </w:r>
          </w:p>
        </w:tc>
        <w:tc>
          <w:tcPr>
            <w:tcW w:w="1394" w:type="dxa"/>
            <w:shd w:val="clear" w:color="auto" w:fill="auto"/>
            <w:vAlign w:val="center"/>
          </w:tcPr>
          <w:p w14:paraId="5C4606B2">
            <w:pPr>
              <w:pStyle w:val="766"/>
              <w:rPr>
                <w:color w:val="auto"/>
              </w:rPr>
            </w:pPr>
            <w:r>
              <w:rPr>
                <w:color w:val="auto"/>
              </w:rPr>
              <w:t>核算排放浓度（mg/m</w:t>
            </w:r>
            <w:r>
              <w:rPr>
                <w:color w:val="auto"/>
                <w:vertAlign w:val="superscript"/>
              </w:rPr>
              <w:t>3</w:t>
            </w:r>
            <w:r>
              <w:rPr>
                <w:color w:val="auto"/>
              </w:rPr>
              <w:t>）</w:t>
            </w:r>
          </w:p>
        </w:tc>
        <w:tc>
          <w:tcPr>
            <w:tcW w:w="1355" w:type="dxa"/>
            <w:shd w:val="clear" w:color="auto" w:fill="auto"/>
            <w:vAlign w:val="center"/>
          </w:tcPr>
          <w:p w14:paraId="571ADB55">
            <w:pPr>
              <w:pStyle w:val="766"/>
              <w:rPr>
                <w:color w:val="auto"/>
              </w:rPr>
            </w:pPr>
            <w:r>
              <w:rPr>
                <w:color w:val="auto"/>
              </w:rPr>
              <w:t>核算排放速率（kg/h）</w:t>
            </w:r>
          </w:p>
        </w:tc>
        <w:tc>
          <w:tcPr>
            <w:tcW w:w="1517" w:type="dxa"/>
            <w:shd w:val="clear" w:color="auto" w:fill="auto"/>
            <w:vAlign w:val="center"/>
          </w:tcPr>
          <w:p w14:paraId="6D886FAF">
            <w:pPr>
              <w:pStyle w:val="766"/>
              <w:rPr>
                <w:color w:val="auto"/>
              </w:rPr>
            </w:pPr>
            <w:r>
              <w:rPr>
                <w:color w:val="auto"/>
              </w:rPr>
              <w:t>核算总年排放量（t/a）</w:t>
            </w:r>
          </w:p>
        </w:tc>
      </w:tr>
      <w:tr w14:paraId="7D0B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2" w:type="dxa"/>
            <w:gridSpan w:val="6"/>
            <w:shd w:val="clear" w:color="auto" w:fill="auto"/>
            <w:vAlign w:val="center"/>
          </w:tcPr>
          <w:p w14:paraId="3D5D4825">
            <w:pPr>
              <w:pStyle w:val="766"/>
              <w:rPr>
                <w:color w:val="auto"/>
              </w:rPr>
            </w:pPr>
            <w:r>
              <w:rPr>
                <w:color w:val="auto"/>
              </w:rPr>
              <w:t>一般排放口</w:t>
            </w:r>
          </w:p>
        </w:tc>
      </w:tr>
      <w:tr w14:paraId="0721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shd w:val="clear" w:color="auto" w:fill="auto"/>
            <w:vAlign w:val="center"/>
          </w:tcPr>
          <w:p w14:paraId="386F41D0">
            <w:pPr>
              <w:pStyle w:val="766"/>
              <w:rPr>
                <w:color w:val="auto"/>
              </w:rPr>
            </w:pPr>
            <w:r>
              <w:rPr>
                <w:color w:val="auto"/>
              </w:rPr>
              <w:t>饲料加工车间废气</w:t>
            </w:r>
          </w:p>
        </w:tc>
        <w:tc>
          <w:tcPr>
            <w:tcW w:w="1441" w:type="dxa"/>
            <w:shd w:val="clear" w:color="auto" w:fill="auto"/>
            <w:vAlign w:val="center"/>
          </w:tcPr>
          <w:p w14:paraId="192C12DD">
            <w:pPr>
              <w:pStyle w:val="766"/>
              <w:rPr>
                <w:color w:val="auto"/>
              </w:rPr>
            </w:pPr>
            <w:r>
              <w:rPr>
                <w:color w:val="auto"/>
              </w:rPr>
              <w:t>DA001</w:t>
            </w:r>
          </w:p>
        </w:tc>
        <w:tc>
          <w:tcPr>
            <w:tcW w:w="1505" w:type="dxa"/>
            <w:shd w:val="clear" w:color="auto" w:fill="auto"/>
            <w:vAlign w:val="center"/>
          </w:tcPr>
          <w:p w14:paraId="6350912F">
            <w:pPr>
              <w:pStyle w:val="766"/>
              <w:rPr>
                <w:color w:val="auto"/>
              </w:rPr>
            </w:pPr>
            <w:r>
              <w:rPr>
                <w:rFonts w:hint="eastAsia"/>
                <w:color w:val="auto"/>
              </w:rPr>
              <w:t>PM</w:t>
            </w:r>
            <w:r>
              <w:rPr>
                <w:rFonts w:hint="eastAsia"/>
                <w:color w:val="auto"/>
                <w:vertAlign w:val="subscript"/>
              </w:rPr>
              <w:t>10</w:t>
            </w:r>
          </w:p>
        </w:tc>
        <w:tc>
          <w:tcPr>
            <w:tcW w:w="1394" w:type="dxa"/>
            <w:shd w:val="clear" w:color="auto" w:fill="auto"/>
            <w:vAlign w:val="center"/>
          </w:tcPr>
          <w:p w14:paraId="4579D1B6">
            <w:pPr>
              <w:pStyle w:val="766"/>
              <w:rPr>
                <w:color w:val="auto"/>
              </w:rPr>
            </w:pPr>
            <w:r>
              <w:rPr>
                <w:rFonts w:hint="eastAsia"/>
                <w:color w:val="auto"/>
              </w:rPr>
              <w:t>2</w:t>
            </w:r>
            <w:r>
              <w:rPr>
                <w:color w:val="auto"/>
              </w:rPr>
              <w:t>.34</w:t>
            </w:r>
          </w:p>
        </w:tc>
        <w:tc>
          <w:tcPr>
            <w:tcW w:w="1355" w:type="dxa"/>
            <w:shd w:val="clear" w:color="auto" w:fill="auto"/>
            <w:vAlign w:val="center"/>
          </w:tcPr>
          <w:p w14:paraId="78FE09E7">
            <w:pPr>
              <w:pStyle w:val="766"/>
              <w:rPr>
                <w:color w:val="auto"/>
              </w:rPr>
            </w:pPr>
            <w:r>
              <w:rPr>
                <w:rFonts w:hint="eastAsia"/>
                <w:color w:val="auto"/>
              </w:rPr>
              <w:t>0</w:t>
            </w:r>
            <w:r>
              <w:rPr>
                <w:color w:val="auto"/>
              </w:rPr>
              <w:t>.00934</w:t>
            </w:r>
          </w:p>
        </w:tc>
        <w:tc>
          <w:tcPr>
            <w:tcW w:w="1517" w:type="dxa"/>
            <w:shd w:val="clear" w:color="auto" w:fill="auto"/>
            <w:vAlign w:val="center"/>
          </w:tcPr>
          <w:p w14:paraId="64220536">
            <w:pPr>
              <w:pStyle w:val="766"/>
              <w:rPr>
                <w:color w:val="auto"/>
              </w:rPr>
            </w:pPr>
            <w:r>
              <w:rPr>
                <w:rFonts w:hint="eastAsia"/>
                <w:color w:val="auto"/>
              </w:rPr>
              <w:t>0</w:t>
            </w:r>
            <w:r>
              <w:rPr>
                <w:color w:val="auto"/>
              </w:rPr>
              <w:t>.0224</w:t>
            </w:r>
          </w:p>
        </w:tc>
      </w:tr>
      <w:tr w14:paraId="68EC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restart"/>
            <w:shd w:val="clear" w:color="auto" w:fill="auto"/>
            <w:vAlign w:val="center"/>
          </w:tcPr>
          <w:p w14:paraId="2554A59C">
            <w:pPr>
              <w:pStyle w:val="766"/>
              <w:rPr>
                <w:color w:val="auto"/>
              </w:rPr>
            </w:pPr>
            <w:bookmarkStart w:id="395" w:name="OLE_LINK5" w:colFirst="2" w:colLast="2"/>
            <w:r>
              <w:rPr>
                <w:color w:val="auto"/>
              </w:rPr>
              <w:t>锅炉废气</w:t>
            </w:r>
          </w:p>
          <w:p w14:paraId="2E88062F">
            <w:pPr>
              <w:pStyle w:val="766"/>
              <w:rPr>
                <w:color w:val="auto"/>
              </w:rPr>
            </w:pPr>
            <w:r>
              <w:rPr>
                <w:rFonts w:hint="eastAsia"/>
                <w:color w:val="auto"/>
              </w:rPr>
              <w:t>（两用一备，以DA004、DA005核算）</w:t>
            </w:r>
          </w:p>
        </w:tc>
        <w:tc>
          <w:tcPr>
            <w:tcW w:w="1441" w:type="dxa"/>
            <w:vMerge w:val="restart"/>
            <w:shd w:val="clear" w:color="auto" w:fill="auto"/>
            <w:vAlign w:val="center"/>
          </w:tcPr>
          <w:p w14:paraId="3B74826A">
            <w:pPr>
              <w:pStyle w:val="766"/>
              <w:rPr>
                <w:color w:val="auto"/>
              </w:rPr>
            </w:pPr>
            <w:r>
              <w:rPr>
                <w:color w:val="auto"/>
              </w:rPr>
              <w:t>DA00</w:t>
            </w:r>
            <w:r>
              <w:rPr>
                <w:rFonts w:hint="eastAsia"/>
                <w:color w:val="auto"/>
              </w:rPr>
              <w:t>4</w:t>
            </w:r>
          </w:p>
        </w:tc>
        <w:tc>
          <w:tcPr>
            <w:tcW w:w="1505" w:type="dxa"/>
            <w:shd w:val="clear" w:color="auto" w:fill="auto"/>
            <w:vAlign w:val="center"/>
          </w:tcPr>
          <w:p w14:paraId="05A52A25">
            <w:pPr>
              <w:pStyle w:val="766"/>
              <w:rPr>
                <w:color w:val="auto"/>
              </w:rPr>
            </w:pPr>
            <w:r>
              <w:rPr>
                <w:rFonts w:hint="eastAsia"/>
                <w:color w:val="auto"/>
              </w:rPr>
              <w:t>PM</w:t>
            </w:r>
            <w:r>
              <w:rPr>
                <w:rFonts w:hint="eastAsia"/>
                <w:color w:val="auto"/>
                <w:vertAlign w:val="subscript"/>
              </w:rPr>
              <w:t>10</w:t>
            </w:r>
          </w:p>
        </w:tc>
        <w:tc>
          <w:tcPr>
            <w:tcW w:w="1394" w:type="dxa"/>
            <w:shd w:val="clear" w:color="auto" w:fill="auto"/>
            <w:vAlign w:val="center"/>
          </w:tcPr>
          <w:p w14:paraId="557A9383">
            <w:pPr>
              <w:pStyle w:val="766"/>
              <w:rPr>
                <w:color w:val="auto"/>
              </w:rPr>
            </w:pPr>
            <w:r>
              <w:rPr>
                <w:rFonts w:hint="eastAsia"/>
                <w:color w:val="auto"/>
              </w:rPr>
              <w:t>10.14</w:t>
            </w:r>
          </w:p>
        </w:tc>
        <w:tc>
          <w:tcPr>
            <w:tcW w:w="1355" w:type="dxa"/>
            <w:shd w:val="clear" w:color="auto" w:fill="auto"/>
            <w:vAlign w:val="center"/>
          </w:tcPr>
          <w:p w14:paraId="0E5FF3F8">
            <w:pPr>
              <w:pStyle w:val="766"/>
              <w:rPr>
                <w:color w:val="auto"/>
              </w:rPr>
            </w:pPr>
            <w:r>
              <w:rPr>
                <w:rFonts w:hint="eastAsia"/>
                <w:color w:val="auto"/>
              </w:rPr>
              <w:t>0.019</w:t>
            </w:r>
          </w:p>
        </w:tc>
        <w:tc>
          <w:tcPr>
            <w:tcW w:w="1517" w:type="dxa"/>
            <w:shd w:val="clear" w:color="auto" w:fill="auto"/>
            <w:vAlign w:val="center"/>
          </w:tcPr>
          <w:p w14:paraId="56C71163">
            <w:pPr>
              <w:pStyle w:val="766"/>
              <w:rPr>
                <w:color w:val="auto"/>
              </w:rPr>
            </w:pPr>
            <w:r>
              <w:rPr>
                <w:rFonts w:hint="eastAsia"/>
                <w:color w:val="auto"/>
              </w:rPr>
              <w:t>0.036</w:t>
            </w:r>
          </w:p>
        </w:tc>
      </w:tr>
      <w:tr w14:paraId="0D3C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continue"/>
            <w:shd w:val="clear" w:color="auto" w:fill="auto"/>
            <w:vAlign w:val="center"/>
          </w:tcPr>
          <w:p w14:paraId="78A80323">
            <w:pPr>
              <w:pStyle w:val="766"/>
              <w:rPr>
                <w:color w:val="auto"/>
              </w:rPr>
            </w:pPr>
          </w:p>
        </w:tc>
        <w:tc>
          <w:tcPr>
            <w:tcW w:w="1441" w:type="dxa"/>
            <w:vMerge w:val="continue"/>
            <w:shd w:val="clear" w:color="auto" w:fill="auto"/>
            <w:vAlign w:val="center"/>
          </w:tcPr>
          <w:p w14:paraId="4DCB3A77">
            <w:pPr>
              <w:pStyle w:val="766"/>
              <w:rPr>
                <w:color w:val="auto"/>
              </w:rPr>
            </w:pPr>
          </w:p>
        </w:tc>
        <w:tc>
          <w:tcPr>
            <w:tcW w:w="1505" w:type="dxa"/>
            <w:shd w:val="clear" w:color="auto" w:fill="auto"/>
            <w:vAlign w:val="center"/>
          </w:tcPr>
          <w:p w14:paraId="5FFB58C0">
            <w:pPr>
              <w:pStyle w:val="766"/>
              <w:rPr>
                <w:color w:val="auto"/>
              </w:rPr>
            </w:pPr>
            <w:r>
              <w:rPr>
                <w:color w:val="auto"/>
              </w:rPr>
              <w:t>NO</w:t>
            </w:r>
            <w:r>
              <w:rPr>
                <w:color w:val="auto"/>
                <w:vertAlign w:val="subscript"/>
              </w:rPr>
              <w:t>x</w:t>
            </w:r>
          </w:p>
        </w:tc>
        <w:tc>
          <w:tcPr>
            <w:tcW w:w="1394" w:type="dxa"/>
            <w:shd w:val="clear" w:color="auto" w:fill="auto"/>
            <w:vAlign w:val="center"/>
          </w:tcPr>
          <w:p w14:paraId="2CFADDDD">
            <w:pPr>
              <w:pStyle w:val="766"/>
              <w:adjustRightInd w:val="0"/>
              <w:rPr>
                <w:color w:val="auto"/>
                <w:szCs w:val="24"/>
              </w:rPr>
            </w:pPr>
            <w:r>
              <w:rPr>
                <w:rFonts w:hint="eastAsia"/>
                <w:color w:val="auto"/>
                <w:szCs w:val="24"/>
              </w:rPr>
              <w:t>100</w:t>
            </w:r>
          </w:p>
        </w:tc>
        <w:tc>
          <w:tcPr>
            <w:tcW w:w="1355" w:type="dxa"/>
            <w:shd w:val="clear" w:color="auto" w:fill="auto"/>
            <w:vAlign w:val="center"/>
          </w:tcPr>
          <w:p w14:paraId="106332D7">
            <w:pPr>
              <w:pStyle w:val="766"/>
              <w:adjustRightInd w:val="0"/>
              <w:rPr>
                <w:color w:val="auto"/>
                <w:szCs w:val="24"/>
              </w:rPr>
            </w:pPr>
            <w:r>
              <w:rPr>
                <w:rFonts w:hint="eastAsia"/>
                <w:color w:val="auto"/>
                <w:szCs w:val="24"/>
              </w:rPr>
              <w:t>0.19</w:t>
            </w:r>
          </w:p>
        </w:tc>
        <w:tc>
          <w:tcPr>
            <w:tcW w:w="1517" w:type="dxa"/>
            <w:shd w:val="clear" w:color="auto" w:fill="auto"/>
            <w:vAlign w:val="center"/>
          </w:tcPr>
          <w:p w14:paraId="7359128B">
            <w:pPr>
              <w:pStyle w:val="766"/>
              <w:adjustRightInd w:val="0"/>
              <w:rPr>
                <w:color w:val="auto"/>
                <w:szCs w:val="24"/>
              </w:rPr>
            </w:pPr>
            <w:r>
              <w:rPr>
                <w:rFonts w:hint="eastAsia"/>
                <w:color w:val="auto"/>
                <w:szCs w:val="24"/>
              </w:rPr>
              <w:t>0.357</w:t>
            </w:r>
          </w:p>
        </w:tc>
      </w:tr>
      <w:tr w14:paraId="3099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continue"/>
            <w:shd w:val="clear" w:color="auto" w:fill="auto"/>
            <w:vAlign w:val="center"/>
          </w:tcPr>
          <w:p w14:paraId="2E66D8BC">
            <w:pPr>
              <w:pStyle w:val="766"/>
              <w:rPr>
                <w:color w:val="auto"/>
              </w:rPr>
            </w:pPr>
          </w:p>
        </w:tc>
        <w:tc>
          <w:tcPr>
            <w:tcW w:w="1441" w:type="dxa"/>
            <w:vMerge w:val="restart"/>
            <w:shd w:val="clear" w:color="auto" w:fill="auto"/>
            <w:vAlign w:val="center"/>
          </w:tcPr>
          <w:p w14:paraId="2666A968">
            <w:pPr>
              <w:pStyle w:val="766"/>
              <w:rPr>
                <w:color w:val="auto"/>
              </w:rPr>
            </w:pPr>
            <w:r>
              <w:rPr>
                <w:rFonts w:hint="eastAsia"/>
                <w:color w:val="auto"/>
              </w:rPr>
              <w:t>DA005</w:t>
            </w:r>
          </w:p>
        </w:tc>
        <w:tc>
          <w:tcPr>
            <w:tcW w:w="1505" w:type="dxa"/>
            <w:shd w:val="clear" w:color="auto" w:fill="auto"/>
            <w:vAlign w:val="center"/>
          </w:tcPr>
          <w:p w14:paraId="038C5BD1">
            <w:pPr>
              <w:pStyle w:val="766"/>
              <w:rPr>
                <w:color w:val="auto"/>
              </w:rPr>
            </w:pPr>
            <w:r>
              <w:rPr>
                <w:rFonts w:hint="eastAsia"/>
                <w:color w:val="auto"/>
              </w:rPr>
              <w:t>PM</w:t>
            </w:r>
            <w:r>
              <w:rPr>
                <w:rFonts w:hint="eastAsia"/>
                <w:color w:val="auto"/>
                <w:vertAlign w:val="subscript"/>
              </w:rPr>
              <w:t>10</w:t>
            </w:r>
          </w:p>
        </w:tc>
        <w:tc>
          <w:tcPr>
            <w:tcW w:w="1394" w:type="dxa"/>
            <w:shd w:val="clear" w:color="auto" w:fill="auto"/>
            <w:vAlign w:val="center"/>
          </w:tcPr>
          <w:p w14:paraId="4383C829">
            <w:pPr>
              <w:pStyle w:val="766"/>
              <w:rPr>
                <w:color w:val="auto"/>
              </w:rPr>
            </w:pPr>
            <w:r>
              <w:rPr>
                <w:rFonts w:hint="eastAsia"/>
                <w:color w:val="auto"/>
              </w:rPr>
              <w:t>10.14</w:t>
            </w:r>
          </w:p>
        </w:tc>
        <w:tc>
          <w:tcPr>
            <w:tcW w:w="1355" w:type="dxa"/>
            <w:shd w:val="clear" w:color="auto" w:fill="auto"/>
            <w:vAlign w:val="center"/>
          </w:tcPr>
          <w:p w14:paraId="438434D0">
            <w:pPr>
              <w:pStyle w:val="766"/>
              <w:rPr>
                <w:color w:val="auto"/>
              </w:rPr>
            </w:pPr>
            <w:r>
              <w:rPr>
                <w:rFonts w:hint="eastAsia"/>
                <w:color w:val="auto"/>
              </w:rPr>
              <w:t>0.019</w:t>
            </w:r>
          </w:p>
        </w:tc>
        <w:tc>
          <w:tcPr>
            <w:tcW w:w="1517" w:type="dxa"/>
            <w:shd w:val="clear" w:color="auto" w:fill="auto"/>
            <w:vAlign w:val="center"/>
          </w:tcPr>
          <w:p w14:paraId="03AFA677">
            <w:pPr>
              <w:pStyle w:val="766"/>
              <w:rPr>
                <w:color w:val="auto"/>
              </w:rPr>
            </w:pPr>
            <w:r>
              <w:rPr>
                <w:rFonts w:hint="eastAsia"/>
                <w:color w:val="auto"/>
              </w:rPr>
              <w:t>0.036</w:t>
            </w:r>
          </w:p>
        </w:tc>
      </w:tr>
      <w:tr w14:paraId="1EAE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continue"/>
            <w:shd w:val="clear" w:color="auto" w:fill="auto"/>
            <w:vAlign w:val="center"/>
          </w:tcPr>
          <w:p w14:paraId="6E440DBA">
            <w:pPr>
              <w:pStyle w:val="766"/>
              <w:rPr>
                <w:color w:val="auto"/>
              </w:rPr>
            </w:pPr>
          </w:p>
        </w:tc>
        <w:tc>
          <w:tcPr>
            <w:tcW w:w="1441" w:type="dxa"/>
            <w:vMerge w:val="continue"/>
            <w:shd w:val="clear" w:color="auto" w:fill="auto"/>
            <w:vAlign w:val="center"/>
          </w:tcPr>
          <w:p w14:paraId="78EA9C52">
            <w:pPr>
              <w:pStyle w:val="766"/>
              <w:rPr>
                <w:color w:val="auto"/>
              </w:rPr>
            </w:pPr>
          </w:p>
        </w:tc>
        <w:tc>
          <w:tcPr>
            <w:tcW w:w="1505" w:type="dxa"/>
            <w:shd w:val="clear" w:color="auto" w:fill="auto"/>
            <w:vAlign w:val="center"/>
          </w:tcPr>
          <w:p w14:paraId="652F5566">
            <w:pPr>
              <w:pStyle w:val="766"/>
              <w:rPr>
                <w:color w:val="auto"/>
              </w:rPr>
            </w:pPr>
            <w:r>
              <w:rPr>
                <w:color w:val="auto"/>
              </w:rPr>
              <w:t>NO</w:t>
            </w:r>
            <w:r>
              <w:rPr>
                <w:color w:val="auto"/>
                <w:vertAlign w:val="subscript"/>
              </w:rPr>
              <w:t>x</w:t>
            </w:r>
          </w:p>
        </w:tc>
        <w:tc>
          <w:tcPr>
            <w:tcW w:w="1394" w:type="dxa"/>
            <w:shd w:val="clear" w:color="auto" w:fill="auto"/>
            <w:vAlign w:val="center"/>
          </w:tcPr>
          <w:p w14:paraId="6D5716C4">
            <w:pPr>
              <w:pStyle w:val="766"/>
              <w:adjustRightInd w:val="0"/>
              <w:rPr>
                <w:color w:val="auto"/>
                <w:szCs w:val="24"/>
              </w:rPr>
            </w:pPr>
            <w:r>
              <w:rPr>
                <w:rFonts w:hint="eastAsia"/>
                <w:color w:val="auto"/>
                <w:szCs w:val="24"/>
              </w:rPr>
              <w:t>100</w:t>
            </w:r>
          </w:p>
        </w:tc>
        <w:tc>
          <w:tcPr>
            <w:tcW w:w="1355" w:type="dxa"/>
            <w:shd w:val="clear" w:color="auto" w:fill="auto"/>
            <w:vAlign w:val="center"/>
          </w:tcPr>
          <w:p w14:paraId="3705B22A">
            <w:pPr>
              <w:pStyle w:val="766"/>
              <w:adjustRightInd w:val="0"/>
              <w:rPr>
                <w:color w:val="auto"/>
                <w:szCs w:val="24"/>
              </w:rPr>
            </w:pPr>
            <w:r>
              <w:rPr>
                <w:rFonts w:hint="eastAsia"/>
                <w:color w:val="auto"/>
                <w:szCs w:val="24"/>
              </w:rPr>
              <w:t>0.19</w:t>
            </w:r>
          </w:p>
        </w:tc>
        <w:tc>
          <w:tcPr>
            <w:tcW w:w="1517" w:type="dxa"/>
            <w:shd w:val="clear" w:color="auto" w:fill="auto"/>
            <w:vAlign w:val="center"/>
          </w:tcPr>
          <w:p w14:paraId="2A80CE35">
            <w:pPr>
              <w:pStyle w:val="766"/>
              <w:adjustRightInd w:val="0"/>
              <w:rPr>
                <w:color w:val="auto"/>
                <w:szCs w:val="24"/>
              </w:rPr>
            </w:pPr>
            <w:r>
              <w:rPr>
                <w:rFonts w:hint="eastAsia"/>
                <w:color w:val="auto"/>
                <w:szCs w:val="24"/>
              </w:rPr>
              <w:t>0.357</w:t>
            </w:r>
          </w:p>
        </w:tc>
      </w:tr>
      <w:tr w14:paraId="2BA3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restart"/>
            <w:shd w:val="clear" w:color="auto" w:fill="auto"/>
            <w:vAlign w:val="center"/>
          </w:tcPr>
          <w:p w14:paraId="16E32D62">
            <w:pPr>
              <w:pStyle w:val="766"/>
              <w:rPr>
                <w:color w:val="auto"/>
              </w:rPr>
            </w:pPr>
            <w:r>
              <w:rPr>
                <w:rFonts w:hint="eastAsia"/>
                <w:color w:val="auto"/>
              </w:rPr>
              <w:t>有机肥发酵废气</w:t>
            </w:r>
          </w:p>
        </w:tc>
        <w:tc>
          <w:tcPr>
            <w:tcW w:w="1441" w:type="dxa"/>
            <w:vMerge w:val="restart"/>
            <w:shd w:val="clear" w:color="auto" w:fill="auto"/>
            <w:vAlign w:val="center"/>
          </w:tcPr>
          <w:p w14:paraId="7637E5AE">
            <w:pPr>
              <w:pStyle w:val="766"/>
              <w:rPr>
                <w:color w:val="auto"/>
              </w:rPr>
            </w:pPr>
            <w:r>
              <w:rPr>
                <w:rFonts w:hint="eastAsia"/>
                <w:color w:val="auto"/>
              </w:rPr>
              <w:t>D</w:t>
            </w:r>
            <w:r>
              <w:rPr>
                <w:color w:val="auto"/>
              </w:rPr>
              <w:t>A00</w:t>
            </w:r>
            <w:r>
              <w:rPr>
                <w:rFonts w:hint="eastAsia"/>
                <w:color w:val="auto"/>
              </w:rPr>
              <w:t>2</w:t>
            </w:r>
          </w:p>
        </w:tc>
        <w:tc>
          <w:tcPr>
            <w:tcW w:w="1505" w:type="dxa"/>
            <w:shd w:val="clear" w:color="auto" w:fill="auto"/>
            <w:vAlign w:val="center"/>
          </w:tcPr>
          <w:p w14:paraId="7E27D713">
            <w:pPr>
              <w:pStyle w:val="766"/>
              <w:rPr>
                <w:color w:val="auto"/>
              </w:rPr>
            </w:pPr>
            <w:r>
              <w:rPr>
                <w:bCs/>
                <w:color w:val="auto"/>
              </w:rPr>
              <w:t>NH</w:t>
            </w:r>
            <w:r>
              <w:rPr>
                <w:bCs/>
                <w:color w:val="auto"/>
                <w:vertAlign w:val="subscript"/>
              </w:rPr>
              <w:t>3</w:t>
            </w:r>
          </w:p>
        </w:tc>
        <w:tc>
          <w:tcPr>
            <w:tcW w:w="1394" w:type="dxa"/>
            <w:shd w:val="clear" w:color="auto" w:fill="auto"/>
            <w:vAlign w:val="center"/>
          </w:tcPr>
          <w:p w14:paraId="273F118A">
            <w:pPr>
              <w:pStyle w:val="766"/>
              <w:rPr>
                <w:color w:val="auto"/>
                <w:szCs w:val="24"/>
              </w:rPr>
            </w:pPr>
            <w:r>
              <w:rPr>
                <w:rFonts w:hint="eastAsia"/>
                <w:color w:val="auto"/>
                <w:szCs w:val="24"/>
              </w:rPr>
              <w:t>5.48</w:t>
            </w:r>
          </w:p>
        </w:tc>
        <w:tc>
          <w:tcPr>
            <w:tcW w:w="1355" w:type="dxa"/>
            <w:shd w:val="clear" w:color="auto" w:fill="auto"/>
            <w:vAlign w:val="center"/>
          </w:tcPr>
          <w:p w14:paraId="66488239">
            <w:pPr>
              <w:pStyle w:val="766"/>
              <w:rPr>
                <w:color w:val="auto"/>
                <w:szCs w:val="24"/>
              </w:rPr>
            </w:pPr>
            <w:r>
              <w:rPr>
                <w:rFonts w:hint="eastAsia"/>
                <w:color w:val="auto"/>
              </w:rPr>
              <w:t>0.055</w:t>
            </w:r>
          </w:p>
        </w:tc>
        <w:tc>
          <w:tcPr>
            <w:tcW w:w="1517" w:type="dxa"/>
            <w:shd w:val="clear" w:color="auto" w:fill="auto"/>
            <w:vAlign w:val="center"/>
          </w:tcPr>
          <w:p w14:paraId="1E74EA20">
            <w:pPr>
              <w:pStyle w:val="766"/>
              <w:rPr>
                <w:color w:val="auto"/>
                <w:szCs w:val="24"/>
              </w:rPr>
            </w:pPr>
            <w:r>
              <w:rPr>
                <w:rFonts w:hint="eastAsia"/>
                <w:color w:val="auto"/>
              </w:rPr>
              <w:t>0.48</w:t>
            </w:r>
          </w:p>
        </w:tc>
      </w:tr>
      <w:tr w14:paraId="7218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2070" w:type="dxa"/>
            <w:vMerge w:val="continue"/>
            <w:shd w:val="clear" w:color="auto" w:fill="auto"/>
            <w:vAlign w:val="center"/>
          </w:tcPr>
          <w:p w14:paraId="18C7A6FF">
            <w:pPr>
              <w:pStyle w:val="766"/>
              <w:rPr>
                <w:color w:val="auto"/>
              </w:rPr>
            </w:pPr>
          </w:p>
        </w:tc>
        <w:tc>
          <w:tcPr>
            <w:tcW w:w="1441" w:type="dxa"/>
            <w:vMerge w:val="continue"/>
            <w:shd w:val="clear" w:color="auto" w:fill="auto"/>
            <w:vAlign w:val="center"/>
          </w:tcPr>
          <w:p w14:paraId="659E674F">
            <w:pPr>
              <w:pStyle w:val="766"/>
              <w:rPr>
                <w:color w:val="auto"/>
              </w:rPr>
            </w:pPr>
          </w:p>
        </w:tc>
        <w:tc>
          <w:tcPr>
            <w:tcW w:w="1505" w:type="dxa"/>
            <w:shd w:val="clear" w:color="auto" w:fill="auto"/>
            <w:vAlign w:val="center"/>
          </w:tcPr>
          <w:p w14:paraId="47994962">
            <w:pPr>
              <w:pStyle w:val="766"/>
              <w:rPr>
                <w:color w:val="auto"/>
              </w:rPr>
            </w:pPr>
            <w:r>
              <w:rPr>
                <w:bCs/>
                <w:color w:val="auto"/>
              </w:rPr>
              <w:t>H</w:t>
            </w:r>
            <w:r>
              <w:rPr>
                <w:bCs/>
                <w:color w:val="auto"/>
                <w:vertAlign w:val="subscript"/>
              </w:rPr>
              <w:t>2</w:t>
            </w:r>
            <w:r>
              <w:rPr>
                <w:bCs/>
                <w:color w:val="auto"/>
              </w:rPr>
              <w:t>S</w:t>
            </w:r>
          </w:p>
        </w:tc>
        <w:tc>
          <w:tcPr>
            <w:tcW w:w="1394" w:type="dxa"/>
            <w:shd w:val="clear" w:color="auto" w:fill="auto"/>
            <w:vAlign w:val="center"/>
          </w:tcPr>
          <w:p w14:paraId="636B6775">
            <w:pPr>
              <w:pStyle w:val="766"/>
              <w:rPr>
                <w:color w:val="auto"/>
                <w:szCs w:val="24"/>
              </w:rPr>
            </w:pPr>
            <w:r>
              <w:rPr>
                <w:rFonts w:hint="eastAsia"/>
                <w:color w:val="auto"/>
                <w:szCs w:val="24"/>
              </w:rPr>
              <w:t>0.55</w:t>
            </w:r>
          </w:p>
        </w:tc>
        <w:tc>
          <w:tcPr>
            <w:tcW w:w="1355" w:type="dxa"/>
            <w:shd w:val="clear" w:color="auto" w:fill="auto"/>
            <w:vAlign w:val="center"/>
          </w:tcPr>
          <w:p w14:paraId="40D9586A">
            <w:pPr>
              <w:pStyle w:val="766"/>
              <w:rPr>
                <w:color w:val="auto"/>
                <w:szCs w:val="24"/>
              </w:rPr>
            </w:pPr>
            <w:r>
              <w:rPr>
                <w:rFonts w:hint="eastAsia"/>
                <w:color w:val="auto"/>
              </w:rPr>
              <w:t>0</w:t>
            </w:r>
            <w:r>
              <w:rPr>
                <w:color w:val="auto"/>
              </w:rPr>
              <w:t>.0</w:t>
            </w:r>
            <w:r>
              <w:rPr>
                <w:rFonts w:hint="eastAsia"/>
                <w:color w:val="auto"/>
              </w:rPr>
              <w:t>055</w:t>
            </w:r>
          </w:p>
        </w:tc>
        <w:tc>
          <w:tcPr>
            <w:tcW w:w="1517" w:type="dxa"/>
            <w:shd w:val="clear" w:color="auto" w:fill="auto"/>
            <w:vAlign w:val="center"/>
          </w:tcPr>
          <w:p w14:paraId="1ADE59EE">
            <w:pPr>
              <w:pStyle w:val="766"/>
              <w:rPr>
                <w:color w:val="auto"/>
                <w:szCs w:val="24"/>
              </w:rPr>
            </w:pPr>
            <w:r>
              <w:rPr>
                <w:rFonts w:hint="eastAsia"/>
                <w:color w:val="auto"/>
              </w:rPr>
              <w:t>0</w:t>
            </w:r>
            <w:r>
              <w:rPr>
                <w:color w:val="auto"/>
              </w:rPr>
              <w:t>.0</w:t>
            </w:r>
            <w:r>
              <w:rPr>
                <w:rFonts w:hint="eastAsia"/>
                <w:color w:val="auto"/>
              </w:rPr>
              <w:t>48</w:t>
            </w:r>
          </w:p>
        </w:tc>
      </w:tr>
      <w:tr w14:paraId="08F8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continue"/>
            <w:shd w:val="clear" w:color="auto" w:fill="auto"/>
            <w:vAlign w:val="center"/>
          </w:tcPr>
          <w:p w14:paraId="1D8A340E">
            <w:pPr>
              <w:pStyle w:val="766"/>
              <w:rPr>
                <w:color w:val="auto"/>
              </w:rPr>
            </w:pPr>
          </w:p>
        </w:tc>
        <w:tc>
          <w:tcPr>
            <w:tcW w:w="1441" w:type="dxa"/>
            <w:vMerge w:val="continue"/>
            <w:shd w:val="clear" w:color="auto" w:fill="auto"/>
            <w:vAlign w:val="center"/>
          </w:tcPr>
          <w:p w14:paraId="72A44432">
            <w:pPr>
              <w:pStyle w:val="766"/>
              <w:rPr>
                <w:color w:val="auto"/>
              </w:rPr>
            </w:pPr>
          </w:p>
        </w:tc>
        <w:tc>
          <w:tcPr>
            <w:tcW w:w="1505" w:type="dxa"/>
            <w:shd w:val="clear" w:color="auto" w:fill="auto"/>
            <w:vAlign w:val="center"/>
          </w:tcPr>
          <w:p w14:paraId="067378FA">
            <w:pPr>
              <w:pStyle w:val="766"/>
              <w:rPr>
                <w:bCs/>
                <w:color w:val="auto"/>
              </w:rPr>
            </w:pPr>
            <w:r>
              <w:rPr>
                <w:rFonts w:hint="eastAsia"/>
                <w:color w:val="auto"/>
              </w:rPr>
              <w:t>PM</w:t>
            </w:r>
            <w:r>
              <w:rPr>
                <w:rFonts w:hint="eastAsia"/>
                <w:color w:val="auto"/>
                <w:vertAlign w:val="subscript"/>
              </w:rPr>
              <w:t>10</w:t>
            </w:r>
          </w:p>
        </w:tc>
        <w:tc>
          <w:tcPr>
            <w:tcW w:w="1394" w:type="dxa"/>
            <w:shd w:val="clear" w:color="auto" w:fill="auto"/>
            <w:vAlign w:val="center"/>
          </w:tcPr>
          <w:p w14:paraId="42456306">
            <w:pPr>
              <w:pStyle w:val="766"/>
              <w:rPr>
                <w:color w:val="auto"/>
              </w:rPr>
            </w:pPr>
            <w:r>
              <w:rPr>
                <w:rFonts w:hint="eastAsia"/>
                <w:color w:val="auto"/>
              </w:rPr>
              <w:t>1.85</w:t>
            </w:r>
          </w:p>
        </w:tc>
        <w:tc>
          <w:tcPr>
            <w:tcW w:w="1355" w:type="dxa"/>
            <w:shd w:val="clear" w:color="auto" w:fill="auto"/>
            <w:vAlign w:val="center"/>
          </w:tcPr>
          <w:p w14:paraId="5EFC9EEB">
            <w:pPr>
              <w:pStyle w:val="766"/>
              <w:rPr>
                <w:color w:val="auto"/>
              </w:rPr>
            </w:pPr>
            <w:r>
              <w:rPr>
                <w:rFonts w:hint="eastAsia"/>
                <w:color w:val="auto"/>
              </w:rPr>
              <w:t>0.02</w:t>
            </w:r>
          </w:p>
        </w:tc>
        <w:tc>
          <w:tcPr>
            <w:tcW w:w="1517" w:type="dxa"/>
            <w:shd w:val="clear" w:color="auto" w:fill="auto"/>
            <w:vAlign w:val="center"/>
          </w:tcPr>
          <w:p w14:paraId="5914B738">
            <w:pPr>
              <w:pStyle w:val="766"/>
              <w:rPr>
                <w:color w:val="auto"/>
              </w:rPr>
            </w:pPr>
            <w:r>
              <w:rPr>
                <w:rFonts w:hint="eastAsia"/>
                <w:color w:val="auto"/>
              </w:rPr>
              <w:t>0.054</w:t>
            </w:r>
          </w:p>
        </w:tc>
      </w:tr>
      <w:bookmarkEnd w:id="395"/>
      <w:tr w14:paraId="22F1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restart"/>
            <w:shd w:val="clear" w:color="auto" w:fill="auto"/>
            <w:vAlign w:val="center"/>
          </w:tcPr>
          <w:p w14:paraId="3731BBF4">
            <w:pPr>
              <w:pStyle w:val="766"/>
              <w:rPr>
                <w:color w:val="auto"/>
              </w:rPr>
            </w:pPr>
            <w:r>
              <w:rPr>
                <w:rFonts w:hint="eastAsia"/>
                <w:color w:val="auto"/>
              </w:rPr>
              <w:t>污水处理站废气</w:t>
            </w:r>
          </w:p>
        </w:tc>
        <w:tc>
          <w:tcPr>
            <w:tcW w:w="1441" w:type="dxa"/>
            <w:vMerge w:val="restart"/>
            <w:shd w:val="clear" w:color="auto" w:fill="auto"/>
            <w:vAlign w:val="center"/>
          </w:tcPr>
          <w:p w14:paraId="15A3EA79">
            <w:pPr>
              <w:pStyle w:val="766"/>
              <w:rPr>
                <w:color w:val="auto"/>
              </w:rPr>
            </w:pPr>
            <w:r>
              <w:rPr>
                <w:rFonts w:hint="eastAsia"/>
                <w:color w:val="auto"/>
              </w:rPr>
              <w:t>D</w:t>
            </w:r>
            <w:r>
              <w:rPr>
                <w:color w:val="auto"/>
              </w:rPr>
              <w:t>A0</w:t>
            </w:r>
            <w:r>
              <w:rPr>
                <w:rFonts w:hint="eastAsia"/>
                <w:color w:val="auto"/>
              </w:rPr>
              <w:t>07</w:t>
            </w:r>
          </w:p>
        </w:tc>
        <w:tc>
          <w:tcPr>
            <w:tcW w:w="1505" w:type="dxa"/>
            <w:shd w:val="clear" w:color="auto" w:fill="auto"/>
            <w:vAlign w:val="center"/>
          </w:tcPr>
          <w:p w14:paraId="002F3CB6">
            <w:pPr>
              <w:pStyle w:val="766"/>
              <w:rPr>
                <w:color w:val="auto"/>
              </w:rPr>
            </w:pPr>
            <w:r>
              <w:rPr>
                <w:bCs/>
                <w:color w:val="auto"/>
              </w:rPr>
              <w:t>NH</w:t>
            </w:r>
            <w:r>
              <w:rPr>
                <w:bCs/>
                <w:color w:val="auto"/>
                <w:vertAlign w:val="subscript"/>
              </w:rPr>
              <w:t>3</w:t>
            </w:r>
          </w:p>
        </w:tc>
        <w:tc>
          <w:tcPr>
            <w:tcW w:w="1394" w:type="dxa"/>
            <w:shd w:val="clear" w:color="auto" w:fill="auto"/>
            <w:vAlign w:val="center"/>
          </w:tcPr>
          <w:p w14:paraId="2569B11E">
            <w:pPr>
              <w:pStyle w:val="369"/>
              <w:adjustRightInd w:val="0"/>
              <w:snapToGrid w:val="0"/>
              <w:rPr>
                <w:b w:val="0"/>
                <w:bCs/>
                <w:sz w:val="21"/>
                <w:szCs w:val="21"/>
              </w:rPr>
            </w:pPr>
            <w:r>
              <w:rPr>
                <w:rFonts w:hint="eastAsia"/>
                <w:b w:val="0"/>
                <w:bCs/>
                <w:sz w:val="21"/>
                <w:szCs w:val="21"/>
              </w:rPr>
              <w:t>/</w:t>
            </w:r>
          </w:p>
        </w:tc>
        <w:tc>
          <w:tcPr>
            <w:tcW w:w="1355" w:type="dxa"/>
            <w:shd w:val="clear" w:color="auto" w:fill="auto"/>
            <w:vAlign w:val="center"/>
          </w:tcPr>
          <w:p w14:paraId="7FECB3DE">
            <w:pPr>
              <w:pStyle w:val="369"/>
              <w:adjustRightInd w:val="0"/>
              <w:snapToGrid w:val="0"/>
              <w:rPr>
                <w:b w:val="0"/>
                <w:bCs/>
                <w:sz w:val="21"/>
                <w:szCs w:val="21"/>
              </w:rPr>
            </w:pPr>
            <w:r>
              <w:rPr>
                <w:rFonts w:hint="eastAsia"/>
                <w:b w:val="0"/>
                <w:bCs/>
                <w:sz w:val="21"/>
                <w:szCs w:val="21"/>
              </w:rPr>
              <w:t>0.0019</w:t>
            </w:r>
          </w:p>
        </w:tc>
        <w:tc>
          <w:tcPr>
            <w:tcW w:w="1517" w:type="dxa"/>
            <w:shd w:val="clear" w:color="auto" w:fill="auto"/>
            <w:vAlign w:val="center"/>
          </w:tcPr>
          <w:p w14:paraId="618D18D5">
            <w:pPr>
              <w:pStyle w:val="369"/>
              <w:adjustRightInd w:val="0"/>
              <w:snapToGrid w:val="0"/>
              <w:rPr>
                <w:b w:val="0"/>
                <w:bCs/>
                <w:sz w:val="21"/>
                <w:szCs w:val="21"/>
              </w:rPr>
            </w:pPr>
            <w:r>
              <w:rPr>
                <w:rFonts w:hint="eastAsia"/>
                <w:b w:val="0"/>
                <w:bCs/>
                <w:sz w:val="21"/>
                <w:szCs w:val="21"/>
              </w:rPr>
              <w:t>0.0513</w:t>
            </w:r>
          </w:p>
        </w:tc>
      </w:tr>
      <w:tr w14:paraId="417A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70" w:type="dxa"/>
            <w:vMerge w:val="continue"/>
            <w:shd w:val="clear" w:color="auto" w:fill="auto"/>
            <w:vAlign w:val="center"/>
          </w:tcPr>
          <w:p w14:paraId="26B5B4C2">
            <w:pPr>
              <w:pStyle w:val="766"/>
              <w:rPr>
                <w:color w:val="auto"/>
              </w:rPr>
            </w:pPr>
          </w:p>
        </w:tc>
        <w:tc>
          <w:tcPr>
            <w:tcW w:w="1441" w:type="dxa"/>
            <w:vMerge w:val="continue"/>
            <w:shd w:val="clear" w:color="auto" w:fill="auto"/>
            <w:vAlign w:val="center"/>
          </w:tcPr>
          <w:p w14:paraId="094749C2">
            <w:pPr>
              <w:pStyle w:val="766"/>
              <w:rPr>
                <w:color w:val="auto"/>
              </w:rPr>
            </w:pPr>
          </w:p>
        </w:tc>
        <w:tc>
          <w:tcPr>
            <w:tcW w:w="1505" w:type="dxa"/>
            <w:shd w:val="clear" w:color="auto" w:fill="auto"/>
            <w:vAlign w:val="center"/>
          </w:tcPr>
          <w:p w14:paraId="492F9326">
            <w:pPr>
              <w:pStyle w:val="766"/>
              <w:rPr>
                <w:color w:val="auto"/>
              </w:rPr>
            </w:pPr>
            <w:r>
              <w:rPr>
                <w:bCs/>
                <w:color w:val="auto"/>
              </w:rPr>
              <w:t>H</w:t>
            </w:r>
            <w:r>
              <w:rPr>
                <w:bCs/>
                <w:color w:val="auto"/>
                <w:vertAlign w:val="subscript"/>
              </w:rPr>
              <w:t>2</w:t>
            </w:r>
            <w:r>
              <w:rPr>
                <w:bCs/>
                <w:color w:val="auto"/>
              </w:rPr>
              <w:t>S</w:t>
            </w:r>
          </w:p>
        </w:tc>
        <w:tc>
          <w:tcPr>
            <w:tcW w:w="1394" w:type="dxa"/>
            <w:shd w:val="clear" w:color="auto" w:fill="auto"/>
            <w:vAlign w:val="center"/>
          </w:tcPr>
          <w:p w14:paraId="28388F27">
            <w:pPr>
              <w:pStyle w:val="369"/>
              <w:adjustRightInd w:val="0"/>
              <w:snapToGrid w:val="0"/>
              <w:rPr>
                <w:b w:val="0"/>
                <w:bCs/>
                <w:sz w:val="21"/>
                <w:szCs w:val="21"/>
              </w:rPr>
            </w:pPr>
            <w:r>
              <w:rPr>
                <w:rFonts w:hint="eastAsia"/>
                <w:b w:val="0"/>
                <w:bCs/>
                <w:sz w:val="21"/>
                <w:szCs w:val="21"/>
              </w:rPr>
              <w:t>/</w:t>
            </w:r>
          </w:p>
        </w:tc>
        <w:tc>
          <w:tcPr>
            <w:tcW w:w="1355" w:type="dxa"/>
            <w:shd w:val="clear" w:color="auto" w:fill="auto"/>
            <w:vAlign w:val="center"/>
          </w:tcPr>
          <w:p w14:paraId="471A203D">
            <w:pPr>
              <w:pStyle w:val="369"/>
              <w:adjustRightInd w:val="0"/>
              <w:snapToGrid w:val="0"/>
              <w:rPr>
                <w:b w:val="0"/>
                <w:bCs/>
                <w:sz w:val="21"/>
                <w:szCs w:val="21"/>
              </w:rPr>
            </w:pPr>
            <w:r>
              <w:rPr>
                <w:rFonts w:hint="eastAsia"/>
                <w:b w:val="0"/>
                <w:bCs/>
                <w:sz w:val="21"/>
                <w:szCs w:val="21"/>
              </w:rPr>
              <w:t>0.0002</w:t>
            </w:r>
          </w:p>
        </w:tc>
        <w:tc>
          <w:tcPr>
            <w:tcW w:w="1517" w:type="dxa"/>
            <w:shd w:val="clear" w:color="auto" w:fill="auto"/>
            <w:vAlign w:val="center"/>
          </w:tcPr>
          <w:p w14:paraId="3CDC8575">
            <w:pPr>
              <w:pStyle w:val="369"/>
              <w:adjustRightInd w:val="0"/>
              <w:snapToGrid w:val="0"/>
              <w:rPr>
                <w:b w:val="0"/>
                <w:bCs/>
                <w:sz w:val="21"/>
                <w:szCs w:val="21"/>
              </w:rPr>
            </w:pPr>
            <w:r>
              <w:rPr>
                <w:rFonts w:hint="eastAsia"/>
                <w:b w:val="0"/>
                <w:bCs/>
                <w:sz w:val="21"/>
                <w:szCs w:val="21"/>
              </w:rPr>
              <w:t>0.0019</w:t>
            </w:r>
          </w:p>
        </w:tc>
      </w:tr>
      <w:tr w14:paraId="32CB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11" w:type="dxa"/>
            <w:gridSpan w:val="2"/>
            <w:vMerge w:val="restart"/>
            <w:shd w:val="clear" w:color="auto" w:fill="auto"/>
            <w:vAlign w:val="center"/>
          </w:tcPr>
          <w:p w14:paraId="789EBFEF">
            <w:pPr>
              <w:pStyle w:val="766"/>
              <w:rPr>
                <w:color w:val="auto"/>
              </w:rPr>
            </w:pPr>
            <w:r>
              <w:rPr>
                <w:color w:val="auto"/>
              </w:rPr>
              <w:t>有组织排放总计</w:t>
            </w:r>
          </w:p>
        </w:tc>
        <w:tc>
          <w:tcPr>
            <w:tcW w:w="4254" w:type="dxa"/>
            <w:gridSpan w:val="3"/>
            <w:shd w:val="clear" w:color="auto" w:fill="auto"/>
            <w:vAlign w:val="center"/>
          </w:tcPr>
          <w:p w14:paraId="4C79B3E3">
            <w:pPr>
              <w:pStyle w:val="766"/>
              <w:rPr>
                <w:color w:val="auto"/>
              </w:rPr>
            </w:pPr>
            <w:r>
              <w:rPr>
                <w:rFonts w:hint="eastAsia"/>
                <w:color w:val="auto"/>
              </w:rPr>
              <w:t>PM</w:t>
            </w:r>
            <w:r>
              <w:rPr>
                <w:rFonts w:hint="eastAsia"/>
                <w:color w:val="auto"/>
                <w:vertAlign w:val="subscript"/>
              </w:rPr>
              <w:t>10</w:t>
            </w:r>
          </w:p>
        </w:tc>
        <w:tc>
          <w:tcPr>
            <w:tcW w:w="1517" w:type="dxa"/>
            <w:shd w:val="clear" w:color="auto" w:fill="auto"/>
            <w:vAlign w:val="center"/>
          </w:tcPr>
          <w:p w14:paraId="4B4CC9F6">
            <w:pPr>
              <w:pStyle w:val="766"/>
              <w:rPr>
                <w:color w:val="auto"/>
              </w:rPr>
            </w:pPr>
            <w:r>
              <w:rPr>
                <w:rFonts w:hint="eastAsia"/>
                <w:color w:val="auto"/>
              </w:rPr>
              <w:t>0.1484</w:t>
            </w:r>
          </w:p>
        </w:tc>
      </w:tr>
      <w:tr w14:paraId="3D6B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1" w:type="dxa"/>
            <w:gridSpan w:val="2"/>
            <w:vMerge w:val="continue"/>
            <w:shd w:val="clear" w:color="auto" w:fill="auto"/>
            <w:vAlign w:val="center"/>
          </w:tcPr>
          <w:p w14:paraId="7DCB54F2">
            <w:pPr>
              <w:pStyle w:val="766"/>
              <w:rPr>
                <w:color w:val="auto"/>
              </w:rPr>
            </w:pPr>
          </w:p>
        </w:tc>
        <w:tc>
          <w:tcPr>
            <w:tcW w:w="4254" w:type="dxa"/>
            <w:gridSpan w:val="3"/>
            <w:shd w:val="clear" w:color="auto" w:fill="auto"/>
            <w:vAlign w:val="center"/>
          </w:tcPr>
          <w:p w14:paraId="3E298D0D">
            <w:pPr>
              <w:pStyle w:val="766"/>
              <w:rPr>
                <w:color w:val="auto"/>
              </w:rPr>
            </w:pPr>
            <w:r>
              <w:rPr>
                <w:color w:val="auto"/>
              </w:rPr>
              <w:t>NO</w:t>
            </w:r>
            <w:r>
              <w:rPr>
                <w:color w:val="auto"/>
                <w:vertAlign w:val="subscript"/>
              </w:rPr>
              <w:t>x</w:t>
            </w:r>
          </w:p>
        </w:tc>
        <w:tc>
          <w:tcPr>
            <w:tcW w:w="1517" w:type="dxa"/>
            <w:shd w:val="clear" w:color="auto" w:fill="auto"/>
            <w:vAlign w:val="center"/>
          </w:tcPr>
          <w:p w14:paraId="62F7AFEF">
            <w:pPr>
              <w:pStyle w:val="766"/>
              <w:rPr>
                <w:color w:val="auto"/>
                <w:szCs w:val="24"/>
              </w:rPr>
            </w:pPr>
            <w:r>
              <w:rPr>
                <w:rFonts w:hint="eastAsia"/>
                <w:color w:val="auto"/>
                <w:szCs w:val="24"/>
              </w:rPr>
              <w:t>0.714</w:t>
            </w:r>
          </w:p>
        </w:tc>
      </w:tr>
      <w:tr w14:paraId="76BA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11" w:type="dxa"/>
            <w:gridSpan w:val="2"/>
            <w:vMerge w:val="continue"/>
            <w:shd w:val="clear" w:color="auto" w:fill="auto"/>
            <w:vAlign w:val="center"/>
          </w:tcPr>
          <w:p w14:paraId="3FDDEE72">
            <w:pPr>
              <w:pStyle w:val="766"/>
              <w:rPr>
                <w:color w:val="auto"/>
              </w:rPr>
            </w:pPr>
          </w:p>
        </w:tc>
        <w:tc>
          <w:tcPr>
            <w:tcW w:w="4254" w:type="dxa"/>
            <w:gridSpan w:val="3"/>
            <w:shd w:val="clear" w:color="auto" w:fill="auto"/>
            <w:vAlign w:val="center"/>
          </w:tcPr>
          <w:p w14:paraId="05338781">
            <w:pPr>
              <w:pStyle w:val="766"/>
              <w:rPr>
                <w:color w:val="auto"/>
              </w:rPr>
            </w:pPr>
            <w:r>
              <w:rPr>
                <w:bCs/>
                <w:color w:val="auto"/>
              </w:rPr>
              <w:t>NH</w:t>
            </w:r>
            <w:r>
              <w:rPr>
                <w:bCs/>
                <w:color w:val="auto"/>
                <w:vertAlign w:val="subscript"/>
              </w:rPr>
              <w:t>3</w:t>
            </w:r>
          </w:p>
        </w:tc>
        <w:tc>
          <w:tcPr>
            <w:tcW w:w="1517" w:type="dxa"/>
            <w:shd w:val="clear" w:color="auto" w:fill="auto"/>
            <w:vAlign w:val="center"/>
          </w:tcPr>
          <w:p w14:paraId="3CF75B79">
            <w:pPr>
              <w:pStyle w:val="766"/>
              <w:rPr>
                <w:color w:val="auto"/>
                <w:szCs w:val="24"/>
              </w:rPr>
            </w:pPr>
            <w:r>
              <w:rPr>
                <w:rFonts w:hint="eastAsia"/>
                <w:color w:val="auto"/>
                <w:szCs w:val="24"/>
              </w:rPr>
              <w:t>0.5313</w:t>
            </w:r>
          </w:p>
        </w:tc>
      </w:tr>
      <w:tr w14:paraId="5119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11" w:type="dxa"/>
            <w:gridSpan w:val="2"/>
            <w:vMerge w:val="continue"/>
            <w:shd w:val="clear" w:color="auto" w:fill="auto"/>
            <w:vAlign w:val="center"/>
          </w:tcPr>
          <w:p w14:paraId="1E90812D">
            <w:pPr>
              <w:pStyle w:val="766"/>
              <w:rPr>
                <w:color w:val="auto"/>
              </w:rPr>
            </w:pPr>
          </w:p>
        </w:tc>
        <w:tc>
          <w:tcPr>
            <w:tcW w:w="4254" w:type="dxa"/>
            <w:gridSpan w:val="3"/>
            <w:shd w:val="clear" w:color="auto" w:fill="auto"/>
            <w:vAlign w:val="center"/>
          </w:tcPr>
          <w:p w14:paraId="3972FF7F">
            <w:pPr>
              <w:pStyle w:val="766"/>
              <w:rPr>
                <w:color w:val="auto"/>
              </w:rPr>
            </w:pPr>
            <w:r>
              <w:rPr>
                <w:bCs/>
                <w:color w:val="auto"/>
              </w:rPr>
              <w:t>H</w:t>
            </w:r>
            <w:r>
              <w:rPr>
                <w:bCs/>
                <w:color w:val="auto"/>
                <w:vertAlign w:val="subscript"/>
              </w:rPr>
              <w:t>2</w:t>
            </w:r>
            <w:r>
              <w:rPr>
                <w:bCs/>
                <w:color w:val="auto"/>
              </w:rPr>
              <w:t>S</w:t>
            </w:r>
          </w:p>
        </w:tc>
        <w:tc>
          <w:tcPr>
            <w:tcW w:w="1517" w:type="dxa"/>
            <w:shd w:val="clear" w:color="auto" w:fill="auto"/>
            <w:vAlign w:val="center"/>
          </w:tcPr>
          <w:p w14:paraId="73EE655A">
            <w:pPr>
              <w:pStyle w:val="766"/>
              <w:rPr>
                <w:color w:val="auto"/>
                <w:szCs w:val="24"/>
              </w:rPr>
            </w:pPr>
            <w:r>
              <w:rPr>
                <w:rFonts w:hint="eastAsia"/>
                <w:color w:val="auto"/>
                <w:szCs w:val="24"/>
              </w:rPr>
              <w:t>0.0499</w:t>
            </w:r>
          </w:p>
        </w:tc>
      </w:tr>
    </w:tbl>
    <w:p w14:paraId="3B0F8A58">
      <w:pPr>
        <w:pStyle w:val="369"/>
      </w:pPr>
      <w:r>
        <w:t>表5.2-1</w:t>
      </w:r>
      <w:r>
        <w:rPr>
          <w:rFonts w:hint="eastAsia"/>
        </w:rPr>
        <w:t>2</w:t>
      </w:r>
      <w:r>
        <w:t xml:space="preserve">  大气污染物无组织排放量核算表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
        <w:gridCol w:w="1259"/>
        <w:gridCol w:w="1200"/>
        <w:gridCol w:w="2621"/>
        <w:gridCol w:w="1471"/>
        <w:gridCol w:w="1293"/>
        <w:gridCol w:w="1112"/>
      </w:tblGrid>
      <w:tr w14:paraId="55DA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blHeader/>
          <w:jc w:val="center"/>
        </w:trPr>
        <w:tc>
          <w:tcPr>
            <w:tcW w:w="178" w:type="pct"/>
            <w:vMerge w:val="restart"/>
            <w:noWrap/>
            <w:vAlign w:val="center"/>
          </w:tcPr>
          <w:p w14:paraId="75007467">
            <w:pPr>
              <w:pStyle w:val="766"/>
              <w:rPr>
                <w:snapToGrid w:val="0"/>
                <w:color w:val="auto"/>
              </w:rPr>
            </w:pPr>
            <w:r>
              <w:rPr>
                <w:snapToGrid w:val="0"/>
                <w:color w:val="auto"/>
              </w:rPr>
              <w:t>序号</w:t>
            </w:r>
          </w:p>
        </w:tc>
        <w:tc>
          <w:tcPr>
            <w:tcW w:w="678" w:type="pct"/>
            <w:vMerge w:val="restart"/>
            <w:noWrap/>
            <w:vAlign w:val="center"/>
          </w:tcPr>
          <w:p w14:paraId="6ABC0DC6">
            <w:pPr>
              <w:pStyle w:val="766"/>
              <w:rPr>
                <w:snapToGrid w:val="0"/>
                <w:color w:val="auto"/>
              </w:rPr>
            </w:pPr>
            <w:r>
              <w:rPr>
                <w:snapToGrid w:val="0"/>
                <w:color w:val="auto"/>
              </w:rPr>
              <w:t>产污环节</w:t>
            </w:r>
          </w:p>
        </w:tc>
        <w:tc>
          <w:tcPr>
            <w:tcW w:w="645" w:type="pct"/>
            <w:vMerge w:val="restart"/>
            <w:noWrap/>
            <w:vAlign w:val="center"/>
          </w:tcPr>
          <w:p w14:paraId="5BDB77AE">
            <w:pPr>
              <w:pStyle w:val="766"/>
              <w:rPr>
                <w:snapToGrid w:val="0"/>
                <w:color w:val="auto"/>
              </w:rPr>
            </w:pPr>
            <w:r>
              <w:rPr>
                <w:snapToGrid w:val="0"/>
                <w:color w:val="auto"/>
              </w:rPr>
              <w:t>污染物</w:t>
            </w:r>
          </w:p>
        </w:tc>
        <w:tc>
          <w:tcPr>
            <w:tcW w:w="1411" w:type="pct"/>
            <w:vMerge w:val="restart"/>
            <w:noWrap/>
            <w:vAlign w:val="center"/>
          </w:tcPr>
          <w:p w14:paraId="19292CA2">
            <w:pPr>
              <w:pStyle w:val="766"/>
              <w:rPr>
                <w:snapToGrid w:val="0"/>
                <w:color w:val="auto"/>
              </w:rPr>
            </w:pPr>
            <w:r>
              <w:rPr>
                <w:snapToGrid w:val="0"/>
                <w:color w:val="auto"/>
              </w:rPr>
              <w:t>主要污染防治措施</w:t>
            </w:r>
          </w:p>
        </w:tc>
        <w:tc>
          <w:tcPr>
            <w:tcW w:w="1488" w:type="pct"/>
            <w:gridSpan w:val="2"/>
            <w:noWrap/>
            <w:vAlign w:val="center"/>
          </w:tcPr>
          <w:p w14:paraId="72D2534C">
            <w:pPr>
              <w:pStyle w:val="766"/>
              <w:rPr>
                <w:snapToGrid w:val="0"/>
                <w:color w:val="auto"/>
              </w:rPr>
            </w:pPr>
            <w:r>
              <w:rPr>
                <w:snapToGrid w:val="0"/>
                <w:color w:val="auto"/>
              </w:rPr>
              <w:t>国家或地方污染物排放标准</w:t>
            </w:r>
          </w:p>
        </w:tc>
        <w:tc>
          <w:tcPr>
            <w:tcW w:w="597" w:type="pct"/>
            <w:vMerge w:val="restart"/>
            <w:noWrap/>
            <w:vAlign w:val="center"/>
          </w:tcPr>
          <w:p w14:paraId="00FC2286">
            <w:pPr>
              <w:pStyle w:val="766"/>
              <w:rPr>
                <w:snapToGrid w:val="0"/>
                <w:color w:val="auto"/>
              </w:rPr>
            </w:pPr>
            <w:r>
              <w:rPr>
                <w:snapToGrid w:val="0"/>
                <w:color w:val="auto"/>
              </w:rPr>
              <w:t>年排放量/（t/a）</w:t>
            </w:r>
          </w:p>
        </w:tc>
      </w:tr>
      <w:tr w14:paraId="0F26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blHeader/>
          <w:jc w:val="center"/>
        </w:trPr>
        <w:tc>
          <w:tcPr>
            <w:tcW w:w="178" w:type="pct"/>
            <w:vMerge w:val="continue"/>
            <w:noWrap/>
            <w:vAlign w:val="center"/>
          </w:tcPr>
          <w:p w14:paraId="6AABE94B">
            <w:pPr>
              <w:pStyle w:val="766"/>
              <w:rPr>
                <w:snapToGrid w:val="0"/>
                <w:color w:val="auto"/>
              </w:rPr>
            </w:pPr>
          </w:p>
        </w:tc>
        <w:tc>
          <w:tcPr>
            <w:tcW w:w="678" w:type="pct"/>
            <w:vMerge w:val="continue"/>
            <w:noWrap/>
            <w:vAlign w:val="center"/>
          </w:tcPr>
          <w:p w14:paraId="22E0B8F1">
            <w:pPr>
              <w:pStyle w:val="766"/>
              <w:rPr>
                <w:snapToGrid w:val="0"/>
                <w:color w:val="auto"/>
              </w:rPr>
            </w:pPr>
          </w:p>
        </w:tc>
        <w:tc>
          <w:tcPr>
            <w:tcW w:w="645" w:type="pct"/>
            <w:vMerge w:val="continue"/>
            <w:noWrap/>
            <w:vAlign w:val="center"/>
          </w:tcPr>
          <w:p w14:paraId="1EB9B1C3">
            <w:pPr>
              <w:pStyle w:val="766"/>
              <w:rPr>
                <w:snapToGrid w:val="0"/>
                <w:color w:val="auto"/>
              </w:rPr>
            </w:pPr>
          </w:p>
        </w:tc>
        <w:tc>
          <w:tcPr>
            <w:tcW w:w="1411" w:type="pct"/>
            <w:vMerge w:val="continue"/>
            <w:noWrap/>
            <w:vAlign w:val="center"/>
          </w:tcPr>
          <w:p w14:paraId="75089A38">
            <w:pPr>
              <w:pStyle w:val="766"/>
              <w:rPr>
                <w:snapToGrid w:val="0"/>
                <w:color w:val="auto"/>
              </w:rPr>
            </w:pPr>
          </w:p>
        </w:tc>
        <w:tc>
          <w:tcPr>
            <w:tcW w:w="792" w:type="pct"/>
            <w:noWrap/>
            <w:vAlign w:val="center"/>
          </w:tcPr>
          <w:p w14:paraId="505A60A3">
            <w:pPr>
              <w:pStyle w:val="766"/>
              <w:rPr>
                <w:snapToGrid w:val="0"/>
                <w:color w:val="auto"/>
              </w:rPr>
            </w:pPr>
            <w:r>
              <w:rPr>
                <w:snapToGrid w:val="0"/>
                <w:color w:val="auto"/>
              </w:rPr>
              <w:t>标准名称</w:t>
            </w:r>
          </w:p>
        </w:tc>
        <w:tc>
          <w:tcPr>
            <w:tcW w:w="696" w:type="pct"/>
            <w:noWrap/>
            <w:vAlign w:val="center"/>
          </w:tcPr>
          <w:p w14:paraId="0D69F405">
            <w:pPr>
              <w:pStyle w:val="766"/>
              <w:rPr>
                <w:snapToGrid w:val="0"/>
                <w:color w:val="auto"/>
              </w:rPr>
            </w:pPr>
            <w:r>
              <w:rPr>
                <w:snapToGrid w:val="0"/>
                <w:color w:val="auto"/>
              </w:rPr>
              <w:t>浓度限值/（mg/m</w:t>
            </w:r>
            <w:r>
              <w:rPr>
                <w:snapToGrid w:val="0"/>
                <w:color w:val="auto"/>
                <w:vertAlign w:val="superscript"/>
              </w:rPr>
              <w:t>3</w:t>
            </w:r>
            <w:r>
              <w:rPr>
                <w:snapToGrid w:val="0"/>
                <w:color w:val="auto"/>
              </w:rPr>
              <w:t>）</w:t>
            </w:r>
          </w:p>
        </w:tc>
        <w:tc>
          <w:tcPr>
            <w:tcW w:w="597" w:type="pct"/>
            <w:vMerge w:val="continue"/>
            <w:noWrap/>
            <w:vAlign w:val="center"/>
          </w:tcPr>
          <w:p w14:paraId="609E3686">
            <w:pPr>
              <w:pStyle w:val="766"/>
              <w:rPr>
                <w:snapToGrid w:val="0"/>
                <w:color w:val="auto"/>
              </w:rPr>
            </w:pPr>
          </w:p>
        </w:tc>
      </w:tr>
      <w:tr w14:paraId="54B8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jc w:val="center"/>
        </w:trPr>
        <w:tc>
          <w:tcPr>
            <w:tcW w:w="178" w:type="pct"/>
            <w:vMerge w:val="restart"/>
            <w:noWrap/>
            <w:vAlign w:val="center"/>
          </w:tcPr>
          <w:p w14:paraId="089E95B1">
            <w:pPr>
              <w:pStyle w:val="766"/>
              <w:rPr>
                <w:snapToGrid w:val="0"/>
                <w:color w:val="auto"/>
              </w:rPr>
            </w:pPr>
            <w:r>
              <w:rPr>
                <w:snapToGrid w:val="0"/>
                <w:color w:val="auto"/>
              </w:rPr>
              <w:t>1</w:t>
            </w:r>
          </w:p>
        </w:tc>
        <w:tc>
          <w:tcPr>
            <w:tcW w:w="678" w:type="pct"/>
            <w:vMerge w:val="restart"/>
            <w:noWrap/>
            <w:vAlign w:val="center"/>
          </w:tcPr>
          <w:p w14:paraId="7C2A4D7B">
            <w:pPr>
              <w:pStyle w:val="766"/>
              <w:rPr>
                <w:snapToGrid w:val="0"/>
                <w:color w:val="auto"/>
              </w:rPr>
            </w:pPr>
            <w:r>
              <w:rPr>
                <w:snapToGrid w:val="0"/>
                <w:color w:val="auto"/>
              </w:rPr>
              <w:t>鸡舍</w:t>
            </w:r>
          </w:p>
        </w:tc>
        <w:tc>
          <w:tcPr>
            <w:tcW w:w="645" w:type="pct"/>
            <w:noWrap/>
            <w:vAlign w:val="center"/>
          </w:tcPr>
          <w:p w14:paraId="702CF7DC">
            <w:pPr>
              <w:pStyle w:val="766"/>
              <w:rPr>
                <w:snapToGrid w:val="0"/>
                <w:color w:val="auto"/>
              </w:rPr>
            </w:pPr>
            <w:r>
              <w:rPr>
                <w:color w:val="auto"/>
                <w:sz w:val="18"/>
                <w:szCs w:val="18"/>
              </w:rPr>
              <w:t>NH</w:t>
            </w:r>
            <w:r>
              <w:rPr>
                <w:color w:val="auto"/>
                <w:sz w:val="18"/>
                <w:szCs w:val="18"/>
                <w:vertAlign w:val="subscript"/>
              </w:rPr>
              <w:t>3</w:t>
            </w:r>
          </w:p>
        </w:tc>
        <w:tc>
          <w:tcPr>
            <w:tcW w:w="1411" w:type="pct"/>
            <w:vMerge w:val="restart"/>
            <w:noWrap/>
            <w:vAlign w:val="center"/>
          </w:tcPr>
          <w:p w14:paraId="16571B15">
            <w:pPr>
              <w:pStyle w:val="766"/>
              <w:rPr>
                <w:snapToGrid w:val="0"/>
                <w:color w:val="auto"/>
              </w:rPr>
            </w:pPr>
            <w:r>
              <w:rPr>
                <w:rFonts w:hint="eastAsia" w:ascii="宋体" w:hAnsi="宋体" w:cs="宋体"/>
                <w:color w:val="auto"/>
              </w:rPr>
              <w:t>①</w:t>
            </w:r>
            <w:r>
              <w:rPr>
                <w:color w:val="auto"/>
              </w:rPr>
              <w:t>选用益生菌配方饲料；</w:t>
            </w:r>
            <w:r>
              <w:rPr>
                <w:rFonts w:hint="eastAsia" w:ascii="宋体" w:hAnsi="宋体" w:cs="宋体"/>
                <w:color w:val="auto"/>
              </w:rPr>
              <w:t>②</w:t>
            </w:r>
            <w:r>
              <w:rPr>
                <w:color w:val="auto"/>
              </w:rPr>
              <w:t>及时清运粪污；</w:t>
            </w:r>
            <w:r>
              <w:rPr>
                <w:rFonts w:hint="eastAsia" w:ascii="宋体" w:hAnsi="宋体" w:cs="宋体"/>
                <w:color w:val="auto"/>
              </w:rPr>
              <w:t>③</w:t>
            </w:r>
            <w:r>
              <w:rPr>
                <w:color w:val="auto"/>
              </w:rPr>
              <w:t>向舍内定期投入除臭剂；</w:t>
            </w:r>
            <w:r>
              <w:rPr>
                <w:rFonts w:hint="eastAsia" w:ascii="宋体" w:hAnsi="宋体" w:cs="宋体"/>
                <w:color w:val="auto"/>
              </w:rPr>
              <w:t>④</w:t>
            </w:r>
            <w:r>
              <w:rPr>
                <w:color w:val="auto"/>
              </w:rPr>
              <w:t>周边加强绿化</w:t>
            </w:r>
            <w:r>
              <w:rPr>
                <w:rFonts w:hint="eastAsia"/>
                <w:color w:val="auto"/>
              </w:rPr>
              <w:t>⑤水雾吸附</w:t>
            </w:r>
          </w:p>
        </w:tc>
        <w:tc>
          <w:tcPr>
            <w:tcW w:w="792" w:type="pct"/>
            <w:vMerge w:val="restart"/>
            <w:noWrap/>
            <w:vAlign w:val="center"/>
          </w:tcPr>
          <w:p w14:paraId="3F623F91">
            <w:pPr>
              <w:pStyle w:val="766"/>
              <w:rPr>
                <w:snapToGrid w:val="0"/>
                <w:color w:val="auto"/>
              </w:rPr>
            </w:pPr>
            <w:r>
              <w:rPr>
                <w:color w:val="auto"/>
              </w:rPr>
              <w:t>《恶臭污染物排放标准》（GB14554-93）表 1 二级新改扩建厂界标准值</w:t>
            </w:r>
          </w:p>
        </w:tc>
        <w:tc>
          <w:tcPr>
            <w:tcW w:w="696" w:type="pct"/>
            <w:noWrap/>
            <w:vAlign w:val="center"/>
          </w:tcPr>
          <w:p w14:paraId="4197F5E1">
            <w:pPr>
              <w:pStyle w:val="766"/>
              <w:adjustRightInd w:val="0"/>
              <w:rPr>
                <w:color w:val="auto"/>
              </w:rPr>
            </w:pPr>
            <w:r>
              <w:rPr>
                <w:rFonts w:hint="eastAsia"/>
                <w:color w:val="auto"/>
              </w:rPr>
              <w:t>1.02</w:t>
            </w:r>
          </w:p>
        </w:tc>
        <w:tc>
          <w:tcPr>
            <w:tcW w:w="597" w:type="pct"/>
            <w:noWrap/>
            <w:vAlign w:val="center"/>
          </w:tcPr>
          <w:p w14:paraId="499B0A47">
            <w:pPr>
              <w:pStyle w:val="766"/>
              <w:adjustRightInd w:val="0"/>
              <w:rPr>
                <w:color w:val="auto"/>
              </w:rPr>
            </w:pPr>
            <w:r>
              <w:rPr>
                <w:rFonts w:hint="eastAsia"/>
                <w:color w:val="auto"/>
              </w:rPr>
              <w:t>53.8</w:t>
            </w:r>
          </w:p>
        </w:tc>
      </w:tr>
      <w:tr w14:paraId="36F1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blHeader/>
          <w:jc w:val="center"/>
        </w:trPr>
        <w:tc>
          <w:tcPr>
            <w:tcW w:w="178" w:type="pct"/>
            <w:vMerge w:val="continue"/>
            <w:noWrap/>
            <w:vAlign w:val="center"/>
          </w:tcPr>
          <w:p w14:paraId="25F9AB44">
            <w:pPr>
              <w:pStyle w:val="766"/>
              <w:rPr>
                <w:snapToGrid w:val="0"/>
                <w:color w:val="auto"/>
              </w:rPr>
            </w:pPr>
          </w:p>
        </w:tc>
        <w:tc>
          <w:tcPr>
            <w:tcW w:w="678" w:type="pct"/>
            <w:vMerge w:val="continue"/>
            <w:noWrap/>
            <w:vAlign w:val="center"/>
          </w:tcPr>
          <w:p w14:paraId="0C76F7CD">
            <w:pPr>
              <w:pStyle w:val="766"/>
              <w:rPr>
                <w:snapToGrid w:val="0"/>
                <w:color w:val="auto"/>
              </w:rPr>
            </w:pPr>
          </w:p>
        </w:tc>
        <w:tc>
          <w:tcPr>
            <w:tcW w:w="645" w:type="pct"/>
            <w:noWrap/>
            <w:vAlign w:val="center"/>
          </w:tcPr>
          <w:p w14:paraId="3491E504">
            <w:pPr>
              <w:pStyle w:val="766"/>
              <w:rPr>
                <w:snapToGrid w:val="0"/>
                <w:color w:val="auto"/>
              </w:rPr>
            </w:pPr>
            <w:r>
              <w:rPr>
                <w:color w:val="auto"/>
                <w:sz w:val="18"/>
                <w:szCs w:val="18"/>
              </w:rPr>
              <w:t>H</w:t>
            </w:r>
            <w:r>
              <w:rPr>
                <w:color w:val="auto"/>
                <w:sz w:val="18"/>
                <w:szCs w:val="18"/>
                <w:vertAlign w:val="subscript"/>
              </w:rPr>
              <w:t>2</w:t>
            </w:r>
            <w:r>
              <w:rPr>
                <w:color w:val="auto"/>
                <w:sz w:val="18"/>
                <w:szCs w:val="18"/>
              </w:rPr>
              <w:t>S</w:t>
            </w:r>
          </w:p>
        </w:tc>
        <w:tc>
          <w:tcPr>
            <w:tcW w:w="1411" w:type="pct"/>
            <w:vMerge w:val="continue"/>
            <w:noWrap/>
            <w:vAlign w:val="center"/>
          </w:tcPr>
          <w:p w14:paraId="38CAF735">
            <w:pPr>
              <w:pStyle w:val="766"/>
              <w:rPr>
                <w:snapToGrid w:val="0"/>
                <w:color w:val="auto"/>
              </w:rPr>
            </w:pPr>
          </w:p>
        </w:tc>
        <w:tc>
          <w:tcPr>
            <w:tcW w:w="792" w:type="pct"/>
            <w:vMerge w:val="continue"/>
            <w:noWrap/>
            <w:vAlign w:val="center"/>
          </w:tcPr>
          <w:p w14:paraId="4E9EABD4">
            <w:pPr>
              <w:pStyle w:val="766"/>
              <w:rPr>
                <w:snapToGrid w:val="0"/>
                <w:color w:val="auto"/>
              </w:rPr>
            </w:pPr>
          </w:p>
        </w:tc>
        <w:tc>
          <w:tcPr>
            <w:tcW w:w="696" w:type="pct"/>
            <w:noWrap/>
            <w:vAlign w:val="center"/>
          </w:tcPr>
          <w:p w14:paraId="51868323">
            <w:pPr>
              <w:pStyle w:val="766"/>
              <w:adjustRightInd w:val="0"/>
              <w:rPr>
                <w:color w:val="auto"/>
              </w:rPr>
            </w:pPr>
            <w:r>
              <w:rPr>
                <w:rFonts w:hint="eastAsia"/>
                <w:color w:val="auto"/>
              </w:rPr>
              <w:t>0.051</w:t>
            </w:r>
          </w:p>
        </w:tc>
        <w:tc>
          <w:tcPr>
            <w:tcW w:w="597" w:type="pct"/>
            <w:noWrap/>
            <w:vAlign w:val="center"/>
          </w:tcPr>
          <w:p w14:paraId="10DB5E16">
            <w:pPr>
              <w:pStyle w:val="766"/>
              <w:adjustRightInd w:val="0"/>
              <w:rPr>
                <w:color w:val="auto"/>
              </w:rPr>
            </w:pPr>
            <w:r>
              <w:rPr>
                <w:rFonts w:hint="eastAsia"/>
                <w:color w:val="auto"/>
              </w:rPr>
              <w:t>2.69</w:t>
            </w:r>
          </w:p>
        </w:tc>
      </w:tr>
      <w:tr w14:paraId="5F6E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blHeader/>
          <w:jc w:val="center"/>
        </w:trPr>
        <w:tc>
          <w:tcPr>
            <w:tcW w:w="178" w:type="pct"/>
            <w:vMerge w:val="restart"/>
            <w:noWrap/>
            <w:vAlign w:val="center"/>
          </w:tcPr>
          <w:p w14:paraId="4B96108C">
            <w:pPr>
              <w:pStyle w:val="766"/>
              <w:rPr>
                <w:snapToGrid w:val="0"/>
                <w:color w:val="auto"/>
              </w:rPr>
            </w:pPr>
            <w:r>
              <w:rPr>
                <w:snapToGrid w:val="0"/>
                <w:color w:val="auto"/>
              </w:rPr>
              <w:t>2</w:t>
            </w:r>
          </w:p>
        </w:tc>
        <w:tc>
          <w:tcPr>
            <w:tcW w:w="678" w:type="pct"/>
            <w:vMerge w:val="restart"/>
            <w:noWrap/>
            <w:vAlign w:val="center"/>
          </w:tcPr>
          <w:p w14:paraId="2285AD96">
            <w:pPr>
              <w:pStyle w:val="766"/>
              <w:rPr>
                <w:snapToGrid w:val="0"/>
                <w:color w:val="auto"/>
              </w:rPr>
            </w:pPr>
            <w:r>
              <w:rPr>
                <w:snapToGrid w:val="0"/>
                <w:color w:val="auto"/>
              </w:rPr>
              <w:t>污水处理设施</w:t>
            </w:r>
          </w:p>
        </w:tc>
        <w:tc>
          <w:tcPr>
            <w:tcW w:w="645" w:type="pct"/>
            <w:noWrap/>
            <w:vAlign w:val="center"/>
          </w:tcPr>
          <w:p w14:paraId="06E2BB62">
            <w:pPr>
              <w:pStyle w:val="766"/>
              <w:rPr>
                <w:snapToGrid w:val="0"/>
                <w:color w:val="auto"/>
              </w:rPr>
            </w:pPr>
            <w:r>
              <w:rPr>
                <w:color w:val="auto"/>
                <w:sz w:val="18"/>
                <w:szCs w:val="18"/>
              </w:rPr>
              <w:t>NH</w:t>
            </w:r>
            <w:r>
              <w:rPr>
                <w:color w:val="auto"/>
                <w:sz w:val="18"/>
                <w:szCs w:val="18"/>
                <w:vertAlign w:val="subscript"/>
              </w:rPr>
              <w:t>3</w:t>
            </w:r>
          </w:p>
        </w:tc>
        <w:tc>
          <w:tcPr>
            <w:tcW w:w="1411" w:type="pct"/>
            <w:vMerge w:val="restart"/>
            <w:noWrap/>
            <w:vAlign w:val="center"/>
          </w:tcPr>
          <w:p w14:paraId="41F10B46">
            <w:pPr>
              <w:pStyle w:val="766"/>
              <w:rPr>
                <w:snapToGrid w:val="0"/>
                <w:color w:val="auto"/>
              </w:rPr>
            </w:pPr>
            <w:r>
              <w:rPr>
                <w:rFonts w:hint="eastAsia"/>
                <w:snapToGrid w:val="0"/>
                <w:color w:val="auto"/>
              </w:rPr>
              <w:t>全封闭车间</w:t>
            </w:r>
          </w:p>
        </w:tc>
        <w:tc>
          <w:tcPr>
            <w:tcW w:w="792" w:type="pct"/>
            <w:vMerge w:val="continue"/>
            <w:noWrap/>
            <w:vAlign w:val="center"/>
          </w:tcPr>
          <w:p w14:paraId="55F4D82E">
            <w:pPr>
              <w:pStyle w:val="766"/>
              <w:rPr>
                <w:snapToGrid w:val="0"/>
                <w:color w:val="auto"/>
              </w:rPr>
            </w:pPr>
          </w:p>
        </w:tc>
        <w:tc>
          <w:tcPr>
            <w:tcW w:w="696" w:type="pct"/>
            <w:noWrap/>
            <w:vAlign w:val="center"/>
          </w:tcPr>
          <w:p w14:paraId="2AE46BE6">
            <w:pPr>
              <w:pStyle w:val="766"/>
              <w:adjustRightInd w:val="0"/>
              <w:rPr>
                <w:color w:val="auto"/>
              </w:rPr>
            </w:pPr>
            <w:r>
              <w:rPr>
                <w:rFonts w:hint="eastAsia"/>
                <w:color w:val="auto"/>
              </w:rPr>
              <w:t>0</w:t>
            </w:r>
            <w:r>
              <w:rPr>
                <w:color w:val="auto"/>
              </w:rPr>
              <w:t>.0003</w:t>
            </w:r>
          </w:p>
        </w:tc>
        <w:tc>
          <w:tcPr>
            <w:tcW w:w="597" w:type="pct"/>
            <w:noWrap/>
            <w:vAlign w:val="center"/>
          </w:tcPr>
          <w:p w14:paraId="17800619">
            <w:pPr>
              <w:pStyle w:val="766"/>
              <w:adjustRightInd w:val="0"/>
              <w:rPr>
                <w:color w:val="auto"/>
              </w:rPr>
            </w:pPr>
            <w:r>
              <w:rPr>
                <w:rFonts w:hint="eastAsia"/>
                <w:color w:val="auto"/>
              </w:rPr>
              <w:t>0</w:t>
            </w:r>
            <w:r>
              <w:rPr>
                <w:color w:val="auto"/>
              </w:rPr>
              <w:t>.0027</w:t>
            </w:r>
          </w:p>
        </w:tc>
      </w:tr>
      <w:tr w14:paraId="36B8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blHeader/>
          <w:jc w:val="center"/>
        </w:trPr>
        <w:tc>
          <w:tcPr>
            <w:tcW w:w="178" w:type="pct"/>
            <w:vMerge w:val="continue"/>
            <w:noWrap/>
            <w:vAlign w:val="center"/>
          </w:tcPr>
          <w:p w14:paraId="2E5547E0">
            <w:pPr>
              <w:pStyle w:val="766"/>
              <w:rPr>
                <w:snapToGrid w:val="0"/>
                <w:color w:val="auto"/>
              </w:rPr>
            </w:pPr>
          </w:p>
        </w:tc>
        <w:tc>
          <w:tcPr>
            <w:tcW w:w="678" w:type="pct"/>
            <w:vMerge w:val="continue"/>
            <w:noWrap/>
            <w:vAlign w:val="center"/>
          </w:tcPr>
          <w:p w14:paraId="4E914DB7">
            <w:pPr>
              <w:pStyle w:val="766"/>
              <w:rPr>
                <w:snapToGrid w:val="0"/>
                <w:color w:val="auto"/>
              </w:rPr>
            </w:pPr>
          </w:p>
        </w:tc>
        <w:tc>
          <w:tcPr>
            <w:tcW w:w="645" w:type="pct"/>
            <w:noWrap/>
            <w:vAlign w:val="center"/>
          </w:tcPr>
          <w:p w14:paraId="7672DFEA">
            <w:pPr>
              <w:pStyle w:val="766"/>
              <w:rPr>
                <w:snapToGrid w:val="0"/>
                <w:color w:val="auto"/>
              </w:rPr>
            </w:pPr>
            <w:r>
              <w:rPr>
                <w:color w:val="auto"/>
                <w:sz w:val="18"/>
                <w:szCs w:val="18"/>
              </w:rPr>
              <w:t>H</w:t>
            </w:r>
            <w:r>
              <w:rPr>
                <w:color w:val="auto"/>
                <w:sz w:val="18"/>
                <w:szCs w:val="18"/>
                <w:vertAlign w:val="subscript"/>
              </w:rPr>
              <w:t>2</w:t>
            </w:r>
            <w:r>
              <w:rPr>
                <w:color w:val="auto"/>
                <w:sz w:val="18"/>
                <w:szCs w:val="18"/>
              </w:rPr>
              <w:t>S</w:t>
            </w:r>
          </w:p>
        </w:tc>
        <w:tc>
          <w:tcPr>
            <w:tcW w:w="1411" w:type="pct"/>
            <w:vMerge w:val="continue"/>
            <w:noWrap/>
            <w:vAlign w:val="center"/>
          </w:tcPr>
          <w:p w14:paraId="3C53E3D0">
            <w:pPr>
              <w:pStyle w:val="766"/>
              <w:rPr>
                <w:snapToGrid w:val="0"/>
                <w:color w:val="auto"/>
              </w:rPr>
            </w:pPr>
          </w:p>
        </w:tc>
        <w:tc>
          <w:tcPr>
            <w:tcW w:w="792" w:type="pct"/>
            <w:vMerge w:val="continue"/>
            <w:noWrap/>
            <w:vAlign w:val="center"/>
          </w:tcPr>
          <w:p w14:paraId="69C31858">
            <w:pPr>
              <w:pStyle w:val="766"/>
              <w:rPr>
                <w:snapToGrid w:val="0"/>
                <w:color w:val="auto"/>
              </w:rPr>
            </w:pPr>
          </w:p>
        </w:tc>
        <w:tc>
          <w:tcPr>
            <w:tcW w:w="696" w:type="pct"/>
            <w:noWrap/>
            <w:vAlign w:val="center"/>
          </w:tcPr>
          <w:p w14:paraId="245C4BA8">
            <w:pPr>
              <w:pStyle w:val="766"/>
              <w:adjustRightInd w:val="0"/>
              <w:rPr>
                <w:color w:val="auto"/>
              </w:rPr>
            </w:pPr>
            <w:r>
              <w:rPr>
                <w:rFonts w:hint="eastAsia"/>
                <w:color w:val="auto"/>
              </w:rPr>
              <w:t>0</w:t>
            </w:r>
            <w:r>
              <w:rPr>
                <w:color w:val="auto"/>
              </w:rPr>
              <w:t>.00001</w:t>
            </w:r>
          </w:p>
        </w:tc>
        <w:tc>
          <w:tcPr>
            <w:tcW w:w="597" w:type="pct"/>
            <w:noWrap/>
            <w:vAlign w:val="center"/>
          </w:tcPr>
          <w:p w14:paraId="308AD1EA">
            <w:pPr>
              <w:pStyle w:val="766"/>
              <w:adjustRightInd w:val="0"/>
              <w:rPr>
                <w:color w:val="auto"/>
              </w:rPr>
            </w:pPr>
            <w:r>
              <w:rPr>
                <w:rFonts w:hint="eastAsia"/>
                <w:color w:val="auto"/>
              </w:rPr>
              <w:t>0</w:t>
            </w:r>
            <w:r>
              <w:rPr>
                <w:color w:val="auto"/>
              </w:rPr>
              <w:t>.0001</w:t>
            </w:r>
          </w:p>
        </w:tc>
      </w:tr>
      <w:tr w14:paraId="023D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5000" w:type="pct"/>
            <w:gridSpan w:val="7"/>
            <w:noWrap/>
            <w:vAlign w:val="center"/>
          </w:tcPr>
          <w:p w14:paraId="0C206BDF">
            <w:pPr>
              <w:pStyle w:val="766"/>
              <w:rPr>
                <w:snapToGrid w:val="0"/>
                <w:color w:val="auto"/>
              </w:rPr>
            </w:pPr>
            <w:r>
              <w:rPr>
                <w:snapToGrid w:val="0"/>
                <w:color w:val="auto"/>
              </w:rPr>
              <w:t>无组织排放总计</w:t>
            </w:r>
          </w:p>
        </w:tc>
      </w:tr>
      <w:tr w14:paraId="1F4B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502" w:type="pct"/>
            <w:gridSpan w:val="3"/>
            <w:vMerge w:val="restart"/>
            <w:noWrap/>
            <w:vAlign w:val="center"/>
          </w:tcPr>
          <w:p w14:paraId="7E283A6E">
            <w:pPr>
              <w:pStyle w:val="766"/>
              <w:rPr>
                <w:snapToGrid w:val="0"/>
                <w:color w:val="auto"/>
              </w:rPr>
            </w:pPr>
            <w:r>
              <w:rPr>
                <w:snapToGrid w:val="0"/>
                <w:color w:val="auto"/>
              </w:rPr>
              <w:t>无组织排放总计</w:t>
            </w:r>
          </w:p>
        </w:tc>
        <w:tc>
          <w:tcPr>
            <w:tcW w:w="2203" w:type="pct"/>
            <w:gridSpan w:val="2"/>
            <w:noWrap/>
            <w:vAlign w:val="center"/>
          </w:tcPr>
          <w:p w14:paraId="361CB32C">
            <w:pPr>
              <w:pStyle w:val="766"/>
              <w:rPr>
                <w:snapToGrid w:val="0"/>
                <w:color w:val="auto"/>
              </w:rPr>
            </w:pPr>
            <w:r>
              <w:rPr>
                <w:color w:val="auto"/>
                <w:sz w:val="18"/>
                <w:szCs w:val="18"/>
              </w:rPr>
              <w:t>NH</w:t>
            </w:r>
            <w:r>
              <w:rPr>
                <w:color w:val="auto"/>
                <w:sz w:val="18"/>
                <w:szCs w:val="18"/>
                <w:vertAlign w:val="subscript"/>
              </w:rPr>
              <w:t>3</w:t>
            </w:r>
          </w:p>
        </w:tc>
        <w:tc>
          <w:tcPr>
            <w:tcW w:w="1293" w:type="pct"/>
            <w:gridSpan w:val="2"/>
            <w:noWrap/>
            <w:vAlign w:val="center"/>
          </w:tcPr>
          <w:p w14:paraId="51E907EF">
            <w:pPr>
              <w:pStyle w:val="766"/>
              <w:rPr>
                <w:snapToGrid w:val="0"/>
                <w:color w:val="auto"/>
              </w:rPr>
            </w:pPr>
            <w:r>
              <w:rPr>
                <w:rFonts w:hint="eastAsia"/>
                <w:color w:val="auto"/>
              </w:rPr>
              <w:t>53.8027</w:t>
            </w:r>
            <w:r>
              <w:rPr>
                <w:color w:val="auto"/>
              </w:rPr>
              <w:t>t/a</w:t>
            </w:r>
          </w:p>
        </w:tc>
      </w:tr>
      <w:tr w14:paraId="6784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502" w:type="pct"/>
            <w:gridSpan w:val="3"/>
            <w:vMerge w:val="continue"/>
            <w:noWrap/>
            <w:vAlign w:val="center"/>
          </w:tcPr>
          <w:p w14:paraId="2ABA291D">
            <w:pPr>
              <w:pStyle w:val="766"/>
              <w:rPr>
                <w:snapToGrid w:val="0"/>
                <w:color w:val="auto"/>
              </w:rPr>
            </w:pPr>
          </w:p>
        </w:tc>
        <w:tc>
          <w:tcPr>
            <w:tcW w:w="2203" w:type="pct"/>
            <w:gridSpan w:val="2"/>
            <w:noWrap/>
            <w:vAlign w:val="center"/>
          </w:tcPr>
          <w:p w14:paraId="0C02D4DD">
            <w:pPr>
              <w:pStyle w:val="766"/>
              <w:rPr>
                <w:snapToGrid w:val="0"/>
                <w:color w:val="auto"/>
              </w:rPr>
            </w:pPr>
            <w:r>
              <w:rPr>
                <w:color w:val="auto"/>
                <w:sz w:val="18"/>
                <w:szCs w:val="18"/>
              </w:rPr>
              <w:t>H</w:t>
            </w:r>
            <w:r>
              <w:rPr>
                <w:color w:val="auto"/>
                <w:sz w:val="18"/>
                <w:szCs w:val="18"/>
                <w:vertAlign w:val="subscript"/>
              </w:rPr>
              <w:t>2</w:t>
            </w:r>
            <w:r>
              <w:rPr>
                <w:color w:val="auto"/>
                <w:sz w:val="18"/>
                <w:szCs w:val="18"/>
              </w:rPr>
              <w:t>S</w:t>
            </w:r>
          </w:p>
        </w:tc>
        <w:tc>
          <w:tcPr>
            <w:tcW w:w="1293" w:type="pct"/>
            <w:gridSpan w:val="2"/>
            <w:noWrap/>
            <w:vAlign w:val="center"/>
          </w:tcPr>
          <w:p w14:paraId="50BF62AE">
            <w:pPr>
              <w:pStyle w:val="766"/>
              <w:rPr>
                <w:color w:val="auto"/>
              </w:rPr>
            </w:pPr>
            <w:r>
              <w:rPr>
                <w:rFonts w:hint="eastAsia"/>
                <w:color w:val="auto"/>
              </w:rPr>
              <w:t>2.6901</w:t>
            </w:r>
            <w:r>
              <w:rPr>
                <w:color w:val="auto"/>
              </w:rPr>
              <w:t>t/a</w:t>
            </w:r>
          </w:p>
        </w:tc>
      </w:tr>
    </w:tbl>
    <w:p w14:paraId="20B49192">
      <w:pPr>
        <w:pStyle w:val="369"/>
      </w:pPr>
      <w:r>
        <w:t>表5.2-1</w:t>
      </w:r>
      <w:r>
        <w:rPr>
          <w:rFonts w:hint="eastAsia"/>
        </w:rPr>
        <w:t>3</w:t>
      </w:r>
      <w:r>
        <w:t xml:space="preserve">  大气污染物年综合排放量核算表</w:t>
      </w:r>
    </w:p>
    <w:tbl>
      <w:tblPr>
        <w:tblStyle w:val="8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2"/>
        <w:gridCol w:w="2993"/>
        <w:gridCol w:w="3787"/>
      </w:tblGrid>
      <w:tr w14:paraId="3307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502" w:type="dxa"/>
            <w:tcBorders>
              <w:tl2br w:val="nil"/>
              <w:tr2bl w:val="nil"/>
            </w:tcBorders>
            <w:shd w:val="clear" w:color="auto" w:fill="auto"/>
            <w:vAlign w:val="center"/>
          </w:tcPr>
          <w:p w14:paraId="37B1C758">
            <w:pPr>
              <w:pStyle w:val="766"/>
              <w:rPr>
                <w:color w:val="auto"/>
              </w:rPr>
            </w:pPr>
            <w:r>
              <w:rPr>
                <w:color w:val="auto"/>
              </w:rPr>
              <w:t>序号</w:t>
            </w:r>
          </w:p>
        </w:tc>
        <w:tc>
          <w:tcPr>
            <w:tcW w:w="2994" w:type="dxa"/>
            <w:tcBorders>
              <w:tl2br w:val="nil"/>
              <w:tr2bl w:val="nil"/>
            </w:tcBorders>
            <w:shd w:val="clear" w:color="auto" w:fill="auto"/>
            <w:vAlign w:val="center"/>
          </w:tcPr>
          <w:p w14:paraId="3349B1D4">
            <w:pPr>
              <w:pStyle w:val="766"/>
              <w:rPr>
                <w:color w:val="auto"/>
              </w:rPr>
            </w:pPr>
            <w:r>
              <w:rPr>
                <w:color w:val="auto"/>
              </w:rPr>
              <w:t>污染物</w:t>
            </w:r>
          </w:p>
        </w:tc>
        <w:tc>
          <w:tcPr>
            <w:tcW w:w="3788" w:type="dxa"/>
            <w:tcBorders>
              <w:tl2br w:val="nil"/>
              <w:tr2bl w:val="nil"/>
            </w:tcBorders>
            <w:shd w:val="clear" w:color="auto" w:fill="auto"/>
            <w:vAlign w:val="center"/>
          </w:tcPr>
          <w:p w14:paraId="7562F474">
            <w:pPr>
              <w:pStyle w:val="766"/>
              <w:rPr>
                <w:color w:val="auto"/>
              </w:rPr>
            </w:pPr>
            <w:r>
              <w:rPr>
                <w:color w:val="auto"/>
              </w:rPr>
              <w:t>年排放量（t/a）</w:t>
            </w:r>
          </w:p>
        </w:tc>
      </w:tr>
      <w:tr w14:paraId="6B1D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2" w:type="dxa"/>
            <w:tcBorders>
              <w:tl2br w:val="nil"/>
              <w:tr2bl w:val="nil"/>
            </w:tcBorders>
            <w:shd w:val="clear" w:color="auto" w:fill="auto"/>
            <w:vAlign w:val="center"/>
          </w:tcPr>
          <w:p w14:paraId="3F209811">
            <w:pPr>
              <w:pStyle w:val="766"/>
              <w:rPr>
                <w:color w:val="auto"/>
              </w:rPr>
            </w:pPr>
            <w:r>
              <w:rPr>
                <w:color w:val="auto"/>
              </w:rPr>
              <w:t>1</w:t>
            </w:r>
          </w:p>
        </w:tc>
        <w:tc>
          <w:tcPr>
            <w:tcW w:w="2994" w:type="dxa"/>
            <w:tcBorders>
              <w:tl2br w:val="nil"/>
              <w:tr2bl w:val="nil"/>
            </w:tcBorders>
            <w:shd w:val="clear" w:color="auto" w:fill="auto"/>
            <w:vAlign w:val="center"/>
          </w:tcPr>
          <w:p w14:paraId="18D8C814">
            <w:pPr>
              <w:pStyle w:val="766"/>
              <w:rPr>
                <w:color w:val="auto"/>
              </w:rPr>
            </w:pPr>
            <w:r>
              <w:rPr>
                <w:rFonts w:hint="eastAsia"/>
                <w:color w:val="auto"/>
              </w:rPr>
              <w:t>PM</w:t>
            </w:r>
            <w:r>
              <w:rPr>
                <w:rFonts w:hint="eastAsia"/>
                <w:color w:val="auto"/>
                <w:vertAlign w:val="subscript"/>
              </w:rPr>
              <w:t>10</w:t>
            </w:r>
          </w:p>
        </w:tc>
        <w:tc>
          <w:tcPr>
            <w:tcW w:w="3788" w:type="dxa"/>
            <w:tcBorders>
              <w:tl2br w:val="nil"/>
              <w:tr2bl w:val="nil"/>
            </w:tcBorders>
            <w:shd w:val="clear" w:color="auto" w:fill="auto"/>
            <w:vAlign w:val="center"/>
          </w:tcPr>
          <w:p w14:paraId="1F1EC215">
            <w:pPr>
              <w:pStyle w:val="766"/>
              <w:rPr>
                <w:color w:val="auto"/>
              </w:rPr>
            </w:pPr>
            <w:r>
              <w:rPr>
                <w:rFonts w:hint="eastAsia"/>
                <w:color w:val="auto"/>
              </w:rPr>
              <w:t>0.1484</w:t>
            </w:r>
          </w:p>
        </w:tc>
      </w:tr>
      <w:tr w14:paraId="0F95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2" w:type="dxa"/>
            <w:tcBorders>
              <w:tl2br w:val="nil"/>
              <w:tr2bl w:val="nil"/>
            </w:tcBorders>
            <w:shd w:val="clear" w:color="auto" w:fill="auto"/>
            <w:vAlign w:val="center"/>
          </w:tcPr>
          <w:p w14:paraId="0D5CB2ED">
            <w:pPr>
              <w:pStyle w:val="766"/>
              <w:rPr>
                <w:color w:val="auto"/>
              </w:rPr>
            </w:pPr>
            <w:r>
              <w:rPr>
                <w:rFonts w:hint="eastAsia"/>
                <w:color w:val="auto"/>
              </w:rPr>
              <w:t>2</w:t>
            </w:r>
          </w:p>
        </w:tc>
        <w:tc>
          <w:tcPr>
            <w:tcW w:w="2994" w:type="dxa"/>
            <w:tcBorders>
              <w:tl2br w:val="nil"/>
              <w:tr2bl w:val="nil"/>
            </w:tcBorders>
            <w:shd w:val="clear" w:color="auto" w:fill="auto"/>
            <w:vAlign w:val="center"/>
          </w:tcPr>
          <w:p w14:paraId="5A74EB90">
            <w:pPr>
              <w:pStyle w:val="766"/>
              <w:rPr>
                <w:color w:val="auto"/>
              </w:rPr>
            </w:pPr>
            <w:r>
              <w:rPr>
                <w:color w:val="auto"/>
              </w:rPr>
              <w:t>NO</w:t>
            </w:r>
            <w:r>
              <w:rPr>
                <w:color w:val="auto"/>
                <w:vertAlign w:val="subscript"/>
              </w:rPr>
              <w:t>x</w:t>
            </w:r>
          </w:p>
        </w:tc>
        <w:tc>
          <w:tcPr>
            <w:tcW w:w="3788" w:type="dxa"/>
            <w:tcBorders>
              <w:tl2br w:val="nil"/>
              <w:tr2bl w:val="nil"/>
            </w:tcBorders>
            <w:shd w:val="clear" w:color="auto" w:fill="auto"/>
            <w:vAlign w:val="center"/>
          </w:tcPr>
          <w:p w14:paraId="2DB1258F">
            <w:pPr>
              <w:pStyle w:val="766"/>
              <w:rPr>
                <w:color w:val="auto"/>
                <w:szCs w:val="24"/>
              </w:rPr>
            </w:pPr>
            <w:r>
              <w:rPr>
                <w:rFonts w:hint="eastAsia"/>
                <w:color w:val="auto"/>
                <w:szCs w:val="24"/>
              </w:rPr>
              <w:t>0.714</w:t>
            </w:r>
          </w:p>
        </w:tc>
      </w:tr>
      <w:tr w14:paraId="0AC2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2" w:type="dxa"/>
            <w:tcBorders>
              <w:tl2br w:val="nil"/>
              <w:tr2bl w:val="nil"/>
            </w:tcBorders>
            <w:shd w:val="clear" w:color="auto" w:fill="auto"/>
            <w:vAlign w:val="center"/>
          </w:tcPr>
          <w:p w14:paraId="674166D9">
            <w:pPr>
              <w:pStyle w:val="766"/>
              <w:rPr>
                <w:color w:val="auto"/>
              </w:rPr>
            </w:pPr>
            <w:r>
              <w:rPr>
                <w:rFonts w:hint="eastAsia"/>
                <w:color w:val="auto"/>
              </w:rPr>
              <w:t>3</w:t>
            </w:r>
          </w:p>
        </w:tc>
        <w:tc>
          <w:tcPr>
            <w:tcW w:w="2994" w:type="dxa"/>
            <w:tcBorders>
              <w:tl2br w:val="nil"/>
              <w:tr2bl w:val="nil"/>
            </w:tcBorders>
            <w:shd w:val="clear" w:color="auto" w:fill="auto"/>
            <w:vAlign w:val="center"/>
          </w:tcPr>
          <w:p w14:paraId="471F001E">
            <w:pPr>
              <w:pStyle w:val="766"/>
              <w:rPr>
                <w:snapToGrid w:val="0"/>
                <w:color w:val="auto"/>
              </w:rPr>
            </w:pPr>
            <w:r>
              <w:rPr>
                <w:color w:val="auto"/>
                <w:sz w:val="18"/>
                <w:szCs w:val="18"/>
              </w:rPr>
              <w:t>NH</w:t>
            </w:r>
            <w:r>
              <w:rPr>
                <w:color w:val="auto"/>
                <w:sz w:val="18"/>
                <w:szCs w:val="18"/>
                <w:vertAlign w:val="subscript"/>
              </w:rPr>
              <w:t>3</w:t>
            </w:r>
          </w:p>
        </w:tc>
        <w:tc>
          <w:tcPr>
            <w:tcW w:w="3788" w:type="dxa"/>
            <w:tcBorders>
              <w:tl2br w:val="nil"/>
              <w:tr2bl w:val="nil"/>
            </w:tcBorders>
            <w:shd w:val="clear" w:color="auto" w:fill="auto"/>
            <w:vAlign w:val="center"/>
          </w:tcPr>
          <w:p w14:paraId="2F45F509">
            <w:pPr>
              <w:pStyle w:val="766"/>
              <w:rPr>
                <w:snapToGrid w:val="0"/>
                <w:color w:val="auto"/>
              </w:rPr>
            </w:pPr>
            <w:r>
              <w:rPr>
                <w:rFonts w:hint="eastAsia"/>
                <w:color w:val="auto"/>
              </w:rPr>
              <w:t>54.334</w:t>
            </w:r>
          </w:p>
        </w:tc>
      </w:tr>
      <w:tr w14:paraId="5355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2" w:type="dxa"/>
            <w:tcBorders>
              <w:tl2br w:val="nil"/>
              <w:tr2bl w:val="nil"/>
            </w:tcBorders>
            <w:shd w:val="clear" w:color="auto" w:fill="auto"/>
            <w:vAlign w:val="center"/>
          </w:tcPr>
          <w:p w14:paraId="4DD33E2A">
            <w:pPr>
              <w:pStyle w:val="766"/>
              <w:rPr>
                <w:color w:val="auto"/>
              </w:rPr>
            </w:pPr>
            <w:r>
              <w:rPr>
                <w:rFonts w:hint="eastAsia"/>
                <w:color w:val="auto"/>
              </w:rPr>
              <w:t>4</w:t>
            </w:r>
          </w:p>
        </w:tc>
        <w:tc>
          <w:tcPr>
            <w:tcW w:w="2994" w:type="dxa"/>
            <w:tcBorders>
              <w:tl2br w:val="nil"/>
              <w:tr2bl w:val="nil"/>
            </w:tcBorders>
            <w:shd w:val="clear" w:color="auto" w:fill="auto"/>
            <w:vAlign w:val="center"/>
          </w:tcPr>
          <w:p w14:paraId="3DBCC44B">
            <w:pPr>
              <w:pStyle w:val="766"/>
              <w:rPr>
                <w:snapToGrid w:val="0"/>
                <w:color w:val="auto"/>
              </w:rPr>
            </w:pPr>
            <w:r>
              <w:rPr>
                <w:color w:val="auto"/>
                <w:sz w:val="18"/>
                <w:szCs w:val="18"/>
              </w:rPr>
              <w:t>H</w:t>
            </w:r>
            <w:r>
              <w:rPr>
                <w:color w:val="auto"/>
                <w:sz w:val="18"/>
                <w:szCs w:val="18"/>
                <w:vertAlign w:val="subscript"/>
              </w:rPr>
              <w:t>2</w:t>
            </w:r>
            <w:r>
              <w:rPr>
                <w:color w:val="auto"/>
                <w:sz w:val="18"/>
                <w:szCs w:val="18"/>
              </w:rPr>
              <w:t>S</w:t>
            </w:r>
          </w:p>
        </w:tc>
        <w:tc>
          <w:tcPr>
            <w:tcW w:w="3788" w:type="dxa"/>
            <w:tcBorders>
              <w:tl2br w:val="nil"/>
              <w:tr2bl w:val="nil"/>
            </w:tcBorders>
            <w:shd w:val="clear" w:color="auto" w:fill="auto"/>
            <w:vAlign w:val="center"/>
          </w:tcPr>
          <w:p w14:paraId="1C8AA8CF">
            <w:pPr>
              <w:pStyle w:val="766"/>
              <w:rPr>
                <w:color w:val="auto"/>
              </w:rPr>
            </w:pPr>
            <w:r>
              <w:rPr>
                <w:rFonts w:hint="eastAsia"/>
                <w:color w:val="auto"/>
              </w:rPr>
              <w:t>2.74</w:t>
            </w:r>
          </w:p>
        </w:tc>
      </w:tr>
    </w:tbl>
    <w:p w14:paraId="7698C597">
      <w:pPr>
        <w:pStyle w:val="12"/>
      </w:pPr>
      <w:r>
        <w:t>5.2.2.3大气环境影响评价自查表</w:t>
      </w:r>
    </w:p>
    <w:p w14:paraId="131F338E">
      <w:pPr>
        <w:ind w:firstLine="480"/>
      </w:pPr>
      <w:r>
        <w:t>根据《环境影响评价技术导则 大气环境》（HJ2.2-2018）大气环境影响评价完成后，应对大气环境影响评价主要内容与结论进行自查。</w:t>
      </w:r>
    </w:p>
    <w:p w14:paraId="32786129">
      <w:pPr>
        <w:autoSpaceDE w:val="0"/>
        <w:autoSpaceDN w:val="0"/>
        <w:spacing w:line="240" w:lineRule="auto"/>
        <w:ind w:firstLine="482"/>
        <w:jc w:val="center"/>
        <w:rPr>
          <w:b/>
          <w:bCs/>
          <w:kern w:val="0"/>
        </w:rPr>
      </w:pPr>
      <w:r>
        <w:rPr>
          <w:b/>
          <w:bCs/>
          <w:kern w:val="0"/>
        </w:rPr>
        <w:t>表5.2.-1</w:t>
      </w:r>
      <w:r>
        <w:rPr>
          <w:rFonts w:hint="eastAsia"/>
          <w:b/>
          <w:bCs/>
          <w:kern w:val="0"/>
        </w:rPr>
        <w:t>4</w:t>
      </w:r>
      <w:r>
        <w:rPr>
          <w:b/>
          <w:bCs/>
          <w:kern w:val="0"/>
        </w:rPr>
        <w:t xml:space="preserve">   建设项目大气环境影响评价自查表</w:t>
      </w:r>
    </w:p>
    <w:tbl>
      <w:tblPr>
        <w:tblStyle w:val="8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842"/>
        <w:gridCol w:w="851"/>
        <w:gridCol w:w="283"/>
        <w:gridCol w:w="300"/>
        <w:gridCol w:w="551"/>
        <w:gridCol w:w="142"/>
        <w:gridCol w:w="141"/>
        <w:gridCol w:w="709"/>
        <w:gridCol w:w="148"/>
        <w:gridCol w:w="277"/>
        <w:gridCol w:w="284"/>
        <w:gridCol w:w="567"/>
        <w:gridCol w:w="142"/>
        <w:gridCol w:w="425"/>
        <w:gridCol w:w="283"/>
        <w:gridCol w:w="709"/>
        <w:gridCol w:w="672"/>
      </w:tblGrid>
      <w:tr w14:paraId="345708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tblHeader/>
          <w:jc w:val="center"/>
        </w:trPr>
        <w:tc>
          <w:tcPr>
            <w:tcW w:w="2714" w:type="dxa"/>
            <w:gridSpan w:val="2"/>
            <w:tcBorders>
              <w:tl2br w:val="nil"/>
              <w:tr2bl w:val="nil"/>
            </w:tcBorders>
            <w:vAlign w:val="center"/>
          </w:tcPr>
          <w:p w14:paraId="60A34E35">
            <w:pPr>
              <w:pStyle w:val="766"/>
              <w:rPr>
                <w:color w:val="auto"/>
              </w:rPr>
            </w:pPr>
            <w:r>
              <w:rPr>
                <w:color w:val="auto"/>
              </w:rPr>
              <w:t>工作内容</w:t>
            </w:r>
          </w:p>
        </w:tc>
        <w:tc>
          <w:tcPr>
            <w:tcW w:w="6484" w:type="dxa"/>
            <w:gridSpan w:val="16"/>
            <w:tcBorders>
              <w:tl2br w:val="nil"/>
              <w:tr2bl w:val="nil"/>
            </w:tcBorders>
            <w:vAlign w:val="center"/>
          </w:tcPr>
          <w:p w14:paraId="3591045B">
            <w:pPr>
              <w:pStyle w:val="766"/>
              <w:rPr>
                <w:color w:val="auto"/>
              </w:rPr>
            </w:pPr>
            <w:r>
              <w:rPr>
                <w:color w:val="auto"/>
              </w:rPr>
              <w:t>自查项目</w:t>
            </w:r>
          </w:p>
        </w:tc>
      </w:tr>
      <w:tr w14:paraId="119C88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restart"/>
            <w:tcBorders>
              <w:tl2br w:val="nil"/>
              <w:tr2bl w:val="nil"/>
            </w:tcBorders>
            <w:vAlign w:val="center"/>
          </w:tcPr>
          <w:p w14:paraId="7CB82213">
            <w:pPr>
              <w:pStyle w:val="766"/>
              <w:rPr>
                <w:color w:val="auto"/>
              </w:rPr>
            </w:pPr>
            <w:r>
              <w:rPr>
                <w:color w:val="auto"/>
              </w:rPr>
              <w:t>评价等级与范围</w:t>
            </w:r>
          </w:p>
        </w:tc>
        <w:tc>
          <w:tcPr>
            <w:tcW w:w="1842" w:type="dxa"/>
            <w:tcBorders>
              <w:tl2br w:val="nil"/>
              <w:tr2bl w:val="nil"/>
            </w:tcBorders>
            <w:vAlign w:val="center"/>
          </w:tcPr>
          <w:p w14:paraId="1E035A9E">
            <w:pPr>
              <w:pStyle w:val="766"/>
              <w:rPr>
                <w:color w:val="auto"/>
              </w:rPr>
            </w:pPr>
            <w:r>
              <w:rPr>
                <w:color w:val="auto"/>
              </w:rPr>
              <w:t>评价等级</w:t>
            </w:r>
          </w:p>
        </w:tc>
        <w:tc>
          <w:tcPr>
            <w:tcW w:w="2268" w:type="dxa"/>
            <w:gridSpan w:val="6"/>
            <w:tcBorders>
              <w:tl2br w:val="nil"/>
              <w:tr2bl w:val="nil"/>
            </w:tcBorders>
            <w:vAlign w:val="center"/>
          </w:tcPr>
          <w:p w14:paraId="17548431">
            <w:pPr>
              <w:pStyle w:val="766"/>
              <w:rPr>
                <w:color w:val="auto"/>
              </w:rPr>
            </w:pPr>
            <w:r>
              <w:rPr>
                <w:color w:val="auto"/>
              </w:rPr>
              <w:t>一级□</w:t>
            </w:r>
          </w:p>
        </w:tc>
        <w:tc>
          <w:tcPr>
            <w:tcW w:w="1985" w:type="dxa"/>
            <w:gridSpan w:val="5"/>
            <w:tcBorders>
              <w:tl2br w:val="nil"/>
              <w:tr2bl w:val="nil"/>
            </w:tcBorders>
            <w:vAlign w:val="center"/>
          </w:tcPr>
          <w:p w14:paraId="6E3AF092">
            <w:pPr>
              <w:pStyle w:val="766"/>
              <w:rPr>
                <w:color w:val="auto"/>
              </w:rPr>
            </w:pPr>
            <w:r>
              <w:rPr>
                <w:color w:val="auto"/>
              </w:rPr>
              <w:t>二级</w:t>
            </w:r>
            <w:r>
              <w:rPr>
                <w:color w:val="auto"/>
              </w:rPr>
              <w:sym w:font="Wingdings 2" w:char="0052"/>
            </w:r>
          </w:p>
        </w:tc>
        <w:tc>
          <w:tcPr>
            <w:tcW w:w="2231" w:type="dxa"/>
            <w:gridSpan w:val="5"/>
            <w:tcBorders>
              <w:tl2br w:val="nil"/>
              <w:tr2bl w:val="nil"/>
            </w:tcBorders>
            <w:vAlign w:val="center"/>
          </w:tcPr>
          <w:p w14:paraId="5A682C62">
            <w:pPr>
              <w:pStyle w:val="766"/>
              <w:rPr>
                <w:color w:val="auto"/>
              </w:rPr>
            </w:pPr>
            <w:r>
              <w:rPr>
                <w:color w:val="auto"/>
              </w:rPr>
              <w:t>三级□</w:t>
            </w:r>
          </w:p>
        </w:tc>
      </w:tr>
      <w:tr w14:paraId="780756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2CF669C5">
            <w:pPr>
              <w:pStyle w:val="766"/>
              <w:rPr>
                <w:color w:val="auto"/>
              </w:rPr>
            </w:pPr>
          </w:p>
        </w:tc>
        <w:tc>
          <w:tcPr>
            <w:tcW w:w="1842" w:type="dxa"/>
            <w:tcBorders>
              <w:tl2br w:val="nil"/>
              <w:tr2bl w:val="nil"/>
            </w:tcBorders>
            <w:vAlign w:val="center"/>
          </w:tcPr>
          <w:p w14:paraId="067FCA9F">
            <w:pPr>
              <w:pStyle w:val="766"/>
              <w:rPr>
                <w:color w:val="auto"/>
              </w:rPr>
            </w:pPr>
            <w:r>
              <w:rPr>
                <w:color w:val="auto"/>
              </w:rPr>
              <w:t>评价范围</w:t>
            </w:r>
          </w:p>
        </w:tc>
        <w:tc>
          <w:tcPr>
            <w:tcW w:w="2268" w:type="dxa"/>
            <w:gridSpan w:val="6"/>
            <w:tcBorders>
              <w:tl2br w:val="nil"/>
              <w:tr2bl w:val="nil"/>
            </w:tcBorders>
            <w:vAlign w:val="center"/>
          </w:tcPr>
          <w:p w14:paraId="71D56799">
            <w:pPr>
              <w:pStyle w:val="766"/>
              <w:rPr>
                <w:color w:val="auto"/>
              </w:rPr>
            </w:pPr>
            <w:r>
              <w:rPr>
                <w:color w:val="auto"/>
              </w:rPr>
              <w:t>边长=50km□</w:t>
            </w:r>
          </w:p>
        </w:tc>
        <w:tc>
          <w:tcPr>
            <w:tcW w:w="1985" w:type="dxa"/>
            <w:gridSpan w:val="5"/>
            <w:tcBorders>
              <w:tl2br w:val="nil"/>
              <w:tr2bl w:val="nil"/>
            </w:tcBorders>
            <w:vAlign w:val="center"/>
          </w:tcPr>
          <w:p w14:paraId="0E727098">
            <w:pPr>
              <w:pStyle w:val="766"/>
              <w:rPr>
                <w:color w:val="auto"/>
              </w:rPr>
            </w:pPr>
            <w:r>
              <w:rPr>
                <w:color w:val="auto"/>
              </w:rPr>
              <w:t>边长5～50km□</w:t>
            </w:r>
          </w:p>
        </w:tc>
        <w:tc>
          <w:tcPr>
            <w:tcW w:w="2231" w:type="dxa"/>
            <w:gridSpan w:val="5"/>
            <w:tcBorders>
              <w:tl2br w:val="nil"/>
              <w:tr2bl w:val="nil"/>
            </w:tcBorders>
            <w:vAlign w:val="center"/>
          </w:tcPr>
          <w:p w14:paraId="042FA76D">
            <w:pPr>
              <w:pStyle w:val="766"/>
              <w:rPr>
                <w:color w:val="auto"/>
              </w:rPr>
            </w:pPr>
            <w:r>
              <w:rPr>
                <w:color w:val="auto"/>
              </w:rPr>
              <w:t>边长=5km</w:t>
            </w:r>
            <w:r>
              <w:rPr>
                <w:color w:val="auto"/>
              </w:rPr>
              <w:sym w:font="Wingdings 2" w:char="0052"/>
            </w:r>
          </w:p>
        </w:tc>
      </w:tr>
      <w:tr w14:paraId="075249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restart"/>
            <w:tcBorders>
              <w:tl2br w:val="nil"/>
              <w:tr2bl w:val="nil"/>
            </w:tcBorders>
            <w:vAlign w:val="center"/>
          </w:tcPr>
          <w:p w14:paraId="42B1673D">
            <w:pPr>
              <w:pStyle w:val="766"/>
              <w:rPr>
                <w:color w:val="auto"/>
              </w:rPr>
            </w:pPr>
            <w:r>
              <w:rPr>
                <w:color w:val="auto"/>
              </w:rPr>
              <w:t>评价因子</w:t>
            </w:r>
          </w:p>
        </w:tc>
        <w:tc>
          <w:tcPr>
            <w:tcW w:w="1842" w:type="dxa"/>
            <w:tcBorders>
              <w:tl2br w:val="nil"/>
              <w:tr2bl w:val="nil"/>
            </w:tcBorders>
            <w:vAlign w:val="center"/>
          </w:tcPr>
          <w:p w14:paraId="50319842">
            <w:pPr>
              <w:pStyle w:val="766"/>
              <w:rPr>
                <w:color w:val="auto"/>
              </w:rPr>
            </w:pPr>
            <w:r>
              <w:rPr>
                <w:color w:val="auto"/>
              </w:rPr>
              <w:t>SO2 +NOx排放量</w:t>
            </w:r>
          </w:p>
        </w:tc>
        <w:tc>
          <w:tcPr>
            <w:tcW w:w="2268" w:type="dxa"/>
            <w:gridSpan w:val="6"/>
            <w:tcBorders>
              <w:tl2br w:val="nil"/>
              <w:tr2bl w:val="nil"/>
            </w:tcBorders>
            <w:vAlign w:val="center"/>
          </w:tcPr>
          <w:p w14:paraId="1BFC9874">
            <w:pPr>
              <w:pStyle w:val="766"/>
              <w:rPr>
                <w:color w:val="auto"/>
              </w:rPr>
            </w:pPr>
            <w:r>
              <w:rPr>
                <w:color w:val="auto"/>
              </w:rPr>
              <w:t>≥2000t/a□</w:t>
            </w:r>
          </w:p>
        </w:tc>
        <w:tc>
          <w:tcPr>
            <w:tcW w:w="1985" w:type="dxa"/>
            <w:gridSpan w:val="5"/>
            <w:tcBorders>
              <w:tl2br w:val="nil"/>
              <w:tr2bl w:val="nil"/>
            </w:tcBorders>
            <w:vAlign w:val="center"/>
          </w:tcPr>
          <w:p w14:paraId="0F2361AC">
            <w:pPr>
              <w:pStyle w:val="766"/>
              <w:rPr>
                <w:color w:val="auto"/>
              </w:rPr>
            </w:pPr>
            <w:r>
              <w:rPr>
                <w:color w:val="auto"/>
              </w:rPr>
              <w:t>500 ~ 2000t/a□</w:t>
            </w:r>
          </w:p>
        </w:tc>
        <w:tc>
          <w:tcPr>
            <w:tcW w:w="2231" w:type="dxa"/>
            <w:gridSpan w:val="5"/>
            <w:tcBorders>
              <w:tl2br w:val="nil"/>
              <w:tr2bl w:val="nil"/>
            </w:tcBorders>
            <w:vAlign w:val="center"/>
          </w:tcPr>
          <w:p w14:paraId="60DA1EA7">
            <w:pPr>
              <w:pStyle w:val="766"/>
              <w:rPr>
                <w:color w:val="auto"/>
              </w:rPr>
            </w:pPr>
            <w:r>
              <w:rPr>
                <w:color w:val="auto"/>
              </w:rPr>
              <w:t>＜500t/a</w:t>
            </w:r>
            <w:r>
              <w:rPr>
                <w:color w:val="auto"/>
              </w:rPr>
              <w:sym w:font="Wingdings 2" w:char="0052"/>
            </w:r>
          </w:p>
        </w:tc>
      </w:tr>
      <w:tr w14:paraId="2A14F4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4032DAF7">
            <w:pPr>
              <w:pStyle w:val="766"/>
              <w:rPr>
                <w:color w:val="auto"/>
              </w:rPr>
            </w:pPr>
          </w:p>
        </w:tc>
        <w:tc>
          <w:tcPr>
            <w:tcW w:w="1842" w:type="dxa"/>
            <w:tcBorders>
              <w:tl2br w:val="nil"/>
              <w:tr2bl w:val="nil"/>
            </w:tcBorders>
            <w:vAlign w:val="center"/>
          </w:tcPr>
          <w:p w14:paraId="284B0B32">
            <w:pPr>
              <w:pStyle w:val="766"/>
              <w:rPr>
                <w:color w:val="auto"/>
              </w:rPr>
            </w:pPr>
            <w:r>
              <w:rPr>
                <w:color w:val="auto"/>
              </w:rPr>
              <w:t>评价因子</w:t>
            </w:r>
          </w:p>
        </w:tc>
        <w:tc>
          <w:tcPr>
            <w:tcW w:w="3402" w:type="dxa"/>
            <w:gridSpan w:val="9"/>
            <w:tcBorders>
              <w:tl2br w:val="nil"/>
              <w:tr2bl w:val="nil"/>
            </w:tcBorders>
            <w:vAlign w:val="center"/>
          </w:tcPr>
          <w:p w14:paraId="1D389ED9">
            <w:pPr>
              <w:pStyle w:val="766"/>
              <w:rPr>
                <w:color w:val="auto"/>
              </w:rPr>
            </w:pPr>
            <w:r>
              <w:rPr>
                <w:color w:val="auto"/>
              </w:rPr>
              <w:t>其他污染物（</w:t>
            </w:r>
            <w:r>
              <w:rPr>
                <w:rFonts w:hint="eastAsia"/>
                <w:color w:val="auto"/>
              </w:rPr>
              <w:t>PM</w:t>
            </w:r>
            <w:r>
              <w:rPr>
                <w:rFonts w:hint="eastAsia"/>
                <w:color w:val="auto"/>
                <w:vertAlign w:val="subscript"/>
              </w:rPr>
              <w:t>10</w:t>
            </w:r>
            <w:r>
              <w:rPr>
                <w:color w:val="auto"/>
              </w:rPr>
              <w:t>、SO</w:t>
            </w:r>
            <w:r>
              <w:rPr>
                <w:color w:val="auto"/>
                <w:vertAlign w:val="subscript"/>
              </w:rPr>
              <w:t>2</w:t>
            </w:r>
            <w:r>
              <w:rPr>
                <w:color w:val="auto"/>
              </w:rPr>
              <w:t>、NO</w:t>
            </w:r>
            <w:r>
              <w:rPr>
                <w:color w:val="auto"/>
                <w:vertAlign w:val="subscript"/>
              </w:rPr>
              <w:t>x</w:t>
            </w:r>
            <w:r>
              <w:rPr>
                <w:color w:val="auto"/>
              </w:rPr>
              <w:t>、H</w:t>
            </w:r>
            <w:r>
              <w:rPr>
                <w:color w:val="auto"/>
                <w:vertAlign w:val="subscript"/>
              </w:rPr>
              <w:t>2</w:t>
            </w:r>
            <w:r>
              <w:rPr>
                <w:color w:val="auto"/>
              </w:rPr>
              <w:t>S、NH</w:t>
            </w:r>
            <w:r>
              <w:rPr>
                <w:color w:val="auto"/>
                <w:vertAlign w:val="subscript"/>
              </w:rPr>
              <w:t>3</w:t>
            </w:r>
            <w:r>
              <w:rPr>
                <w:color w:val="auto"/>
              </w:rPr>
              <w:t>）</w:t>
            </w:r>
          </w:p>
        </w:tc>
        <w:tc>
          <w:tcPr>
            <w:tcW w:w="3082" w:type="dxa"/>
            <w:gridSpan w:val="7"/>
            <w:tcBorders>
              <w:tl2br w:val="nil"/>
              <w:tr2bl w:val="nil"/>
            </w:tcBorders>
            <w:vAlign w:val="center"/>
          </w:tcPr>
          <w:p w14:paraId="137A5AD1">
            <w:pPr>
              <w:pStyle w:val="766"/>
              <w:rPr>
                <w:color w:val="auto"/>
              </w:rPr>
            </w:pPr>
            <w:r>
              <w:rPr>
                <w:color w:val="auto"/>
              </w:rPr>
              <w:t>包括二次PM2.5□</w:t>
            </w:r>
          </w:p>
          <w:p w14:paraId="5B9316BA">
            <w:pPr>
              <w:pStyle w:val="766"/>
              <w:rPr>
                <w:color w:val="auto"/>
              </w:rPr>
            </w:pPr>
            <w:r>
              <w:rPr>
                <w:color w:val="auto"/>
              </w:rPr>
              <w:t>不包括二次PM2.5</w:t>
            </w:r>
            <w:r>
              <w:rPr>
                <w:color w:val="auto"/>
              </w:rPr>
              <w:sym w:font="Wingdings 2" w:char="00A3"/>
            </w:r>
          </w:p>
        </w:tc>
      </w:tr>
      <w:tr w14:paraId="1B8DEE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tcBorders>
              <w:tl2br w:val="nil"/>
              <w:tr2bl w:val="nil"/>
            </w:tcBorders>
            <w:vAlign w:val="center"/>
          </w:tcPr>
          <w:p w14:paraId="7B2397D1">
            <w:pPr>
              <w:pStyle w:val="766"/>
              <w:rPr>
                <w:color w:val="auto"/>
              </w:rPr>
            </w:pPr>
            <w:r>
              <w:rPr>
                <w:color w:val="auto"/>
              </w:rPr>
              <w:t>评价标准</w:t>
            </w:r>
          </w:p>
        </w:tc>
        <w:tc>
          <w:tcPr>
            <w:tcW w:w="1842" w:type="dxa"/>
            <w:tcBorders>
              <w:tl2br w:val="nil"/>
              <w:tr2bl w:val="nil"/>
            </w:tcBorders>
            <w:vAlign w:val="center"/>
          </w:tcPr>
          <w:p w14:paraId="513964E2">
            <w:pPr>
              <w:pStyle w:val="766"/>
              <w:rPr>
                <w:color w:val="auto"/>
              </w:rPr>
            </w:pPr>
            <w:r>
              <w:rPr>
                <w:color w:val="auto"/>
              </w:rPr>
              <w:t>评价标准</w:t>
            </w:r>
          </w:p>
        </w:tc>
        <w:tc>
          <w:tcPr>
            <w:tcW w:w="2268" w:type="dxa"/>
            <w:gridSpan w:val="6"/>
            <w:tcBorders>
              <w:tl2br w:val="nil"/>
              <w:tr2bl w:val="nil"/>
            </w:tcBorders>
            <w:vAlign w:val="center"/>
          </w:tcPr>
          <w:p w14:paraId="3591D681">
            <w:pPr>
              <w:pStyle w:val="766"/>
              <w:rPr>
                <w:color w:val="auto"/>
              </w:rPr>
            </w:pPr>
            <w:r>
              <w:rPr>
                <w:color w:val="auto"/>
              </w:rPr>
              <w:t>国家标准</w:t>
            </w:r>
            <w:r>
              <w:rPr>
                <w:color w:val="auto"/>
              </w:rPr>
              <w:sym w:font="Wingdings 2" w:char="0052"/>
            </w:r>
          </w:p>
        </w:tc>
        <w:tc>
          <w:tcPr>
            <w:tcW w:w="1134" w:type="dxa"/>
            <w:gridSpan w:val="3"/>
            <w:tcBorders>
              <w:tl2br w:val="nil"/>
              <w:tr2bl w:val="nil"/>
            </w:tcBorders>
            <w:vAlign w:val="center"/>
          </w:tcPr>
          <w:p w14:paraId="55942A03">
            <w:pPr>
              <w:pStyle w:val="766"/>
              <w:rPr>
                <w:color w:val="auto"/>
              </w:rPr>
            </w:pPr>
            <w:r>
              <w:rPr>
                <w:color w:val="auto"/>
              </w:rPr>
              <w:t>地方标准□</w:t>
            </w:r>
          </w:p>
        </w:tc>
        <w:tc>
          <w:tcPr>
            <w:tcW w:w="1418" w:type="dxa"/>
            <w:gridSpan w:val="4"/>
            <w:tcBorders>
              <w:tl2br w:val="nil"/>
              <w:tr2bl w:val="nil"/>
            </w:tcBorders>
            <w:vAlign w:val="center"/>
          </w:tcPr>
          <w:p w14:paraId="19DAE208">
            <w:pPr>
              <w:pStyle w:val="766"/>
              <w:rPr>
                <w:color w:val="auto"/>
              </w:rPr>
            </w:pPr>
            <w:r>
              <w:rPr>
                <w:color w:val="auto"/>
              </w:rPr>
              <w:t>附录D</w:t>
            </w:r>
            <w:r>
              <w:rPr>
                <w:color w:val="auto"/>
              </w:rPr>
              <w:sym w:font="Wingdings 2" w:char="0052"/>
            </w:r>
          </w:p>
        </w:tc>
        <w:tc>
          <w:tcPr>
            <w:tcW w:w="1664" w:type="dxa"/>
            <w:gridSpan w:val="3"/>
            <w:tcBorders>
              <w:tl2br w:val="nil"/>
              <w:tr2bl w:val="nil"/>
            </w:tcBorders>
            <w:vAlign w:val="center"/>
          </w:tcPr>
          <w:p w14:paraId="027477E6">
            <w:pPr>
              <w:pStyle w:val="766"/>
              <w:rPr>
                <w:color w:val="auto"/>
              </w:rPr>
            </w:pPr>
            <w:r>
              <w:rPr>
                <w:color w:val="auto"/>
              </w:rPr>
              <w:t>其他标准□</w:t>
            </w:r>
          </w:p>
        </w:tc>
      </w:tr>
      <w:tr w14:paraId="09D606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restart"/>
            <w:tcBorders>
              <w:tl2br w:val="nil"/>
              <w:tr2bl w:val="nil"/>
            </w:tcBorders>
            <w:vAlign w:val="center"/>
          </w:tcPr>
          <w:p w14:paraId="220E1F9F">
            <w:pPr>
              <w:pStyle w:val="766"/>
              <w:rPr>
                <w:color w:val="auto"/>
              </w:rPr>
            </w:pPr>
            <w:r>
              <w:rPr>
                <w:color w:val="auto"/>
              </w:rPr>
              <w:t>现状评价</w:t>
            </w:r>
          </w:p>
        </w:tc>
        <w:tc>
          <w:tcPr>
            <w:tcW w:w="1842" w:type="dxa"/>
            <w:tcBorders>
              <w:tl2br w:val="nil"/>
              <w:tr2bl w:val="nil"/>
            </w:tcBorders>
            <w:vAlign w:val="center"/>
          </w:tcPr>
          <w:p w14:paraId="4153EEE3">
            <w:pPr>
              <w:pStyle w:val="766"/>
              <w:rPr>
                <w:color w:val="auto"/>
              </w:rPr>
            </w:pPr>
            <w:r>
              <w:rPr>
                <w:color w:val="auto"/>
              </w:rPr>
              <w:t>环境功能区</w:t>
            </w:r>
          </w:p>
        </w:tc>
        <w:tc>
          <w:tcPr>
            <w:tcW w:w="2268" w:type="dxa"/>
            <w:gridSpan w:val="6"/>
            <w:tcBorders>
              <w:tl2br w:val="nil"/>
              <w:tr2bl w:val="nil"/>
            </w:tcBorders>
            <w:vAlign w:val="center"/>
          </w:tcPr>
          <w:p w14:paraId="60202457">
            <w:pPr>
              <w:pStyle w:val="766"/>
              <w:rPr>
                <w:color w:val="auto"/>
              </w:rPr>
            </w:pPr>
            <w:r>
              <w:rPr>
                <w:color w:val="auto"/>
              </w:rPr>
              <w:t>一类区□</w:t>
            </w:r>
          </w:p>
        </w:tc>
        <w:tc>
          <w:tcPr>
            <w:tcW w:w="1985" w:type="dxa"/>
            <w:gridSpan w:val="5"/>
            <w:tcBorders>
              <w:tl2br w:val="nil"/>
              <w:tr2bl w:val="nil"/>
            </w:tcBorders>
            <w:vAlign w:val="center"/>
          </w:tcPr>
          <w:p w14:paraId="21B93730">
            <w:pPr>
              <w:pStyle w:val="766"/>
              <w:rPr>
                <w:color w:val="auto"/>
              </w:rPr>
            </w:pPr>
            <w:r>
              <w:rPr>
                <w:color w:val="auto"/>
              </w:rPr>
              <w:t>二类区□</w:t>
            </w:r>
          </w:p>
        </w:tc>
        <w:tc>
          <w:tcPr>
            <w:tcW w:w="2231" w:type="dxa"/>
            <w:gridSpan w:val="5"/>
            <w:tcBorders>
              <w:tl2br w:val="nil"/>
              <w:tr2bl w:val="nil"/>
            </w:tcBorders>
            <w:vAlign w:val="center"/>
          </w:tcPr>
          <w:p w14:paraId="4BCB56F3">
            <w:pPr>
              <w:pStyle w:val="766"/>
              <w:rPr>
                <w:color w:val="auto"/>
              </w:rPr>
            </w:pPr>
            <w:r>
              <w:rPr>
                <w:color w:val="auto"/>
              </w:rPr>
              <w:t>一类区和二类区</w:t>
            </w:r>
            <w:r>
              <w:rPr>
                <w:color w:val="auto"/>
              </w:rPr>
              <w:sym w:font="Wingdings 2" w:char="0052"/>
            </w:r>
          </w:p>
        </w:tc>
      </w:tr>
      <w:tr w14:paraId="6173ED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302640AA">
            <w:pPr>
              <w:pStyle w:val="766"/>
              <w:rPr>
                <w:color w:val="auto"/>
              </w:rPr>
            </w:pPr>
          </w:p>
        </w:tc>
        <w:tc>
          <w:tcPr>
            <w:tcW w:w="1842" w:type="dxa"/>
            <w:tcBorders>
              <w:tl2br w:val="nil"/>
              <w:tr2bl w:val="nil"/>
            </w:tcBorders>
            <w:vAlign w:val="center"/>
          </w:tcPr>
          <w:p w14:paraId="7BFB6A1A">
            <w:pPr>
              <w:pStyle w:val="766"/>
              <w:rPr>
                <w:color w:val="auto"/>
              </w:rPr>
            </w:pPr>
            <w:r>
              <w:rPr>
                <w:color w:val="auto"/>
              </w:rPr>
              <w:t>评价基准年</w:t>
            </w:r>
          </w:p>
        </w:tc>
        <w:tc>
          <w:tcPr>
            <w:tcW w:w="6484" w:type="dxa"/>
            <w:gridSpan w:val="16"/>
            <w:tcBorders>
              <w:tl2br w:val="nil"/>
              <w:tr2bl w:val="nil"/>
            </w:tcBorders>
            <w:vAlign w:val="center"/>
          </w:tcPr>
          <w:p w14:paraId="2BE375F1">
            <w:pPr>
              <w:pStyle w:val="766"/>
              <w:rPr>
                <w:color w:val="auto"/>
              </w:rPr>
            </w:pPr>
            <w:r>
              <w:rPr>
                <w:color w:val="auto"/>
              </w:rPr>
              <w:t>（202</w:t>
            </w:r>
            <w:r>
              <w:rPr>
                <w:rFonts w:hint="eastAsia"/>
                <w:color w:val="auto"/>
              </w:rPr>
              <w:t>2</w:t>
            </w:r>
            <w:r>
              <w:rPr>
                <w:color w:val="auto"/>
              </w:rPr>
              <w:t>）年</w:t>
            </w:r>
          </w:p>
        </w:tc>
      </w:tr>
      <w:tr w14:paraId="7A88C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2696B93A">
            <w:pPr>
              <w:pStyle w:val="766"/>
              <w:rPr>
                <w:color w:val="auto"/>
              </w:rPr>
            </w:pPr>
          </w:p>
        </w:tc>
        <w:tc>
          <w:tcPr>
            <w:tcW w:w="1842" w:type="dxa"/>
            <w:tcBorders>
              <w:tl2br w:val="nil"/>
              <w:tr2bl w:val="nil"/>
            </w:tcBorders>
            <w:vAlign w:val="center"/>
          </w:tcPr>
          <w:p w14:paraId="0FAAC15B">
            <w:pPr>
              <w:pStyle w:val="766"/>
              <w:rPr>
                <w:color w:val="auto"/>
              </w:rPr>
            </w:pPr>
            <w:r>
              <w:rPr>
                <w:color w:val="auto"/>
              </w:rPr>
              <w:t>环境空气质量现</w:t>
            </w:r>
          </w:p>
          <w:p w14:paraId="2797E8BC">
            <w:pPr>
              <w:pStyle w:val="766"/>
              <w:rPr>
                <w:color w:val="auto"/>
              </w:rPr>
            </w:pPr>
            <w:r>
              <w:rPr>
                <w:color w:val="auto"/>
              </w:rPr>
              <w:t>状调查数据来源</w:t>
            </w:r>
          </w:p>
        </w:tc>
        <w:tc>
          <w:tcPr>
            <w:tcW w:w="2268" w:type="dxa"/>
            <w:gridSpan w:val="6"/>
            <w:tcBorders>
              <w:tl2br w:val="nil"/>
              <w:tr2bl w:val="nil"/>
            </w:tcBorders>
            <w:vAlign w:val="center"/>
          </w:tcPr>
          <w:p w14:paraId="4EBE56A3">
            <w:pPr>
              <w:pStyle w:val="766"/>
              <w:rPr>
                <w:color w:val="auto"/>
              </w:rPr>
            </w:pPr>
            <w:r>
              <w:rPr>
                <w:color w:val="auto"/>
              </w:rPr>
              <w:t>长期例行监测数据□</w:t>
            </w:r>
          </w:p>
        </w:tc>
        <w:tc>
          <w:tcPr>
            <w:tcW w:w="2552" w:type="dxa"/>
            <w:gridSpan w:val="7"/>
            <w:tcBorders>
              <w:tl2br w:val="nil"/>
              <w:tr2bl w:val="nil"/>
            </w:tcBorders>
            <w:vAlign w:val="center"/>
          </w:tcPr>
          <w:p w14:paraId="3D0FEE37">
            <w:pPr>
              <w:pStyle w:val="766"/>
              <w:rPr>
                <w:color w:val="auto"/>
              </w:rPr>
            </w:pPr>
            <w:r>
              <w:rPr>
                <w:color w:val="auto"/>
              </w:rPr>
              <w:t>主管部门发布的数据</w:t>
            </w:r>
            <w:r>
              <w:rPr>
                <w:color w:val="auto"/>
              </w:rPr>
              <w:sym w:font="Wingdings 2" w:char="0052"/>
            </w:r>
          </w:p>
        </w:tc>
        <w:tc>
          <w:tcPr>
            <w:tcW w:w="1664" w:type="dxa"/>
            <w:gridSpan w:val="3"/>
            <w:tcBorders>
              <w:tl2br w:val="nil"/>
              <w:tr2bl w:val="nil"/>
            </w:tcBorders>
            <w:vAlign w:val="center"/>
          </w:tcPr>
          <w:p w14:paraId="51BC0703">
            <w:pPr>
              <w:pStyle w:val="766"/>
              <w:rPr>
                <w:color w:val="auto"/>
              </w:rPr>
            </w:pPr>
            <w:r>
              <w:rPr>
                <w:color w:val="auto"/>
              </w:rPr>
              <w:t>现状补充监测</w:t>
            </w:r>
            <w:r>
              <w:rPr>
                <w:color w:val="auto"/>
              </w:rPr>
              <w:sym w:font="Wingdings 2" w:char="0052"/>
            </w:r>
          </w:p>
        </w:tc>
      </w:tr>
      <w:tr w14:paraId="0ED89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7B19F028">
            <w:pPr>
              <w:pStyle w:val="766"/>
              <w:rPr>
                <w:color w:val="auto"/>
              </w:rPr>
            </w:pPr>
          </w:p>
        </w:tc>
        <w:tc>
          <w:tcPr>
            <w:tcW w:w="1842" w:type="dxa"/>
            <w:tcBorders>
              <w:tl2br w:val="nil"/>
              <w:tr2bl w:val="nil"/>
            </w:tcBorders>
            <w:vAlign w:val="center"/>
          </w:tcPr>
          <w:p w14:paraId="490EF1C9">
            <w:pPr>
              <w:pStyle w:val="766"/>
              <w:rPr>
                <w:color w:val="auto"/>
              </w:rPr>
            </w:pPr>
            <w:r>
              <w:rPr>
                <w:color w:val="auto"/>
              </w:rPr>
              <w:t>现状评价</w:t>
            </w:r>
          </w:p>
        </w:tc>
        <w:tc>
          <w:tcPr>
            <w:tcW w:w="3402" w:type="dxa"/>
            <w:gridSpan w:val="9"/>
            <w:tcBorders>
              <w:tl2br w:val="nil"/>
              <w:tr2bl w:val="nil"/>
            </w:tcBorders>
            <w:vAlign w:val="center"/>
          </w:tcPr>
          <w:p w14:paraId="49DAEC3A">
            <w:pPr>
              <w:pStyle w:val="766"/>
              <w:rPr>
                <w:color w:val="auto"/>
              </w:rPr>
            </w:pPr>
            <w:r>
              <w:rPr>
                <w:color w:val="auto"/>
              </w:rPr>
              <w:t>达标区</w:t>
            </w:r>
            <w:r>
              <w:rPr>
                <w:color w:val="auto"/>
              </w:rPr>
              <w:sym w:font="Wingdings 2" w:char="0052"/>
            </w:r>
          </w:p>
        </w:tc>
        <w:tc>
          <w:tcPr>
            <w:tcW w:w="3082" w:type="dxa"/>
            <w:gridSpan w:val="7"/>
            <w:tcBorders>
              <w:tl2br w:val="nil"/>
              <w:tr2bl w:val="nil"/>
            </w:tcBorders>
            <w:vAlign w:val="center"/>
          </w:tcPr>
          <w:p w14:paraId="7226B4C9">
            <w:pPr>
              <w:pStyle w:val="766"/>
              <w:rPr>
                <w:color w:val="auto"/>
              </w:rPr>
            </w:pPr>
            <w:r>
              <w:rPr>
                <w:color w:val="auto"/>
              </w:rPr>
              <w:t>不达标区</w:t>
            </w:r>
            <w:r>
              <w:rPr>
                <w:color w:val="auto"/>
              </w:rPr>
              <w:sym w:font="Wingdings 2" w:char="00A3"/>
            </w:r>
          </w:p>
        </w:tc>
      </w:tr>
      <w:tr w14:paraId="3FC60C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tcBorders>
              <w:tl2br w:val="nil"/>
              <w:tr2bl w:val="nil"/>
            </w:tcBorders>
            <w:vAlign w:val="center"/>
          </w:tcPr>
          <w:p w14:paraId="78B73F5D">
            <w:pPr>
              <w:pStyle w:val="766"/>
              <w:rPr>
                <w:color w:val="auto"/>
              </w:rPr>
            </w:pPr>
            <w:r>
              <w:rPr>
                <w:color w:val="auto"/>
              </w:rPr>
              <w:t>污染源调查</w:t>
            </w:r>
          </w:p>
        </w:tc>
        <w:tc>
          <w:tcPr>
            <w:tcW w:w="1842" w:type="dxa"/>
            <w:tcBorders>
              <w:tl2br w:val="nil"/>
              <w:tr2bl w:val="nil"/>
            </w:tcBorders>
            <w:vAlign w:val="center"/>
          </w:tcPr>
          <w:p w14:paraId="3B3BAE28">
            <w:pPr>
              <w:pStyle w:val="766"/>
              <w:rPr>
                <w:color w:val="auto"/>
              </w:rPr>
            </w:pPr>
            <w:r>
              <w:rPr>
                <w:color w:val="auto"/>
              </w:rPr>
              <w:t>调查内容</w:t>
            </w:r>
          </w:p>
        </w:tc>
        <w:tc>
          <w:tcPr>
            <w:tcW w:w="2268" w:type="dxa"/>
            <w:gridSpan w:val="6"/>
            <w:tcBorders>
              <w:tl2br w:val="nil"/>
              <w:tr2bl w:val="nil"/>
            </w:tcBorders>
            <w:vAlign w:val="center"/>
          </w:tcPr>
          <w:p w14:paraId="1048B727">
            <w:pPr>
              <w:pStyle w:val="766"/>
              <w:rPr>
                <w:color w:val="auto"/>
              </w:rPr>
            </w:pPr>
            <w:r>
              <w:rPr>
                <w:color w:val="auto"/>
              </w:rPr>
              <w:t>本项目正常排放</w:t>
            </w:r>
            <w:r>
              <w:rPr>
                <w:color w:val="auto"/>
              </w:rPr>
              <w:sym w:font="Wingdings 2" w:char="0052"/>
            </w:r>
            <w:r>
              <w:rPr>
                <w:color w:val="auto"/>
              </w:rPr>
              <w:t>本项目非正常排放源□现有污染源</w:t>
            </w:r>
            <w:r>
              <w:rPr>
                <w:color w:val="auto"/>
              </w:rPr>
              <w:sym w:font="Wingdings 2" w:char="00A3"/>
            </w:r>
          </w:p>
        </w:tc>
        <w:tc>
          <w:tcPr>
            <w:tcW w:w="1134" w:type="dxa"/>
            <w:gridSpan w:val="3"/>
            <w:tcBorders>
              <w:tl2br w:val="nil"/>
              <w:tr2bl w:val="nil"/>
            </w:tcBorders>
            <w:vAlign w:val="center"/>
          </w:tcPr>
          <w:p w14:paraId="196615C2">
            <w:pPr>
              <w:pStyle w:val="766"/>
              <w:rPr>
                <w:color w:val="auto"/>
              </w:rPr>
            </w:pPr>
            <w:r>
              <w:rPr>
                <w:color w:val="auto"/>
              </w:rPr>
              <w:t>拟替代的污染源</w:t>
            </w:r>
            <w:r>
              <w:rPr>
                <w:color w:val="auto"/>
              </w:rPr>
              <w:sym w:font="Wingdings 2" w:char="00A3"/>
            </w:r>
          </w:p>
        </w:tc>
        <w:tc>
          <w:tcPr>
            <w:tcW w:w="1418" w:type="dxa"/>
            <w:gridSpan w:val="4"/>
            <w:tcBorders>
              <w:tl2br w:val="nil"/>
              <w:tr2bl w:val="nil"/>
            </w:tcBorders>
            <w:vAlign w:val="center"/>
          </w:tcPr>
          <w:p w14:paraId="2CFB9C8E">
            <w:pPr>
              <w:pStyle w:val="766"/>
              <w:rPr>
                <w:color w:val="auto"/>
              </w:rPr>
            </w:pPr>
            <w:r>
              <w:rPr>
                <w:color w:val="auto"/>
              </w:rPr>
              <w:t>其他在建、拟建项目污染源</w:t>
            </w:r>
            <w:r>
              <w:rPr>
                <w:color w:val="auto"/>
              </w:rPr>
              <w:sym w:font="Wingdings 2" w:char="00A3"/>
            </w:r>
          </w:p>
        </w:tc>
        <w:tc>
          <w:tcPr>
            <w:tcW w:w="1664" w:type="dxa"/>
            <w:gridSpan w:val="3"/>
            <w:tcBorders>
              <w:tl2br w:val="nil"/>
              <w:tr2bl w:val="nil"/>
            </w:tcBorders>
            <w:vAlign w:val="center"/>
          </w:tcPr>
          <w:p w14:paraId="03101913">
            <w:pPr>
              <w:pStyle w:val="766"/>
              <w:rPr>
                <w:color w:val="auto"/>
              </w:rPr>
            </w:pPr>
            <w:r>
              <w:rPr>
                <w:color w:val="auto"/>
              </w:rPr>
              <w:t>区域污染源</w:t>
            </w:r>
            <w:r>
              <w:rPr>
                <w:color w:val="auto"/>
              </w:rPr>
              <w:sym w:font="Wingdings 2" w:char="00A3"/>
            </w:r>
          </w:p>
        </w:tc>
      </w:tr>
      <w:tr w14:paraId="12553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restart"/>
            <w:tcBorders>
              <w:tl2br w:val="nil"/>
              <w:tr2bl w:val="nil"/>
            </w:tcBorders>
            <w:vAlign w:val="center"/>
          </w:tcPr>
          <w:p w14:paraId="40758DA0">
            <w:pPr>
              <w:pStyle w:val="766"/>
              <w:rPr>
                <w:color w:val="auto"/>
              </w:rPr>
            </w:pPr>
            <w:r>
              <w:rPr>
                <w:color w:val="auto"/>
              </w:rPr>
              <w:t>大气环境影响预测与评价</w:t>
            </w:r>
          </w:p>
        </w:tc>
        <w:tc>
          <w:tcPr>
            <w:tcW w:w="1842" w:type="dxa"/>
            <w:tcBorders>
              <w:tl2br w:val="nil"/>
              <w:tr2bl w:val="nil"/>
            </w:tcBorders>
            <w:vAlign w:val="center"/>
          </w:tcPr>
          <w:p w14:paraId="761BDFE9">
            <w:pPr>
              <w:pStyle w:val="766"/>
              <w:rPr>
                <w:color w:val="auto"/>
              </w:rPr>
            </w:pPr>
            <w:r>
              <w:rPr>
                <w:color w:val="auto"/>
              </w:rPr>
              <w:t>预测模型</w:t>
            </w:r>
          </w:p>
        </w:tc>
        <w:tc>
          <w:tcPr>
            <w:tcW w:w="1134" w:type="dxa"/>
            <w:gridSpan w:val="2"/>
            <w:tcBorders>
              <w:tl2br w:val="nil"/>
              <w:tr2bl w:val="nil"/>
            </w:tcBorders>
            <w:vAlign w:val="center"/>
          </w:tcPr>
          <w:p w14:paraId="1DE89929">
            <w:pPr>
              <w:pStyle w:val="766"/>
              <w:rPr>
                <w:color w:val="auto"/>
              </w:rPr>
            </w:pPr>
            <w:r>
              <w:rPr>
                <w:color w:val="auto"/>
              </w:rPr>
              <w:t>AERMOD□</w:t>
            </w:r>
          </w:p>
        </w:tc>
        <w:tc>
          <w:tcPr>
            <w:tcW w:w="851" w:type="dxa"/>
            <w:gridSpan w:val="2"/>
            <w:tcBorders>
              <w:tl2br w:val="nil"/>
              <w:tr2bl w:val="nil"/>
            </w:tcBorders>
            <w:vAlign w:val="center"/>
          </w:tcPr>
          <w:p w14:paraId="2BD67C2F">
            <w:pPr>
              <w:pStyle w:val="766"/>
              <w:rPr>
                <w:color w:val="auto"/>
              </w:rPr>
            </w:pPr>
            <w:r>
              <w:rPr>
                <w:color w:val="auto"/>
              </w:rPr>
              <w:t>ADMS□</w:t>
            </w:r>
          </w:p>
        </w:tc>
        <w:tc>
          <w:tcPr>
            <w:tcW w:w="1417" w:type="dxa"/>
            <w:gridSpan w:val="5"/>
            <w:tcBorders>
              <w:tl2br w:val="nil"/>
              <w:tr2bl w:val="nil"/>
            </w:tcBorders>
            <w:vAlign w:val="center"/>
          </w:tcPr>
          <w:p w14:paraId="7DA0BFDA">
            <w:pPr>
              <w:pStyle w:val="766"/>
              <w:rPr>
                <w:color w:val="auto"/>
              </w:rPr>
            </w:pPr>
            <w:r>
              <w:rPr>
                <w:color w:val="auto"/>
              </w:rPr>
              <w:t>AUSTAL2000□</w:t>
            </w:r>
          </w:p>
        </w:tc>
        <w:tc>
          <w:tcPr>
            <w:tcW w:w="851" w:type="dxa"/>
            <w:gridSpan w:val="2"/>
            <w:tcBorders>
              <w:tl2br w:val="nil"/>
              <w:tr2bl w:val="nil"/>
            </w:tcBorders>
            <w:vAlign w:val="center"/>
          </w:tcPr>
          <w:p w14:paraId="10743C52">
            <w:pPr>
              <w:pStyle w:val="766"/>
              <w:rPr>
                <w:color w:val="auto"/>
              </w:rPr>
            </w:pPr>
            <w:r>
              <w:rPr>
                <w:color w:val="auto"/>
              </w:rPr>
              <w:t>EDMS/AEDT□</w:t>
            </w:r>
          </w:p>
        </w:tc>
        <w:tc>
          <w:tcPr>
            <w:tcW w:w="850" w:type="dxa"/>
            <w:gridSpan w:val="3"/>
            <w:tcBorders>
              <w:tl2br w:val="nil"/>
              <w:tr2bl w:val="nil"/>
            </w:tcBorders>
            <w:vAlign w:val="center"/>
          </w:tcPr>
          <w:p w14:paraId="077A4FB1">
            <w:pPr>
              <w:pStyle w:val="766"/>
              <w:rPr>
                <w:color w:val="auto"/>
              </w:rPr>
            </w:pPr>
            <w:r>
              <w:rPr>
                <w:color w:val="auto"/>
              </w:rPr>
              <w:t>CALPUFF□</w:t>
            </w:r>
          </w:p>
        </w:tc>
        <w:tc>
          <w:tcPr>
            <w:tcW w:w="709" w:type="dxa"/>
            <w:tcBorders>
              <w:tl2br w:val="nil"/>
              <w:tr2bl w:val="nil"/>
            </w:tcBorders>
            <w:vAlign w:val="center"/>
          </w:tcPr>
          <w:p w14:paraId="12CBB8C4">
            <w:pPr>
              <w:pStyle w:val="766"/>
              <w:rPr>
                <w:color w:val="auto"/>
              </w:rPr>
            </w:pPr>
            <w:r>
              <w:rPr>
                <w:color w:val="auto"/>
              </w:rPr>
              <w:t>网络模型□</w:t>
            </w:r>
          </w:p>
        </w:tc>
        <w:tc>
          <w:tcPr>
            <w:tcW w:w="672" w:type="dxa"/>
            <w:tcBorders>
              <w:tl2br w:val="nil"/>
              <w:tr2bl w:val="nil"/>
            </w:tcBorders>
            <w:vAlign w:val="center"/>
          </w:tcPr>
          <w:p w14:paraId="524C5918">
            <w:pPr>
              <w:pStyle w:val="766"/>
              <w:rPr>
                <w:color w:val="auto"/>
              </w:rPr>
            </w:pPr>
            <w:r>
              <w:rPr>
                <w:color w:val="auto"/>
              </w:rPr>
              <w:t>其他</w:t>
            </w:r>
            <w:r>
              <w:rPr>
                <w:color w:val="auto"/>
              </w:rPr>
              <w:sym w:font="Wingdings 2" w:char="0052"/>
            </w:r>
          </w:p>
        </w:tc>
      </w:tr>
      <w:tr w14:paraId="5D12F2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60A9696E">
            <w:pPr>
              <w:pStyle w:val="766"/>
              <w:rPr>
                <w:color w:val="auto"/>
              </w:rPr>
            </w:pPr>
          </w:p>
        </w:tc>
        <w:tc>
          <w:tcPr>
            <w:tcW w:w="1842" w:type="dxa"/>
            <w:tcBorders>
              <w:tl2br w:val="nil"/>
              <w:tr2bl w:val="nil"/>
            </w:tcBorders>
            <w:vAlign w:val="center"/>
          </w:tcPr>
          <w:p w14:paraId="6B11A9ED">
            <w:pPr>
              <w:pStyle w:val="766"/>
              <w:rPr>
                <w:color w:val="auto"/>
              </w:rPr>
            </w:pPr>
            <w:r>
              <w:rPr>
                <w:color w:val="auto"/>
              </w:rPr>
              <w:t>预测范围</w:t>
            </w:r>
          </w:p>
        </w:tc>
        <w:tc>
          <w:tcPr>
            <w:tcW w:w="2268" w:type="dxa"/>
            <w:gridSpan w:val="6"/>
            <w:tcBorders>
              <w:tl2br w:val="nil"/>
              <w:tr2bl w:val="nil"/>
            </w:tcBorders>
            <w:vAlign w:val="center"/>
          </w:tcPr>
          <w:p w14:paraId="68C1A18D">
            <w:pPr>
              <w:pStyle w:val="766"/>
              <w:rPr>
                <w:color w:val="auto"/>
              </w:rPr>
            </w:pPr>
            <w:r>
              <w:rPr>
                <w:color w:val="auto"/>
              </w:rPr>
              <w:t>边长≥50km□</w:t>
            </w:r>
          </w:p>
        </w:tc>
        <w:tc>
          <w:tcPr>
            <w:tcW w:w="2552" w:type="dxa"/>
            <w:gridSpan w:val="7"/>
            <w:tcBorders>
              <w:tl2br w:val="nil"/>
              <w:tr2bl w:val="nil"/>
            </w:tcBorders>
            <w:vAlign w:val="center"/>
          </w:tcPr>
          <w:p w14:paraId="23CC3CAC">
            <w:pPr>
              <w:pStyle w:val="766"/>
              <w:rPr>
                <w:color w:val="auto"/>
              </w:rPr>
            </w:pPr>
            <w:r>
              <w:rPr>
                <w:color w:val="auto"/>
              </w:rPr>
              <w:t>边长5～50km□</w:t>
            </w:r>
          </w:p>
        </w:tc>
        <w:tc>
          <w:tcPr>
            <w:tcW w:w="1664" w:type="dxa"/>
            <w:gridSpan w:val="3"/>
            <w:tcBorders>
              <w:tl2br w:val="nil"/>
              <w:tr2bl w:val="nil"/>
            </w:tcBorders>
            <w:vAlign w:val="center"/>
          </w:tcPr>
          <w:p w14:paraId="31A8AA95">
            <w:pPr>
              <w:pStyle w:val="766"/>
              <w:rPr>
                <w:color w:val="auto"/>
              </w:rPr>
            </w:pPr>
            <w:r>
              <w:rPr>
                <w:color w:val="auto"/>
              </w:rPr>
              <w:t>边长=5km</w:t>
            </w:r>
            <w:r>
              <w:rPr>
                <w:color w:val="auto"/>
              </w:rPr>
              <w:sym w:font="Wingdings 2" w:char="0052"/>
            </w:r>
          </w:p>
        </w:tc>
      </w:tr>
      <w:tr w14:paraId="51052D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517E8773">
            <w:pPr>
              <w:pStyle w:val="766"/>
              <w:rPr>
                <w:color w:val="auto"/>
              </w:rPr>
            </w:pPr>
          </w:p>
        </w:tc>
        <w:tc>
          <w:tcPr>
            <w:tcW w:w="1842" w:type="dxa"/>
            <w:tcBorders>
              <w:tl2br w:val="nil"/>
              <w:tr2bl w:val="nil"/>
            </w:tcBorders>
            <w:vAlign w:val="center"/>
          </w:tcPr>
          <w:p w14:paraId="4C58FE90">
            <w:pPr>
              <w:pStyle w:val="766"/>
              <w:rPr>
                <w:color w:val="auto"/>
              </w:rPr>
            </w:pPr>
            <w:r>
              <w:rPr>
                <w:color w:val="auto"/>
              </w:rPr>
              <w:t>预测因子</w:t>
            </w:r>
          </w:p>
        </w:tc>
        <w:tc>
          <w:tcPr>
            <w:tcW w:w="3686" w:type="dxa"/>
            <w:gridSpan w:val="10"/>
            <w:tcBorders>
              <w:tl2br w:val="nil"/>
              <w:tr2bl w:val="nil"/>
            </w:tcBorders>
            <w:vAlign w:val="center"/>
          </w:tcPr>
          <w:p w14:paraId="44119A40">
            <w:pPr>
              <w:pStyle w:val="766"/>
              <w:rPr>
                <w:color w:val="auto"/>
              </w:rPr>
            </w:pPr>
            <w:r>
              <w:rPr>
                <w:color w:val="auto"/>
              </w:rPr>
              <w:t>预测因子（</w:t>
            </w:r>
            <w:r>
              <w:rPr>
                <w:rFonts w:hint="eastAsia"/>
                <w:color w:val="auto"/>
              </w:rPr>
              <w:t xml:space="preserve"> </w:t>
            </w:r>
            <w:r>
              <w:rPr>
                <w:color w:val="auto"/>
              </w:rPr>
              <w:t>）</w:t>
            </w:r>
          </w:p>
        </w:tc>
        <w:tc>
          <w:tcPr>
            <w:tcW w:w="2798" w:type="dxa"/>
            <w:gridSpan w:val="6"/>
            <w:tcBorders>
              <w:tl2br w:val="nil"/>
              <w:tr2bl w:val="nil"/>
            </w:tcBorders>
            <w:vAlign w:val="center"/>
          </w:tcPr>
          <w:p w14:paraId="03F02A71">
            <w:pPr>
              <w:pStyle w:val="766"/>
              <w:rPr>
                <w:color w:val="auto"/>
              </w:rPr>
            </w:pPr>
            <w:r>
              <w:rPr>
                <w:color w:val="auto"/>
              </w:rPr>
              <w:t>包括二次PM2.5□</w:t>
            </w:r>
          </w:p>
          <w:p w14:paraId="68344F8D">
            <w:pPr>
              <w:pStyle w:val="766"/>
              <w:rPr>
                <w:color w:val="auto"/>
              </w:rPr>
            </w:pPr>
            <w:r>
              <w:rPr>
                <w:color w:val="auto"/>
              </w:rPr>
              <w:t>不包括二次PM2.5</w:t>
            </w:r>
            <w:r>
              <w:rPr>
                <w:color w:val="auto"/>
              </w:rPr>
              <w:sym w:font="Wingdings 2" w:char="0052"/>
            </w:r>
          </w:p>
        </w:tc>
      </w:tr>
      <w:tr w14:paraId="43A0EE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64E5A1B6">
            <w:pPr>
              <w:pStyle w:val="766"/>
              <w:rPr>
                <w:color w:val="auto"/>
              </w:rPr>
            </w:pPr>
          </w:p>
        </w:tc>
        <w:tc>
          <w:tcPr>
            <w:tcW w:w="1842" w:type="dxa"/>
            <w:tcBorders>
              <w:tl2br w:val="nil"/>
              <w:tr2bl w:val="nil"/>
            </w:tcBorders>
            <w:vAlign w:val="center"/>
          </w:tcPr>
          <w:p w14:paraId="5D82AC36">
            <w:pPr>
              <w:pStyle w:val="766"/>
              <w:rPr>
                <w:color w:val="auto"/>
              </w:rPr>
            </w:pPr>
            <w:r>
              <w:rPr>
                <w:color w:val="auto"/>
              </w:rPr>
              <w:t>正常排放短期浓度贡献值</w:t>
            </w:r>
          </w:p>
        </w:tc>
        <w:tc>
          <w:tcPr>
            <w:tcW w:w="3686" w:type="dxa"/>
            <w:gridSpan w:val="10"/>
            <w:tcBorders>
              <w:tl2br w:val="nil"/>
              <w:tr2bl w:val="nil"/>
            </w:tcBorders>
            <w:vAlign w:val="center"/>
          </w:tcPr>
          <w:p w14:paraId="00BBFD4C">
            <w:pPr>
              <w:pStyle w:val="766"/>
              <w:rPr>
                <w:color w:val="auto"/>
              </w:rPr>
            </w:pPr>
            <w:r>
              <w:rPr>
                <w:color w:val="auto"/>
              </w:rPr>
              <w:t>C本项目最大占标率≤100%</w:t>
            </w:r>
            <w:r>
              <w:rPr>
                <w:color w:val="auto"/>
              </w:rPr>
              <w:sym w:font="Wingdings 2" w:char="00A3"/>
            </w:r>
          </w:p>
        </w:tc>
        <w:tc>
          <w:tcPr>
            <w:tcW w:w="2798" w:type="dxa"/>
            <w:gridSpan w:val="6"/>
            <w:tcBorders>
              <w:tl2br w:val="nil"/>
              <w:tr2bl w:val="nil"/>
            </w:tcBorders>
            <w:vAlign w:val="center"/>
          </w:tcPr>
          <w:p w14:paraId="18B73158">
            <w:pPr>
              <w:pStyle w:val="766"/>
              <w:rPr>
                <w:color w:val="auto"/>
              </w:rPr>
            </w:pPr>
            <w:r>
              <w:rPr>
                <w:color w:val="auto"/>
              </w:rPr>
              <w:t>C本项目最大占标率＞100%□</w:t>
            </w:r>
          </w:p>
        </w:tc>
      </w:tr>
      <w:tr w14:paraId="2D23B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Merge w:val="continue"/>
            <w:tcBorders>
              <w:tl2br w:val="nil"/>
              <w:tr2bl w:val="nil"/>
            </w:tcBorders>
            <w:vAlign w:val="center"/>
          </w:tcPr>
          <w:p w14:paraId="7E6E5F1A">
            <w:pPr>
              <w:pStyle w:val="766"/>
              <w:rPr>
                <w:color w:val="auto"/>
              </w:rPr>
            </w:pPr>
          </w:p>
        </w:tc>
        <w:tc>
          <w:tcPr>
            <w:tcW w:w="1842" w:type="dxa"/>
            <w:vMerge w:val="restart"/>
            <w:tcBorders>
              <w:tl2br w:val="nil"/>
              <w:tr2bl w:val="nil"/>
            </w:tcBorders>
            <w:vAlign w:val="center"/>
          </w:tcPr>
          <w:p w14:paraId="42D2F8CD">
            <w:pPr>
              <w:pStyle w:val="766"/>
              <w:rPr>
                <w:color w:val="auto"/>
              </w:rPr>
            </w:pPr>
            <w:r>
              <w:rPr>
                <w:color w:val="auto"/>
              </w:rPr>
              <w:t>正常排放年均浓度贡献值</w:t>
            </w:r>
          </w:p>
        </w:tc>
        <w:tc>
          <w:tcPr>
            <w:tcW w:w="851" w:type="dxa"/>
            <w:tcBorders>
              <w:tl2br w:val="nil"/>
              <w:tr2bl w:val="nil"/>
            </w:tcBorders>
            <w:vAlign w:val="center"/>
          </w:tcPr>
          <w:p w14:paraId="5ABF9F01">
            <w:pPr>
              <w:pStyle w:val="766"/>
              <w:rPr>
                <w:color w:val="auto"/>
              </w:rPr>
            </w:pPr>
            <w:r>
              <w:rPr>
                <w:color w:val="auto"/>
              </w:rPr>
              <w:t>一类区</w:t>
            </w:r>
          </w:p>
        </w:tc>
        <w:tc>
          <w:tcPr>
            <w:tcW w:w="2835" w:type="dxa"/>
            <w:gridSpan w:val="9"/>
            <w:tcBorders>
              <w:tl2br w:val="nil"/>
              <w:tr2bl w:val="nil"/>
            </w:tcBorders>
            <w:vAlign w:val="center"/>
          </w:tcPr>
          <w:p w14:paraId="1AD95F0A">
            <w:pPr>
              <w:pStyle w:val="766"/>
              <w:rPr>
                <w:color w:val="auto"/>
              </w:rPr>
            </w:pPr>
            <w:r>
              <w:rPr>
                <w:color w:val="auto"/>
              </w:rPr>
              <w:t>C本项目最大占标率≤10%</w:t>
            </w:r>
            <w:r>
              <w:rPr>
                <w:rFonts w:hint="eastAsia"/>
                <w:color w:val="auto"/>
              </w:rPr>
              <w:t>□</w:t>
            </w:r>
          </w:p>
        </w:tc>
        <w:tc>
          <w:tcPr>
            <w:tcW w:w="2798" w:type="dxa"/>
            <w:gridSpan w:val="6"/>
            <w:tcBorders>
              <w:tl2br w:val="nil"/>
              <w:tr2bl w:val="nil"/>
            </w:tcBorders>
            <w:vAlign w:val="center"/>
          </w:tcPr>
          <w:p w14:paraId="7322AC84">
            <w:pPr>
              <w:pStyle w:val="766"/>
              <w:rPr>
                <w:color w:val="auto"/>
              </w:rPr>
            </w:pPr>
            <w:r>
              <w:rPr>
                <w:color w:val="auto"/>
              </w:rPr>
              <w:t>C本项目最大占标率＞10%□</w:t>
            </w:r>
          </w:p>
        </w:tc>
      </w:tr>
      <w:tr w14:paraId="2B597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72" w:type="dxa"/>
            <w:vMerge w:val="continue"/>
            <w:tcBorders>
              <w:tl2br w:val="nil"/>
              <w:tr2bl w:val="nil"/>
            </w:tcBorders>
            <w:vAlign w:val="center"/>
          </w:tcPr>
          <w:p w14:paraId="2D08130C">
            <w:pPr>
              <w:pStyle w:val="766"/>
              <w:rPr>
                <w:color w:val="auto"/>
              </w:rPr>
            </w:pPr>
          </w:p>
        </w:tc>
        <w:tc>
          <w:tcPr>
            <w:tcW w:w="1842" w:type="dxa"/>
            <w:vMerge w:val="continue"/>
            <w:tcBorders>
              <w:tl2br w:val="nil"/>
              <w:tr2bl w:val="nil"/>
            </w:tcBorders>
            <w:vAlign w:val="center"/>
          </w:tcPr>
          <w:p w14:paraId="570DA780">
            <w:pPr>
              <w:pStyle w:val="766"/>
              <w:rPr>
                <w:color w:val="auto"/>
              </w:rPr>
            </w:pPr>
          </w:p>
        </w:tc>
        <w:tc>
          <w:tcPr>
            <w:tcW w:w="851" w:type="dxa"/>
            <w:tcBorders>
              <w:tl2br w:val="nil"/>
              <w:tr2bl w:val="nil"/>
            </w:tcBorders>
            <w:vAlign w:val="center"/>
          </w:tcPr>
          <w:p w14:paraId="4A7CA9D4">
            <w:pPr>
              <w:pStyle w:val="766"/>
              <w:rPr>
                <w:color w:val="auto"/>
              </w:rPr>
            </w:pPr>
            <w:r>
              <w:rPr>
                <w:color w:val="auto"/>
              </w:rPr>
              <w:t>二类区</w:t>
            </w:r>
          </w:p>
        </w:tc>
        <w:tc>
          <w:tcPr>
            <w:tcW w:w="2835" w:type="dxa"/>
            <w:gridSpan w:val="9"/>
            <w:tcBorders>
              <w:tl2br w:val="nil"/>
              <w:tr2bl w:val="nil"/>
            </w:tcBorders>
            <w:vAlign w:val="center"/>
          </w:tcPr>
          <w:p w14:paraId="5F8398D1">
            <w:pPr>
              <w:pStyle w:val="766"/>
              <w:rPr>
                <w:color w:val="auto"/>
              </w:rPr>
            </w:pPr>
            <w:r>
              <w:rPr>
                <w:color w:val="auto"/>
              </w:rPr>
              <w:t>C本项目最大占标率≤30%</w:t>
            </w:r>
            <w:r>
              <w:rPr>
                <w:color w:val="auto"/>
              </w:rPr>
              <w:sym w:font="Wingdings 2" w:char="00A3"/>
            </w:r>
          </w:p>
        </w:tc>
        <w:tc>
          <w:tcPr>
            <w:tcW w:w="2798" w:type="dxa"/>
            <w:gridSpan w:val="6"/>
            <w:tcBorders>
              <w:tl2br w:val="nil"/>
              <w:tr2bl w:val="nil"/>
            </w:tcBorders>
            <w:vAlign w:val="center"/>
          </w:tcPr>
          <w:p w14:paraId="4F50094D">
            <w:pPr>
              <w:pStyle w:val="766"/>
              <w:rPr>
                <w:color w:val="auto"/>
              </w:rPr>
            </w:pPr>
            <w:r>
              <w:rPr>
                <w:color w:val="auto"/>
              </w:rPr>
              <w:t>C本项目最大占标率＞30%□</w:t>
            </w:r>
          </w:p>
        </w:tc>
      </w:tr>
      <w:tr w14:paraId="4F201D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60B35B16">
            <w:pPr>
              <w:pStyle w:val="766"/>
              <w:rPr>
                <w:color w:val="auto"/>
              </w:rPr>
            </w:pPr>
          </w:p>
        </w:tc>
        <w:tc>
          <w:tcPr>
            <w:tcW w:w="1842" w:type="dxa"/>
            <w:tcBorders>
              <w:tl2br w:val="nil"/>
              <w:tr2bl w:val="nil"/>
            </w:tcBorders>
            <w:vAlign w:val="center"/>
          </w:tcPr>
          <w:p w14:paraId="097EFFEB">
            <w:pPr>
              <w:pStyle w:val="766"/>
              <w:rPr>
                <w:color w:val="auto"/>
              </w:rPr>
            </w:pPr>
            <w:r>
              <w:rPr>
                <w:color w:val="auto"/>
              </w:rPr>
              <w:t>非正常排放1h浓度贡献值</w:t>
            </w:r>
          </w:p>
        </w:tc>
        <w:tc>
          <w:tcPr>
            <w:tcW w:w="2127" w:type="dxa"/>
            <w:gridSpan w:val="5"/>
            <w:tcBorders>
              <w:tl2br w:val="nil"/>
              <w:tr2bl w:val="nil"/>
            </w:tcBorders>
            <w:vAlign w:val="center"/>
          </w:tcPr>
          <w:p w14:paraId="61E6E4FD">
            <w:pPr>
              <w:pStyle w:val="766"/>
              <w:rPr>
                <w:color w:val="auto"/>
              </w:rPr>
            </w:pPr>
            <w:r>
              <w:rPr>
                <w:color w:val="auto"/>
              </w:rPr>
              <w:t>非正常持续时长（/）h</w:t>
            </w:r>
          </w:p>
        </w:tc>
        <w:tc>
          <w:tcPr>
            <w:tcW w:w="2268" w:type="dxa"/>
            <w:gridSpan w:val="7"/>
            <w:tcBorders>
              <w:tl2br w:val="nil"/>
              <w:tr2bl w:val="nil"/>
            </w:tcBorders>
            <w:vAlign w:val="center"/>
          </w:tcPr>
          <w:p w14:paraId="1E54733D">
            <w:pPr>
              <w:pStyle w:val="766"/>
              <w:rPr>
                <w:color w:val="auto"/>
              </w:rPr>
            </w:pPr>
            <w:r>
              <w:rPr>
                <w:color w:val="auto"/>
              </w:rPr>
              <w:t>C非正常占标率≤100%□</w:t>
            </w:r>
          </w:p>
        </w:tc>
        <w:tc>
          <w:tcPr>
            <w:tcW w:w="2089" w:type="dxa"/>
            <w:gridSpan w:val="4"/>
            <w:tcBorders>
              <w:tl2br w:val="nil"/>
              <w:tr2bl w:val="nil"/>
            </w:tcBorders>
            <w:vAlign w:val="center"/>
          </w:tcPr>
          <w:p w14:paraId="69E4912D">
            <w:pPr>
              <w:pStyle w:val="766"/>
              <w:rPr>
                <w:color w:val="auto"/>
              </w:rPr>
            </w:pPr>
            <w:r>
              <w:rPr>
                <w:color w:val="auto"/>
              </w:rPr>
              <w:t>C非正常占标率＞100%□</w:t>
            </w:r>
          </w:p>
        </w:tc>
      </w:tr>
      <w:tr w14:paraId="6D82EB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7F7861FE">
            <w:pPr>
              <w:pStyle w:val="766"/>
              <w:rPr>
                <w:color w:val="auto"/>
              </w:rPr>
            </w:pPr>
          </w:p>
        </w:tc>
        <w:tc>
          <w:tcPr>
            <w:tcW w:w="1842" w:type="dxa"/>
            <w:tcBorders>
              <w:tl2br w:val="nil"/>
              <w:tr2bl w:val="nil"/>
            </w:tcBorders>
            <w:vAlign w:val="center"/>
          </w:tcPr>
          <w:p w14:paraId="6779DD83">
            <w:pPr>
              <w:pStyle w:val="766"/>
              <w:rPr>
                <w:color w:val="auto"/>
              </w:rPr>
            </w:pPr>
            <w:r>
              <w:rPr>
                <w:color w:val="auto"/>
              </w:rPr>
              <w:t>保证率日平均浓度和年平均浓度叠加值</w:t>
            </w:r>
          </w:p>
        </w:tc>
        <w:tc>
          <w:tcPr>
            <w:tcW w:w="2977" w:type="dxa"/>
            <w:gridSpan w:val="7"/>
            <w:tcBorders>
              <w:tl2br w:val="nil"/>
              <w:tr2bl w:val="nil"/>
            </w:tcBorders>
            <w:vAlign w:val="center"/>
          </w:tcPr>
          <w:p w14:paraId="17A7D0DE">
            <w:pPr>
              <w:pStyle w:val="766"/>
              <w:rPr>
                <w:color w:val="auto"/>
              </w:rPr>
            </w:pPr>
            <w:r>
              <w:rPr>
                <w:color w:val="auto"/>
              </w:rPr>
              <w:t>C叠加达标□</w:t>
            </w:r>
          </w:p>
        </w:tc>
        <w:tc>
          <w:tcPr>
            <w:tcW w:w="3507" w:type="dxa"/>
            <w:gridSpan w:val="9"/>
            <w:tcBorders>
              <w:tl2br w:val="nil"/>
              <w:tr2bl w:val="nil"/>
            </w:tcBorders>
            <w:vAlign w:val="center"/>
          </w:tcPr>
          <w:p w14:paraId="0EA44DA9">
            <w:pPr>
              <w:pStyle w:val="766"/>
              <w:rPr>
                <w:color w:val="auto"/>
              </w:rPr>
            </w:pPr>
            <w:r>
              <w:rPr>
                <w:color w:val="auto"/>
              </w:rPr>
              <w:t>C叠加不达标□</w:t>
            </w:r>
          </w:p>
        </w:tc>
      </w:tr>
      <w:tr w14:paraId="76F3A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2D0A3ED7">
            <w:pPr>
              <w:pStyle w:val="766"/>
              <w:rPr>
                <w:color w:val="auto"/>
              </w:rPr>
            </w:pPr>
          </w:p>
        </w:tc>
        <w:tc>
          <w:tcPr>
            <w:tcW w:w="1842" w:type="dxa"/>
            <w:tcBorders>
              <w:tl2br w:val="nil"/>
              <w:tr2bl w:val="nil"/>
            </w:tcBorders>
            <w:vAlign w:val="center"/>
          </w:tcPr>
          <w:p w14:paraId="068B3BC5">
            <w:pPr>
              <w:pStyle w:val="766"/>
              <w:rPr>
                <w:color w:val="auto"/>
              </w:rPr>
            </w:pPr>
            <w:r>
              <w:rPr>
                <w:color w:val="auto"/>
              </w:rPr>
              <w:t>区域环境质量的整体变化情况</w:t>
            </w:r>
          </w:p>
        </w:tc>
        <w:tc>
          <w:tcPr>
            <w:tcW w:w="2977" w:type="dxa"/>
            <w:gridSpan w:val="7"/>
            <w:tcBorders>
              <w:tl2br w:val="nil"/>
              <w:tr2bl w:val="nil"/>
            </w:tcBorders>
            <w:vAlign w:val="center"/>
          </w:tcPr>
          <w:p w14:paraId="4FC6C74F">
            <w:pPr>
              <w:pStyle w:val="766"/>
              <w:rPr>
                <w:color w:val="auto"/>
              </w:rPr>
            </w:pPr>
            <w:r>
              <w:rPr>
                <w:color w:val="auto"/>
              </w:rPr>
              <w:t>k≤-20%</w:t>
            </w:r>
            <w:r>
              <w:rPr>
                <w:color w:val="auto"/>
              </w:rPr>
              <w:sym w:font="Wingdings 2" w:char="00A3"/>
            </w:r>
          </w:p>
        </w:tc>
        <w:tc>
          <w:tcPr>
            <w:tcW w:w="3507" w:type="dxa"/>
            <w:gridSpan w:val="9"/>
            <w:tcBorders>
              <w:tl2br w:val="nil"/>
              <w:tr2bl w:val="nil"/>
            </w:tcBorders>
            <w:vAlign w:val="center"/>
          </w:tcPr>
          <w:p w14:paraId="79268534">
            <w:pPr>
              <w:pStyle w:val="766"/>
              <w:rPr>
                <w:color w:val="auto"/>
              </w:rPr>
            </w:pPr>
            <w:r>
              <w:rPr>
                <w:color w:val="auto"/>
              </w:rPr>
              <w:t>k＞-20%□</w:t>
            </w:r>
          </w:p>
        </w:tc>
      </w:tr>
      <w:tr w14:paraId="3B4BDB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72" w:type="dxa"/>
            <w:vMerge w:val="restart"/>
            <w:tcBorders>
              <w:tl2br w:val="nil"/>
              <w:tr2bl w:val="nil"/>
            </w:tcBorders>
            <w:vAlign w:val="center"/>
          </w:tcPr>
          <w:p w14:paraId="237D9626">
            <w:pPr>
              <w:pStyle w:val="766"/>
              <w:rPr>
                <w:color w:val="auto"/>
              </w:rPr>
            </w:pPr>
            <w:r>
              <w:rPr>
                <w:color w:val="auto"/>
              </w:rPr>
              <w:t>环境监测计划</w:t>
            </w:r>
          </w:p>
        </w:tc>
        <w:tc>
          <w:tcPr>
            <w:tcW w:w="1842" w:type="dxa"/>
            <w:tcBorders>
              <w:tl2br w:val="nil"/>
              <w:tr2bl w:val="nil"/>
            </w:tcBorders>
            <w:vAlign w:val="center"/>
          </w:tcPr>
          <w:p w14:paraId="483E7803">
            <w:pPr>
              <w:pStyle w:val="766"/>
              <w:rPr>
                <w:color w:val="auto"/>
              </w:rPr>
            </w:pPr>
            <w:r>
              <w:rPr>
                <w:color w:val="auto"/>
              </w:rPr>
              <w:t>污染源监测</w:t>
            </w:r>
          </w:p>
        </w:tc>
        <w:tc>
          <w:tcPr>
            <w:tcW w:w="2127" w:type="dxa"/>
            <w:gridSpan w:val="5"/>
            <w:tcBorders>
              <w:tl2br w:val="nil"/>
              <w:tr2bl w:val="nil"/>
            </w:tcBorders>
            <w:vAlign w:val="center"/>
          </w:tcPr>
          <w:p w14:paraId="1ED5C0FF">
            <w:pPr>
              <w:pStyle w:val="766"/>
              <w:rPr>
                <w:color w:val="auto"/>
              </w:rPr>
            </w:pPr>
            <w:r>
              <w:rPr>
                <w:color w:val="auto"/>
              </w:rPr>
              <w:t>监测因子：（颗粒物、SO</w:t>
            </w:r>
            <w:r>
              <w:rPr>
                <w:color w:val="auto"/>
                <w:vertAlign w:val="subscript"/>
              </w:rPr>
              <w:t>2</w:t>
            </w:r>
            <w:r>
              <w:rPr>
                <w:color w:val="auto"/>
              </w:rPr>
              <w:t>、NO</w:t>
            </w:r>
            <w:r>
              <w:rPr>
                <w:color w:val="auto"/>
                <w:vertAlign w:val="subscript"/>
              </w:rPr>
              <w:t>x</w:t>
            </w:r>
            <w:r>
              <w:rPr>
                <w:color w:val="auto"/>
              </w:rPr>
              <w:t>、H</w:t>
            </w:r>
            <w:r>
              <w:rPr>
                <w:color w:val="auto"/>
                <w:vertAlign w:val="subscript"/>
              </w:rPr>
              <w:t>2</w:t>
            </w:r>
            <w:r>
              <w:rPr>
                <w:color w:val="auto"/>
              </w:rPr>
              <w:t>S、NH</w:t>
            </w:r>
            <w:r>
              <w:rPr>
                <w:color w:val="auto"/>
                <w:vertAlign w:val="subscript"/>
              </w:rPr>
              <w:t>3</w:t>
            </w:r>
            <w:r>
              <w:rPr>
                <w:color w:val="auto"/>
              </w:rPr>
              <w:t>、臭气浓度）</w:t>
            </w:r>
          </w:p>
        </w:tc>
        <w:tc>
          <w:tcPr>
            <w:tcW w:w="2268" w:type="dxa"/>
            <w:gridSpan w:val="7"/>
            <w:tcBorders>
              <w:tl2br w:val="nil"/>
              <w:tr2bl w:val="nil"/>
            </w:tcBorders>
            <w:vAlign w:val="center"/>
          </w:tcPr>
          <w:p w14:paraId="7E566817">
            <w:pPr>
              <w:pStyle w:val="766"/>
              <w:rPr>
                <w:color w:val="auto"/>
              </w:rPr>
            </w:pPr>
            <w:r>
              <w:rPr>
                <w:color w:val="auto"/>
              </w:rPr>
              <w:t>有组织废气监测</w:t>
            </w:r>
            <w:r>
              <w:rPr>
                <w:color w:val="auto"/>
              </w:rPr>
              <w:sym w:font="Wingdings 2" w:char="0052"/>
            </w:r>
          </w:p>
          <w:p w14:paraId="3C7DB7A6">
            <w:pPr>
              <w:pStyle w:val="766"/>
              <w:rPr>
                <w:color w:val="auto"/>
              </w:rPr>
            </w:pPr>
            <w:r>
              <w:rPr>
                <w:color w:val="auto"/>
              </w:rPr>
              <w:t>无组织废气监测</w:t>
            </w:r>
            <w:r>
              <w:rPr>
                <w:color w:val="auto"/>
              </w:rPr>
              <w:sym w:font="Wingdings 2" w:char="0052"/>
            </w:r>
          </w:p>
        </w:tc>
        <w:tc>
          <w:tcPr>
            <w:tcW w:w="2089" w:type="dxa"/>
            <w:gridSpan w:val="4"/>
            <w:tcBorders>
              <w:tl2br w:val="nil"/>
              <w:tr2bl w:val="nil"/>
            </w:tcBorders>
            <w:vAlign w:val="center"/>
          </w:tcPr>
          <w:p w14:paraId="1E187CAA">
            <w:pPr>
              <w:pStyle w:val="766"/>
              <w:rPr>
                <w:color w:val="auto"/>
              </w:rPr>
            </w:pPr>
            <w:r>
              <w:rPr>
                <w:color w:val="auto"/>
              </w:rPr>
              <w:t>无监测□</w:t>
            </w:r>
          </w:p>
        </w:tc>
      </w:tr>
      <w:tr w14:paraId="06EAD3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5742538A">
            <w:pPr>
              <w:pStyle w:val="766"/>
              <w:rPr>
                <w:color w:val="auto"/>
              </w:rPr>
            </w:pPr>
          </w:p>
        </w:tc>
        <w:tc>
          <w:tcPr>
            <w:tcW w:w="1842" w:type="dxa"/>
            <w:tcBorders>
              <w:tl2br w:val="nil"/>
              <w:tr2bl w:val="nil"/>
            </w:tcBorders>
            <w:vAlign w:val="center"/>
          </w:tcPr>
          <w:p w14:paraId="3CE24DE1">
            <w:pPr>
              <w:pStyle w:val="766"/>
              <w:rPr>
                <w:color w:val="auto"/>
              </w:rPr>
            </w:pPr>
            <w:r>
              <w:rPr>
                <w:color w:val="auto"/>
              </w:rPr>
              <w:t>环境质量监测</w:t>
            </w:r>
          </w:p>
        </w:tc>
        <w:tc>
          <w:tcPr>
            <w:tcW w:w="2127" w:type="dxa"/>
            <w:gridSpan w:val="5"/>
            <w:tcBorders>
              <w:tl2br w:val="nil"/>
              <w:tr2bl w:val="nil"/>
            </w:tcBorders>
            <w:vAlign w:val="center"/>
          </w:tcPr>
          <w:p w14:paraId="50CB29FE">
            <w:pPr>
              <w:pStyle w:val="766"/>
              <w:rPr>
                <w:color w:val="auto"/>
              </w:rPr>
            </w:pPr>
            <w:r>
              <w:rPr>
                <w:color w:val="auto"/>
              </w:rPr>
              <w:t>监测因子：（</w:t>
            </w:r>
            <w:r>
              <w:rPr>
                <w:rFonts w:hint="eastAsia"/>
                <w:color w:val="auto"/>
              </w:rPr>
              <w:t>PM</w:t>
            </w:r>
            <w:r>
              <w:rPr>
                <w:rFonts w:hint="eastAsia"/>
                <w:color w:val="auto"/>
                <w:vertAlign w:val="subscript"/>
              </w:rPr>
              <w:t>10</w:t>
            </w:r>
            <w:r>
              <w:rPr>
                <w:color w:val="auto"/>
              </w:rPr>
              <w:t>、H</w:t>
            </w:r>
            <w:r>
              <w:rPr>
                <w:color w:val="auto"/>
                <w:vertAlign w:val="subscript"/>
              </w:rPr>
              <w:t>2</w:t>
            </w:r>
            <w:r>
              <w:rPr>
                <w:color w:val="auto"/>
              </w:rPr>
              <w:t>S、NH</w:t>
            </w:r>
            <w:r>
              <w:rPr>
                <w:color w:val="auto"/>
                <w:vertAlign w:val="subscript"/>
              </w:rPr>
              <w:t>3</w:t>
            </w:r>
            <w:r>
              <w:rPr>
                <w:color w:val="auto"/>
              </w:rPr>
              <w:t>、臭气浓度）</w:t>
            </w:r>
          </w:p>
        </w:tc>
        <w:tc>
          <w:tcPr>
            <w:tcW w:w="2268" w:type="dxa"/>
            <w:gridSpan w:val="7"/>
            <w:tcBorders>
              <w:tl2br w:val="nil"/>
              <w:tr2bl w:val="nil"/>
            </w:tcBorders>
            <w:vAlign w:val="center"/>
          </w:tcPr>
          <w:p w14:paraId="7D6F2683">
            <w:pPr>
              <w:pStyle w:val="766"/>
              <w:rPr>
                <w:color w:val="auto"/>
              </w:rPr>
            </w:pPr>
            <w:r>
              <w:rPr>
                <w:color w:val="auto"/>
              </w:rPr>
              <w:t>监测点位数（1个）</w:t>
            </w:r>
          </w:p>
        </w:tc>
        <w:tc>
          <w:tcPr>
            <w:tcW w:w="2089" w:type="dxa"/>
            <w:gridSpan w:val="4"/>
            <w:tcBorders>
              <w:tl2br w:val="nil"/>
              <w:tr2bl w:val="nil"/>
            </w:tcBorders>
            <w:vAlign w:val="center"/>
          </w:tcPr>
          <w:p w14:paraId="1BEF8D58">
            <w:pPr>
              <w:pStyle w:val="766"/>
              <w:rPr>
                <w:color w:val="auto"/>
              </w:rPr>
            </w:pPr>
            <w:r>
              <w:rPr>
                <w:color w:val="auto"/>
              </w:rPr>
              <w:t>无监测□</w:t>
            </w:r>
          </w:p>
        </w:tc>
      </w:tr>
      <w:tr w14:paraId="73CA7C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restart"/>
            <w:tcBorders>
              <w:tl2br w:val="nil"/>
              <w:tr2bl w:val="nil"/>
            </w:tcBorders>
            <w:vAlign w:val="center"/>
          </w:tcPr>
          <w:p w14:paraId="3D645204">
            <w:pPr>
              <w:pStyle w:val="766"/>
              <w:rPr>
                <w:color w:val="auto"/>
              </w:rPr>
            </w:pPr>
            <w:r>
              <w:rPr>
                <w:color w:val="auto"/>
              </w:rPr>
              <w:t>评价</w:t>
            </w:r>
          </w:p>
          <w:p w14:paraId="1905B312">
            <w:pPr>
              <w:pStyle w:val="766"/>
              <w:rPr>
                <w:color w:val="auto"/>
              </w:rPr>
            </w:pPr>
            <w:r>
              <w:rPr>
                <w:color w:val="auto"/>
              </w:rPr>
              <w:t>结论</w:t>
            </w:r>
          </w:p>
        </w:tc>
        <w:tc>
          <w:tcPr>
            <w:tcW w:w="1842" w:type="dxa"/>
            <w:tcBorders>
              <w:tl2br w:val="nil"/>
              <w:tr2bl w:val="nil"/>
            </w:tcBorders>
            <w:vAlign w:val="center"/>
          </w:tcPr>
          <w:p w14:paraId="5A54CA28">
            <w:pPr>
              <w:pStyle w:val="766"/>
              <w:rPr>
                <w:color w:val="auto"/>
              </w:rPr>
            </w:pPr>
            <w:r>
              <w:rPr>
                <w:color w:val="auto"/>
              </w:rPr>
              <w:t>环境影响</w:t>
            </w:r>
          </w:p>
        </w:tc>
        <w:tc>
          <w:tcPr>
            <w:tcW w:w="6484" w:type="dxa"/>
            <w:gridSpan w:val="16"/>
            <w:tcBorders>
              <w:tl2br w:val="nil"/>
              <w:tr2bl w:val="nil"/>
            </w:tcBorders>
            <w:vAlign w:val="center"/>
          </w:tcPr>
          <w:p w14:paraId="6BE9A455">
            <w:pPr>
              <w:pStyle w:val="766"/>
              <w:rPr>
                <w:color w:val="auto"/>
              </w:rPr>
            </w:pPr>
            <w:r>
              <w:rPr>
                <w:color w:val="auto"/>
              </w:rPr>
              <w:t>可接受</w:t>
            </w:r>
            <w:r>
              <w:rPr>
                <w:color w:val="auto"/>
              </w:rPr>
              <w:sym w:font="Wingdings 2" w:char="0052"/>
            </w:r>
            <w:r>
              <w:rPr>
                <w:color w:val="auto"/>
              </w:rPr>
              <w:t xml:space="preserve">           不可接受□</w:t>
            </w:r>
          </w:p>
        </w:tc>
      </w:tr>
      <w:tr w14:paraId="2A9370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3385D05D">
            <w:pPr>
              <w:pStyle w:val="766"/>
              <w:rPr>
                <w:color w:val="auto"/>
              </w:rPr>
            </w:pPr>
          </w:p>
        </w:tc>
        <w:tc>
          <w:tcPr>
            <w:tcW w:w="1842" w:type="dxa"/>
            <w:tcBorders>
              <w:tl2br w:val="nil"/>
              <w:tr2bl w:val="nil"/>
            </w:tcBorders>
            <w:vAlign w:val="center"/>
          </w:tcPr>
          <w:p w14:paraId="22D45A3E">
            <w:pPr>
              <w:pStyle w:val="766"/>
              <w:rPr>
                <w:color w:val="auto"/>
              </w:rPr>
            </w:pPr>
            <w:r>
              <w:rPr>
                <w:color w:val="auto"/>
              </w:rPr>
              <w:t>大气环境</w:t>
            </w:r>
          </w:p>
          <w:p w14:paraId="5BB657AD">
            <w:pPr>
              <w:pStyle w:val="766"/>
              <w:rPr>
                <w:color w:val="auto"/>
              </w:rPr>
            </w:pPr>
            <w:r>
              <w:rPr>
                <w:color w:val="auto"/>
              </w:rPr>
              <w:t>防护距离</w:t>
            </w:r>
          </w:p>
        </w:tc>
        <w:tc>
          <w:tcPr>
            <w:tcW w:w="6484" w:type="dxa"/>
            <w:gridSpan w:val="16"/>
            <w:tcBorders>
              <w:tl2br w:val="nil"/>
              <w:tr2bl w:val="nil"/>
            </w:tcBorders>
            <w:vAlign w:val="center"/>
          </w:tcPr>
          <w:p w14:paraId="655399FE">
            <w:pPr>
              <w:pStyle w:val="766"/>
              <w:rPr>
                <w:color w:val="auto"/>
              </w:rPr>
            </w:pPr>
            <w:r>
              <w:rPr>
                <w:color w:val="auto"/>
              </w:rPr>
              <w:t>距（/）厂界最远（/）m</w:t>
            </w:r>
          </w:p>
        </w:tc>
      </w:tr>
      <w:tr w14:paraId="01C701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2" w:type="dxa"/>
            <w:vMerge w:val="continue"/>
            <w:tcBorders>
              <w:tl2br w:val="nil"/>
              <w:tr2bl w:val="nil"/>
            </w:tcBorders>
            <w:vAlign w:val="center"/>
          </w:tcPr>
          <w:p w14:paraId="5D72EC06">
            <w:pPr>
              <w:pStyle w:val="766"/>
              <w:rPr>
                <w:color w:val="auto"/>
              </w:rPr>
            </w:pPr>
          </w:p>
        </w:tc>
        <w:tc>
          <w:tcPr>
            <w:tcW w:w="1842" w:type="dxa"/>
            <w:tcBorders>
              <w:tl2br w:val="nil"/>
              <w:tr2bl w:val="nil"/>
            </w:tcBorders>
            <w:vAlign w:val="center"/>
          </w:tcPr>
          <w:p w14:paraId="75E6D942">
            <w:pPr>
              <w:pStyle w:val="766"/>
              <w:rPr>
                <w:color w:val="auto"/>
              </w:rPr>
            </w:pPr>
            <w:r>
              <w:rPr>
                <w:color w:val="auto"/>
              </w:rPr>
              <w:t>污染源年排放量</w:t>
            </w:r>
          </w:p>
        </w:tc>
        <w:tc>
          <w:tcPr>
            <w:tcW w:w="1434" w:type="dxa"/>
            <w:gridSpan w:val="3"/>
            <w:tcBorders>
              <w:tl2br w:val="nil"/>
              <w:tr2bl w:val="nil"/>
            </w:tcBorders>
            <w:vAlign w:val="center"/>
          </w:tcPr>
          <w:p w14:paraId="130C31ED">
            <w:pPr>
              <w:pStyle w:val="766"/>
              <w:rPr>
                <w:color w:val="auto"/>
              </w:rPr>
            </w:pPr>
            <w:r>
              <w:rPr>
                <w:color w:val="auto"/>
              </w:rPr>
              <w:t>SO</w:t>
            </w:r>
            <w:r>
              <w:rPr>
                <w:color w:val="auto"/>
                <w:vertAlign w:val="subscript"/>
              </w:rPr>
              <w:t>2</w:t>
            </w:r>
            <w:r>
              <w:rPr>
                <w:color w:val="auto"/>
              </w:rPr>
              <w:t>：</w:t>
            </w:r>
            <w:r>
              <w:rPr>
                <w:rFonts w:hint="eastAsia"/>
                <w:color w:val="auto"/>
              </w:rPr>
              <w:t>0</w:t>
            </w:r>
            <w:r>
              <w:rPr>
                <w:color w:val="auto"/>
              </w:rPr>
              <w:t>t/a</w:t>
            </w:r>
          </w:p>
        </w:tc>
        <w:tc>
          <w:tcPr>
            <w:tcW w:w="1691" w:type="dxa"/>
            <w:gridSpan w:val="5"/>
            <w:tcBorders>
              <w:tl2br w:val="nil"/>
              <w:tr2bl w:val="nil"/>
            </w:tcBorders>
            <w:vAlign w:val="center"/>
          </w:tcPr>
          <w:p w14:paraId="4485FF13">
            <w:pPr>
              <w:pStyle w:val="766"/>
              <w:rPr>
                <w:color w:val="auto"/>
              </w:rPr>
            </w:pPr>
            <w:r>
              <w:rPr>
                <w:color w:val="auto"/>
              </w:rPr>
              <w:t>NOx：0.</w:t>
            </w:r>
            <w:r>
              <w:rPr>
                <w:rFonts w:hint="eastAsia"/>
                <w:color w:val="auto"/>
              </w:rPr>
              <w:t>714</w:t>
            </w:r>
            <w:r>
              <w:rPr>
                <w:color w:val="auto"/>
              </w:rPr>
              <w:t>t/a</w:t>
            </w:r>
          </w:p>
        </w:tc>
        <w:tc>
          <w:tcPr>
            <w:tcW w:w="1978" w:type="dxa"/>
            <w:gridSpan w:val="6"/>
            <w:tcBorders>
              <w:tl2br w:val="nil"/>
              <w:tr2bl w:val="nil"/>
            </w:tcBorders>
            <w:vAlign w:val="center"/>
          </w:tcPr>
          <w:p w14:paraId="3BBCF53D">
            <w:pPr>
              <w:pStyle w:val="766"/>
              <w:rPr>
                <w:color w:val="auto"/>
              </w:rPr>
            </w:pPr>
            <w:r>
              <w:rPr>
                <w:color w:val="auto"/>
              </w:rPr>
              <w:t>颗粒物：0.</w:t>
            </w:r>
            <w:r>
              <w:rPr>
                <w:rFonts w:hint="eastAsia"/>
                <w:color w:val="auto"/>
              </w:rPr>
              <w:t>1484</w:t>
            </w:r>
            <w:r>
              <w:rPr>
                <w:color w:val="auto"/>
              </w:rPr>
              <w:t>t/a</w:t>
            </w:r>
          </w:p>
        </w:tc>
        <w:tc>
          <w:tcPr>
            <w:tcW w:w="1381" w:type="dxa"/>
            <w:gridSpan w:val="2"/>
            <w:tcBorders>
              <w:tl2br w:val="nil"/>
              <w:tr2bl w:val="nil"/>
            </w:tcBorders>
            <w:vAlign w:val="center"/>
          </w:tcPr>
          <w:p w14:paraId="36F3E562">
            <w:pPr>
              <w:pStyle w:val="766"/>
              <w:rPr>
                <w:color w:val="auto"/>
              </w:rPr>
            </w:pPr>
            <w:r>
              <w:rPr>
                <w:color w:val="auto"/>
              </w:rPr>
              <w:t>VOCs：(/)t/a</w:t>
            </w:r>
          </w:p>
        </w:tc>
      </w:tr>
      <w:tr w14:paraId="4A2FB9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198" w:type="dxa"/>
            <w:gridSpan w:val="18"/>
            <w:tcBorders>
              <w:tl2br w:val="nil"/>
              <w:tr2bl w:val="nil"/>
            </w:tcBorders>
            <w:vAlign w:val="center"/>
          </w:tcPr>
          <w:p w14:paraId="273FF1E9">
            <w:pPr>
              <w:pStyle w:val="766"/>
              <w:rPr>
                <w:color w:val="auto"/>
              </w:rPr>
            </w:pPr>
            <w:r>
              <w:rPr>
                <w:color w:val="auto"/>
              </w:rPr>
              <w:t>注：“□”为勾选项，填“√”；“（ ）”为内容填写项</w:t>
            </w:r>
          </w:p>
        </w:tc>
      </w:tr>
    </w:tbl>
    <w:p w14:paraId="30F4FB6C">
      <w:pPr>
        <w:pStyle w:val="11"/>
      </w:pPr>
      <w:bookmarkStart w:id="396" w:name="_Toc166572326"/>
      <w:bookmarkStart w:id="397" w:name="_Toc9435"/>
      <w:bookmarkStart w:id="398" w:name="_Toc346955056"/>
      <w:bookmarkStart w:id="399" w:name="_Toc340564650"/>
      <w:r>
        <w:t>5.2.3地表水环境影响分析</w:t>
      </w:r>
      <w:bookmarkEnd w:id="396"/>
    </w:p>
    <w:p w14:paraId="103379A7">
      <w:pPr>
        <w:ind w:firstLine="480"/>
      </w:pPr>
      <w:r>
        <w:t>本项目年产生废水量为</w:t>
      </w:r>
      <w:r>
        <w:rPr>
          <w:rFonts w:hint="eastAsia"/>
        </w:rPr>
        <w:t>19963</w:t>
      </w:r>
      <w:r>
        <w:t>m</w:t>
      </w:r>
      <w:r>
        <w:rPr>
          <w:vertAlign w:val="superscript"/>
        </w:rPr>
        <w:t>3</w:t>
      </w:r>
      <w:r>
        <w:t>/a，主要包括鸡舍冲洗废水、生活污水、</w:t>
      </w:r>
      <w:r>
        <w:rPr>
          <w:rFonts w:hint="eastAsia"/>
        </w:rPr>
        <w:t>软化水</w:t>
      </w:r>
      <w:r>
        <w:t>制备废水</w:t>
      </w:r>
      <w:r>
        <w:rPr>
          <w:rFonts w:hint="eastAsia"/>
        </w:rPr>
        <w:t>、堆肥渗滤液</w:t>
      </w:r>
      <w:r>
        <w:t>。其中鸡舍冲洗废水</w:t>
      </w:r>
      <w:r>
        <w:rPr>
          <w:rFonts w:hint="eastAsia"/>
        </w:rPr>
        <w:t>1215</w:t>
      </w:r>
      <w:r>
        <w:t>m</w:t>
      </w:r>
      <w:r>
        <w:rPr>
          <w:vertAlign w:val="superscript"/>
        </w:rPr>
        <w:t>3</w:t>
      </w:r>
      <w:r>
        <w:t>/a，生活污水1314m</w:t>
      </w:r>
      <w:r>
        <w:rPr>
          <w:vertAlign w:val="superscript"/>
        </w:rPr>
        <w:t>3</w:t>
      </w:r>
      <w:r>
        <w:t>/a，</w:t>
      </w:r>
      <w:r>
        <w:rPr>
          <w:rFonts w:hint="eastAsia"/>
        </w:rPr>
        <w:t>软化水</w:t>
      </w:r>
      <w:r>
        <w:t>制备废水38</w:t>
      </w:r>
      <w:r>
        <w:rPr>
          <w:rFonts w:hint="eastAsia"/>
        </w:rPr>
        <w:t>5</w:t>
      </w:r>
      <w:r>
        <w:t>m</w:t>
      </w:r>
      <w:r>
        <w:rPr>
          <w:vertAlign w:val="superscript"/>
        </w:rPr>
        <w:t>3</w:t>
      </w:r>
      <w:r>
        <w:t>/a</w:t>
      </w:r>
      <w:r>
        <w:rPr>
          <w:rFonts w:hint="eastAsia"/>
        </w:rPr>
        <w:t>，堆肥渗滤液17049</w:t>
      </w:r>
      <w:r>
        <w:t>m</w:t>
      </w:r>
      <w:r>
        <w:rPr>
          <w:vertAlign w:val="superscript"/>
        </w:rPr>
        <w:t>3</w:t>
      </w:r>
      <w:r>
        <w:t>/a。全部进入厂区自建污水处理设施，处理达标后冬储夏灌用于厂区绿化</w:t>
      </w:r>
      <w:r>
        <w:rPr>
          <w:rFonts w:hint="eastAsia"/>
        </w:rPr>
        <w:t>及洒水抑尘</w:t>
      </w:r>
      <w:r>
        <w:t>，不直接排入水体。</w:t>
      </w:r>
      <w:r>
        <w:rPr>
          <w:bCs/>
        </w:rPr>
        <w:t>故本项目无废水排放，对地表水环境影响较小。</w:t>
      </w:r>
    </w:p>
    <w:p w14:paraId="19B6FA85">
      <w:pPr>
        <w:pStyle w:val="217"/>
        <w:ind w:left="0" w:firstLine="480"/>
        <w:outlineLvl w:val="9"/>
        <w:rPr>
          <w:lang w:eastAsia="zh-CN"/>
        </w:rPr>
        <w:sectPr>
          <w:pgSz w:w="11906" w:h="16838"/>
          <w:pgMar w:top="1418" w:right="1418" w:bottom="1418" w:left="1418" w:header="992" w:footer="992" w:gutter="0"/>
          <w:cols w:space="720" w:num="1"/>
          <w:docGrid w:linePitch="312" w:charSpace="0"/>
        </w:sectPr>
      </w:pPr>
      <w:r>
        <w:rPr>
          <w:lang w:eastAsia="zh-CN"/>
        </w:rPr>
        <w:t>本项目的地表水环境影响评价自查表见下表</w:t>
      </w:r>
      <w:r>
        <w:rPr>
          <w:rFonts w:hint="eastAsia"/>
          <w:lang w:eastAsia="zh-CN"/>
        </w:rPr>
        <w:t>5.2-15</w:t>
      </w:r>
      <w:r>
        <w:rPr>
          <w:lang w:eastAsia="zh-CN"/>
        </w:rPr>
        <w:t>。</w:t>
      </w:r>
    </w:p>
    <w:p w14:paraId="63098BAF">
      <w:pPr>
        <w:pStyle w:val="369"/>
      </w:pPr>
      <w:r>
        <w:t>表5</w:t>
      </w:r>
      <w:r>
        <w:rPr>
          <w:rFonts w:hint="eastAsia"/>
        </w:rPr>
        <w:t>.2-15</w:t>
      </w:r>
      <w:r>
        <w:t xml:space="preserve">   地表水环境影响评价自查表</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49"/>
        <w:gridCol w:w="1509"/>
        <w:gridCol w:w="1899"/>
        <w:gridCol w:w="1325"/>
        <w:gridCol w:w="1000"/>
        <w:gridCol w:w="326"/>
        <w:gridCol w:w="1327"/>
        <w:gridCol w:w="1325"/>
      </w:tblGrid>
      <w:tr w14:paraId="5CA0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19" w:type="pct"/>
            <w:gridSpan w:val="3"/>
            <w:vAlign w:val="center"/>
          </w:tcPr>
          <w:p w14:paraId="68CB7648">
            <w:pPr>
              <w:pStyle w:val="766"/>
              <w:rPr>
                <w:color w:val="auto"/>
              </w:rPr>
            </w:pPr>
            <w:r>
              <w:rPr>
                <w:color w:val="auto"/>
              </w:rPr>
              <w:t>工作内容</w:t>
            </w:r>
          </w:p>
        </w:tc>
        <w:tc>
          <w:tcPr>
            <w:tcW w:w="3881" w:type="pct"/>
            <w:gridSpan w:val="6"/>
            <w:vAlign w:val="center"/>
          </w:tcPr>
          <w:p w14:paraId="74B24492">
            <w:pPr>
              <w:pStyle w:val="766"/>
              <w:rPr>
                <w:color w:val="auto"/>
              </w:rPr>
            </w:pPr>
            <w:r>
              <w:rPr>
                <w:color w:val="auto"/>
              </w:rPr>
              <w:t>自查项目</w:t>
            </w:r>
          </w:p>
        </w:tc>
      </w:tr>
      <w:tr w14:paraId="651C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6" w:type="pct"/>
            <w:gridSpan w:val="2"/>
            <w:vMerge w:val="restart"/>
            <w:vAlign w:val="center"/>
          </w:tcPr>
          <w:p w14:paraId="36F3062A">
            <w:pPr>
              <w:pStyle w:val="766"/>
              <w:rPr>
                <w:color w:val="auto"/>
              </w:rPr>
            </w:pPr>
            <w:r>
              <w:rPr>
                <w:color w:val="auto"/>
              </w:rPr>
              <w:t>影响识别</w:t>
            </w:r>
          </w:p>
        </w:tc>
        <w:tc>
          <w:tcPr>
            <w:tcW w:w="813" w:type="pct"/>
            <w:vAlign w:val="center"/>
          </w:tcPr>
          <w:p w14:paraId="4F83BF1F">
            <w:pPr>
              <w:pStyle w:val="766"/>
              <w:rPr>
                <w:color w:val="auto"/>
              </w:rPr>
            </w:pPr>
            <w:r>
              <w:rPr>
                <w:color w:val="auto"/>
              </w:rPr>
              <w:t>影响类型</w:t>
            </w:r>
          </w:p>
        </w:tc>
        <w:tc>
          <w:tcPr>
            <w:tcW w:w="3881" w:type="pct"/>
            <w:gridSpan w:val="6"/>
            <w:vAlign w:val="center"/>
          </w:tcPr>
          <w:p w14:paraId="35645B45">
            <w:pPr>
              <w:pStyle w:val="766"/>
              <w:rPr>
                <w:color w:val="auto"/>
              </w:rPr>
            </w:pPr>
            <w:r>
              <w:rPr>
                <w:color w:val="auto"/>
              </w:rPr>
              <w:t>水污染影响型</w:t>
            </w:r>
            <w:r>
              <w:rPr>
                <w:rFonts w:ascii="Segoe UI Symbol" w:hAnsi="Segoe UI Symbol" w:eastAsia="MS Mincho" w:cs="Segoe UI Symbol"/>
                <w:color w:val="auto"/>
              </w:rPr>
              <w:t>☑</w:t>
            </w:r>
            <w:r>
              <w:rPr>
                <w:color w:val="auto"/>
              </w:rPr>
              <w:t>；水文要素影响型□</w:t>
            </w:r>
          </w:p>
        </w:tc>
      </w:tr>
      <w:tr w14:paraId="1B04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6" w:type="pct"/>
            <w:gridSpan w:val="2"/>
            <w:vMerge w:val="continue"/>
            <w:vAlign w:val="center"/>
          </w:tcPr>
          <w:p w14:paraId="09C233F9">
            <w:pPr>
              <w:pStyle w:val="766"/>
              <w:rPr>
                <w:color w:val="auto"/>
              </w:rPr>
            </w:pPr>
          </w:p>
        </w:tc>
        <w:tc>
          <w:tcPr>
            <w:tcW w:w="813" w:type="pct"/>
            <w:vAlign w:val="center"/>
          </w:tcPr>
          <w:p w14:paraId="407552D5">
            <w:pPr>
              <w:pStyle w:val="766"/>
              <w:rPr>
                <w:color w:val="auto"/>
              </w:rPr>
            </w:pPr>
            <w:r>
              <w:rPr>
                <w:color w:val="auto"/>
              </w:rPr>
              <w:t>水环境保护目标</w:t>
            </w:r>
          </w:p>
        </w:tc>
        <w:tc>
          <w:tcPr>
            <w:tcW w:w="3881" w:type="pct"/>
            <w:gridSpan w:val="6"/>
            <w:vAlign w:val="center"/>
          </w:tcPr>
          <w:p w14:paraId="48333DD1">
            <w:pPr>
              <w:pStyle w:val="766"/>
              <w:rPr>
                <w:color w:val="auto"/>
              </w:rPr>
            </w:pPr>
            <w:r>
              <w:rPr>
                <w:color w:val="auto"/>
              </w:rPr>
              <w:t>饮用水水源保护区□；饮用水取水口□；涉水的自然保护区□；涉水的风景名胜区□；重要湿地□；重点保护与珍稀水生生物的栖息地□；重要水生生物的自然产卵场及索饵场、越冬场和洄游通道□；天然渔场等渔业水体□；水产种质资源保护区□；其他□</w:t>
            </w:r>
          </w:p>
        </w:tc>
      </w:tr>
      <w:tr w14:paraId="6FF7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6" w:type="pct"/>
            <w:gridSpan w:val="2"/>
            <w:vMerge w:val="continue"/>
            <w:vAlign w:val="center"/>
          </w:tcPr>
          <w:p w14:paraId="1736C192">
            <w:pPr>
              <w:pStyle w:val="766"/>
              <w:rPr>
                <w:color w:val="auto"/>
              </w:rPr>
            </w:pPr>
          </w:p>
        </w:tc>
        <w:tc>
          <w:tcPr>
            <w:tcW w:w="813" w:type="pct"/>
            <w:vMerge w:val="restart"/>
            <w:vAlign w:val="center"/>
          </w:tcPr>
          <w:p w14:paraId="2E5FB363">
            <w:pPr>
              <w:pStyle w:val="766"/>
              <w:rPr>
                <w:color w:val="auto"/>
              </w:rPr>
            </w:pPr>
            <w:r>
              <w:rPr>
                <w:color w:val="auto"/>
              </w:rPr>
              <w:t>影响途径</w:t>
            </w:r>
          </w:p>
        </w:tc>
        <w:tc>
          <w:tcPr>
            <w:tcW w:w="2276" w:type="pct"/>
            <w:gridSpan w:val="3"/>
            <w:vAlign w:val="center"/>
          </w:tcPr>
          <w:p w14:paraId="576C170B">
            <w:pPr>
              <w:pStyle w:val="766"/>
              <w:rPr>
                <w:color w:val="auto"/>
              </w:rPr>
            </w:pPr>
            <w:r>
              <w:rPr>
                <w:color w:val="auto"/>
              </w:rPr>
              <w:t>水污染影响型</w:t>
            </w:r>
          </w:p>
        </w:tc>
        <w:tc>
          <w:tcPr>
            <w:tcW w:w="1606" w:type="pct"/>
            <w:gridSpan w:val="3"/>
            <w:vAlign w:val="center"/>
          </w:tcPr>
          <w:p w14:paraId="57246590">
            <w:pPr>
              <w:pStyle w:val="766"/>
              <w:rPr>
                <w:color w:val="auto"/>
              </w:rPr>
            </w:pPr>
            <w:r>
              <w:rPr>
                <w:color w:val="auto"/>
              </w:rPr>
              <w:t>水文要素影响型</w:t>
            </w:r>
          </w:p>
        </w:tc>
      </w:tr>
      <w:tr w14:paraId="5A74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6" w:type="pct"/>
            <w:gridSpan w:val="2"/>
            <w:vMerge w:val="continue"/>
            <w:vAlign w:val="center"/>
          </w:tcPr>
          <w:p w14:paraId="538269C8">
            <w:pPr>
              <w:pStyle w:val="766"/>
              <w:rPr>
                <w:color w:val="auto"/>
              </w:rPr>
            </w:pPr>
          </w:p>
        </w:tc>
        <w:tc>
          <w:tcPr>
            <w:tcW w:w="813" w:type="pct"/>
            <w:vMerge w:val="continue"/>
            <w:vAlign w:val="center"/>
          </w:tcPr>
          <w:p w14:paraId="726AB066">
            <w:pPr>
              <w:pStyle w:val="766"/>
              <w:rPr>
                <w:color w:val="auto"/>
              </w:rPr>
            </w:pPr>
          </w:p>
        </w:tc>
        <w:tc>
          <w:tcPr>
            <w:tcW w:w="2276" w:type="pct"/>
            <w:gridSpan w:val="3"/>
            <w:vAlign w:val="center"/>
          </w:tcPr>
          <w:p w14:paraId="751E8E47">
            <w:pPr>
              <w:pStyle w:val="766"/>
              <w:rPr>
                <w:color w:val="auto"/>
              </w:rPr>
            </w:pPr>
            <w:r>
              <w:rPr>
                <w:color w:val="auto"/>
              </w:rPr>
              <w:t>直接排放□；间接排放□；其他</w:t>
            </w:r>
            <w:r>
              <w:rPr>
                <w:rFonts w:ascii="Segoe UI Symbol" w:hAnsi="Segoe UI Symbol" w:eastAsia="MS Mincho" w:cs="Segoe UI Symbol"/>
                <w:color w:val="auto"/>
              </w:rPr>
              <w:t>☑</w:t>
            </w:r>
          </w:p>
        </w:tc>
        <w:tc>
          <w:tcPr>
            <w:tcW w:w="1606" w:type="pct"/>
            <w:gridSpan w:val="3"/>
            <w:vAlign w:val="center"/>
          </w:tcPr>
          <w:p w14:paraId="3186858A">
            <w:pPr>
              <w:pStyle w:val="766"/>
              <w:rPr>
                <w:color w:val="auto"/>
              </w:rPr>
            </w:pPr>
            <w:r>
              <w:rPr>
                <w:color w:val="auto"/>
              </w:rPr>
              <w:t>水温□；径流□；水域面积□</w:t>
            </w:r>
          </w:p>
        </w:tc>
      </w:tr>
      <w:tr w14:paraId="73DE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6" w:type="pct"/>
            <w:gridSpan w:val="2"/>
            <w:vMerge w:val="continue"/>
            <w:vAlign w:val="center"/>
          </w:tcPr>
          <w:p w14:paraId="61F7BD27">
            <w:pPr>
              <w:pStyle w:val="766"/>
              <w:rPr>
                <w:color w:val="auto"/>
              </w:rPr>
            </w:pPr>
          </w:p>
        </w:tc>
        <w:tc>
          <w:tcPr>
            <w:tcW w:w="813" w:type="pct"/>
            <w:vAlign w:val="center"/>
          </w:tcPr>
          <w:p w14:paraId="0EBBC179">
            <w:pPr>
              <w:pStyle w:val="766"/>
              <w:rPr>
                <w:color w:val="auto"/>
              </w:rPr>
            </w:pPr>
            <w:r>
              <w:rPr>
                <w:color w:val="auto"/>
              </w:rPr>
              <w:t>影响因子</w:t>
            </w:r>
          </w:p>
        </w:tc>
        <w:tc>
          <w:tcPr>
            <w:tcW w:w="2276" w:type="pct"/>
            <w:gridSpan w:val="3"/>
            <w:vAlign w:val="center"/>
          </w:tcPr>
          <w:p w14:paraId="3C7BF377">
            <w:pPr>
              <w:pStyle w:val="766"/>
              <w:rPr>
                <w:color w:val="auto"/>
              </w:rPr>
            </w:pPr>
            <w:r>
              <w:rPr>
                <w:color w:val="auto"/>
              </w:rPr>
              <w:t>持久性污染物□；有毒有害污染物□；非持久性污染物□；</w:t>
            </w:r>
          </w:p>
          <w:p w14:paraId="2D1F1F26">
            <w:pPr>
              <w:pStyle w:val="766"/>
              <w:rPr>
                <w:color w:val="auto"/>
              </w:rPr>
            </w:pPr>
            <w:r>
              <w:rPr>
                <w:color w:val="auto"/>
              </w:rPr>
              <w:t>pH值□；热污染□；富营养化□；其他□</w:t>
            </w:r>
          </w:p>
        </w:tc>
        <w:tc>
          <w:tcPr>
            <w:tcW w:w="1606" w:type="pct"/>
            <w:gridSpan w:val="3"/>
            <w:vAlign w:val="center"/>
          </w:tcPr>
          <w:p w14:paraId="37700664">
            <w:pPr>
              <w:pStyle w:val="766"/>
              <w:rPr>
                <w:color w:val="auto"/>
              </w:rPr>
            </w:pPr>
            <w:r>
              <w:rPr>
                <w:color w:val="auto"/>
              </w:rPr>
              <w:t>水温□；水位（水深）□；流速□；流量□；其他□</w:t>
            </w:r>
          </w:p>
        </w:tc>
      </w:tr>
      <w:tr w14:paraId="33B4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19" w:type="pct"/>
            <w:gridSpan w:val="3"/>
            <w:vMerge w:val="restart"/>
            <w:vAlign w:val="center"/>
          </w:tcPr>
          <w:p w14:paraId="75E3C126">
            <w:pPr>
              <w:pStyle w:val="766"/>
              <w:rPr>
                <w:color w:val="auto"/>
              </w:rPr>
            </w:pPr>
            <w:r>
              <w:rPr>
                <w:color w:val="auto"/>
              </w:rPr>
              <w:t>评价等级</w:t>
            </w:r>
          </w:p>
        </w:tc>
        <w:tc>
          <w:tcPr>
            <w:tcW w:w="2276" w:type="pct"/>
            <w:gridSpan w:val="3"/>
            <w:vAlign w:val="center"/>
          </w:tcPr>
          <w:p w14:paraId="3E83F80F">
            <w:pPr>
              <w:pStyle w:val="766"/>
              <w:rPr>
                <w:color w:val="auto"/>
              </w:rPr>
            </w:pPr>
            <w:r>
              <w:rPr>
                <w:color w:val="auto"/>
              </w:rPr>
              <w:t>水污染影响型</w:t>
            </w:r>
          </w:p>
        </w:tc>
        <w:tc>
          <w:tcPr>
            <w:tcW w:w="1606" w:type="pct"/>
            <w:gridSpan w:val="3"/>
            <w:vAlign w:val="center"/>
          </w:tcPr>
          <w:p w14:paraId="0D93373B">
            <w:pPr>
              <w:pStyle w:val="766"/>
              <w:rPr>
                <w:color w:val="auto"/>
              </w:rPr>
            </w:pPr>
            <w:r>
              <w:rPr>
                <w:color w:val="auto"/>
              </w:rPr>
              <w:t>水文要素影响型</w:t>
            </w:r>
          </w:p>
        </w:tc>
      </w:tr>
      <w:tr w14:paraId="402C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19" w:type="pct"/>
            <w:gridSpan w:val="3"/>
            <w:vMerge w:val="continue"/>
            <w:vAlign w:val="center"/>
          </w:tcPr>
          <w:p w14:paraId="2BBCC41A">
            <w:pPr>
              <w:pStyle w:val="766"/>
              <w:rPr>
                <w:color w:val="auto"/>
              </w:rPr>
            </w:pPr>
          </w:p>
        </w:tc>
        <w:tc>
          <w:tcPr>
            <w:tcW w:w="2276" w:type="pct"/>
            <w:gridSpan w:val="3"/>
            <w:vAlign w:val="center"/>
          </w:tcPr>
          <w:p w14:paraId="52BAFC3F">
            <w:pPr>
              <w:pStyle w:val="766"/>
              <w:rPr>
                <w:color w:val="auto"/>
              </w:rPr>
            </w:pPr>
            <w:r>
              <w:rPr>
                <w:color w:val="auto"/>
              </w:rPr>
              <w:t>一级□；二级□；三级A□；三级B</w:t>
            </w:r>
            <w:r>
              <w:rPr>
                <w:rFonts w:ascii="Segoe UI Symbol" w:hAnsi="Segoe UI Symbol" w:eastAsia="MS Mincho" w:cs="Segoe UI Symbol"/>
                <w:color w:val="auto"/>
              </w:rPr>
              <w:t>☑</w:t>
            </w:r>
          </w:p>
        </w:tc>
        <w:tc>
          <w:tcPr>
            <w:tcW w:w="1606" w:type="pct"/>
            <w:gridSpan w:val="3"/>
            <w:vAlign w:val="center"/>
          </w:tcPr>
          <w:p w14:paraId="4D3C1A2B">
            <w:pPr>
              <w:pStyle w:val="766"/>
              <w:rPr>
                <w:color w:val="auto"/>
              </w:rPr>
            </w:pPr>
            <w:r>
              <w:rPr>
                <w:color w:val="auto"/>
              </w:rPr>
              <w:t>一级□；二级□；三级□</w:t>
            </w:r>
          </w:p>
        </w:tc>
      </w:tr>
      <w:tr w14:paraId="5E54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restart"/>
            <w:vAlign w:val="center"/>
          </w:tcPr>
          <w:p w14:paraId="1C5AC3CC">
            <w:pPr>
              <w:pStyle w:val="766"/>
              <w:rPr>
                <w:color w:val="auto"/>
              </w:rPr>
            </w:pPr>
            <w:r>
              <w:rPr>
                <w:color w:val="auto"/>
              </w:rPr>
              <w:t>现状调查</w:t>
            </w:r>
          </w:p>
        </w:tc>
        <w:tc>
          <w:tcPr>
            <w:tcW w:w="894" w:type="pct"/>
            <w:gridSpan w:val="2"/>
            <w:vMerge w:val="restart"/>
            <w:vAlign w:val="center"/>
          </w:tcPr>
          <w:p w14:paraId="68B2B998">
            <w:pPr>
              <w:pStyle w:val="766"/>
              <w:rPr>
                <w:color w:val="auto"/>
              </w:rPr>
            </w:pPr>
            <w:r>
              <w:rPr>
                <w:color w:val="auto"/>
              </w:rPr>
              <w:t>区域污染源</w:t>
            </w:r>
          </w:p>
        </w:tc>
        <w:tc>
          <w:tcPr>
            <w:tcW w:w="2276" w:type="pct"/>
            <w:gridSpan w:val="3"/>
            <w:vAlign w:val="center"/>
          </w:tcPr>
          <w:p w14:paraId="4D4A8D51">
            <w:pPr>
              <w:pStyle w:val="766"/>
              <w:rPr>
                <w:color w:val="auto"/>
              </w:rPr>
            </w:pPr>
            <w:r>
              <w:rPr>
                <w:color w:val="auto"/>
              </w:rPr>
              <w:t>调查项目</w:t>
            </w:r>
          </w:p>
        </w:tc>
        <w:tc>
          <w:tcPr>
            <w:tcW w:w="1606" w:type="pct"/>
            <w:gridSpan w:val="3"/>
            <w:vAlign w:val="center"/>
          </w:tcPr>
          <w:p w14:paraId="31005F57">
            <w:pPr>
              <w:pStyle w:val="766"/>
              <w:rPr>
                <w:color w:val="auto"/>
              </w:rPr>
            </w:pPr>
            <w:r>
              <w:rPr>
                <w:color w:val="auto"/>
              </w:rPr>
              <w:t>数据来源</w:t>
            </w:r>
          </w:p>
        </w:tc>
      </w:tr>
      <w:tr w14:paraId="2844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19B6C2E4">
            <w:pPr>
              <w:pStyle w:val="766"/>
              <w:rPr>
                <w:color w:val="auto"/>
              </w:rPr>
            </w:pPr>
          </w:p>
        </w:tc>
        <w:tc>
          <w:tcPr>
            <w:tcW w:w="894" w:type="pct"/>
            <w:gridSpan w:val="2"/>
            <w:vMerge w:val="continue"/>
            <w:vAlign w:val="center"/>
          </w:tcPr>
          <w:p w14:paraId="021348A7">
            <w:pPr>
              <w:pStyle w:val="766"/>
              <w:rPr>
                <w:color w:val="auto"/>
              </w:rPr>
            </w:pPr>
          </w:p>
        </w:tc>
        <w:tc>
          <w:tcPr>
            <w:tcW w:w="1737" w:type="pct"/>
            <w:gridSpan w:val="2"/>
            <w:vAlign w:val="center"/>
          </w:tcPr>
          <w:p w14:paraId="39B031B0">
            <w:pPr>
              <w:pStyle w:val="766"/>
              <w:rPr>
                <w:color w:val="auto"/>
              </w:rPr>
            </w:pPr>
            <w:r>
              <w:rPr>
                <w:color w:val="auto"/>
              </w:rPr>
              <w:t>已建□；在建□；拟建□；</w:t>
            </w:r>
          </w:p>
          <w:p w14:paraId="39483BDB">
            <w:pPr>
              <w:pStyle w:val="766"/>
              <w:rPr>
                <w:color w:val="auto"/>
              </w:rPr>
            </w:pPr>
            <w:r>
              <w:rPr>
                <w:color w:val="auto"/>
              </w:rPr>
              <w:t>其他□</w:t>
            </w:r>
          </w:p>
        </w:tc>
        <w:tc>
          <w:tcPr>
            <w:tcW w:w="538" w:type="pct"/>
            <w:vAlign w:val="center"/>
          </w:tcPr>
          <w:p w14:paraId="10AE7855">
            <w:pPr>
              <w:pStyle w:val="766"/>
              <w:rPr>
                <w:color w:val="auto"/>
              </w:rPr>
            </w:pPr>
            <w:r>
              <w:rPr>
                <w:color w:val="auto"/>
              </w:rPr>
              <w:t>拟替代的污染源□</w:t>
            </w:r>
          </w:p>
        </w:tc>
        <w:tc>
          <w:tcPr>
            <w:tcW w:w="1606" w:type="pct"/>
            <w:gridSpan w:val="3"/>
            <w:vAlign w:val="center"/>
          </w:tcPr>
          <w:p w14:paraId="532E4406">
            <w:pPr>
              <w:pStyle w:val="766"/>
              <w:rPr>
                <w:color w:val="auto"/>
              </w:rPr>
            </w:pPr>
            <w:r>
              <w:rPr>
                <w:color w:val="auto"/>
              </w:rPr>
              <w:t>排污许可证□；环评□；环保验收□；既有实测□；现场监测□；入河排放口数据□；其他□</w:t>
            </w:r>
          </w:p>
        </w:tc>
      </w:tr>
      <w:tr w14:paraId="2DE0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52C4E9DA">
            <w:pPr>
              <w:pStyle w:val="766"/>
              <w:rPr>
                <w:color w:val="auto"/>
              </w:rPr>
            </w:pPr>
          </w:p>
        </w:tc>
        <w:tc>
          <w:tcPr>
            <w:tcW w:w="894" w:type="pct"/>
            <w:gridSpan w:val="2"/>
            <w:vMerge w:val="restart"/>
            <w:vAlign w:val="center"/>
          </w:tcPr>
          <w:p w14:paraId="4236EEDA">
            <w:pPr>
              <w:pStyle w:val="766"/>
              <w:rPr>
                <w:color w:val="auto"/>
              </w:rPr>
            </w:pPr>
            <w:r>
              <w:rPr>
                <w:color w:val="auto"/>
              </w:rPr>
              <w:t>受影响水体水环境质量</w:t>
            </w:r>
          </w:p>
        </w:tc>
        <w:tc>
          <w:tcPr>
            <w:tcW w:w="2276" w:type="pct"/>
            <w:gridSpan w:val="3"/>
            <w:vAlign w:val="center"/>
          </w:tcPr>
          <w:p w14:paraId="0969319A">
            <w:pPr>
              <w:pStyle w:val="766"/>
              <w:rPr>
                <w:color w:val="auto"/>
              </w:rPr>
            </w:pPr>
            <w:r>
              <w:rPr>
                <w:color w:val="auto"/>
              </w:rPr>
              <w:t>调查时期</w:t>
            </w:r>
          </w:p>
        </w:tc>
        <w:tc>
          <w:tcPr>
            <w:tcW w:w="1606" w:type="pct"/>
            <w:gridSpan w:val="3"/>
            <w:vAlign w:val="center"/>
          </w:tcPr>
          <w:p w14:paraId="72FE20C4">
            <w:pPr>
              <w:pStyle w:val="766"/>
              <w:rPr>
                <w:color w:val="auto"/>
              </w:rPr>
            </w:pPr>
            <w:r>
              <w:rPr>
                <w:color w:val="auto"/>
              </w:rPr>
              <w:t>数据来源</w:t>
            </w:r>
          </w:p>
        </w:tc>
      </w:tr>
      <w:tr w14:paraId="2E1C6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7A6A885B">
            <w:pPr>
              <w:pStyle w:val="766"/>
              <w:rPr>
                <w:color w:val="auto"/>
              </w:rPr>
            </w:pPr>
          </w:p>
        </w:tc>
        <w:tc>
          <w:tcPr>
            <w:tcW w:w="894" w:type="pct"/>
            <w:gridSpan w:val="2"/>
            <w:vMerge w:val="continue"/>
            <w:vAlign w:val="center"/>
          </w:tcPr>
          <w:p w14:paraId="1967371B">
            <w:pPr>
              <w:pStyle w:val="766"/>
              <w:rPr>
                <w:color w:val="auto"/>
              </w:rPr>
            </w:pPr>
          </w:p>
        </w:tc>
        <w:tc>
          <w:tcPr>
            <w:tcW w:w="2276" w:type="pct"/>
            <w:gridSpan w:val="3"/>
            <w:vAlign w:val="center"/>
          </w:tcPr>
          <w:p w14:paraId="1EF67B9B">
            <w:pPr>
              <w:pStyle w:val="766"/>
              <w:rPr>
                <w:color w:val="auto"/>
              </w:rPr>
            </w:pPr>
            <w:r>
              <w:rPr>
                <w:color w:val="auto"/>
              </w:rPr>
              <w:t>丰水期□；平水期□；枯水期□；冰封期□春季□；夏季□；秋季□；冬季□</w:t>
            </w:r>
          </w:p>
        </w:tc>
        <w:tc>
          <w:tcPr>
            <w:tcW w:w="1606" w:type="pct"/>
            <w:gridSpan w:val="3"/>
            <w:vAlign w:val="center"/>
          </w:tcPr>
          <w:p w14:paraId="06D01765">
            <w:pPr>
              <w:pStyle w:val="766"/>
              <w:rPr>
                <w:color w:val="auto"/>
              </w:rPr>
            </w:pPr>
            <w:r>
              <w:rPr>
                <w:color w:val="auto"/>
              </w:rPr>
              <w:t>生态环境保护主管部门□；补充监测□；其他□</w:t>
            </w:r>
          </w:p>
        </w:tc>
      </w:tr>
      <w:tr w14:paraId="7A03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1A3074A0">
            <w:pPr>
              <w:pStyle w:val="766"/>
              <w:rPr>
                <w:color w:val="auto"/>
              </w:rPr>
            </w:pPr>
          </w:p>
        </w:tc>
        <w:tc>
          <w:tcPr>
            <w:tcW w:w="894" w:type="pct"/>
            <w:gridSpan w:val="2"/>
            <w:vAlign w:val="center"/>
          </w:tcPr>
          <w:p w14:paraId="43E30E3C">
            <w:pPr>
              <w:pStyle w:val="766"/>
              <w:rPr>
                <w:color w:val="auto"/>
              </w:rPr>
            </w:pPr>
            <w:r>
              <w:rPr>
                <w:color w:val="auto"/>
              </w:rPr>
              <w:t>区域水资源开发利用状况</w:t>
            </w:r>
          </w:p>
        </w:tc>
        <w:tc>
          <w:tcPr>
            <w:tcW w:w="3881" w:type="pct"/>
            <w:gridSpan w:val="6"/>
            <w:vAlign w:val="center"/>
          </w:tcPr>
          <w:p w14:paraId="72C7D2E8">
            <w:pPr>
              <w:pStyle w:val="766"/>
              <w:rPr>
                <w:color w:val="auto"/>
              </w:rPr>
            </w:pPr>
            <w:r>
              <w:rPr>
                <w:color w:val="auto"/>
              </w:rPr>
              <w:t>未开发□；开发量40%以下□；开发量40%以上□</w:t>
            </w:r>
          </w:p>
        </w:tc>
      </w:tr>
      <w:tr w14:paraId="65E2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35FCB901">
            <w:pPr>
              <w:pStyle w:val="766"/>
              <w:rPr>
                <w:color w:val="auto"/>
              </w:rPr>
            </w:pPr>
          </w:p>
        </w:tc>
        <w:tc>
          <w:tcPr>
            <w:tcW w:w="894" w:type="pct"/>
            <w:gridSpan w:val="2"/>
            <w:vMerge w:val="restart"/>
            <w:vAlign w:val="center"/>
          </w:tcPr>
          <w:p w14:paraId="23BB04D2">
            <w:pPr>
              <w:pStyle w:val="766"/>
              <w:rPr>
                <w:color w:val="auto"/>
              </w:rPr>
            </w:pPr>
            <w:r>
              <w:rPr>
                <w:color w:val="auto"/>
              </w:rPr>
              <w:t>水文情势调查</w:t>
            </w:r>
          </w:p>
        </w:tc>
        <w:tc>
          <w:tcPr>
            <w:tcW w:w="2452" w:type="pct"/>
            <w:gridSpan w:val="4"/>
            <w:vAlign w:val="center"/>
          </w:tcPr>
          <w:p w14:paraId="7A1CDE7A">
            <w:pPr>
              <w:pStyle w:val="766"/>
              <w:rPr>
                <w:color w:val="auto"/>
              </w:rPr>
            </w:pPr>
            <w:r>
              <w:rPr>
                <w:color w:val="auto"/>
              </w:rPr>
              <w:t>调查时期</w:t>
            </w:r>
          </w:p>
        </w:tc>
        <w:tc>
          <w:tcPr>
            <w:tcW w:w="1429" w:type="pct"/>
            <w:gridSpan w:val="2"/>
            <w:vAlign w:val="center"/>
          </w:tcPr>
          <w:p w14:paraId="2096D6CC">
            <w:pPr>
              <w:pStyle w:val="766"/>
              <w:rPr>
                <w:color w:val="auto"/>
              </w:rPr>
            </w:pPr>
            <w:r>
              <w:rPr>
                <w:color w:val="auto"/>
              </w:rPr>
              <w:t>数据来源</w:t>
            </w:r>
          </w:p>
        </w:tc>
      </w:tr>
      <w:tr w14:paraId="2681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59E80939">
            <w:pPr>
              <w:pStyle w:val="766"/>
              <w:rPr>
                <w:color w:val="auto"/>
              </w:rPr>
            </w:pPr>
          </w:p>
        </w:tc>
        <w:tc>
          <w:tcPr>
            <w:tcW w:w="894" w:type="pct"/>
            <w:gridSpan w:val="2"/>
            <w:vMerge w:val="continue"/>
            <w:vAlign w:val="center"/>
          </w:tcPr>
          <w:p w14:paraId="7D396011">
            <w:pPr>
              <w:pStyle w:val="766"/>
              <w:rPr>
                <w:color w:val="auto"/>
              </w:rPr>
            </w:pPr>
          </w:p>
        </w:tc>
        <w:tc>
          <w:tcPr>
            <w:tcW w:w="2452" w:type="pct"/>
            <w:gridSpan w:val="4"/>
            <w:vAlign w:val="center"/>
          </w:tcPr>
          <w:p w14:paraId="7A6F8813">
            <w:pPr>
              <w:pStyle w:val="766"/>
              <w:rPr>
                <w:color w:val="auto"/>
              </w:rPr>
            </w:pPr>
            <w:r>
              <w:rPr>
                <w:color w:val="auto"/>
              </w:rPr>
              <w:t>丰水期□；平水期□；枯水期□；冰封期□春季□；夏季□；秋季□；冬季□</w:t>
            </w:r>
          </w:p>
        </w:tc>
        <w:tc>
          <w:tcPr>
            <w:tcW w:w="1429" w:type="pct"/>
            <w:gridSpan w:val="2"/>
            <w:vAlign w:val="center"/>
          </w:tcPr>
          <w:p w14:paraId="23309926">
            <w:pPr>
              <w:pStyle w:val="766"/>
              <w:rPr>
                <w:color w:val="auto"/>
              </w:rPr>
            </w:pPr>
            <w:r>
              <w:rPr>
                <w:color w:val="auto"/>
              </w:rPr>
              <w:t>水行政主管部门□；补充监测□；其他□</w:t>
            </w:r>
          </w:p>
        </w:tc>
      </w:tr>
      <w:tr w14:paraId="44F2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386A3D5F">
            <w:pPr>
              <w:pStyle w:val="766"/>
              <w:rPr>
                <w:color w:val="auto"/>
              </w:rPr>
            </w:pPr>
          </w:p>
        </w:tc>
        <w:tc>
          <w:tcPr>
            <w:tcW w:w="894" w:type="pct"/>
            <w:gridSpan w:val="2"/>
            <w:vMerge w:val="restart"/>
            <w:vAlign w:val="center"/>
          </w:tcPr>
          <w:p w14:paraId="4ED33C33">
            <w:pPr>
              <w:pStyle w:val="766"/>
              <w:rPr>
                <w:color w:val="auto"/>
              </w:rPr>
            </w:pPr>
            <w:r>
              <w:rPr>
                <w:color w:val="auto"/>
              </w:rPr>
              <w:t>补充监测</w:t>
            </w:r>
          </w:p>
        </w:tc>
        <w:tc>
          <w:tcPr>
            <w:tcW w:w="1737" w:type="pct"/>
            <w:gridSpan w:val="2"/>
            <w:vAlign w:val="center"/>
          </w:tcPr>
          <w:p w14:paraId="01D26CD1">
            <w:pPr>
              <w:pStyle w:val="766"/>
              <w:rPr>
                <w:color w:val="auto"/>
              </w:rPr>
            </w:pPr>
            <w:r>
              <w:rPr>
                <w:color w:val="auto"/>
              </w:rPr>
              <w:t>监测时期</w:t>
            </w:r>
          </w:p>
        </w:tc>
        <w:tc>
          <w:tcPr>
            <w:tcW w:w="1429" w:type="pct"/>
            <w:gridSpan w:val="3"/>
            <w:vAlign w:val="center"/>
          </w:tcPr>
          <w:p w14:paraId="11D62A4F">
            <w:pPr>
              <w:pStyle w:val="766"/>
              <w:rPr>
                <w:color w:val="auto"/>
              </w:rPr>
            </w:pPr>
            <w:r>
              <w:rPr>
                <w:color w:val="auto"/>
              </w:rPr>
              <w:t>监测因子</w:t>
            </w:r>
          </w:p>
        </w:tc>
        <w:tc>
          <w:tcPr>
            <w:tcW w:w="714" w:type="pct"/>
            <w:vAlign w:val="center"/>
          </w:tcPr>
          <w:p w14:paraId="0D787F72">
            <w:pPr>
              <w:pStyle w:val="766"/>
              <w:rPr>
                <w:color w:val="auto"/>
              </w:rPr>
            </w:pPr>
            <w:r>
              <w:rPr>
                <w:color w:val="auto"/>
              </w:rPr>
              <w:t>监测断面或点位</w:t>
            </w:r>
          </w:p>
        </w:tc>
      </w:tr>
      <w:tr w14:paraId="7CC7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663371D8">
            <w:pPr>
              <w:pStyle w:val="766"/>
              <w:rPr>
                <w:color w:val="auto"/>
              </w:rPr>
            </w:pPr>
          </w:p>
        </w:tc>
        <w:tc>
          <w:tcPr>
            <w:tcW w:w="894" w:type="pct"/>
            <w:gridSpan w:val="2"/>
            <w:vMerge w:val="continue"/>
            <w:vAlign w:val="center"/>
          </w:tcPr>
          <w:p w14:paraId="0FE97E13">
            <w:pPr>
              <w:pStyle w:val="766"/>
              <w:rPr>
                <w:color w:val="auto"/>
              </w:rPr>
            </w:pPr>
          </w:p>
        </w:tc>
        <w:tc>
          <w:tcPr>
            <w:tcW w:w="1737" w:type="pct"/>
            <w:gridSpan w:val="2"/>
            <w:vAlign w:val="center"/>
          </w:tcPr>
          <w:p w14:paraId="26C51347">
            <w:pPr>
              <w:pStyle w:val="766"/>
              <w:rPr>
                <w:color w:val="auto"/>
              </w:rPr>
            </w:pPr>
            <w:r>
              <w:rPr>
                <w:color w:val="auto"/>
              </w:rPr>
              <w:t>丰水期□；平水期□；枯水期□；冰封期□春季□；夏季□；秋季□；冬季□</w:t>
            </w:r>
          </w:p>
        </w:tc>
        <w:tc>
          <w:tcPr>
            <w:tcW w:w="1429" w:type="pct"/>
            <w:gridSpan w:val="3"/>
            <w:vAlign w:val="center"/>
          </w:tcPr>
          <w:p w14:paraId="712A7B60">
            <w:pPr>
              <w:pStyle w:val="766"/>
              <w:rPr>
                <w:color w:val="auto"/>
              </w:rPr>
            </w:pPr>
            <w:r>
              <w:rPr>
                <w:color w:val="auto"/>
              </w:rPr>
              <w:t>（）</w:t>
            </w:r>
          </w:p>
        </w:tc>
        <w:tc>
          <w:tcPr>
            <w:tcW w:w="714" w:type="pct"/>
            <w:vAlign w:val="center"/>
          </w:tcPr>
          <w:p w14:paraId="7EB121AB">
            <w:pPr>
              <w:pStyle w:val="766"/>
              <w:rPr>
                <w:color w:val="auto"/>
              </w:rPr>
            </w:pPr>
            <w:r>
              <w:rPr>
                <w:color w:val="auto"/>
              </w:rPr>
              <w:t>监测断面或点位个数</w:t>
            </w:r>
          </w:p>
          <w:p w14:paraId="06EAE08A">
            <w:pPr>
              <w:pStyle w:val="766"/>
              <w:rPr>
                <w:color w:val="auto"/>
              </w:rPr>
            </w:pPr>
            <w:r>
              <w:rPr>
                <w:color w:val="auto"/>
              </w:rPr>
              <w:t>（）个</w:t>
            </w:r>
          </w:p>
        </w:tc>
      </w:tr>
      <w:tr w14:paraId="42B3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restart"/>
            <w:vAlign w:val="center"/>
          </w:tcPr>
          <w:p w14:paraId="21D133C5">
            <w:pPr>
              <w:pStyle w:val="766"/>
              <w:rPr>
                <w:color w:val="auto"/>
              </w:rPr>
            </w:pPr>
            <w:r>
              <w:rPr>
                <w:color w:val="auto"/>
              </w:rPr>
              <w:t>现状评价</w:t>
            </w:r>
          </w:p>
        </w:tc>
        <w:tc>
          <w:tcPr>
            <w:tcW w:w="894" w:type="pct"/>
            <w:gridSpan w:val="2"/>
            <w:vAlign w:val="center"/>
          </w:tcPr>
          <w:p w14:paraId="71AEC7B6">
            <w:pPr>
              <w:pStyle w:val="766"/>
              <w:rPr>
                <w:color w:val="auto"/>
              </w:rPr>
            </w:pPr>
            <w:r>
              <w:rPr>
                <w:color w:val="auto"/>
              </w:rPr>
              <w:t>评价范围</w:t>
            </w:r>
          </w:p>
        </w:tc>
        <w:tc>
          <w:tcPr>
            <w:tcW w:w="3881" w:type="pct"/>
            <w:gridSpan w:val="6"/>
            <w:vAlign w:val="center"/>
          </w:tcPr>
          <w:p w14:paraId="5E8BFF5F">
            <w:pPr>
              <w:pStyle w:val="766"/>
              <w:rPr>
                <w:color w:val="auto"/>
              </w:rPr>
            </w:pPr>
            <w:r>
              <w:rPr>
                <w:color w:val="auto"/>
              </w:rPr>
              <w:t>河流：长度（）km；湖库、河口及近岸海域：面积（）km</w:t>
            </w:r>
            <w:r>
              <w:rPr>
                <w:color w:val="auto"/>
                <w:vertAlign w:val="superscript"/>
              </w:rPr>
              <w:t>2</w:t>
            </w:r>
          </w:p>
        </w:tc>
      </w:tr>
      <w:tr w14:paraId="7EC8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2309C196">
            <w:pPr>
              <w:pStyle w:val="766"/>
              <w:rPr>
                <w:color w:val="auto"/>
              </w:rPr>
            </w:pPr>
          </w:p>
        </w:tc>
        <w:tc>
          <w:tcPr>
            <w:tcW w:w="894" w:type="pct"/>
            <w:gridSpan w:val="2"/>
            <w:vAlign w:val="center"/>
          </w:tcPr>
          <w:p w14:paraId="343E4586">
            <w:pPr>
              <w:pStyle w:val="766"/>
              <w:rPr>
                <w:color w:val="auto"/>
              </w:rPr>
            </w:pPr>
            <w:r>
              <w:rPr>
                <w:color w:val="auto"/>
              </w:rPr>
              <w:t>评价因子</w:t>
            </w:r>
          </w:p>
        </w:tc>
        <w:tc>
          <w:tcPr>
            <w:tcW w:w="3881" w:type="pct"/>
            <w:gridSpan w:val="6"/>
            <w:vAlign w:val="center"/>
          </w:tcPr>
          <w:p w14:paraId="0169A9FE">
            <w:pPr>
              <w:pStyle w:val="766"/>
              <w:rPr>
                <w:color w:val="auto"/>
              </w:rPr>
            </w:pPr>
            <w:r>
              <w:rPr>
                <w:color w:val="auto"/>
              </w:rPr>
              <w:t>（）</w:t>
            </w:r>
          </w:p>
        </w:tc>
      </w:tr>
      <w:tr w14:paraId="0CFE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0B6E7764">
            <w:pPr>
              <w:pStyle w:val="766"/>
              <w:rPr>
                <w:color w:val="auto"/>
              </w:rPr>
            </w:pPr>
          </w:p>
        </w:tc>
        <w:tc>
          <w:tcPr>
            <w:tcW w:w="894" w:type="pct"/>
            <w:gridSpan w:val="2"/>
            <w:vAlign w:val="center"/>
          </w:tcPr>
          <w:p w14:paraId="2330F401">
            <w:pPr>
              <w:pStyle w:val="766"/>
              <w:rPr>
                <w:color w:val="auto"/>
              </w:rPr>
            </w:pPr>
            <w:r>
              <w:rPr>
                <w:color w:val="auto"/>
              </w:rPr>
              <w:t>评价标准</w:t>
            </w:r>
          </w:p>
        </w:tc>
        <w:tc>
          <w:tcPr>
            <w:tcW w:w="3881" w:type="pct"/>
            <w:gridSpan w:val="6"/>
            <w:vAlign w:val="center"/>
          </w:tcPr>
          <w:p w14:paraId="7E3DA58F">
            <w:pPr>
              <w:pStyle w:val="766"/>
              <w:rPr>
                <w:color w:val="auto"/>
              </w:rPr>
            </w:pPr>
            <w:r>
              <w:rPr>
                <w:color w:val="auto"/>
              </w:rPr>
              <w:t>河流、湖库、河口：Ⅰ类□；Ⅱ类□；Ⅲ类□；Ⅳ类□；Ⅴ类□</w:t>
            </w:r>
          </w:p>
          <w:p w14:paraId="7F8EB99E">
            <w:pPr>
              <w:pStyle w:val="766"/>
              <w:rPr>
                <w:color w:val="auto"/>
              </w:rPr>
            </w:pPr>
            <w:r>
              <w:rPr>
                <w:color w:val="auto"/>
              </w:rPr>
              <w:t>近岸海域：第一类□；第二类□；第三类□；第四类□</w:t>
            </w:r>
          </w:p>
          <w:p w14:paraId="725BBD63">
            <w:pPr>
              <w:pStyle w:val="766"/>
              <w:rPr>
                <w:color w:val="auto"/>
              </w:rPr>
            </w:pPr>
            <w:r>
              <w:rPr>
                <w:color w:val="auto"/>
              </w:rPr>
              <w:t>规划年评价标准（）</w:t>
            </w:r>
          </w:p>
        </w:tc>
      </w:tr>
      <w:tr w14:paraId="1F50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4BA618BC">
            <w:pPr>
              <w:pStyle w:val="766"/>
              <w:rPr>
                <w:color w:val="auto"/>
              </w:rPr>
            </w:pPr>
          </w:p>
        </w:tc>
        <w:tc>
          <w:tcPr>
            <w:tcW w:w="894" w:type="pct"/>
            <w:gridSpan w:val="2"/>
            <w:vAlign w:val="center"/>
          </w:tcPr>
          <w:p w14:paraId="4D405168">
            <w:pPr>
              <w:pStyle w:val="766"/>
              <w:rPr>
                <w:color w:val="auto"/>
              </w:rPr>
            </w:pPr>
            <w:r>
              <w:rPr>
                <w:color w:val="auto"/>
              </w:rPr>
              <w:t>评价时期</w:t>
            </w:r>
          </w:p>
        </w:tc>
        <w:tc>
          <w:tcPr>
            <w:tcW w:w="3881" w:type="pct"/>
            <w:gridSpan w:val="6"/>
            <w:vAlign w:val="center"/>
          </w:tcPr>
          <w:p w14:paraId="16B01EB8">
            <w:pPr>
              <w:pStyle w:val="766"/>
              <w:rPr>
                <w:color w:val="auto"/>
              </w:rPr>
            </w:pPr>
            <w:r>
              <w:rPr>
                <w:color w:val="auto"/>
              </w:rPr>
              <w:t>丰水期□；平水期□；枯水期□；冰封期□</w:t>
            </w:r>
          </w:p>
          <w:p w14:paraId="124AE7B5">
            <w:pPr>
              <w:pStyle w:val="766"/>
              <w:rPr>
                <w:color w:val="auto"/>
              </w:rPr>
            </w:pPr>
            <w:r>
              <w:rPr>
                <w:color w:val="auto"/>
              </w:rPr>
              <w:t>春季□；夏季□；秋季□；冬季□</w:t>
            </w:r>
          </w:p>
        </w:tc>
      </w:tr>
      <w:tr w14:paraId="1BC8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79C804D5">
            <w:pPr>
              <w:pStyle w:val="766"/>
              <w:rPr>
                <w:color w:val="auto"/>
              </w:rPr>
            </w:pPr>
          </w:p>
        </w:tc>
        <w:tc>
          <w:tcPr>
            <w:tcW w:w="894" w:type="pct"/>
            <w:gridSpan w:val="2"/>
            <w:vAlign w:val="center"/>
          </w:tcPr>
          <w:p w14:paraId="68567C1A">
            <w:pPr>
              <w:pStyle w:val="766"/>
              <w:rPr>
                <w:color w:val="auto"/>
              </w:rPr>
            </w:pPr>
            <w:r>
              <w:rPr>
                <w:color w:val="auto"/>
              </w:rPr>
              <w:t>评价结论</w:t>
            </w:r>
          </w:p>
        </w:tc>
        <w:tc>
          <w:tcPr>
            <w:tcW w:w="3167" w:type="pct"/>
            <w:gridSpan w:val="5"/>
            <w:vAlign w:val="center"/>
          </w:tcPr>
          <w:p w14:paraId="01F7A486">
            <w:pPr>
              <w:pStyle w:val="766"/>
              <w:jc w:val="left"/>
              <w:rPr>
                <w:color w:val="auto"/>
              </w:rPr>
            </w:pPr>
            <w:r>
              <w:rPr>
                <w:color w:val="auto"/>
              </w:rPr>
              <w:t>水环境功能区或水功能区、近岸海域环境功能区水质达标状况：达标□；不达标□</w:t>
            </w:r>
          </w:p>
          <w:p w14:paraId="027D6DF7">
            <w:pPr>
              <w:pStyle w:val="766"/>
              <w:jc w:val="left"/>
              <w:rPr>
                <w:color w:val="auto"/>
              </w:rPr>
            </w:pPr>
            <w:r>
              <w:rPr>
                <w:color w:val="auto"/>
              </w:rPr>
              <w:t>水环境控制单元或断面水质达标状况：达标□；不达标□</w:t>
            </w:r>
          </w:p>
          <w:p w14:paraId="46458E50">
            <w:pPr>
              <w:pStyle w:val="766"/>
              <w:jc w:val="left"/>
              <w:rPr>
                <w:color w:val="auto"/>
              </w:rPr>
            </w:pPr>
            <w:r>
              <w:rPr>
                <w:color w:val="auto"/>
              </w:rPr>
              <w:t>水环境保护目标质量状况：达标□；不达标□</w:t>
            </w:r>
          </w:p>
          <w:p w14:paraId="458879E6">
            <w:pPr>
              <w:pStyle w:val="766"/>
              <w:jc w:val="left"/>
              <w:rPr>
                <w:color w:val="auto"/>
              </w:rPr>
            </w:pPr>
            <w:r>
              <w:rPr>
                <w:color w:val="auto"/>
              </w:rPr>
              <w:t>对照断面、控制断面等代表性断面的水质状况：达标□；不达标□</w:t>
            </w:r>
          </w:p>
          <w:p w14:paraId="79C17587">
            <w:pPr>
              <w:pStyle w:val="766"/>
              <w:jc w:val="left"/>
              <w:rPr>
                <w:color w:val="auto"/>
              </w:rPr>
            </w:pPr>
            <w:r>
              <w:rPr>
                <w:color w:val="auto"/>
              </w:rPr>
              <w:t>底泥污染评价□</w:t>
            </w:r>
          </w:p>
          <w:p w14:paraId="7825366C">
            <w:pPr>
              <w:pStyle w:val="766"/>
              <w:jc w:val="left"/>
              <w:rPr>
                <w:color w:val="auto"/>
              </w:rPr>
            </w:pPr>
            <w:r>
              <w:rPr>
                <w:color w:val="auto"/>
              </w:rPr>
              <w:t>水资源与开发利用程度及其水文情势评价□</w:t>
            </w:r>
          </w:p>
          <w:p w14:paraId="64E16130">
            <w:pPr>
              <w:pStyle w:val="766"/>
              <w:jc w:val="left"/>
              <w:rPr>
                <w:color w:val="auto"/>
              </w:rPr>
            </w:pPr>
            <w:r>
              <w:rPr>
                <w:color w:val="auto"/>
              </w:rPr>
              <w:t>水环境质量回顾评价□</w:t>
            </w:r>
          </w:p>
          <w:p w14:paraId="6902E0C7">
            <w:pPr>
              <w:pStyle w:val="766"/>
              <w:jc w:val="left"/>
              <w:rPr>
                <w:color w:val="auto"/>
              </w:rPr>
            </w:pPr>
            <w:r>
              <w:rPr>
                <w:color w:val="auto"/>
              </w:rPr>
              <w:t>流域（区域）水资源（包括水能资源）与开发利用总体状况、生态流量管理要求与现状满足程度、建设项目占用水域空间的水流状况与河湖演变状况□</w:t>
            </w:r>
          </w:p>
          <w:p w14:paraId="2A10DF14">
            <w:pPr>
              <w:pStyle w:val="766"/>
              <w:jc w:val="left"/>
              <w:rPr>
                <w:color w:val="auto"/>
              </w:rPr>
            </w:pPr>
            <w:r>
              <w:rPr>
                <w:color w:val="auto"/>
              </w:rPr>
              <w:t>依托污水处理设施稳定达标排放评价□</w:t>
            </w:r>
          </w:p>
        </w:tc>
        <w:tc>
          <w:tcPr>
            <w:tcW w:w="714" w:type="pct"/>
            <w:vAlign w:val="center"/>
          </w:tcPr>
          <w:p w14:paraId="635CD2B0">
            <w:pPr>
              <w:pStyle w:val="766"/>
              <w:rPr>
                <w:color w:val="auto"/>
              </w:rPr>
            </w:pPr>
            <w:r>
              <w:rPr>
                <w:color w:val="auto"/>
              </w:rPr>
              <w:t>达标区□</w:t>
            </w:r>
          </w:p>
          <w:p w14:paraId="769DCB86">
            <w:pPr>
              <w:pStyle w:val="766"/>
              <w:rPr>
                <w:color w:val="auto"/>
              </w:rPr>
            </w:pPr>
            <w:r>
              <w:rPr>
                <w:color w:val="auto"/>
              </w:rPr>
              <w:t>不达标区□</w:t>
            </w:r>
          </w:p>
        </w:tc>
      </w:tr>
      <w:tr w14:paraId="4E26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restart"/>
            <w:vAlign w:val="center"/>
          </w:tcPr>
          <w:p w14:paraId="7C557B23">
            <w:pPr>
              <w:pStyle w:val="766"/>
              <w:rPr>
                <w:color w:val="auto"/>
              </w:rPr>
            </w:pPr>
            <w:r>
              <w:rPr>
                <w:color w:val="auto"/>
              </w:rPr>
              <w:t>影响预测</w:t>
            </w:r>
          </w:p>
        </w:tc>
        <w:tc>
          <w:tcPr>
            <w:tcW w:w="894" w:type="pct"/>
            <w:gridSpan w:val="2"/>
            <w:vAlign w:val="center"/>
          </w:tcPr>
          <w:p w14:paraId="2C217CAC">
            <w:pPr>
              <w:pStyle w:val="766"/>
              <w:rPr>
                <w:color w:val="auto"/>
              </w:rPr>
            </w:pPr>
            <w:r>
              <w:rPr>
                <w:color w:val="auto"/>
              </w:rPr>
              <w:t>预测范围</w:t>
            </w:r>
          </w:p>
        </w:tc>
        <w:tc>
          <w:tcPr>
            <w:tcW w:w="3881" w:type="pct"/>
            <w:gridSpan w:val="6"/>
            <w:vAlign w:val="center"/>
          </w:tcPr>
          <w:p w14:paraId="11102611">
            <w:pPr>
              <w:pStyle w:val="766"/>
              <w:rPr>
                <w:color w:val="auto"/>
              </w:rPr>
            </w:pPr>
            <w:r>
              <w:rPr>
                <w:color w:val="auto"/>
              </w:rPr>
              <w:t>河流：长度（）km；湖库、河口及近岸海域：面积（）km</w:t>
            </w:r>
            <w:r>
              <w:rPr>
                <w:color w:val="auto"/>
                <w:vertAlign w:val="superscript"/>
              </w:rPr>
              <w:t>2</w:t>
            </w:r>
          </w:p>
        </w:tc>
      </w:tr>
      <w:tr w14:paraId="50A9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4C306EBC">
            <w:pPr>
              <w:pStyle w:val="766"/>
              <w:rPr>
                <w:color w:val="auto"/>
              </w:rPr>
            </w:pPr>
          </w:p>
        </w:tc>
        <w:tc>
          <w:tcPr>
            <w:tcW w:w="894" w:type="pct"/>
            <w:gridSpan w:val="2"/>
            <w:vAlign w:val="center"/>
          </w:tcPr>
          <w:p w14:paraId="607CB4B2">
            <w:pPr>
              <w:pStyle w:val="766"/>
              <w:rPr>
                <w:color w:val="auto"/>
              </w:rPr>
            </w:pPr>
            <w:r>
              <w:rPr>
                <w:color w:val="auto"/>
              </w:rPr>
              <w:t>预测因子</w:t>
            </w:r>
          </w:p>
        </w:tc>
        <w:tc>
          <w:tcPr>
            <w:tcW w:w="3881" w:type="pct"/>
            <w:gridSpan w:val="6"/>
            <w:vAlign w:val="center"/>
          </w:tcPr>
          <w:p w14:paraId="3086BD45">
            <w:pPr>
              <w:pStyle w:val="766"/>
              <w:rPr>
                <w:color w:val="auto"/>
              </w:rPr>
            </w:pPr>
            <w:r>
              <w:rPr>
                <w:color w:val="auto"/>
              </w:rPr>
              <w:t>（）</w:t>
            </w:r>
          </w:p>
        </w:tc>
      </w:tr>
      <w:tr w14:paraId="3215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31971E92">
            <w:pPr>
              <w:pStyle w:val="766"/>
              <w:rPr>
                <w:color w:val="auto"/>
              </w:rPr>
            </w:pPr>
          </w:p>
        </w:tc>
        <w:tc>
          <w:tcPr>
            <w:tcW w:w="894" w:type="pct"/>
            <w:gridSpan w:val="2"/>
            <w:vAlign w:val="center"/>
          </w:tcPr>
          <w:p w14:paraId="12219CA7">
            <w:pPr>
              <w:pStyle w:val="766"/>
              <w:rPr>
                <w:color w:val="auto"/>
              </w:rPr>
            </w:pPr>
            <w:r>
              <w:rPr>
                <w:color w:val="auto"/>
              </w:rPr>
              <w:t>预测时期</w:t>
            </w:r>
          </w:p>
        </w:tc>
        <w:tc>
          <w:tcPr>
            <w:tcW w:w="3881" w:type="pct"/>
            <w:gridSpan w:val="6"/>
            <w:vAlign w:val="center"/>
          </w:tcPr>
          <w:p w14:paraId="55702834">
            <w:pPr>
              <w:pStyle w:val="766"/>
              <w:rPr>
                <w:color w:val="auto"/>
              </w:rPr>
            </w:pPr>
            <w:r>
              <w:rPr>
                <w:color w:val="auto"/>
              </w:rPr>
              <w:t>丰水期□；平水期□；枯水期□；冰封期□</w:t>
            </w:r>
          </w:p>
          <w:p w14:paraId="2291B5A7">
            <w:pPr>
              <w:pStyle w:val="766"/>
              <w:rPr>
                <w:color w:val="auto"/>
              </w:rPr>
            </w:pPr>
            <w:r>
              <w:rPr>
                <w:color w:val="auto"/>
              </w:rPr>
              <w:t>春季□；夏季□；秋季□；冬季□</w:t>
            </w:r>
          </w:p>
          <w:p w14:paraId="4B76AEBD">
            <w:pPr>
              <w:pStyle w:val="766"/>
              <w:rPr>
                <w:color w:val="auto"/>
              </w:rPr>
            </w:pPr>
            <w:r>
              <w:rPr>
                <w:color w:val="auto"/>
              </w:rPr>
              <w:t>设计水文条件□</w:t>
            </w:r>
          </w:p>
        </w:tc>
      </w:tr>
      <w:tr w14:paraId="7536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5F3FE109">
            <w:pPr>
              <w:pStyle w:val="766"/>
              <w:rPr>
                <w:color w:val="auto"/>
              </w:rPr>
            </w:pPr>
          </w:p>
        </w:tc>
        <w:tc>
          <w:tcPr>
            <w:tcW w:w="894" w:type="pct"/>
            <w:gridSpan w:val="2"/>
            <w:vAlign w:val="center"/>
          </w:tcPr>
          <w:p w14:paraId="6E9D5FF1">
            <w:pPr>
              <w:pStyle w:val="766"/>
              <w:rPr>
                <w:color w:val="auto"/>
              </w:rPr>
            </w:pPr>
            <w:r>
              <w:rPr>
                <w:color w:val="auto"/>
              </w:rPr>
              <w:t>预测背景</w:t>
            </w:r>
          </w:p>
        </w:tc>
        <w:tc>
          <w:tcPr>
            <w:tcW w:w="3881" w:type="pct"/>
            <w:gridSpan w:val="6"/>
            <w:vAlign w:val="center"/>
          </w:tcPr>
          <w:p w14:paraId="12CBDB87">
            <w:pPr>
              <w:pStyle w:val="766"/>
              <w:rPr>
                <w:color w:val="auto"/>
              </w:rPr>
            </w:pPr>
            <w:r>
              <w:rPr>
                <w:color w:val="auto"/>
              </w:rPr>
              <w:t>建设期□；生产运行期□；服务期满后□</w:t>
            </w:r>
          </w:p>
          <w:p w14:paraId="46CF30C2">
            <w:pPr>
              <w:pStyle w:val="766"/>
              <w:rPr>
                <w:color w:val="auto"/>
              </w:rPr>
            </w:pPr>
            <w:r>
              <w:rPr>
                <w:color w:val="auto"/>
              </w:rPr>
              <w:t>正常工况□；非正常工况□</w:t>
            </w:r>
          </w:p>
          <w:p w14:paraId="10061DD2">
            <w:pPr>
              <w:pStyle w:val="766"/>
              <w:rPr>
                <w:color w:val="auto"/>
              </w:rPr>
            </w:pPr>
            <w:r>
              <w:rPr>
                <w:color w:val="auto"/>
              </w:rPr>
              <w:t>污染控制和减缓措施方案□</w:t>
            </w:r>
          </w:p>
          <w:p w14:paraId="1FCE8118">
            <w:pPr>
              <w:pStyle w:val="766"/>
              <w:rPr>
                <w:color w:val="auto"/>
              </w:rPr>
            </w:pPr>
            <w:r>
              <w:rPr>
                <w:color w:val="auto"/>
              </w:rPr>
              <w:t>区（流）域环境质量改善目标要求情景□</w:t>
            </w:r>
          </w:p>
        </w:tc>
      </w:tr>
      <w:tr w14:paraId="289F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6179426C">
            <w:pPr>
              <w:pStyle w:val="766"/>
              <w:rPr>
                <w:color w:val="auto"/>
              </w:rPr>
            </w:pPr>
          </w:p>
        </w:tc>
        <w:tc>
          <w:tcPr>
            <w:tcW w:w="894" w:type="pct"/>
            <w:gridSpan w:val="2"/>
            <w:vAlign w:val="center"/>
          </w:tcPr>
          <w:p w14:paraId="39920D84">
            <w:pPr>
              <w:pStyle w:val="766"/>
              <w:rPr>
                <w:color w:val="auto"/>
              </w:rPr>
            </w:pPr>
            <w:r>
              <w:rPr>
                <w:color w:val="auto"/>
              </w:rPr>
              <w:t>预测方法</w:t>
            </w:r>
          </w:p>
        </w:tc>
        <w:tc>
          <w:tcPr>
            <w:tcW w:w="3881" w:type="pct"/>
            <w:gridSpan w:val="6"/>
            <w:vAlign w:val="center"/>
          </w:tcPr>
          <w:p w14:paraId="0D3AA523">
            <w:pPr>
              <w:pStyle w:val="766"/>
              <w:rPr>
                <w:color w:val="auto"/>
              </w:rPr>
            </w:pPr>
            <w:r>
              <w:rPr>
                <w:color w:val="auto"/>
              </w:rPr>
              <w:t>数值解□：解析解□；其他□</w:t>
            </w:r>
          </w:p>
          <w:p w14:paraId="32D8F795">
            <w:pPr>
              <w:pStyle w:val="766"/>
              <w:rPr>
                <w:color w:val="auto"/>
              </w:rPr>
            </w:pPr>
            <w:r>
              <w:rPr>
                <w:color w:val="auto"/>
              </w:rPr>
              <w:t>导则推荐模式□：其他□</w:t>
            </w:r>
          </w:p>
        </w:tc>
      </w:tr>
      <w:tr w14:paraId="07C7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restart"/>
            <w:vAlign w:val="center"/>
          </w:tcPr>
          <w:p w14:paraId="3FC594C9">
            <w:pPr>
              <w:pStyle w:val="766"/>
              <w:rPr>
                <w:color w:val="auto"/>
              </w:rPr>
            </w:pPr>
            <w:r>
              <w:rPr>
                <w:color w:val="auto"/>
              </w:rPr>
              <w:t>影响评价</w:t>
            </w:r>
          </w:p>
        </w:tc>
        <w:tc>
          <w:tcPr>
            <w:tcW w:w="894" w:type="pct"/>
            <w:gridSpan w:val="2"/>
            <w:vAlign w:val="center"/>
          </w:tcPr>
          <w:p w14:paraId="36CD4F94">
            <w:pPr>
              <w:pStyle w:val="766"/>
              <w:rPr>
                <w:color w:val="auto"/>
              </w:rPr>
            </w:pPr>
            <w:r>
              <w:rPr>
                <w:color w:val="auto"/>
              </w:rPr>
              <w:t>水污染控制和水环境影响减缓措施有效性评价</w:t>
            </w:r>
          </w:p>
        </w:tc>
        <w:tc>
          <w:tcPr>
            <w:tcW w:w="3881" w:type="pct"/>
            <w:gridSpan w:val="6"/>
            <w:vAlign w:val="center"/>
          </w:tcPr>
          <w:p w14:paraId="6B39EB98">
            <w:pPr>
              <w:pStyle w:val="766"/>
              <w:rPr>
                <w:color w:val="auto"/>
              </w:rPr>
            </w:pPr>
            <w:r>
              <w:rPr>
                <w:color w:val="auto"/>
              </w:rPr>
              <w:t>区（流）域水环境质量改善目标□；替代削减源□</w:t>
            </w:r>
          </w:p>
        </w:tc>
      </w:tr>
      <w:tr w14:paraId="56E0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1F432D08">
            <w:pPr>
              <w:pStyle w:val="766"/>
              <w:rPr>
                <w:color w:val="auto"/>
              </w:rPr>
            </w:pPr>
          </w:p>
        </w:tc>
        <w:tc>
          <w:tcPr>
            <w:tcW w:w="894" w:type="pct"/>
            <w:gridSpan w:val="2"/>
            <w:vAlign w:val="center"/>
          </w:tcPr>
          <w:p w14:paraId="66998C35">
            <w:pPr>
              <w:pStyle w:val="766"/>
              <w:rPr>
                <w:color w:val="auto"/>
              </w:rPr>
            </w:pPr>
            <w:r>
              <w:rPr>
                <w:color w:val="auto"/>
              </w:rPr>
              <w:t>水环境影响评价</w:t>
            </w:r>
          </w:p>
        </w:tc>
        <w:tc>
          <w:tcPr>
            <w:tcW w:w="3881" w:type="pct"/>
            <w:gridSpan w:val="6"/>
            <w:vAlign w:val="center"/>
          </w:tcPr>
          <w:p w14:paraId="62404376">
            <w:pPr>
              <w:pStyle w:val="766"/>
              <w:jc w:val="left"/>
              <w:rPr>
                <w:color w:val="auto"/>
              </w:rPr>
            </w:pPr>
            <w:r>
              <w:rPr>
                <w:color w:val="auto"/>
              </w:rPr>
              <w:t>排放口混合区外满足水环境管理要求□</w:t>
            </w:r>
          </w:p>
          <w:p w14:paraId="6FA9238E">
            <w:pPr>
              <w:pStyle w:val="766"/>
              <w:jc w:val="left"/>
              <w:rPr>
                <w:color w:val="auto"/>
              </w:rPr>
            </w:pPr>
            <w:r>
              <w:rPr>
                <w:color w:val="auto"/>
              </w:rPr>
              <w:t>水环境功能区或水功能区、近岸海域环境功能区水质达标□</w:t>
            </w:r>
          </w:p>
          <w:p w14:paraId="37D6B3DB">
            <w:pPr>
              <w:pStyle w:val="766"/>
              <w:jc w:val="left"/>
              <w:rPr>
                <w:color w:val="auto"/>
              </w:rPr>
            </w:pPr>
            <w:r>
              <w:rPr>
                <w:color w:val="auto"/>
              </w:rPr>
              <w:t>满足水环境保护目标水域水环境质量要求□</w:t>
            </w:r>
          </w:p>
          <w:p w14:paraId="0B6584FB">
            <w:pPr>
              <w:pStyle w:val="766"/>
              <w:jc w:val="left"/>
              <w:rPr>
                <w:color w:val="auto"/>
              </w:rPr>
            </w:pPr>
            <w:r>
              <w:rPr>
                <w:color w:val="auto"/>
              </w:rPr>
              <w:t>水环境控制单元或断面水质达标□</w:t>
            </w:r>
          </w:p>
          <w:p w14:paraId="6AD8CD67">
            <w:pPr>
              <w:pStyle w:val="766"/>
              <w:jc w:val="left"/>
              <w:rPr>
                <w:color w:val="auto"/>
              </w:rPr>
            </w:pPr>
            <w:r>
              <w:rPr>
                <w:color w:val="auto"/>
              </w:rPr>
              <w:t>满足重点水污染物排放总量控制指标要求，重点行业建设项目，主要污染物排放满足等量或减量替代要求□</w:t>
            </w:r>
          </w:p>
          <w:p w14:paraId="00979287">
            <w:pPr>
              <w:pStyle w:val="766"/>
              <w:jc w:val="left"/>
              <w:rPr>
                <w:color w:val="auto"/>
              </w:rPr>
            </w:pPr>
            <w:r>
              <w:rPr>
                <w:color w:val="auto"/>
              </w:rPr>
              <w:t>满足区（流）域水环境质量改善目标要求□</w:t>
            </w:r>
          </w:p>
          <w:p w14:paraId="6EC667B0">
            <w:pPr>
              <w:pStyle w:val="766"/>
              <w:jc w:val="left"/>
              <w:rPr>
                <w:color w:val="auto"/>
              </w:rPr>
            </w:pPr>
            <w:r>
              <w:rPr>
                <w:color w:val="auto"/>
              </w:rPr>
              <w:t>水文要素影响型建设项目同时应包括水文情势变化评价、主要水文特征值影响评价、生态流量符合性评价□</w:t>
            </w:r>
          </w:p>
          <w:p w14:paraId="7AF0CE41">
            <w:pPr>
              <w:pStyle w:val="766"/>
              <w:jc w:val="left"/>
              <w:rPr>
                <w:color w:val="auto"/>
              </w:rPr>
            </w:pPr>
            <w:r>
              <w:rPr>
                <w:color w:val="auto"/>
              </w:rPr>
              <w:t>对于新设或调整入河（湖库、近岸海域）排放口的建设项目，应包括排放口设置的环境合理性评价□</w:t>
            </w:r>
          </w:p>
          <w:p w14:paraId="121CA68F">
            <w:pPr>
              <w:pStyle w:val="766"/>
              <w:jc w:val="left"/>
              <w:rPr>
                <w:color w:val="auto"/>
              </w:rPr>
            </w:pPr>
            <w:r>
              <w:rPr>
                <w:color w:val="auto"/>
              </w:rPr>
              <w:t>满足生态保护红线、水环境质量底线、资源利用上线和环境准入清单管理要求□</w:t>
            </w:r>
          </w:p>
        </w:tc>
      </w:tr>
      <w:tr w14:paraId="1C87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527ED4C1">
            <w:pPr>
              <w:pStyle w:val="766"/>
              <w:rPr>
                <w:color w:val="auto"/>
              </w:rPr>
            </w:pPr>
          </w:p>
        </w:tc>
        <w:tc>
          <w:tcPr>
            <w:tcW w:w="894" w:type="pct"/>
            <w:gridSpan w:val="2"/>
            <w:vMerge w:val="restart"/>
            <w:vAlign w:val="center"/>
          </w:tcPr>
          <w:p w14:paraId="0AF321BD">
            <w:pPr>
              <w:pStyle w:val="766"/>
              <w:rPr>
                <w:color w:val="auto"/>
              </w:rPr>
            </w:pPr>
            <w:r>
              <w:rPr>
                <w:color w:val="auto"/>
              </w:rPr>
              <w:t>污染物排放量核算</w:t>
            </w:r>
          </w:p>
        </w:tc>
        <w:tc>
          <w:tcPr>
            <w:tcW w:w="1737" w:type="pct"/>
            <w:gridSpan w:val="2"/>
            <w:vAlign w:val="center"/>
          </w:tcPr>
          <w:p w14:paraId="72941A4A">
            <w:pPr>
              <w:pStyle w:val="766"/>
              <w:rPr>
                <w:color w:val="auto"/>
              </w:rPr>
            </w:pPr>
            <w:r>
              <w:rPr>
                <w:color w:val="auto"/>
              </w:rPr>
              <w:t>污染物名称</w:t>
            </w:r>
          </w:p>
        </w:tc>
        <w:tc>
          <w:tcPr>
            <w:tcW w:w="714" w:type="pct"/>
            <w:gridSpan w:val="2"/>
            <w:vAlign w:val="center"/>
          </w:tcPr>
          <w:p w14:paraId="46DA9B49">
            <w:pPr>
              <w:pStyle w:val="766"/>
              <w:rPr>
                <w:color w:val="auto"/>
              </w:rPr>
            </w:pPr>
            <w:r>
              <w:rPr>
                <w:color w:val="auto"/>
              </w:rPr>
              <w:t>排放量/（t/a）</w:t>
            </w:r>
          </w:p>
        </w:tc>
        <w:tc>
          <w:tcPr>
            <w:tcW w:w="1429" w:type="pct"/>
            <w:gridSpan w:val="2"/>
            <w:vAlign w:val="center"/>
          </w:tcPr>
          <w:p w14:paraId="3B550641">
            <w:pPr>
              <w:pStyle w:val="766"/>
              <w:rPr>
                <w:color w:val="auto"/>
              </w:rPr>
            </w:pPr>
            <w:r>
              <w:rPr>
                <w:color w:val="auto"/>
              </w:rPr>
              <w:t>排放浓度/（mg/L）</w:t>
            </w:r>
          </w:p>
        </w:tc>
      </w:tr>
      <w:tr w14:paraId="45F0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5CBB3061">
            <w:pPr>
              <w:pStyle w:val="766"/>
              <w:rPr>
                <w:color w:val="auto"/>
              </w:rPr>
            </w:pPr>
          </w:p>
        </w:tc>
        <w:tc>
          <w:tcPr>
            <w:tcW w:w="894" w:type="pct"/>
            <w:gridSpan w:val="2"/>
            <w:vMerge w:val="continue"/>
            <w:vAlign w:val="center"/>
          </w:tcPr>
          <w:p w14:paraId="7EEBCCF8">
            <w:pPr>
              <w:pStyle w:val="766"/>
              <w:rPr>
                <w:color w:val="auto"/>
              </w:rPr>
            </w:pPr>
          </w:p>
        </w:tc>
        <w:tc>
          <w:tcPr>
            <w:tcW w:w="1737" w:type="pct"/>
            <w:gridSpan w:val="2"/>
            <w:vAlign w:val="center"/>
          </w:tcPr>
          <w:p w14:paraId="1F1E4E39">
            <w:pPr>
              <w:pStyle w:val="766"/>
              <w:rPr>
                <w:color w:val="auto"/>
              </w:rPr>
            </w:pPr>
            <w:r>
              <w:rPr>
                <w:color w:val="auto"/>
              </w:rPr>
              <w:t>（）</w:t>
            </w:r>
          </w:p>
        </w:tc>
        <w:tc>
          <w:tcPr>
            <w:tcW w:w="714" w:type="pct"/>
            <w:gridSpan w:val="2"/>
            <w:vAlign w:val="center"/>
          </w:tcPr>
          <w:p w14:paraId="216AE392">
            <w:pPr>
              <w:pStyle w:val="766"/>
              <w:rPr>
                <w:color w:val="auto"/>
              </w:rPr>
            </w:pPr>
            <w:r>
              <w:rPr>
                <w:color w:val="auto"/>
              </w:rPr>
              <w:t>（）</w:t>
            </w:r>
          </w:p>
        </w:tc>
        <w:tc>
          <w:tcPr>
            <w:tcW w:w="1429" w:type="pct"/>
            <w:gridSpan w:val="2"/>
            <w:vAlign w:val="center"/>
          </w:tcPr>
          <w:p w14:paraId="1C75E182">
            <w:pPr>
              <w:pStyle w:val="766"/>
              <w:rPr>
                <w:color w:val="auto"/>
              </w:rPr>
            </w:pPr>
            <w:r>
              <w:rPr>
                <w:color w:val="auto"/>
              </w:rPr>
              <w:t>（）</w:t>
            </w:r>
          </w:p>
        </w:tc>
      </w:tr>
      <w:tr w14:paraId="6EEB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1F707E17">
            <w:pPr>
              <w:pStyle w:val="766"/>
              <w:rPr>
                <w:color w:val="auto"/>
              </w:rPr>
            </w:pPr>
          </w:p>
        </w:tc>
        <w:tc>
          <w:tcPr>
            <w:tcW w:w="894" w:type="pct"/>
            <w:gridSpan w:val="2"/>
            <w:vAlign w:val="center"/>
          </w:tcPr>
          <w:p w14:paraId="090E9139">
            <w:pPr>
              <w:pStyle w:val="766"/>
              <w:rPr>
                <w:color w:val="auto"/>
              </w:rPr>
            </w:pPr>
            <w:r>
              <w:rPr>
                <w:color w:val="auto"/>
              </w:rPr>
              <w:t>替代源排放情况</w:t>
            </w:r>
          </w:p>
        </w:tc>
        <w:tc>
          <w:tcPr>
            <w:tcW w:w="1023" w:type="pct"/>
            <w:vAlign w:val="center"/>
          </w:tcPr>
          <w:p w14:paraId="0DECF0B7">
            <w:pPr>
              <w:pStyle w:val="766"/>
              <w:rPr>
                <w:color w:val="auto"/>
              </w:rPr>
            </w:pPr>
            <w:r>
              <w:rPr>
                <w:color w:val="auto"/>
              </w:rPr>
              <w:t>污染源名称</w:t>
            </w:r>
          </w:p>
        </w:tc>
        <w:tc>
          <w:tcPr>
            <w:tcW w:w="714" w:type="pct"/>
            <w:vAlign w:val="center"/>
          </w:tcPr>
          <w:p w14:paraId="5DC44C94">
            <w:pPr>
              <w:pStyle w:val="766"/>
              <w:rPr>
                <w:color w:val="auto"/>
              </w:rPr>
            </w:pPr>
            <w:r>
              <w:rPr>
                <w:color w:val="auto"/>
              </w:rPr>
              <w:t>排污许可证编号</w:t>
            </w:r>
          </w:p>
        </w:tc>
        <w:tc>
          <w:tcPr>
            <w:tcW w:w="714" w:type="pct"/>
            <w:gridSpan w:val="2"/>
            <w:vAlign w:val="center"/>
          </w:tcPr>
          <w:p w14:paraId="15D626EE">
            <w:pPr>
              <w:pStyle w:val="766"/>
              <w:rPr>
                <w:color w:val="auto"/>
              </w:rPr>
            </w:pPr>
            <w:r>
              <w:rPr>
                <w:color w:val="auto"/>
              </w:rPr>
              <w:t>污染物名称</w:t>
            </w:r>
          </w:p>
        </w:tc>
        <w:tc>
          <w:tcPr>
            <w:tcW w:w="715" w:type="pct"/>
            <w:vAlign w:val="center"/>
          </w:tcPr>
          <w:p w14:paraId="4E66CA94">
            <w:pPr>
              <w:pStyle w:val="766"/>
              <w:rPr>
                <w:color w:val="auto"/>
              </w:rPr>
            </w:pPr>
            <w:r>
              <w:rPr>
                <w:color w:val="auto"/>
              </w:rPr>
              <w:t>排放量/（t/a）</w:t>
            </w:r>
          </w:p>
        </w:tc>
        <w:tc>
          <w:tcPr>
            <w:tcW w:w="714" w:type="pct"/>
            <w:vAlign w:val="center"/>
          </w:tcPr>
          <w:p w14:paraId="4772C2F6">
            <w:pPr>
              <w:pStyle w:val="766"/>
              <w:rPr>
                <w:color w:val="auto"/>
              </w:rPr>
            </w:pPr>
            <w:r>
              <w:rPr>
                <w:color w:val="auto"/>
              </w:rPr>
              <w:t>排放浓度/（mg/L）</w:t>
            </w:r>
          </w:p>
        </w:tc>
      </w:tr>
      <w:tr w14:paraId="542D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21B9D363">
            <w:pPr>
              <w:pStyle w:val="766"/>
              <w:rPr>
                <w:color w:val="auto"/>
              </w:rPr>
            </w:pPr>
          </w:p>
        </w:tc>
        <w:tc>
          <w:tcPr>
            <w:tcW w:w="894" w:type="pct"/>
            <w:gridSpan w:val="2"/>
            <w:vAlign w:val="center"/>
          </w:tcPr>
          <w:p w14:paraId="2074B2D9">
            <w:pPr>
              <w:pStyle w:val="766"/>
              <w:rPr>
                <w:color w:val="auto"/>
              </w:rPr>
            </w:pPr>
          </w:p>
        </w:tc>
        <w:tc>
          <w:tcPr>
            <w:tcW w:w="1023" w:type="pct"/>
            <w:vAlign w:val="center"/>
          </w:tcPr>
          <w:p w14:paraId="27550878">
            <w:pPr>
              <w:pStyle w:val="766"/>
              <w:rPr>
                <w:color w:val="auto"/>
              </w:rPr>
            </w:pPr>
            <w:r>
              <w:rPr>
                <w:color w:val="auto"/>
              </w:rPr>
              <w:t>（）</w:t>
            </w:r>
          </w:p>
        </w:tc>
        <w:tc>
          <w:tcPr>
            <w:tcW w:w="714" w:type="pct"/>
            <w:vAlign w:val="center"/>
          </w:tcPr>
          <w:p w14:paraId="44002CF9">
            <w:pPr>
              <w:pStyle w:val="766"/>
              <w:rPr>
                <w:color w:val="auto"/>
              </w:rPr>
            </w:pPr>
            <w:r>
              <w:rPr>
                <w:color w:val="auto"/>
              </w:rPr>
              <w:t>（）</w:t>
            </w:r>
          </w:p>
        </w:tc>
        <w:tc>
          <w:tcPr>
            <w:tcW w:w="714" w:type="pct"/>
            <w:gridSpan w:val="2"/>
            <w:vAlign w:val="center"/>
          </w:tcPr>
          <w:p w14:paraId="4839B3FB">
            <w:pPr>
              <w:pStyle w:val="766"/>
              <w:rPr>
                <w:color w:val="auto"/>
              </w:rPr>
            </w:pPr>
            <w:r>
              <w:rPr>
                <w:color w:val="auto"/>
              </w:rPr>
              <w:t>（）</w:t>
            </w:r>
          </w:p>
        </w:tc>
        <w:tc>
          <w:tcPr>
            <w:tcW w:w="715" w:type="pct"/>
            <w:vAlign w:val="center"/>
          </w:tcPr>
          <w:p w14:paraId="47C5F8F5">
            <w:pPr>
              <w:pStyle w:val="766"/>
              <w:rPr>
                <w:color w:val="auto"/>
              </w:rPr>
            </w:pPr>
            <w:r>
              <w:rPr>
                <w:color w:val="auto"/>
              </w:rPr>
              <w:t>（）</w:t>
            </w:r>
          </w:p>
        </w:tc>
        <w:tc>
          <w:tcPr>
            <w:tcW w:w="714" w:type="pct"/>
            <w:vAlign w:val="center"/>
          </w:tcPr>
          <w:p w14:paraId="4C3BEB2F">
            <w:pPr>
              <w:pStyle w:val="766"/>
              <w:rPr>
                <w:color w:val="auto"/>
              </w:rPr>
            </w:pPr>
            <w:r>
              <w:rPr>
                <w:color w:val="auto"/>
              </w:rPr>
              <w:t>（）</w:t>
            </w:r>
          </w:p>
        </w:tc>
      </w:tr>
      <w:tr w14:paraId="480F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4ED096B8">
            <w:pPr>
              <w:pStyle w:val="766"/>
              <w:rPr>
                <w:color w:val="auto"/>
              </w:rPr>
            </w:pPr>
          </w:p>
        </w:tc>
        <w:tc>
          <w:tcPr>
            <w:tcW w:w="894" w:type="pct"/>
            <w:gridSpan w:val="2"/>
            <w:vAlign w:val="center"/>
          </w:tcPr>
          <w:p w14:paraId="2707BDB4">
            <w:pPr>
              <w:pStyle w:val="766"/>
              <w:rPr>
                <w:color w:val="auto"/>
              </w:rPr>
            </w:pPr>
            <w:r>
              <w:rPr>
                <w:color w:val="auto"/>
              </w:rPr>
              <w:t>生态流量确定</w:t>
            </w:r>
          </w:p>
        </w:tc>
        <w:tc>
          <w:tcPr>
            <w:tcW w:w="3881" w:type="pct"/>
            <w:gridSpan w:val="6"/>
            <w:vAlign w:val="center"/>
          </w:tcPr>
          <w:p w14:paraId="11DB8681">
            <w:pPr>
              <w:pStyle w:val="766"/>
              <w:rPr>
                <w:color w:val="auto"/>
              </w:rPr>
            </w:pPr>
            <w:r>
              <w:rPr>
                <w:color w:val="auto"/>
              </w:rPr>
              <w:t>生态流量：一般水期（）m</w:t>
            </w:r>
            <w:r>
              <w:rPr>
                <w:color w:val="auto"/>
                <w:vertAlign w:val="superscript"/>
              </w:rPr>
              <w:t>3</w:t>
            </w:r>
            <w:r>
              <w:rPr>
                <w:color w:val="auto"/>
              </w:rPr>
              <w:t>/s；鱼类繁殖期（）m</w:t>
            </w:r>
            <w:r>
              <w:rPr>
                <w:color w:val="auto"/>
                <w:vertAlign w:val="superscript"/>
              </w:rPr>
              <w:t>3</w:t>
            </w:r>
            <w:r>
              <w:rPr>
                <w:color w:val="auto"/>
              </w:rPr>
              <w:t>/s；其他（）m</w:t>
            </w:r>
            <w:r>
              <w:rPr>
                <w:color w:val="auto"/>
                <w:vertAlign w:val="superscript"/>
              </w:rPr>
              <w:t>3</w:t>
            </w:r>
            <w:r>
              <w:rPr>
                <w:color w:val="auto"/>
              </w:rPr>
              <w:t>/s</w:t>
            </w:r>
          </w:p>
          <w:p w14:paraId="04878F56">
            <w:pPr>
              <w:pStyle w:val="766"/>
              <w:rPr>
                <w:color w:val="auto"/>
              </w:rPr>
            </w:pPr>
            <w:r>
              <w:rPr>
                <w:color w:val="auto"/>
              </w:rPr>
              <w:t>生态水位：一般水期（）m；鱼类繁殖期（）m；其他（）m</w:t>
            </w:r>
          </w:p>
        </w:tc>
      </w:tr>
      <w:tr w14:paraId="1F39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restart"/>
            <w:vAlign w:val="center"/>
          </w:tcPr>
          <w:p w14:paraId="1D3AFFA4">
            <w:pPr>
              <w:pStyle w:val="766"/>
              <w:rPr>
                <w:color w:val="auto"/>
              </w:rPr>
            </w:pPr>
            <w:r>
              <w:rPr>
                <w:color w:val="auto"/>
              </w:rPr>
              <w:t>防治措施</w:t>
            </w:r>
          </w:p>
        </w:tc>
        <w:tc>
          <w:tcPr>
            <w:tcW w:w="894" w:type="pct"/>
            <w:gridSpan w:val="2"/>
            <w:vAlign w:val="center"/>
          </w:tcPr>
          <w:p w14:paraId="6D8B490D">
            <w:pPr>
              <w:pStyle w:val="766"/>
              <w:rPr>
                <w:color w:val="auto"/>
              </w:rPr>
            </w:pPr>
            <w:r>
              <w:rPr>
                <w:color w:val="auto"/>
              </w:rPr>
              <w:t>环保措施</w:t>
            </w:r>
          </w:p>
        </w:tc>
        <w:tc>
          <w:tcPr>
            <w:tcW w:w="3881" w:type="pct"/>
            <w:gridSpan w:val="6"/>
            <w:vAlign w:val="center"/>
          </w:tcPr>
          <w:p w14:paraId="56B51043">
            <w:pPr>
              <w:pStyle w:val="766"/>
              <w:rPr>
                <w:color w:val="auto"/>
              </w:rPr>
            </w:pPr>
            <w:r>
              <w:rPr>
                <w:color w:val="auto"/>
              </w:rPr>
              <w:t>污水处理设施 □；水文减缓设施 □；生态流量保障设施 □；区域削减 □；依托其他工程措施 □；其他 □</w:t>
            </w:r>
          </w:p>
        </w:tc>
      </w:tr>
      <w:tr w14:paraId="5046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114F0640">
            <w:pPr>
              <w:pStyle w:val="766"/>
              <w:rPr>
                <w:color w:val="auto"/>
              </w:rPr>
            </w:pPr>
          </w:p>
        </w:tc>
        <w:tc>
          <w:tcPr>
            <w:tcW w:w="894" w:type="pct"/>
            <w:gridSpan w:val="2"/>
            <w:vMerge w:val="restart"/>
            <w:vAlign w:val="center"/>
          </w:tcPr>
          <w:p w14:paraId="5844DEBD">
            <w:pPr>
              <w:pStyle w:val="766"/>
              <w:rPr>
                <w:color w:val="auto"/>
              </w:rPr>
            </w:pPr>
            <w:r>
              <w:rPr>
                <w:color w:val="auto"/>
              </w:rPr>
              <w:t>监测计划</w:t>
            </w:r>
          </w:p>
        </w:tc>
        <w:tc>
          <w:tcPr>
            <w:tcW w:w="1023" w:type="pct"/>
            <w:vAlign w:val="center"/>
          </w:tcPr>
          <w:p w14:paraId="17F68BD2">
            <w:pPr>
              <w:pStyle w:val="766"/>
              <w:rPr>
                <w:color w:val="auto"/>
              </w:rPr>
            </w:pPr>
          </w:p>
        </w:tc>
        <w:tc>
          <w:tcPr>
            <w:tcW w:w="1429" w:type="pct"/>
            <w:gridSpan w:val="3"/>
            <w:vAlign w:val="center"/>
          </w:tcPr>
          <w:p w14:paraId="6F8502F4">
            <w:pPr>
              <w:pStyle w:val="766"/>
              <w:rPr>
                <w:color w:val="auto"/>
              </w:rPr>
            </w:pPr>
            <w:r>
              <w:rPr>
                <w:color w:val="auto"/>
              </w:rPr>
              <w:t>环境质量</w:t>
            </w:r>
          </w:p>
        </w:tc>
        <w:tc>
          <w:tcPr>
            <w:tcW w:w="1429" w:type="pct"/>
            <w:gridSpan w:val="2"/>
            <w:vAlign w:val="center"/>
          </w:tcPr>
          <w:p w14:paraId="0118EF65">
            <w:pPr>
              <w:pStyle w:val="766"/>
              <w:rPr>
                <w:color w:val="auto"/>
              </w:rPr>
            </w:pPr>
            <w:r>
              <w:rPr>
                <w:color w:val="auto"/>
              </w:rPr>
              <w:t>污染源</w:t>
            </w:r>
          </w:p>
        </w:tc>
      </w:tr>
      <w:tr w14:paraId="1980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5EE6A760">
            <w:pPr>
              <w:pStyle w:val="766"/>
              <w:rPr>
                <w:color w:val="auto"/>
              </w:rPr>
            </w:pPr>
          </w:p>
        </w:tc>
        <w:tc>
          <w:tcPr>
            <w:tcW w:w="894" w:type="pct"/>
            <w:gridSpan w:val="2"/>
            <w:vMerge w:val="continue"/>
            <w:vAlign w:val="center"/>
          </w:tcPr>
          <w:p w14:paraId="0855C6B2">
            <w:pPr>
              <w:pStyle w:val="766"/>
              <w:rPr>
                <w:color w:val="auto"/>
              </w:rPr>
            </w:pPr>
          </w:p>
        </w:tc>
        <w:tc>
          <w:tcPr>
            <w:tcW w:w="1023" w:type="pct"/>
            <w:vAlign w:val="center"/>
          </w:tcPr>
          <w:p w14:paraId="24FC36A7">
            <w:pPr>
              <w:pStyle w:val="766"/>
              <w:rPr>
                <w:color w:val="auto"/>
              </w:rPr>
            </w:pPr>
            <w:r>
              <w:rPr>
                <w:color w:val="auto"/>
              </w:rPr>
              <w:t>监测方式</w:t>
            </w:r>
          </w:p>
        </w:tc>
        <w:tc>
          <w:tcPr>
            <w:tcW w:w="1429" w:type="pct"/>
            <w:gridSpan w:val="3"/>
            <w:vAlign w:val="center"/>
          </w:tcPr>
          <w:p w14:paraId="2049CD31">
            <w:pPr>
              <w:pStyle w:val="766"/>
              <w:rPr>
                <w:color w:val="auto"/>
              </w:rPr>
            </w:pPr>
            <w:r>
              <w:rPr>
                <w:color w:val="auto"/>
              </w:rPr>
              <w:t>手动□；自动□；无监测□</w:t>
            </w:r>
          </w:p>
        </w:tc>
        <w:tc>
          <w:tcPr>
            <w:tcW w:w="1429" w:type="pct"/>
            <w:gridSpan w:val="2"/>
            <w:vAlign w:val="center"/>
          </w:tcPr>
          <w:p w14:paraId="1F719831">
            <w:pPr>
              <w:pStyle w:val="766"/>
              <w:rPr>
                <w:color w:val="auto"/>
              </w:rPr>
            </w:pPr>
            <w:r>
              <w:rPr>
                <w:color w:val="auto"/>
              </w:rPr>
              <w:t>手动□；自动□；无监测□</w:t>
            </w:r>
          </w:p>
        </w:tc>
      </w:tr>
      <w:tr w14:paraId="7DA5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62D186A8">
            <w:pPr>
              <w:pStyle w:val="766"/>
              <w:rPr>
                <w:color w:val="auto"/>
              </w:rPr>
            </w:pPr>
          </w:p>
        </w:tc>
        <w:tc>
          <w:tcPr>
            <w:tcW w:w="894" w:type="pct"/>
            <w:gridSpan w:val="2"/>
            <w:vMerge w:val="continue"/>
            <w:vAlign w:val="center"/>
          </w:tcPr>
          <w:p w14:paraId="6B18F8E2">
            <w:pPr>
              <w:pStyle w:val="766"/>
              <w:rPr>
                <w:color w:val="auto"/>
              </w:rPr>
            </w:pPr>
          </w:p>
        </w:tc>
        <w:tc>
          <w:tcPr>
            <w:tcW w:w="1023" w:type="pct"/>
            <w:vAlign w:val="center"/>
          </w:tcPr>
          <w:p w14:paraId="7E80AA47">
            <w:pPr>
              <w:pStyle w:val="766"/>
              <w:rPr>
                <w:color w:val="auto"/>
              </w:rPr>
            </w:pPr>
            <w:r>
              <w:rPr>
                <w:color w:val="auto"/>
              </w:rPr>
              <w:t>监测点位</w:t>
            </w:r>
          </w:p>
        </w:tc>
        <w:tc>
          <w:tcPr>
            <w:tcW w:w="1429" w:type="pct"/>
            <w:gridSpan w:val="3"/>
            <w:vAlign w:val="center"/>
          </w:tcPr>
          <w:p w14:paraId="0E836B22">
            <w:pPr>
              <w:pStyle w:val="766"/>
              <w:rPr>
                <w:color w:val="auto"/>
              </w:rPr>
            </w:pPr>
            <w:r>
              <w:rPr>
                <w:color w:val="auto"/>
              </w:rPr>
              <w:t>（）</w:t>
            </w:r>
          </w:p>
        </w:tc>
        <w:tc>
          <w:tcPr>
            <w:tcW w:w="1429" w:type="pct"/>
            <w:gridSpan w:val="2"/>
            <w:vAlign w:val="center"/>
          </w:tcPr>
          <w:p w14:paraId="7CBCC394">
            <w:pPr>
              <w:pStyle w:val="766"/>
              <w:rPr>
                <w:color w:val="auto"/>
              </w:rPr>
            </w:pPr>
            <w:r>
              <w:rPr>
                <w:color w:val="auto"/>
              </w:rPr>
              <w:t>（）</w:t>
            </w:r>
          </w:p>
        </w:tc>
      </w:tr>
      <w:tr w14:paraId="3F9E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50D49D55">
            <w:pPr>
              <w:pStyle w:val="766"/>
              <w:rPr>
                <w:color w:val="auto"/>
              </w:rPr>
            </w:pPr>
          </w:p>
        </w:tc>
        <w:tc>
          <w:tcPr>
            <w:tcW w:w="894" w:type="pct"/>
            <w:gridSpan w:val="2"/>
            <w:vMerge w:val="continue"/>
            <w:vAlign w:val="center"/>
          </w:tcPr>
          <w:p w14:paraId="78304F94">
            <w:pPr>
              <w:pStyle w:val="766"/>
              <w:rPr>
                <w:color w:val="auto"/>
              </w:rPr>
            </w:pPr>
          </w:p>
        </w:tc>
        <w:tc>
          <w:tcPr>
            <w:tcW w:w="1023" w:type="pct"/>
            <w:vAlign w:val="center"/>
          </w:tcPr>
          <w:p w14:paraId="09258DA9">
            <w:pPr>
              <w:pStyle w:val="766"/>
              <w:rPr>
                <w:color w:val="auto"/>
              </w:rPr>
            </w:pPr>
            <w:r>
              <w:rPr>
                <w:color w:val="auto"/>
              </w:rPr>
              <w:t>监测因子</w:t>
            </w:r>
          </w:p>
        </w:tc>
        <w:tc>
          <w:tcPr>
            <w:tcW w:w="1429" w:type="pct"/>
            <w:gridSpan w:val="3"/>
            <w:vAlign w:val="center"/>
          </w:tcPr>
          <w:p w14:paraId="11A7B49F">
            <w:pPr>
              <w:pStyle w:val="766"/>
              <w:rPr>
                <w:color w:val="auto"/>
              </w:rPr>
            </w:pPr>
            <w:r>
              <w:rPr>
                <w:color w:val="auto"/>
              </w:rPr>
              <w:t>（）</w:t>
            </w:r>
          </w:p>
        </w:tc>
        <w:tc>
          <w:tcPr>
            <w:tcW w:w="1429" w:type="pct"/>
            <w:gridSpan w:val="2"/>
            <w:vAlign w:val="center"/>
          </w:tcPr>
          <w:p w14:paraId="1E2CF1A0">
            <w:pPr>
              <w:pStyle w:val="766"/>
              <w:rPr>
                <w:color w:val="auto"/>
              </w:rPr>
            </w:pPr>
            <w:r>
              <w:rPr>
                <w:color w:val="auto"/>
              </w:rPr>
              <w:t>（）</w:t>
            </w:r>
          </w:p>
        </w:tc>
      </w:tr>
      <w:tr w14:paraId="7AC8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5" w:type="pct"/>
            <w:vMerge w:val="continue"/>
            <w:vAlign w:val="center"/>
          </w:tcPr>
          <w:p w14:paraId="3FD15B11">
            <w:pPr>
              <w:pStyle w:val="766"/>
              <w:rPr>
                <w:color w:val="auto"/>
              </w:rPr>
            </w:pPr>
          </w:p>
        </w:tc>
        <w:tc>
          <w:tcPr>
            <w:tcW w:w="894" w:type="pct"/>
            <w:gridSpan w:val="2"/>
            <w:vAlign w:val="center"/>
          </w:tcPr>
          <w:p w14:paraId="04260E39">
            <w:pPr>
              <w:pStyle w:val="766"/>
              <w:rPr>
                <w:color w:val="auto"/>
              </w:rPr>
            </w:pPr>
            <w:r>
              <w:rPr>
                <w:color w:val="auto"/>
              </w:rPr>
              <w:t>污染物排放清单</w:t>
            </w:r>
          </w:p>
        </w:tc>
        <w:tc>
          <w:tcPr>
            <w:tcW w:w="3881" w:type="pct"/>
            <w:gridSpan w:val="6"/>
            <w:vAlign w:val="center"/>
          </w:tcPr>
          <w:p w14:paraId="65E016D1">
            <w:pPr>
              <w:pStyle w:val="766"/>
              <w:rPr>
                <w:color w:val="auto"/>
              </w:rPr>
            </w:pPr>
            <w:r>
              <w:rPr>
                <w:color w:val="auto"/>
              </w:rPr>
              <w:t>□</w:t>
            </w:r>
          </w:p>
        </w:tc>
      </w:tr>
      <w:tr w14:paraId="1133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19" w:type="pct"/>
            <w:gridSpan w:val="3"/>
            <w:vAlign w:val="center"/>
          </w:tcPr>
          <w:p w14:paraId="0BC3F1CE">
            <w:pPr>
              <w:pStyle w:val="766"/>
              <w:rPr>
                <w:color w:val="auto"/>
              </w:rPr>
            </w:pPr>
            <w:r>
              <w:rPr>
                <w:color w:val="auto"/>
              </w:rPr>
              <w:t>评价结论</w:t>
            </w:r>
          </w:p>
        </w:tc>
        <w:tc>
          <w:tcPr>
            <w:tcW w:w="3881" w:type="pct"/>
            <w:gridSpan w:val="6"/>
            <w:vAlign w:val="center"/>
          </w:tcPr>
          <w:p w14:paraId="2D6CF817">
            <w:pPr>
              <w:pStyle w:val="766"/>
              <w:rPr>
                <w:color w:val="auto"/>
              </w:rPr>
            </w:pPr>
            <w:r>
              <w:rPr>
                <w:color w:val="auto"/>
              </w:rPr>
              <w:t>可以接受</w:t>
            </w:r>
            <w:r>
              <w:rPr>
                <w:rFonts w:ascii="Segoe UI Symbol" w:hAnsi="Segoe UI Symbol" w:eastAsia="MS Mincho" w:cs="Segoe UI Symbol"/>
                <w:color w:val="auto"/>
              </w:rPr>
              <w:t>☑</w:t>
            </w:r>
            <w:r>
              <w:rPr>
                <w:color w:val="auto"/>
              </w:rPr>
              <w:t>；不可以接受□</w:t>
            </w:r>
          </w:p>
        </w:tc>
      </w:tr>
      <w:tr w14:paraId="7409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3CB43DD">
            <w:pPr>
              <w:pStyle w:val="766"/>
              <w:rPr>
                <w:color w:val="auto"/>
              </w:rPr>
            </w:pPr>
            <w:r>
              <w:rPr>
                <w:color w:val="auto"/>
              </w:rPr>
              <w:t>注：“□”为勾选项，可打√；“（）”为内容填写项；“备注”为其他补充内容。</w:t>
            </w:r>
          </w:p>
        </w:tc>
      </w:tr>
    </w:tbl>
    <w:p w14:paraId="15D17C33">
      <w:pPr>
        <w:pStyle w:val="11"/>
      </w:pPr>
      <w:bookmarkStart w:id="400" w:name="_Toc435782463"/>
      <w:bookmarkStart w:id="401" w:name="_Toc6859"/>
      <w:bookmarkStart w:id="402" w:name="_Toc166572327"/>
      <w:r>
        <w:t>5.2.4地下水环境影响分析</w:t>
      </w:r>
      <w:bookmarkEnd w:id="400"/>
      <w:bookmarkEnd w:id="401"/>
      <w:bookmarkEnd w:id="402"/>
    </w:p>
    <w:p w14:paraId="2A44D494">
      <w:pPr>
        <w:pStyle w:val="757"/>
      </w:pPr>
      <w:r>
        <w:t>5.2.4.1区域水文地质条件</w:t>
      </w:r>
    </w:p>
    <w:p w14:paraId="595C87D2">
      <w:pPr>
        <w:pStyle w:val="105"/>
        <w:ind w:firstLine="480"/>
      </w:pPr>
      <w:bookmarkStart w:id="403" w:name="_Toc38609789"/>
      <w:bookmarkStart w:id="404" w:name="_Toc442167850"/>
      <w:r>
        <w:t>（1）区域地下水文地质资料</w:t>
      </w:r>
      <w:bookmarkEnd w:id="403"/>
    </w:p>
    <w:p w14:paraId="440E522C">
      <w:pPr>
        <w:pStyle w:val="105"/>
        <w:ind w:firstLine="480"/>
      </w:pPr>
      <w:r>
        <w:t>场地区域属丘陵贫水水文地质单元区。场地及邻区均无地表迳流，勘探孔深度范围内均未见地下水。根据对场地附近水文水井调查资料，场地地下潜水为碎屑岩类孔隙～裂隙潜水，赋存于白垩系细砂岩岩层中，水位标高1111.83～1083.13m，主要补给来源为大气降水，水量极贫乏，一般单井涌水量小于80m</w:t>
      </w:r>
      <w:r>
        <w:rPr>
          <w:vertAlign w:val="superscript"/>
        </w:rPr>
        <w:t>3</w:t>
      </w:r>
      <w:r>
        <w:t>/d，水质良好，为低矿化度淡水，对工程建设无影响。</w:t>
      </w:r>
    </w:p>
    <w:p w14:paraId="615172BA">
      <w:pPr>
        <w:pStyle w:val="105"/>
        <w:ind w:firstLine="480"/>
      </w:pPr>
      <w:r>
        <w:t>场地在勘探孔深度10m范围内未见地下水。根据对场地附近水文水井调查资料，场地地下潜水埋藏较深，埋深一般大于20m，故判定场地地基岩土层无液化问题。</w:t>
      </w:r>
    </w:p>
    <w:p w14:paraId="1F622C30">
      <w:pPr>
        <w:pStyle w:val="105"/>
        <w:ind w:firstLine="480"/>
      </w:pPr>
      <w:bookmarkStart w:id="405" w:name="_Toc38609790"/>
      <w:r>
        <w:t>（2）研究区水文地质概况</w:t>
      </w:r>
      <w:bookmarkEnd w:id="405"/>
    </w:p>
    <w:p w14:paraId="0B654DB4">
      <w:pPr>
        <w:pStyle w:val="105"/>
        <w:ind w:firstLine="480"/>
      </w:pPr>
      <w:r>
        <w:t>根据勘察资料及地区经验，场地单元层b—粉土为弱透水层，在丰水年的丰水期，大气降水垂直入渗受单元层b—粉土阻隔，可形成上层滞水，滞水位一般位于单元层b—粉土上部，分布不稳定，水位不连续。此外，场地现状地形起伏不平，未来场平时局部地段需填方处理，填土渗透性较好，更加剧降水的渗流，使地下水补径条件趋于复杂，有利于上层滞水的形成。</w:t>
      </w:r>
    </w:p>
    <w:p w14:paraId="33FDFAE1">
      <w:pPr>
        <w:pStyle w:val="105"/>
        <w:ind w:firstLine="480"/>
      </w:pPr>
      <w:r>
        <w:t>依据本项目“地勘报告”，设计钻探深度内所揭露地层均为第四系全新统冲积成因，岩土类型主要为粉土、粉质粘土和粉砂。根据各岩土层的形成年代、成因类型及岩性特征，地层结构由上至下可划分为4个较大的地层结构单元，具体岩性描述如下：</w:t>
      </w:r>
    </w:p>
    <w:p w14:paraId="79D5A575">
      <w:pPr>
        <w:pStyle w:val="105"/>
        <w:ind w:firstLine="480"/>
      </w:pPr>
      <w:r>
        <w:t>a粉砂层(Q4al+pl)：黄褐色，稍湿，稍密状态，分选性较好，长石～石英质。该层土在场地范围内分布比较广泛，层位稳定，厚度较均匀，层底埋深3.5～5.0m。</w:t>
      </w:r>
    </w:p>
    <w:p w14:paraId="78D3CDF0">
      <w:pPr>
        <w:pStyle w:val="105"/>
        <w:ind w:firstLine="480"/>
      </w:pPr>
      <w:r>
        <w:t>b粉土层(Q4al+pl)：黄褐～灰黄褐色，稍湿，饱和，中密状态，土质比较均匀，手捏有轻微砂感，粘粒含量较大，断面无光泽，韧性较小，干强度中等，摇振反应弱，土层中偶见粉质粘土薄夹层。该层土在场地范围内分布比较广泛，层位比较稳定，层底埋深5.0～6.2m，层厚1.2～1.6m。</w:t>
      </w:r>
    </w:p>
    <w:p w14:paraId="22E12A2A">
      <w:pPr>
        <w:pStyle w:val="105"/>
        <w:ind w:firstLine="480"/>
      </w:pPr>
      <w:r>
        <w:t>c粉质粘土层(Q4al+pl)：灰黄褐色，可塑状态，土质比较均匀，断面有较强光泽，韧性较大，干强度较大，无摇振反应。该层土在场地范围内分布比较均匀，层位比较稳定，层底埋深5.8～7.0m，层厚0.8～0.9m。</w:t>
      </w:r>
    </w:p>
    <w:p w14:paraId="7EF2FBF5">
      <w:pPr>
        <w:pStyle w:val="105"/>
        <w:ind w:firstLine="480"/>
      </w:pPr>
      <w:r>
        <w:t>d粉土层(Q4al+pl)：灰褐色，饱和，中密状态，土质比较均匀，粘粒含量较大，含较多云母碎片，微层理比较发育，断面无光泽，韧性较小，干强度中等，摇振反应不显著，设计钻探深度内未穿透该层。</w:t>
      </w:r>
    </w:p>
    <w:p w14:paraId="30100081">
      <w:pPr>
        <w:pStyle w:val="105"/>
        <w:ind w:firstLine="480"/>
      </w:pPr>
      <w:bookmarkStart w:id="406" w:name="_Toc38609791"/>
      <w:r>
        <w:t>依据《环境影响评价技术导则-地下水环境》（HJ610-2016）中表C.2孔隙水含水层的影响半径经验值表，岩性为粉砂，影响半径为50m。</w:t>
      </w:r>
      <w:bookmarkEnd w:id="406"/>
    </w:p>
    <w:p w14:paraId="61A45D43">
      <w:pPr>
        <w:pStyle w:val="757"/>
      </w:pPr>
      <w:r>
        <w:t>5.2.4.2地下水影响途径识别</w:t>
      </w:r>
    </w:p>
    <w:p w14:paraId="226A9EB0">
      <w:pPr>
        <w:pStyle w:val="104"/>
        <w:jc w:val="both"/>
      </w:pPr>
      <w:r>
        <w:t>污染物从污染源进入地下水所经过路径称为地下水污染途径，地下水污染途径是多种多样的。根据拟建项目所处地域的地质情况分析，可能存在的主要污染方式是渗入型污染。污染物对地下水的影响主要是由于降雨或废水排放等通过垂直渗透进入包气带，进入包气带的污染物在物理、化学和生物作用下经吸附、转化、迀移和分解后输入地下水。因此，包气带是联接地面污染物与地下含水层的主要通道和过渡带，既是污染物媒介体，又是污染物的净化场所和防护层。地下水能否被污染以及污染程度的大小，取决于包气带的地质结构、成份、厚度、渗透性以及污染物的各类性质。一般说来，土壤粒细而紧密，渗透性差，则污染慢；反之，颗粒粗大松散，渗透性能良好则污染重。</w:t>
      </w:r>
    </w:p>
    <w:p w14:paraId="5F8DAAE3">
      <w:pPr>
        <w:pStyle w:val="104"/>
      </w:pPr>
      <w:r>
        <w:t>该项目主要渗漏污染因素如下：</w:t>
      </w:r>
    </w:p>
    <w:p w14:paraId="06448E13">
      <w:pPr>
        <w:pStyle w:val="104"/>
      </w:pPr>
      <w:r>
        <w:t>（1）</w:t>
      </w:r>
      <w:r>
        <w:rPr>
          <w:rFonts w:hint="eastAsia"/>
        </w:rPr>
        <w:t>有机肥发酵渗滤液</w:t>
      </w:r>
      <w:r>
        <w:t>下渗</w:t>
      </w:r>
    </w:p>
    <w:p w14:paraId="62A95C95">
      <w:pPr>
        <w:pStyle w:val="104"/>
      </w:pPr>
      <w:r>
        <w:rPr>
          <w:rFonts w:hint="eastAsia"/>
        </w:rPr>
        <w:t>如发酵槽下方渗滤液收集设施发生泄漏</w:t>
      </w:r>
      <w:r>
        <w:t>，</w:t>
      </w:r>
      <w:r>
        <w:rPr>
          <w:rFonts w:hint="eastAsia"/>
        </w:rPr>
        <w:t>渗滤液会逐渐进入土壤，</w:t>
      </w:r>
      <w:r>
        <w:t>污染物会逐渐下渗影响浅层地下水。</w:t>
      </w:r>
    </w:p>
    <w:p w14:paraId="7CF685A5">
      <w:pPr>
        <w:pStyle w:val="104"/>
      </w:pPr>
      <w:r>
        <w:t>（2）废水排污渠道的渗漏</w:t>
      </w:r>
    </w:p>
    <w:p w14:paraId="29A36A09">
      <w:pPr>
        <w:pStyle w:val="104"/>
      </w:pPr>
      <w:r>
        <w:t>受污染的渠水通过两侧或底部可渗入含水层。</w:t>
      </w:r>
    </w:p>
    <w:p w14:paraId="1771BCB5">
      <w:pPr>
        <w:pStyle w:val="104"/>
      </w:pPr>
      <w:r>
        <w:t>（3）污水处理设施的渗漏</w:t>
      </w:r>
    </w:p>
    <w:p w14:paraId="2E2EF874">
      <w:pPr>
        <w:pStyle w:val="104"/>
      </w:pPr>
      <w:r>
        <w:t>污水处理设施各处理池防渗措施达不到要求，污水会通过储存池池底和池壁渗入地下。</w:t>
      </w:r>
    </w:p>
    <w:p w14:paraId="4AAA1E2F">
      <w:pPr>
        <w:pStyle w:val="757"/>
      </w:pPr>
      <w:r>
        <w:t>5.2.4.3地下水影响分析</w:t>
      </w:r>
    </w:p>
    <w:p w14:paraId="64B5399B">
      <w:pPr>
        <w:pStyle w:val="230"/>
        <w:ind w:firstLine="480"/>
        <w:rPr>
          <w:lang w:eastAsia="zh-CN"/>
        </w:rPr>
      </w:pPr>
      <w:r>
        <w:rPr>
          <w:lang w:eastAsia="zh-CN"/>
        </w:rPr>
        <w:t>1、污染途径</w:t>
      </w:r>
    </w:p>
    <w:p w14:paraId="6E2849E7">
      <w:pPr>
        <w:pStyle w:val="230"/>
        <w:ind w:firstLine="480"/>
        <w:rPr>
          <w:lang w:eastAsia="zh-CN"/>
        </w:rPr>
      </w:pPr>
      <w:r>
        <w:rPr>
          <w:lang w:eastAsia="zh-CN"/>
        </w:rPr>
        <w:t>污染物从污染源进入地下水所经过路径称为地下水污染途径，地下水污染途径是多种多样的。根据工程所处区域的地质情况，建设项目可能对地下水造成污染的途径主要有：</w:t>
      </w:r>
      <w:r>
        <w:rPr>
          <w:rFonts w:hint="eastAsia"/>
          <w:lang w:eastAsia="zh-CN"/>
        </w:rPr>
        <w:t>有机肥发酵渗滤液、</w:t>
      </w:r>
      <w:r>
        <w:rPr>
          <w:lang w:eastAsia="zh-CN"/>
        </w:rPr>
        <w:t>废水处理设施、输送管道等污水下渗对地下水造成的污染。</w:t>
      </w:r>
    </w:p>
    <w:p w14:paraId="6C5C5275">
      <w:pPr>
        <w:pStyle w:val="230"/>
        <w:ind w:firstLine="480"/>
        <w:rPr>
          <w:lang w:eastAsia="zh-CN"/>
        </w:rPr>
      </w:pPr>
      <w:r>
        <w:rPr>
          <w:lang w:eastAsia="zh-CN"/>
        </w:rPr>
        <w:t>2、影响分析</w:t>
      </w:r>
    </w:p>
    <w:p w14:paraId="4D947CC7">
      <w:pPr>
        <w:pStyle w:val="230"/>
        <w:ind w:firstLine="480"/>
        <w:rPr>
          <w:lang w:eastAsia="zh-CN"/>
        </w:rPr>
      </w:pPr>
      <w:r>
        <w:rPr>
          <w:lang w:eastAsia="zh-CN"/>
        </w:rPr>
        <w:t>A、对浅层地下水的污染影响</w:t>
      </w:r>
    </w:p>
    <w:p w14:paraId="10DA1C83">
      <w:pPr>
        <w:pStyle w:val="230"/>
        <w:ind w:firstLine="480"/>
        <w:rPr>
          <w:lang w:eastAsia="zh-CN"/>
        </w:rPr>
      </w:pPr>
      <w:r>
        <w:rPr>
          <w:lang w:eastAsia="zh-CN"/>
        </w:rPr>
        <w:t>正常情况下，对地下水的污染主要是由于污染物迁移穿过包气带进入含水层造成。项目场地浅层土质渗透性强，说明浅层地下水容易受到污染。若废水或粪便发生渗漏，污染物会很快穿过包气带进入浅层地下水，对浅层地下水的污染大。</w:t>
      </w:r>
    </w:p>
    <w:p w14:paraId="2B729DB6">
      <w:pPr>
        <w:pStyle w:val="230"/>
        <w:ind w:firstLine="480"/>
        <w:rPr>
          <w:lang w:eastAsia="zh-CN"/>
        </w:rPr>
      </w:pPr>
      <w:r>
        <w:rPr>
          <w:lang w:eastAsia="zh-CN"/>
        </w:rPr>
        <w:t>B、对深层地下水的污染影响</w:t>
      </w:r>
    </w:p>
    <w:p w14:paraId="64545943">
      <w:pPr>
        <w:pStyle w:val="230"/>
        <w:ind w:firstLine="480"/>
        <w:rPr>
          <w:lang w:eastAsia="zh-CN"/>
        </w:rPr>
      </w:pPr>
      <w:r>
        <w:rPr>
          <w:lang w:eastAsia="zh-CN"/>
        </w:rPr>
        <w:t>判断深层地下水是否会受到污染影响，通常分析深层地下水含水组上覆地层的防污性能和有无与浅层地下水的水利联系。通过水文地质条件分析，该区域深层土质渗透性弱，所以垂直渗入补给条件较差，与浅层地下水水利联系不密切。因此，深层地下水受到项目下渗污水的污染影响较小。</w:t>
      </w:r>
    </w:p>
    <w:p w14:paraId="56FA4369">
      <w:pPr>
        <w:pStyle w:val="230"/>
        <w:ind w:firstLine="480"/>
        <w:rPr>
          <w:lang w:eastAsia="zh-CN"/>
        </w:rPr>
      </w:pPr>
      <w:r>
        <w:rPr>
          <w:lang w:eastAsia="zh-CN"/>
        </w:rPr>
        <w:t>根据地下水地质条件、地下水补给、径流条件和排洪特点，分析本工程废水产生排放情况，可能造成的地下水污染途径有以下几种途径：</w:t>
      </w:r>
    </w:p>
    <w:p w14:paraId="52D8FCB4">
      <w:pPr>
        <w:pStyle w:val="230"/>
        <w:ind w:firstLine="480"/>
        <w:rPr>
          <w:lang w:eastAsia="zh-CN"/>
        </w:rPr>
      </w:pPr>
      <w:r>
        <w:rPr>
          <w:rFonts w:hint="eastAsia" w:ascii="宋体" w:hAnsi="宋体" w:cs="宋体"/>
          <w:lang w:eastAsia="zh-CN"/>
        </w:rPr>
        <w:t>①</w:t>
      </w:r>
      <w:r>
        <w:rPr>
          <w:lang w:eastAsia="zh-CN"/>
        </w:rPr>
        <w:t>废水通过的通道、沟渠的防渗措施不完善，而导致废水渗入地下造成对地下水的污染；</w:t>
      </w:r>
    </w:p>
    <w:p w14:paraId="0E56A526">
      <w:pPr>
        <w:pStyle w:val="230"/>
        <w:ind w:firstLine="480"/>
        <w:rPr>
          <w:lang w:eastAsia="zh-CN"/>
        </w:rPr>
      </w:pPr>
      <w:r>
        <w:rPr>
          <w:rFonts w:hint="eastAsia" w:ascii="宋体" w:hAnsi="宋体" w:cs="宋体"/>
          <w:lang w:eastAsia="zh-CN"/>
        </w:rPr>
        <w:t>②</w:t>
      </w:r>
      <w:r>
        <w:rPr>
          <w:lang w:eastAsia="zh-CN"/>
        </w:rPr>
        <w:t>工程使用的各类废水池、排水管道防渗措施不足，而造成废水渗漏污染；</w:t>
      </w:r>
    </w:p>
    <w:p w14:paraId="5054C1B9">
      <w:pPr>
        <w:pStyle w:val="230"/>
        <w:ind w:firstLine="480"/>
        <w:rPr>
          <w:lang w:eastAsia="zh-CN"/>
        </w:rPr>
      </w:pPr>
      <w:r>
        <w:rPr>
          <w:rFonts w:hint="eastAsia" w:ascii="宋体" w:hAnsi="宋体" w:cs="宋体"/>
          <w:lang w:eastAsia="zh-CN"/>
        </w:rPr>
        <w:t>③</w:t>
      </w:r>
      <w:r>
        <w:rPr>
          <w:lang w:eastAsia="zh-CN"/>
        </w:rPr>
        <w:t>生产设施因基础防渗不足通过裂隙污染地下水。</w:t>
      </w:r>
    </w:p>
    <w:p w14:paraId="5229F84F">
      <w:pPr>
        <w:pStyle w:val="230"/>
        <w:ind w:firstLine="480"/>
        <w:rPr>
          <w:lang w:eastAsia="zh-CN"/>
        </w:rPr>
      </w:pPr>
      <w:r>
        <w:rPr>
          <w:rFonts w:hint="eastAsia"/>
          <w:lang w:eastAsia="zh-CN"/>
        </w:rPr>
        <w:t>④渗滤液收集设施损坏发生渗滤液泄漏造成土壤地下水污染</w:t>
      </w:r>
    </w:p>
    <w:p w14:paraId="24320B1E">
      <w:pPr>
        <w:pStyle w:val="230"/>
        <w:ind w:firstLine="480"/>
        <w:rPr>
          <w:lang w:eastAsia="zh-CN"/>
        </w:rPr>
      </w:pPr>
      <w:r>
        <w:rPr>
          <w:lang w:eastAsia="zh-CN"/>
        </w:rPr>
        <w:t>3、非正常情况影响预测</w:t>
      </w:r>
    </w:p>
    <w:p w14:paraId="738F3983">
      <w:pPr>
        <w:pStyle w:val="230"/>
        <w:ind w:firstLine="480"/>
        <w:rPr>
          <w:lang w:eastAsia="zh-CN"/>
        </w:rPr>
      </w:pPr>
      <w:r>
        <w:rPr>
          <w:lang w:eastAsia="zh-CN"/>
        </w:rPr>
        <w:t>（1）预测情景</w:t>
      </w:r>
    </w:p>
    <w:p w14:paraId="4D7AEE39">
      <w:pPr>
        <w:pStyle w:val="230"/>
        <w:ind w:firstLine="480"/>
        <w:jc w:val="both"/>
        <w:rPr>
          <w:lang w:eastAsia="zh-CN"/>
        </w:rPr>
      </w:pPr>
      <w:r>
        <w:rPr>
          <w:lang w:eastAsia="zh-CN"/>
        </w:rPr>
        <w:t>根据《环境影响评价技术导则地下水环境》(H1610-2016)规定，本项目己依据GB18597、GB18599设计地下水污染防渗措施，可不进行正常情況下的</w:t>
      </w:r>
      <w:r>
        <w:rPr>
          <w:rFonts w:hint="eastAsia"/>
          <w:lang w:eastAsia="zh-CN"/>
        </w:rPr>
        <w:t>预</w:t>
      </w:r>
      <w:r>
        <w:rPr>
          <w:lang w:eastAsia="zh-CN"/>
        </w:rPr>
        <w:t>测，故本次环评只进行非常工况预测。</w:t>
      </w:r>
    </w:p>
    <w:p w14:paraId="2726D14B">
      <w:pPr>
        <w:pStyle w:val="230"/>
        <w:ind w:firstLine="480"/>
        <w:rPr>
          <w:lang w:eastAsia="zh-CN"/>
        </w:rPr>
      </w:pPr>
      <w:r>
        <w:rPr>
          <w:lang w:eastAsia="zh-CN"/>
        </w:rPr>
        <w:t>非正常工况下</w:t>
      </w:r>
      <w:r>
        <w:rPr>
          <w:rFonts w:hint="eastAsia"/>
          <w:lang w:eastAsia="zh-CN"/>
        </w:rPr>
        <w:t>渗滤液收集设施损坏、</w:t>
      </w:r>
      <w:r>
        <w:rPr>
          <w:lang w:eastAsia="zh-CN"/>
        </w:rPr>
        <w:t>污水处理系统对地下水环境可能的影响方式主要为污水处理池底部出现破损导致池内污水通过裂口渗入地下影响地下水水质。</w:t>
      </w:r>
    </w:p>
    <w:p w14:paraId="0AF34D16">
      <w:pPr>
        <w:pStyle w:val="230"/>
        <w:ind w:firstLine="480"/>
        <w:rPr>
          <w:lang w:eastAsia="zh-CN"/>
        </w:rPr>
      </w:pPr>
      <w:r>
        <w:rPr>
          <w:lang w:eastAsia="zh-CN"/>
        </w:rPr>
        <w:t>为了说明养殖场区内污废水对场区及下游地下水水质污染形响程度，制定地下水环境应急预案和地下水污染治理方案提供依据，评价采用地下水解析法进行分析预测和评价。</w:t>
      </w:r>
    </w:p>
    <w:p w14:paraId="0CD24784">
      <w:pPr>
        <w:pStyle w:val="230"/>
        <w:ind w:firstLine="480"/>
        <w:rPr>
          <w:lang w:eastAsia="zh-CN"/>
        </w:rPr>
      </w:pPr>
      <w:r>
        <w:rPr>
          <w:lang w:eastAsia="zh-CN"/>
        </w:rPr>
        <w:t>（2）预测模式</w:t>
      </w:r>
    </w:p>
    <w:p w14:paraId="3CD4542F">
      <w:pPr>
        <w:pStyle w:val="230"/>
        <w:ind w:firstLine="480"/>
        <w:rPr>
          <w:lang w:eastAsia="zh-CN"/>
        </w:rPr>
      </w:pPr>
      <w:r>
        <w:rPr>
          <w:lang w:eastAsia="zh-CN"/>
        </w:rPr>
        <w:t>本项目地下水评价等级为</w:t>
      </w:r>
      <w:r>
        <w:rPr>
          <w:rFonts w:hint="eastAsia"/>
          <w:lang w:eastAsia="zh-CN"/>
        </w:rPr>
        <w:t>二</w:t>
      </w:r>
      <w:r>
        <w:rPr>
          <w:lang w:eastAsia="zh-CN"/>
        </w:rPr>
        <w:t>级，可采</w:t>
      </w:r>
      <w:r>
        <w:rPr>
          <w:rFonts w:hint="eastAsia"/>
          <w:lang w:eastAsia="zh-CN"/>
        </w:rPr>
        <w:t>数值法</w:t>
      </w:r>
      <w:r>
        <w:rPr>
          <w:lang w:eastAsia="zh-CN"/>
        </w:rPr>
        <w:t>进行预测。本次评价地下水预采用《环境响评价技术导则地下水》附录D推荐的预测模型；一维稳定流动模型，一维稳定流动一维水动力弥散模型预测公式如下：</w:t>
      </w:r>
    </w:p>
    <w:p w14:paraId="18CA19A3">
      <w:pPr>
        <w:pStyle w:val="369"/>
      </w:pPr>
      <w:r>
        <w:drawing>
          <wp:inline distT="0" distB="0" distL="0" distR="0">
            <wp:extent cx="3390900" cy="67627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0" y="0"/>
                      <a:ext cx="3390900" cy="676275"/>
                    </a:xfrm>
                    <a:prstGeom prst="rect">
                      <a:avLst/>
                    </a:prstGeom>
                  </pic:spPr>
                </pic:pic>
              </a:graphicData>
            </a:graphic>
          </wp:inline>
        </w:drawing>
      </w:r>
    </w:p>
    <w:p w14:paraId="3F26FDA3">
      <w:pPr>
        <w:pStyle w:val="230"/>
        <w:ind w:firstLine="480"/>
        <w:rPr>
          <w:lang w:eastAsia="zh-CN"/>
        </w:rPr>
      </w:pPr>
      <w:r>
        <w:rPr>
          <w:lang w:eastAsia="zh-CN"/>
        </w:rPr>
        <w:t>式中：</w:t>
      </w:r>
    </w:p>
    <w:p w14:paraId="04FAA665">
      <w:pPr>
        <w:pStyle w:val="230"/>
        <w:ind w:firstLine="480"/>
        <w:rPr>
          <w:lang w:eastAsia="zh-CN"/>
        </w:rPr>
      </w:pPr>
      <w:r>
        <w:rPr>
          <w:lang w:eastAsia="zh-CN"/>
        </w:rPr>
        <w:t>X—计算点与泄漏点的距离；</w:t>
      </w:r>
    </w:p>
    <w:p w14:paraId="7BDE7B2F">
      <w:pPr>
        <w:pStyle w:val="230"/>
        <w:ind w:firstLine="480"/>
        <w:rPr>
          <w:lang w:eastAsia="zh-CN"/>
        </w:rPr>
      </w:pPr>
      <w:r>
        <w:rPr>
          <w:lang w:eastAsia="zh-CN"/>
        </w:rPr>
        <w:t>t—时间，d；</w:t>
      </w:r>
    </w:p>
    <w:p w14:paraId="07AD8D44">
      <w:pPr>
        <w:pStyle w:val="230"/>
        <w:ind w:firstLine="480"/>
        <w:rPr>
          <w:lang w:eastAsia="zh-CN"/>
        </w:rPr>
      </w:pPr>
      <w:r>
        <w:rPr>
          <w:lang w:eastAsia="zh-CN"/>
        </w:rPr>
        <w:t>C（x，t）—t时刻点x处的示踪剂浓度，g/L；</w:t>
      </w:r>
    </w:p>
    <w:p w14:paraId="20C9004B">
      <w:pPr>
        <w:pStyle w:val="230"/>
        <w:ind w:firstLine="480"/>
        <w:rPr>
          <w:lang w:eastAsia="zh-CN"/>
        </w:rPr>
      </w:pPr>
      <w:r>
        <w:rPr>
          <w:lang w:eastAsia="zh-CN"/>
        </w:rPr>
        <w:t>C</w:t>
      </w:r>
      <w:r>
        <w:rPr>
          <w:vertAlign w:val="subscript"/>
          <w:lang w:eastAsia="zh-CN"/>
        </w:rPr>
        <w:t>0</w:t>
      </w:r>
      <w:r>
        <w:rPr>
          <w:lang w:eastAsia="zh-CN"/>
        </w:rPr>
        <w:t>—注入示踪剂的浓度mg/L；</w:t>
      </w:r>
    </w:p>
    <w:p w14:paraId="059FC37F">
      <w:pPr>
        <w:pStyle w:val="230"/>
        <w:ind w:firstLine="480"/>
        <w:rPr>
          <w:lang w:eastAsia="zh-CN"/>
        </w:rPr>
      </w:pPr>
      <w:r>
        <w:rPr>
          <w:lang w:eastAsia="zh-CN"/>
        </w:rPr>
        <w:t>U—水流速度，m/d；</w:t>
      </w:r>
    </w:p>
    <w:p w14:paraId="654F01DE">
      <w:pPr>
        <w:pStyle w:val="230"/>
        <w:ind w:firstLine="480"/>
        <w:rPr>
          <w:lang w:eastAsia="zh-CN"/>
        </w:rPr>
      </w:pPr>
      <w:r>
        <w:rPr>
          <w:lang w:eastAsia="zh-CN"/>
        </w:rPr>
        <w:t>D</w:t>
      </w:r>
      <w:r>
        <w:rPr>
          <w:vertAlign w:val="subscript"/>
          <w:lang w:eastAsia="zh-CN"/>
        </w:rPr>
        <w:t>L</w:t>
      </w:r>
      <w:r>
        <w:rPr>
          <w:lang w:eastAsia="zh-CN"/>
        </w:rPr>
        <w:t>—纵向弥散系数，m</w:t>
      </w:r>
      <w:r>
        <w:rPr>
          <w:vertAlign w:val="superscript"/>
          <w:lang w:eastAsia="zh-CN"/>
        </w:rPr>
        <w:t>2</w:t>
      </w:r>
      <w:r>
        <w:rPr>
          <w:lang w:eastAsia="zh-CN"/>
        </w:rPr>
        <w:t>/d；</w:t>
      </w:r>
    </w:p>
    <w:p w14:paraId="45DB59D2">
      <w:pPr>
        <w:pStyle w:val="230"/>
        <w:ind w:firstLine="480"/>
        <w:rPr>
          <w:lang w:eastAsia="zh-CN"/>
        </w:rPr>
      </w:pPr>
      <w:r>
        <w:rPr>
          <w:lang w:eastAsia="zh-CN"/>
        </w:rPr>
        <w:t>Erfc（）—余误差函数。</w:t>
      </w:r>
    </w:p>
    <w:p w14:paraId="1131EB3D">
      <w:pPr>
        <w:pStyle w:val="230"/>
        <w:ind w:firstLine="480"/>
        <w:rPr>
          <w:lang w:eastAsia="zh-CN"/>
        </w:rPr>
      </w:pPr>
      <w:r>
        <w:rPr>
          <w:lang w:eastAsia="zh-CN"/>
        </w:rPr>
        <w:t>（3）预测模型参数选择</w:t>
      </w:r>
    </w:p>
    <w:p w14:paraId="07D6F8F4">
      <w:pPr>
        <w:pStyle w:val="230"/>
        <w:ind w:firstLine="480"/>
        <w:rPr>
          <w:lang w:eastAsia="zh-CN"/>
        </w:rPr>
      </w:pPr>
      <w:r>
        <w:rPr>
          <w:lang w:eastAsia="zh-CN"/>
        </w:rPr>
        <w:t>地下水预测模型参数见下表。</w:t>
      </w:r>
    </w:p>
    <w:p w14:paraId="1C816DD6">
      <w:pPr>
        <w:pStyle w:val="230"/>
        <w:ind w:firstLine="480"/>
        <w:rPr>
          <w:lang w:eastAsia="zh-CN"/>
        </w:rPr>
      </w:pPr>
      <w:r>
        <w:rPr>
          <w:rFonts w:hint="eastAsia" w:ascii="宋体" w:hAnsi="宋体" w:cs="宋体"/>
          <w:lang w:eastAsia="zh-CN"/>
        </w:rPr>
        <w:t>①</w:t>
      </w:r>
      <w:r>
        <w:rPr>
          <w:lang w:eastAsia="zh-CN"/>
        </w:rPr>
        <w:t>水流速度</w:t>
      </w:r>
    </w:p>
    <w:p w14:paraId="76BC3B40">
      <w:pPr>
        <w:pStyle w:val="230"/>
        <w:ind w:firstLine="480"/>
        <w:rPr>
          <w:lang w:eastAsia="zh-CN"/>
        </w:rPr>
      </w:pPr>
      <w:r>
        <w:rPr>
          <w:lang w:eastAsia="zh-CN"/>
        </w:rPr>
        <w:t>地下水水流速度计算公式如下：</w:t>
      </w:r>
    </w:p>
    <w:p w14:paraId="00F708AD">
      <w:pPr>
        <w:pStyle w:val="230"/>
        <w:ind w:firstLine="480"/>
      </w:pPr>
      <w:r>
        <w:t>u=KI/n</w:t>
      </w:r>
      <w:r>
        <w:rPr>
          <w:vertAlign w:val="subscript"/>
        </w:rPr>
        <w:t>e</w:t>
      </w:r>
    </w:p>
    <w:p w14:paraId="3051961E">
      <w:pPr>
        <w:pStyle w:val="230"/>
        <w:ind w:firstLine="480"/>
      </w:pPr>
      <w:r>
        <w:t>式中：u—水流速度，m/d；</w:t>
      </w:r>
    </w:p>
    <w:p w14:paraId="19FFEA33">
      <w:pPr>
        <w:pStyle w:val="230"/>
        <w:ind w:firstLine="480"/>
        <w:rPr>
          <w:lang w:eastAsia="zh-CN"/>
        </w:rPr>
      </w:pPr>
      <w:r>
        <w:rPr>
          <w:lang w:eastAsia="zh-CN"/>
        </w:rPr>
        <w:t>K—渗透系数，m/d，取10m/d（参考HJ610-2016 附录B）；</w:t>
      </w:r>
    </w:p>
    <w:p w14:paraId="7CF26786">
      <w:pPr>
        <w:pStyle w:val="230"/>
        <w:ind w:firstLine="480"/>
      </w:pPr>
      <w:r>
        <w:t>I—水力梯度，取5%；</w:t>
      </w:r>
    </w:p>
    <w:p w14:paraId="6ABB80DF">
      <w:pPr>
        <w:pStyle w:val="230"/>
        <w:ind w:firstLine="480"/>
        <w:rPr>
          <w:lang w:eastAsia="zh-CN"/>
        </w:rPr>
      </w:pPr>
      <w:r>
        <w:rPr>
          <w:lang w:eastAsia="zh-CN"/>
        </w:rPr>
        <w:t>n</w:t>
      </w:r>
      <w:r>
        <w:rPr>
          <w:vertAlign w:val="subscript"/>
          <w:lang w:eastAsia="zh-CN"/>
        </w:rPr>
        <w:t>e</w:t>
      </w:r>
      <w:r>
        <w:rPr>
          <w:lang w:eastAsia="zh-CN"/>
        </w:rPr>
        <w:t>—有效孔隙度，无量纲，取0.21（参考HJ610-2016附录B）。</w:t>
      </w:r>
    </w:p>
    <w:p w14:paraId="318D0009">
      <w:pPr>
        <w:pStyle w:val="230"/>
        <w:ind w:firstLine="480"/>
        <w:rPr>
          <w:lang w:eastAsia="zh-CN"/>
        </w:rPr>
      </w:pPr>
      <w:r>
        <w:rPr>
          <w:lang w:eastAsia="zh-CN"/>
        </w:rPr>
        <w:t>经计算，项目所在区域地下水水流速度为1.2m/d。</w:t>
      </w:r>
    </w:p>
    <w:p w14:paraId="4C09A2BB">
      <w:pPr>
        <w:pStyle w:val="230"/>
        <w:ind w:firstLine="480"/>
        <w:rPr>
          <w:lang w:eastAsia="zh-CN"/>
        </w:rPr>
      </w:pPr>
      <w:r>
        <w:rPr>
          <w:rFonts w:hint="eastAsia" w:ascii="宋体" w:hAnsi="宋体" w:cs="宋体"/>
          <w:lang w:eastAsia="zh-CN"/>
        </w:rPr>
        <w:t>②</w:t>
      </w:r>
      <w:r>
        <w:rPr>
          <w:lang w:eastAsia="zh-CN"/>
        </w:rPr>
        <w:t>纵向弥散系数的确定</w:t>
      </w:r>
    </w:p>
    <w:p w14:paraId="4F6952F1">
      <w:pPr>
        <w:pStyle w:val="230"/>
        <w:ind w:firstLine="480"/>
        <w:rPr>
          <w:lang w:eastAsia="zh-CN"/>
        </w:rPr>
      </w:pPr>
      <w:r>
        <w:rPr>
          <w:lang w:eastAsia="zh-CN"/>
        </w:rPr>
        <w:t>纵向弥散系数的计算公式如下：</w:t>
      </w:r>
    </w:p>
    <w:p w14:paraId="560072FD">
      <w:pPr>
        <w:pStyle w:val="230"/>
        <w:ind w:firstLine="480"/>
        <w:rPr>
          <w:lang w:eastAsia="zh-CN"/>
        </w:rPr>
      </w:pPr>
      <w:r>
        <w:rPr>
          <w:lang w:eastAsia="zh-CN"/>
        </w:rPr>
        <w:t>D</w:t>
      </w:r>
      <w:r>
        <w:rPr>
          <w:vertAlign w:val="subscript"/>
          <w:lang w:eastAsia="zh-CN"/>
        </w:rPr>
        <w:t>L</w:t>
      </w:r>
      <w:r>
        <w:rPr>
          <w:lang w:eastAsia="zh-CN"/>
        </w:rPr>
        <w:t>=a</w:t>
      </w:r>
      <w:r>
        <w:rPr>
          <w:vertAlign w:val="subscript"/>
          <w:lang w:eastAsia="zh-CN"/>
        </w:rPr>
        <w:t>L</w:t>
      </w:r>
      <w:r>
        <w:rPr>
          <w:lang w:eastAsia="zh-CN"/>
        </w:rPr>
        <w:t>*u</w:t>
      </w:r>
    </w:p>
    <w:p w14:paraId="51F1FCAF">
      <w:pPr>
        <w:pStyle w:val="230"/>
        <w:ind w:firstLine="480"/>
        <w:rPr>
          <w:lang w:eastAsia="zh-CN"/>
        </w:rPr>
      </w:pPr>
      <w:r>
        <w:rPr>
          <w:lang w:eastAsia="zh-CN"/>
        </w:rPr>
        <w:t>式中：D</w:t>
      </w:r>
      <w:r>
        <w:rPr>
          <w:vertAlign w:val="subscript"/>
          <w:lang w:eastAsia="zh-CN"/>
        </w:rPr>
        <w:t>L</w:t>
      </w:r>
      <w:r>
        <w:rPr>
          <w:lang w:eastAsia="zh-CN"/>
        </w:rPr>
        <w:t>—纵向弥散系数，m</w:t>
      </w:r>
      <w:r>
        <w:rPr>
          <w:vertAlign w:val="superscript"/>
          <w:lang w:eastAsia="zh-CN"/>
        </w:rPr>
        <w:t>2</w:t>
      </w:r>
      <w:r>
        <w:rPr>
          <w:lang w:eastAsia="zh-CN"/>
        </w:rPr>
        <w:t>/d；</w:t>
      </w:r>
    </w:p>
    <w:p w14:paraId="09698095">
      <w:pPr>
        <w:pStyle w:val="230"/>
        <w:ind w:firstLine="480"/>
        <w:rPr>
          <w:lang w:eastAsia="zh-CN"/>
        </w:rPr>
      </w:pPr>
      <w:r>
        <w:rPr>
          <w:lang w:eastAsia="zh-CN"/>
        </w:rPr>
        <w:t>a</w:t>
      </w:r>
      <w:r>
        <w:rPr>
          <w:vertAlign w:val="subscript"/>
          <w:lang w:eastAsia="zh-CN"/>
        </w:rPr>
        <w:t>L</w:t>
      </w:r>
      <w:r>
        <w:rPr>
          <w:lang w:eastAsia="zh-CN"/>
        </w:rPr>
        <w:t>—纵向弥散度，m，取经验值4.5m；</w:t>
      </w:r>
    </w:p>
    <w:p w14:paraId="7E5489D2">
      <w:pPr>
        <w:pStyle w:val="230"/>
        <w:ind w:firstLine="480"/>
      </w:pPr>
      <w:r>
        <w:t>u—水流速度，m/d，1.2m/d。</w:t>
      </w:r>
    </w:p>
    <w:p w14:paraId="50EF6AB5">
      <w:pPr>
        <w:pStyle w:val="230"/>
        <w:ind w:firstLine="480"/>
        <w:rPr>
          <w:lang w:eastAsia="zh-CN"/>
        </w:rPr>
      </w:pPr>
      <w:r>
        <w:rPr>
          <w:lang w:eastAsia="zh-CN"/>
        </w:rPr>
        <w:t>经计算，纵向弥散系数为6.32m</w:t>
      </w:r>
      <w:r>
        <w:rPr>
          <w:vertAlign w:val="superscript"/>
          <w:lang w:eastAsia="zh-CN"/>
        </w:rPr>
        <w:t>2</w:t>
      </w:r>
      <w:r>
        <w:rPr>
          <w:lang w:eastAsia="zh-CN"/>
        </w:rPr>
        <w:t>/d。</w:t>
      </w:r>
    </w:p>
    <w:p w14:paraId="2C68512F">
      <w:pPr>
        <w:pStyle w:val="230"/>
        <w:ind w:firstLine="480"/>
        <w:rPr>
          <w:lang w:eastAsia="zh-CN"/>
        </w:rPr>
      </w:pPr>
      <w:r>
        <w:rPr>
          <w:lang w:eastAsia="zh-CN"/>
        </w:rPr>
        <w:t>（4）预测因子</w:t>
      </w:r>
    </w:p>
    <w:p w14:paraId="52D23E72">
      <w:pPr>
        <w:pStyle w:val="230"/>
        <w:ind w:firstLine="480"/>
        <w:jc w:val="both"/>
        <w:rPr>
          <w:lang w:eastAsia="zh-CN"/>
        </w:rPr>
      </w:pPr>
      <w:r>
        <w:rPr>
          <w:position w:val="2"/>
          <w:lang w:eastAsia="zh-CN"/>
        </w:rPr>
        <w:t>废水的主要污染物为</w:t>
      </w:r>
      <w:r>
        <w:rPr>
          <w:spacing w:val="-60"/>
          <w:position w:val="2"/>
          <w:lang w:eastAsia="zh-CN"/>
        </w:rPr>
        <w:t xml:space="preserve"> </w:t>
      </w:r>
      <w:r>
        <w:rPr>
          <w:spacing w:val="-5"/>
          <w:position w:val="2"/>
          <w:lang w:eastAsia="zh-CN"/>
        </w:rPr>
        <w:t>SS、COD、BOD</w:t>
      </w:r>
      <w:r>
        <w:rPr>
          <w:spacing w:val="-5"/>
          <w:sz w:val="15"/>
          <w:szCs w:val="15"/>
          <w:lang w:eastAsia="zh-CN"/>
        </w:rPr>
        <w:t>5</w:t>
      </w:r>
      <w:r>
        <w:rPr>
          <w:spacing w:val="-5"/>
          <w:position w:val="2"/>
          <w:lang w:eastAsia="zh-CN"/>
        </w:rPr>
        <w:t>、NH</w:t>
      </w:r>
      <w:r>
        <w:rPr>
          <w:spacing w:val="-5"/>
          <w:sz w:val="15"/>
          <w:szCs w:val="15"/>
          <w:lang w:eastAsia="zh-CN"/>
        </w:rPr>
        <w:t>3</w:t>
      </w:r>
      <w:r>
        <w:rPr>
          <w:spacing w:val="-5"/>
          <w:position w:val="2"/>
          <w:lang w:eastAsia="zh-CN"/>
        </w:rPr>
        <w:t>-N、TP</w:t>
      </w:r>
      <w:r>
        <w:rPr>
          <w:position w:val="2"/>
          <w:lang w:eastAsia="zh-CN"/>
        </w:rPr>
        <w:t xml:space="preserve"> </w:t>
      </w:r>
      <w:r>
        <w:rPr>
          <w:spacing w:val="-5"/>
          <w:position w:val="2"/>
          <w:lang w:eastAsia="zh-CN"/>
        </w:rPr>
        <w:t>等，由于</w:t>
      </w:r>
      <w:r>
        <w:rPr>
          <w:spacing w:val="-60"/>
          <w:position w:val="2"/>
          <w:lang w:eastAsia="zh-CN"/>
        </w:rPr>
        <w:t xml:space="preserve"> </w:t>
      </w:r>
      <w:r>
        <w:rPr>
          <w:position w:val="2"/>
          <w:lang w:eastAsia="zh-CN"/>
        </w:rPr>
        <w:t>BOD</w:t>
      </w:r>
      <w:r>
        <w:rPr>
          <w:sz w:val="15"/>
          <w:szCs w:val="15"/>
          <w:lang w:eastAsia="zh-CN"/>
        </w:rPr>
        <w:t>5</w:t>
      </w:r>
      <w:r>
        <w:rPr>
          <w:spacing w:val="2"/>
          <w:sz w:val="15"/>
          <w:szCs w:val="15"/>
          <w:lang w:eastAsia="zh-CN"/>
        </w:rPr>
        <w:t xml:space="preserve"> </w:t>
      </w:r>
      <w:r>
        <w:rPr>
          <w:position w:val="2"/>
          <w:lang w:eastAsia="zh-CN"/>
        </w:rPr>
        <w:t>为表征有机污染物数量的一个指标（并且《地下水质量标准》（GBT14848-2017）没有</w:t>
      </w:r>
      <w:r>
        <w:rPr>
          <w:spacing w:val="-60"/>
          <w:position w:val="2"/>
          <w:lang w:eastAsia="zh-CN"/>
        </w:rPr>
        <w:t xml:space="preserve"> </w:t>
      </w:r>
      <w:r>
        <w:rPr>
          <w:position w:val="2"/>
          <w:lang w:eastAsia="zh-CN"/>
        </w:rPr>
        <w:t>BOD</w:t>
      </w:r>
      <w:r>
        <w:rPr>
          <w:sz w:val="15"/>
          <w:szCs w:val="15"/>
          <w:lang w:eastAsia="zh-CN"/>
        </w:rPr>
        <w:t>5</w:t>
      </w:r>
      <w:r>
        <w:rPr>
          <w:position w:val="2"/>
          <w:lang w:eastAsia="zh-CN"/>
        </w:rPr>
        <w:t>标准，SS为非溶解性的固相物质，SS、COD、BOD</w:t>
      </w:r>
      <w:r>
        <w:rPr>
          <w:sz w:val="15"/>
          <w:szCs w:val="15"/>
          <w:lang w:eastAsia="zh-CN"/>
        </w:rPr>
        <w:t>5</w:t>
      </w:r>
      <w:r>
        <w:rPr>
          <w:position w:val="2"/>
          <w:lang w:eastAsia="zh-CN"/>
        </w:rPr>
        <w:t>不适用于地下水溶质运移模型；《地下水质量标准》（GBT14848-2017）没有TP标准。因此，本次评价将养殖污水中的</w:t>
      </w:r>
      <w:r>
        <w:rPr>
          <w:spacing w:val="-61"/>
          <w:position w:val="2"/>
          <w:lang w:eastAsia="zh-CN"/>
        </w:rPr>
        <w:t xml:space="preserve"> </w:t>
      </w:r>
      <w:r>
        <w:rPr>
          <w:position w:val="2"/>
          <w:lang w:eastAsia="zh-CN"/>
        </w:rPr>
        <w:t>NH</w:t>
      </w:r>
      <w:r>
        <w:rPr>
          <w:sz w:val="15"/>
          <w:szCs w:val="15"/>
          <w:lang w:eastAsia="zh-CN"/>
        </w:rPr>
        <w:t>3</w:t>
      </w:r>
      <w:r>
        <w:rPr>
          <w:position w:val="2"/>
          <w:lang w:eastAsia="zh-CN"/>
        </w:rPr>
        <w:t>-N</w:t>
      </w:r>
      <w:r>
        <w:rPr>
          <w:lang w:eastAsia="zh-CN"/>
        </w:rPr>
        <w:t>（1</w:t>
      </w:r>
      <w:r>
        <w:rPr>
          <w:rFonts w:hint="eastAsia"/>
          <w:lang w:eastAsia="zh-CN"/>
        </w:rPr>
        <w:t>8</w:t>
      </w:r>
      <w:r>
        <w:rPr>
          <w:lang w:eastAsia="zh-CN"/>
        </w:rPr>
        <w:t>0mg/L）和耗氧量（1</w:t>
      </w:r>
      <w:r>
        <w:rPr>
          <w:rFonts w:hint="eastAsia"/>
          <w:lang w:eastAsia="zh-CN"/>
        </w:rPr>
        <w:t>5</w:t>
      </w:r>
      <w:r>
        <w:rPr>
          <w:lang w:eastAsia="zh-CN"/>
        </w:rPr>
        <w:t>00mg/L）作为非正常状况下特征污染物进行预测。</w:t>
      </w:r>
    </w:p>
    <w:p w14:paraId="03DF2336">
      <w:pPr>
        <w:pStyle w:val="230"/>
        <w:ind w:firstLine="480"/>
        <w:rPr>
          <w:lang w:eastAsia="zh-CN"/>
        </w:rPr>
      </w:pPr>
      <w:r>
        <w:rPr>
          <w:lang w:eastAsia="zh-CN"/>
        </w:rPr>
        <w:t>（5）预测结果</w:t>
      </w:r>
    </w:p>
    <w:p w14:paraId="7255CF73">
      <w:pPr>
        <w:pStyle w:val="230"/>
        <w:ind w:firstLine="480"/>
        <w:rPr>
          <w:lang w:eastAsia="zh-CN"/>
        </w:rPr>
      </w:pPr>
      <w:r>
        <w:rPr>
          <w:lang w:eastAsia="zh-CN"/>
        </w:rPr>
        <w:t>预测结果见下表。</w:t>
      </w:r>
    </w:p>
    <w:p w14:paraId="0B719F15">
      <w:pPr>
        <w:pStyle w:val="369"/>
      </w:pPr>
      <w:r>
        <w:t>表5.2-1</w:t>
      </w:r>
      <w:r>
        <w:rPr>
          <w:rFonts w:hint="eastAsia"/>
        </w:rPr>
        <w:t>6</w:t>
      </w:r>
      <w:r>
        <w:t xml:space="preserve">  非正常情况下耗氧量浓度预测（单位：mg/L、m、天）</w:t>
      </w:r>
    </w:p>
    <w:p w14:paraId="2E051183">
      <w:pPr>
        <w:widowControl w:val="0"/>
        <w:kinsoku w:val="0"/>
        <w:overflowPunct w:val="0"/>
        <w:autoSpaceDE w:val="0"/>
        <w:autoSpaceDN w:val="0"/>
        <w:adjustRightInd w:val="0"/>
        <w:spacing w:before="2" w:line="240" w:lineRule="auto"/>
        <w:ind w:firstLine="0" w:firstLineChars="0"/>
        <w:rPr>
          <w:kern w:val="0"/>
          <w:sz w:val="7"/>
          <w:szCs w:val="7"/>
        </w:rPr>
      </w:pPr>
    </w:p>
    <w:tbl>
      <w:tblPr>
        <w:tblStyle w:val="82"/>
        <w:tblW w:w="9021"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
        <w:gridCol w:w="1165"/>
        <w:gridCol w:w="1170"/>
        <w:gridCol w:w="1170"/>
        <w:gridCol w:w="1170"/>
        <w:gridCol w:w="1170"/>
        <w:gridCol w:w="1170"/>
        <w:gridCol w:w="1170"/>
      </w:tblGrid>
      <w:tr w14:paraId="5026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tcBorders>
              <w:tl2br w:val="single" w:color="auto" w:sz="4" w:space="0"/>
            </w:tcBorders>
            <w:vAlign w:val="center"/>
          </w:tcPr>
          <w:p w14:paraId="3ED0E27A">
            <w:pPr>
              <w:pStyle w:val="766"/>
              <w:rPr>
                <w:color w:val="auto"/>
                <w:w w:val="99"/>
              </w:rPr>
            </w:pPr>
            <w:r>
              <w:rPr>
                <w:color w:val="auto"/>
                <w:w w:val="99"/>
              </w:rPr>
              <w:t>天</w:t>
            </w:r>
          </w:p>
          <w:p w14:paraId="2699350C">
            <w:pPr>
              <w:pStyle w:val="766"/>
              <w:jc w:val="left"/>
              <w:rPr>
                <w:color w:val="auto"/>
                <w:w w:val="99"/>
              </w:rPr>
            </w:pPr>
            <w:r>
              <w:rPr>
                <w:color w:val="auto"/>
                <w:w w:val="99"/>
              </w:rPr>
              <w:t>X</w:t>
            </w:r>
          </w:p>
        </w:tc>
        <w:tc>
          <w:tcPr>
            <w:tcW w:w="1165" w:type="dxa"/>
            <w:vAlign w:val="center"/>
          </w:tcPr>
          <w:p w14:paraId="23DD1601">
            <w:pPr>
              <w:pStyle w:val="766"/>
              <w:rPr>
                <w:color w:val="auto"/>
              </w:rPr>
            </w:pPr>
            <w:r>
              <w:rPr>
                <w:color w:val="auto"/>
              </w:rPr>
              <w:t>1</w:t>
            </w:r>
          </w:p>
        </w:tc>
        <w:tc>
          <w:tcPr>
            <w:tcW w:w="1170" w:type="dxa"/>
            <w:vAlign w:val="center"/>
          </w:tcPr>
          <w:p w14:paraId="2967FF8D">
            <w:pPr>
              <w:pStyle w:val="766"/>
              <w:rPr>
                <w:color w:val="auto"/>
              </w:rPr>
            </w:pPr>
            <w:r>
              <w:rPr>
                <w:color w:val="auto"/>
              </w:rPr>
              <w:t>10</w:t>
            </w:r>
          </w:p>
        </w:tc>
        <w:tc>
          <w:tcPr>
            <w:tcW w:w="1170" w:type="dxa"/>
            <w:vAlign w:val="center"/>
          </w:tcPr>
          <w:p w14:paraId="3EC786F3">
            <w:pPr>
              <w:pStyle w:val="766"/>
              <w:rPr>
                <w:color w:val="auto"/>
              </w:rPr>
            </w:pPr>
            <w:r>
              <w:rPr>
                <w:color w:val="auto"/>
              </w:rPr>
              <w:t>50</w:t>
            </w:r>
          </w:p>
        </w:tc>
        <w:tc>
          <w:tcPr>
            <w:tcW w:w="1170" w:type="dxa"/>
            <w:vAlign w:val="center"/>
          </w:tcPr>
          <w:p w14:paraId="02A0B38F">
            <w:pPr>
              <w:pStyle w:val="766"/>
              <w:rPr>
                <w:color w:val="auto"/>
              </w:rPr>
            </w:pPr>
            <w:r>
              <w:rPr>
                <w:color w:val="auto"/>
              </w:rPr>
              <w:t>100</w:t>
            </w:r>
          </w:p>
        </w:tc>
        <w:tc>
          <w:tcPr>
            <w:tcW w:w="1170" w:type="dxa"/>
            <w:vAlign w:val="center"/>
          </w:tcPr>
          <w:p w14:paraId="0ADF3A5C">
            <w:pPr>
              <w:pStyle w:val="766"/>
              <w:rPr>
                <w:color w:val="auto"/>
              </w:rPr>
            </w:pPr>
            <w:r>
              <w:rPr>
                <w:color w:val="auto"/>
              </w:rPr>
              <w:t>200</w:t>
            </w:r>
          </w:p>
        </w:tc>
        <w:tc>
          <w:tcPr>
            <w:tcW w:w="1170" w:type="dxa"/>
            <w:vAlign w:val="center"/>
          </w:tcPr>
          <w:p w14:paraId="7DA829A0">
            <w:pPr>
              <w:pStyle w:val="766"/>
              <w:rPr>
                <w:color w:val="auto"/>
              </w:rPr>
            </w:pPr>
            <w:r>
              <w:rPr>
                <w:color w:val="auto"/>
              </w:rPr>
              <w:t>500</w:t>
            </w:r>
          </w:p>
        </w:tc>
        <w:tc>
          <w:tcPr>
            <w:tcW w:w="1170" w:type="dxa"/>
            <w:vAlign w:val="center"/>
          </w:tcPr>
          <w:p w14:paraId="57C840A3">
            <w:pPr>
              <w:pStyle w:val="766"/>
              <w:rPr>
                <w:color w:val="auto"/>
              </w:rPr>
            </w:pPr>
            <w:r>
              <w:rPr>
                <w:color w:val="auto"/>
              </w:rPr>
              <w:t>1000</w:t>
            </w:r>
          </w:p>
        </w:tc>
      </w:tr>
      <w:tr w14:paraId="3096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59634951">
            <w:pPr>
              <w:pStyle w:val="766"/>
              <w:rPr>
                <w:color w:val="auto"/>
              </w:rPr>
            </w:pPr>
            <w:r>
              <w:rPr>
                <w:color w:val="auto"/>
              </w:rPr>
              <w:t>0</w:t>
            </w:r>
          </w:p>
        </w:tc>
        <w:tc>
          <w:tcPr>
            <w:tcW w:w="1165" w:type="dxa"/>
            <w:vAlign w:val="center"/>
          </w:tcPr>
          <w:p w14:paraId="704FF258">
            <w:pPr>
              <w:pStyle w:val="766"/>
              <w:rPr>
                <w:color w:val="auto"/>
              </w:rPr>
            </w:pPr>
            <w:r>
              <w:rPr>
                <w:color w:val="auto"/>
              </w:rPr>
              <w:t>1.00E+03</w:t>
            </w:r>
          </w:p>
        </w:tc>
        <w:tc>
          <w:tcPr>
            <w:tcW w:w="1170" w:type="dxa"/>
            <w:vAlign w:val="center"/>
          </w:tcPr>
          <w:p w14:paraId="16AA420F">
            <w:pPr>
              <w:pStyle w:val="766"/>
              <w:rPr>
                <w:color w:val="auto"/>
              </w:rPr>
            </w:pPr>
            <w:r>
              <w:rPr>
                <w:color w:val="auto"/>
              </w:rPr>
              <w:t>1.00E+03</w:t>
            </w:r>
          </w:p>
        </w:tc>
        <w:tc>
          <w:tcPr>
            <w:tcW w:w="1170" w:type="dxa"/>
            <w:vAlign w:val="center"/>
          </w:tcPr>
          <w:p w14:paraId="7389F814">
            <w:pPr>
              <w:pStyle w:val="766"/>
              <w:rPr>
                <w:color w:val="auto"/>
              </w:rPr>
            </w:pPr>
            <w:r>
              <w:rPr>
                <w:color w:val="auto"/>
              </w:rPr>
              <w:t>1.00E+03</w:t>
            </w:r>
          </w:p>
        </w:tc>
        <w:tc>
          <w:tcPr>
            <w:tcW w:w="1170" w:type="dxa"/>
            <w:vAlign w:val="center"/>
          </w:tcPr>
          <w:p w14:paraId="7BCDDF3C">
            <w:pPr>
              <w:pStyle w:val="766"/>
              <w:rPr>
                <w:color w:val="auto"/>
              </w:rPr>
            </w:pPr>
            <w:r>
              <w:rPr>
                <w:color w:val="auto"/>
              </w:rPr>
              <w:t>1.00E+03</w:t>
            </w:r>
          </w:p>
        </w:tc>
        <w:tc>
          <w:tcPr>
            <w:tcW w:w="1170" w:type="dxa"/>
            <w:vAlign w:val="center"/>
          </w:tcPr>
          <w:p w14:paraId="79DA1F2A">
            <w:pPr>
              <w:pStyle w:val="766"/>
              <w:rPr>
                <w:color w:val="auto"/>
              </w:rPr>
            </w:pPr>
            <w:r>
              <w:rPr>
                <w:color w:val="auto"/>
              </w:rPr>
              <w:t>1.00E+03</w:t>
            </w:r>
          </w:p>
        </w:tc>
        <w:tc>
          <w:tcPr>
            <w:tcW w:w="1170" w:type="dxa"/>
            <w:vAlign w:val="center"/>
          </w:tcPr>
          <w:p w14:paraId="4CD73B15">
            <w:pPr>
              <w:pStyle w:val="766"/>
              <w:rPr>
                <w:color w:val="auto"/>
              </w:rPr>
            </w:pPr>
            <w:r>
              <w:rPr>
                <w:color w:val="auto"/>
              </w:rPr>
              <w:t>1.00E+03</w:t>
            </w:r>
          </w:p>
        </w:tc>
        <w:tc>
          <w:tcPr>
            <w:tcW w:w="1170" w:type="dxa"/>
            <w:vAlign w:val="center"/>
          </w:tcPr>
          <w:p w14:paraId="192BE2A2">
            <w:pPr>
              <w:pStyle w:val="766"/>
              <w:rPr>
                <w:color w:val="auto"/>
              </w:rPr>
            </w:pPr>
            <w:r>
              <w:rPr>
                <w:color w:val="auto"/>
              </w:rPr>
              <w:t>1.00E+03</w:t>
            </w:r>
          </w:p>
        </w:tc>
      </w:tr>
      <w:tr w14:paraId="6C4E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51CD8D97">
            <w:pPr>
              <w:pStyle w:val="766"/>
              <w:rPr>
                <w:color w:val="auto"/>
              </w:rPr>
            </w:pPr>
            <w:r>
              <w:rPr>
                <w:color w:val="auto"/>
              </w:rPr>
              <w:t>100</w:t>
            </w:r>
          </w:p>
        </w:tc>
        <w:tc>
          <w:tcPr>
            <w:tcW w:w="1165" w:type="dxa"/>
            <w:vAlign w:val="center"/>
          </w:tcPr>
          <w:p w14:paraId="637BE77A">
            <w:pPr>
              <w:pStyle w:val="766"/>
              <w:rPr>
                <w:color w:val="auto"/>
              </w:rPr>
            </w:pPr>
            <w:r>
              <w:rPr>
                <w:color w:val="auto"/>
              </w:rPr>
              <w:t>0.00E+00</w:t>
            </w:r>
          </w:p>
        </w:tc>
        <w:tc>
          <w:tcPr>
            <w:tcW w:w="1170" w:type="dxa"/>
            <w:vAlign w:val="center"/>
          </w:tcPr>
          <w:p w14:paraId="0BF13010">
            <w:pPr>
              <w:pStyle w:val="766"/>
              <w:rPr>
                <w:color w:val="auto"/>
              </w:rPr>
            </w:pPr>
            <w:r>
              <w:rPr>
                <w:color w:val="auto"/>
              </w:rPr>
              <w:t>2.66E-12</w:t>
            </w:r>
          </w:p>
        </w:tc>
        <w:tc>
          <w:tcPr>
            <w:tcW w:w="1170" w:type="dxa"/>
            <w:vAlign w:val="center"/>
          </w:tcPr>
          <w:p w14:paraId="35A1CBDE">
            <w:pPr>
              <w:pStyle w:val="766"/>
              <w:rPr>
                <w:color w:val="auto"/>
              </w:rPr>
            </w:pPr>
            <w:r>
              <w:rPr>
                <w:color w:val="auto"/>
              </w:rPr>
              <w:t>7.31E+01</w:t>
            </w:r>
          </w:p>
        </w:tc>
        <w:tc>
          <w:tcPr>
            <w:tcW w:w="1170" w:type="dxa"/>
            <w:vAlign w:val="center"/>
          </w:tcPr>
          <w:p w14:paraId="02ACEAEB">
            <w:pPr>
              <w:pStyle w:val="766"/>
              <w:rPr>
                <w:color w:val="auto"/>
              </w:rPr>
            </w:pPr>
            <w:r>
              <w:rPr>
                <w:color w:val="auto"/>
              </w:rPr>
              <w:t>7.67E+02</w:t>
            </w:r>
          </w:p>
        </w:tc>
        <w:tc>
          <w:tcPr>
            <w:tcW w:w="1170" w:type="dxa"/>
            <w:vAlign w:val="center"/>
          </w:tcPr>
          <w:p w14:paraId="18A5960F">
            <w:pPr>
              <w:pStyle w:val="766"/>
              <w:rPr>
                <w:color w:val="auto"/>
              </w:rPr>
            </w:pPr>
            <w:r>
              <w:rPr>
                <w:color w:val="auto"/>
              </w:rPr>
              <w:t>9.99E+02</w:t>
            </w:r>
          </w:p>
        </w:tc>
        <w:tc>
          <w:tcPr>
            <w:tcW w:w="1170" w:type="dxa"/>
            <w:vAlign w:val="center"/>
          </w:tcPr>
          <w:p w14:paraId="20D2A989">
            <w:pPr>
              <w:pStyle w:val="766"/>
              <w:rPr>
                <w:color w:val="auto"/>
              </w:rPr>
            </w:pPr>
            <w:r>
              <w:rPr>
                <w:color w:val="auto"/>
              </w:rPr>
              <w:t>1.00E+03</w:t>
            </w:r>
          </w:p>
        </w:tc>
        <w:tc>
          <w:tcPr>
            <w:tcW w:w="1170" w:type="dxa"/>
            <w:vAlign w:val="center"/>
          </w:tcPr>
          <w:p w14:paraId="54E0B99C">
            <w:pPr>
              <w:pStyle w:val="766"/>
              <w:rPr>
                <w:color w:val="auto"/>
              </w:rPr>
            </w:pPr>
            <w:r>
              <w:rPr>
                <w:color w:val="auto"/>
              </w:rPr>
              <w:t>1.00E+03</w:t>
            </w:r>
          </w:p>
        </w:tc>
      </w:tr>
      <w:tr w14:paraId="2D80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1AB9D6C2">
            <w:pPr>
              <w:pStyle w:val="766"/>
              <w:rPr>
                <w:color w:val="auto"/>
              </w:rPr>
            </w:pPr>
            <w:r>
              <w:rPr>
                <w:color w:val="auto"/>
              </w:rPr>
              <w:t>200</w:t>
            </w:r>
          </w:p>
        </w:tc>
        <w:tc>
          <w:tcPr>
            <w:tcW w:w="1165" w:type="dxa"/>
            <w:vAlign w:val="center"/>
          </w:tcPr>
          <w:p w14:paraId="2F7F51AC">
            <w:pPr>
              <w:pStyle w:val="766"/>
              <w:rPr>
                <w:color w:val="auto"/>
              </w:rPr>
            </w:pPr>
            <w:r>
              <w:rPr>
                <w:color w:val="auto"/>
              </w:rPr>
              <w:t>0.00E+00</w:t>
            </w:r>
          </w:p>
        </w:tc>
        <w:tc>
          <w:tcPr>
            <w:tcW w:w="1170" w:type="dxa"/>
            <w:vAlign w:val="center"/>
          </w:tcPr>
          <w:p w14:paraId="3262D679">
            <w:pPr>
              <w:pStyle w:val="766"/>
              <w:rPr>
                <w:color w:val="auto"/>
              </w:rPr>
            </w:pPr>
            <w:r>
              <w:rPr>
                <w:color w:val="auto"/>
              </w:rPr>
              <w:t>0.00E+00</w:t>
            </w:r>
          </w:p>
        </w:tc>
        <w:tc>
          <w:tcPr>
            <w:tcW w:w="1170" w:type="dxa"/>
            <w:vAlign w:val="center"/>
          </w:tcPr>
          <w:p w14:paraId="6C0A9179">
            <w:pPr>
              <w:pStyle w:val="766"/>
              <w:rPr>
                <w:color w:val="auto"/>
              </w:rPr>
            </w:pPr>
            <w:r>
              <w:rPr>
                <w:color w:val="auto"/>
              </w:rPr>
              <w:t>1.29E-05</w:t>
            </w:r>
          </w:p>
        </w:tc>
        <w:tc>
          <w:tcPr>
            <w:tcW w:w="1170" w:type="dxa"/>
            <w:vAlign w:val="center"/>
          </w:tcPr>
          <w:p w14:paraId="25D87A51">
            <w:pPr>
              <w:pStyle w:val="766"/>
              <w:rPr>
                <w:color w:val="auto"/>
              </w:rPr>
            </w:pPr>
            <w:r>
              <w:rPr>
                <w:color w:val="auto"/>
              </w:rPr>
              <w:t>1.22E+01</w:t>
            </w:r>
          </w:p>
        </w:tc>
        <w:tc>
          <w:tcPr>
            <w:tcW w:w="1170" w:type="dxa"/>
            <w:vAlign w:val="center"/>
          </w:tcPr>
          <w:p w14:paraId="34E4E295">
            <w:pPr>
              <w:pStyle w:val="766"/>
              <w:rPr>
                <w:color w:val="auto"/>
              </w:rPr>
            </w:pPr>
            <w:r>
              <w:rPr>
                <w:color w:val="auto"/>
              </w:rPr>
              <w:t>7.87E+02</w:t>
            </w:r>
          </w:p>
        </w:tc>
        <w:tc>
          <w:tcPr>
            <w:tcW w:w="1170" w:type="dxa"/>
            <w:vAlign w:val="center"/>
          </w:tcPr>
          <w:p w14:paraId="048FA76B">
            <w:pPr>
              <w:pStyle w:val="766"/>
              <w:rPr>
                <w:color w:val="auto"/>
              </w:rPr>
            </w:pPr>
            <w:r>
              <w:rPr>
                <w:color w:val="auto"/>
              </w:rPr>
              <w:t>1.00E+03</w:t>
            </w:r>
          </w:p>
        </w:tc>
        <w:tc>
          <w:tcPr>
            <w:tcW w:w="1170" w:type="dxa"/>
            <w:vAlign w:val="center"/>
          </w:tcPr>
          <w:p w14:paraId="04BA7A43">
            <w:pPr>
              <w:pStyle w:val="766"/>
              <w:rPr>
                <w:color w:val="auto"/>
              </w:rPr>
            </w:pPr>
            <w:r>
              <w:rPr>
                <w:color w:val="auto"/>
              </w:rPr>
              <w:t>1.00E+03</w:t>
            </w:r>
          </w:p>
        </w:tc>
      </w:tr>
      <w:tr w14:paraId="6F47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3B111E90">
            <w:pPr>
              <w:pStyle w:val="766"/>
              <w:rPr>
                <w:color w:val="auto"/>
              </w:rPr>
            </w:pPr>
            <w:r>
              <w:rPr>
                <w:color w:val="auto"/>
              </w:rPr>
              <w:t>300</w:t>
            </w:r>
          </w:p>
        </w:tc>
        <w:tc>
          <w:tcPr>
            <w:tcW w:w="1165" w:type="dxa"/>
            <w:vAlign w:val="center"/>
          </w:tcPr>
          <w:p w14:paraId="3F904E18">
            <w:pPr>
              <w:pStyle w:val="766"/>
              <w:rPr>
                <w:color w:val="auto"/>
              </w:rPr>
            </w:pPr>
            <w:r>
              <w:rPr>
                <w:color w:val="auto"/>
              </w:rPr>
              <w:t>0.00E+00</w:t>
            </w:r>
          </w:p>
        </w:tc>
        <w:tc>
          <w:tcPr>
            <w:tcW w:w="1170" w:type="dxa"/>
            <w:vAlign w:val="center"/>
          </w:tcPr>
          <w:p w14:paraId="01E3413E">
            <w:pPr>
              <w:pStyle w:val="766"/>
              <w:rPr>
                <w:color w:val="auto"/>
              </w:rPr>
            </w:pPr>
            <w:r>
              <w:rPr>
                <w:color w:val="auto"/>
              </w:rPr>
              <w:t>0.00E+00</w:t>
            </w:r>
          </w:p>
        </w:tc>
        <w:tc>
          <w:tcPr>
            <w:tcW w:w="1170" w:type="dxa"/>
            <w:vAlign w:val="center"/>
          </w:tcPr>
          <w:p w14:paraId="7D4A2576">
            <w:pPr>
              <w:pStyle w:val="766"/>
              <w:rPr>
                <w:color w:val="auto"/>
              </w:rPr>
            </w:pPr>
            <w:r>
              <w:rPr>
                <w:color w:val="auto"/>
              </w:rPr>
              <w:t>0.00E+00</w:t>
            </w:r>
          </w:p>
        </w:tc>
        <w:tc>
          <w:tcPr>
            <w:tcW w:w="1170" w:type="dxa"/>
            <w:vAlign w:val="center"/>
          </w:tcPr>
          <w:p w14:paraId="3A607559">
            <w:pPr>
              <w:pStyle w:val="766"/>
              <w:rPr>
                <w:color w:val="auto"/>
              </w:rPr>
            </w:pPr>
            <w:r>
              <w:rPr>
                <w:color w:val="auto"/>
              </w:rPr>
              <w:t>2.07E-04</w:t>
            </w:r>
          </w:p>
        </w:tc>
        <w:tc>
          <w:tcPr>
            <w:tcW w:w="1170" w:type="dxa"/>
            <w:vAlign w:val="center"/>
          </w:tcPr>
          <w:p w14:paraId="1EDBE27E">
            <w:pPr>
              <w:pStyle w:val="766"/>
              <w:rPr>
                <w:color w:val="auto"/>
              </w:rPr>
            </w:pPr>
            <w:r>
              <w:rPr>
                <w:color w:val="auto"/>
              </w:rPr>
              <w:t>1.16E+02</w:t>
            </w:r>
          </w:p>
        </w:tc>
        <w:tc>
          <w:tcPr>
            <w:tcW w:w="1170" w:type="dxa"/>
            <w:vAlign w:val="center"/>
          </w:tcPr>
          <w:p w14:paraId="4C55BB16">
            <w:pPr>
              <w:pStyle w:val="766"/>
              <w:rPr>
                <w:color w:val="auto"/>
              </w:rPr>
            </w:pPr>
            <w:r>
              <w:rPr>
                <w:color w:val="auto"/>
              </w:rPr>
              <w:t>1.00E+03</w:t>
            </w:r>
          </w:p>
        </w:tc>
        <w:tc>
          <w:tcPr>
            <w:tcW w:w="1170" w:type="dxa"/>
            <w:vAlign w:val="center"/>
          </w:tcPr>
          <w:p w14:paraId="7DDCBBD4">
            <w:pPr>
              <w:pStyle w:val="766"/>
              <w:rPr>
                <w:color w:val="auto"/>
              </w:rPr>
            </w:pPr>
            <w:r>
              <w:rPr>
                <w:color w:val="auto"/>
              </w:rPr>
              <w:t>1.00E+03</w:t>
            </w:r>
          </w:p>
        </w:tc>
      </w:tr>
      <w:tr w14:paraId="7A44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6C2E665C">
            <w:pPr>
              <w:pStyle w:val="766"/>
              <w:rPr>
                <w:color w:val="auto"/>
              </w:rPr>
            </w:pPr>
            <w:r>
              <w:rPr>
                <w:color w:val="auto"/>
              </w:rPr>
              <w:t>400</w:t>
            </w:r>
          </w:p>
        </w:tc>
        <w:tc>
          <w:tcPr>
            <w:tcW w:w="1165" w:type="dxa"/>
            <w:vAlign w:val="center"/>
          </w:tcPr>
          <w:p w14:paraId="5168D22D">
            <w:pPr>
              <w:pStyle w:val="766"/>
              <w:rPr>
                <w:color w:val="auto"/>
              </w:rPr>
            </w:pPr>
            <w:r>
              <w:rPr>
                <w:color w:val="auto"/>
              </w:rPr>
              <w:t>0.00E+00</w:t>
            </w:r>
          </w:p>
        </w:tc>
        <w:tc>
          <w:tcPr>
            <w:tcW w:w="1170" w:type="dxa"/>
            <w:vAlign w:val="center"/>
          </w:tcPr>
          <w:p w14:paraId="7A6BB14C">
            <w:pPr>
              <w:pStyle w:val="766"/>
              <w:rPr>
                <w:color w:val="auto"/>
              </w:rPr>
            </w:pPr>
            <w:r>
              <w:rPr>
                <w:color w:val="auto"/>
              </w:rPr>
              <w:t>0.00E+00</w:t>
            </w:r>
          </w:p>
        </w:tc>
        <w:tc>
          <w:tcPr>
            <w:tcW w:w="1170" w:type="dxa"/>
            <w:vAlign w:val="center"/>
          </w:tcPr>
          <w:p w14:paraId="68ABFB35">
            <w:pPr>
              <w:pStyle w:val="766"/>
              <w:rPr>
                <w:color w:val="auto"/>
              </w:rPr>
            </w:pPr>
            <w:r>
              <w:rPr>
                <w:color w:val="auto"/>
              </w:rPr>
              <w:t>0.00E+00</w:t>
            </w:r>
          </w:p>
        </w:tc>
        <w:tc>
          <w:tcPr>
            <w:tcW w:w="1170" w:type="dxa"/>
            <w:vAlign w:val="center"/>
          </w:tcPr>
          <w:p w14:paraId="7A0A2B14">
            <w:pPr>
              <w:pStyle w:val="766"/>
              <w:rPr>
                <w:color w:val="auto"/>
              </w:rPr>
            </w:pPr>
            <w:r>
              <w:rPr>
                <w:color w:val="auto"/>
              </w:rPr>
              <w:t>1.83E-12</w:t>
            </w:r>
          </w:p>
        </w:tc>
        <w:tc>
          <w:tcPr>
            <w:tcW w:w="1170" w:type="dxa"/>
            <w:vAlign w:val="center"/>
          </w:tcPr>
          <w:p w14:paraId="2F4D1EA7">
            <w:pPr>
              <w:pStyle w:val="766"/>
              <w:rPr>
                <w:color w:val="auto"/>
              </w:rPr>
            </w:pPr>
            <w:r>
              <w:rPr>
                <w:color w:val="auto"/>
              </w:rPr>
              <w:t>7.31E-01</w:t>
            </w:r>
          </w:p>
        </w:tc>
        <w:tc>
          <w:tcPr>
            <w:tcW w:w="1170" w:type="dxa"/>
            <w:vAlign w:val="center"/>
          </w:tcPr>
          <w:p w14:paraId="34A95097">
            <w:pPr>
              <w:pStyle w:val="766"/>
              <w:rPr>
                <w:color w:val="auto"/>
              </w:rPr>
            </w:pPr>
            <w:r>
              <w:rPr>
                <w:color w:val="auto"/>
              </w:rPr>
              <w:t>9.94E+02</w:t>
            </w:r>
          </w:p>
        </w:tc>
        <w:tc>
          <w:tcPr>
            <w:tcW w:w="1170" w:type="dxa"/>
            <w:vAlign w:val="center"/>
          </w:tcPr>
          <w:p w14:paraId="202CFA48">
            <w:pPr>
              <w:pStyle w:val="766"/>
              <w:rPr>
                <w:color w:val="auto"/>
              </w:rPr>
            </w:pPr>
            <w:r>
              <w:rPr>
                <w:color w:val="auto"/>
              </w:rPr>
              <w:t>1.00E+03</w:t>
            </w:r>
          </w:p>
        </w:tc>
      </w:tr>
      <w:tr w14:paraId="2D0A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7636D0FB">
            <w:pPr>
              <w:pStyle w:val="766"/>
              <w:rPr>
                <w:color w:val="auto"/>
              </w:rPr>
            </w:pPr>
            <w:r>
              <w:rPr>
                <w:color w:val="auto"/>
              </w:rPr>
              <w:t>500</w:t>
            </w:r>
          </w:p>
        </w:tc>
        <w:tc>
          <w:tcPr>
            <w:tcW w:w="1165" w:type="dxa"/>
            <w:vAlign w:val="center"/>
          </w:tcPr>
          <w:p w14:paraId="300DC05D">
            <w:pPr>
              <w:pStyle w:val="766"/>
              <w:rPr>
                <w:color w:val="auto"/>
              </w:rPr>
            </w:pPr>
            <w:r>
              <w:rPr>
                <w:color w:val="auto"/>
              </w:rPr>
              <w:t>0.00E+00</w:t>
            </w:r>
          </w:p>
        </w:tc>
        <w:tc>
          <w:tcPr>
            <w:tcW w:w="1170" w:type="dxa"/>
            <w:vAlign w:val="center"/>
          </w:tcPr>
          <w:p w14:paraId="35171AE4">
            <w:pPr>
              <w:pStyle w:val="766"/>
              <w:rPr>
                <w:color w:val="auto"/>
              </w:rPr>
            </w:pPr>
            <w:r>
              <w:rPr>
                <w:color w:val="auto"/>
              </w:rPr>
              <w:t>0.00E+00</w:t>
            </w:r>
          </w:p>
        </w:tc>
        <w:tc>
          <w:tcPr>
            <w:tcW w:w="1170" w:type="dxa"/>
            <w:vAlign w:val="center"/>
          </w:tcPr>
          <w:p w14:paraId="1443CE6F">
            <w:pPr>
              <w:pStyle w:val="766"/>
              <w:rPr>
                <w:color w:val="auto"/>
              </w:rPr>
            </w:pPr>
            <w:r>
              <w:rPr>
                <w:color w:val="auto"/>
              </w:rPr>
              <w:t>0.00E+00</w:t>
            </w:r>
          </w:p>
        </w:tc>
        <w:tc>
          <w:tcPr>
            <w:tcW w:w="1170" w:type="dxa"/>
            <w:vAlign w:val="center"/>
          </w:tcPr>
          <w:p w14:paraId="275E6CE9">
            <w:pPr>
              <w:pStyle w:val="766"/>
              <w:rPr>
                <w:color w:val="auto"/>
              </w:rPr>
            </w:pPr>
            <w:r>
              <w:rPr>
                <w:color w:val="auto"/>
              </w:rPr>
              <w:t>0.00E+00</w:t>
            </w:r>
          </w:p>
        </w:tc>
        <w:tc>
          <w:tcPr>
            <w:tcW w:w="1170" w:type="dxa"/>
            <w:vAlign w:val="center"/>
          </w:tcPr>
          <w:p w14:paraId="5308BE8F">
            <w:pPr>
              <w:pStyle w:val="766"/>
              <w:rPr>
                <w:color w:val="auto"/>
              </w:rPr>
            </w:pPr>
            <w:r>
              <w:rPr>
                <w:color w:val="auto"/>
              </w:rPr>
              <w:t>1.17E-04</w:t>
            </w:r>
          </w:p>
        </w:tc>
        <w:tc>
          <w:tcPr>
            <w:tcW w:w="1170" w:type="dxa"/>
            <w:vAlign w:val="center"/>
          </w:tcPr>
          <w:p w14:paraId="6068E2D9">
            <w:pPr>
              <w:pStyle w:val="766"/>
              <w:rPr>
                <w:color w:val="auto"/>
              </w:rPr>
            </w:pPr>
            <w:r>
              <w:rPr>
                <w:color w:val="auto"/>
              </w:rPr>
              <w:t>8.96E+02</w:t>
            </w:r>
          </w:p>
        </w:tc>
        <w:tc>
          <w:tcPr>
            <w:tcW w:w="1170" w:type="dxa"/>
            <w:vAlign w:val="center"/>
          </w:tcPr>
          <w:p w14:paraId="38216875">
            <w:pPr>
              <w:pStyle w:val="766"/>
              <w:rPr>
                <w:color w:val="auto"/>
              </w:rPr>
            </w:pPr>
            <w:r>
              <w:rPr>
                <w:color w:val="auto"/>
              </w:rPr>
              <w:t>1.00E+03</w:t>
            </w:r>
          </w:p>
        </w:tc>
      </w:tr>
      <w:tr w14:paraId="5117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7C5F7D29">
            <w:pPr>
              <w:pStyle w:val="766"/>
              <w:rPr>
                <w:color w:val="auto"/>
              </w:rPr>
            </w:pPr>
            <w:r>
              <w:rPr>
                <w:color w:val="auto"/>
              </w:rPr>
              <w:t>600</w:t>
            </w:r>
          </w:p>
        </w:tc>
        <w:tc>
          <w:tcPr>
            <w:tcW w:w="1165" w:type="dxa"/>
            <w:vAlign w:val="center"/>
          </w:tcPr>
          <w:p w14:paraId="7D376CF3">
            <w:pPr>
              <w:pStyle w:val="766"/>
              <w:rPr>
                <w:color w:val="auto"/>
              </w:rPr>
            </w:pPr>
            <w:r>
              <w:rPr>
                <w:color w:val="auto"/>
              </w:rPr>
              <w:t>0.00E+00</w:t>
            </w:r>
          </w:p>
        </w:tc>
        <w:tc>
          <w:tcPr>
            <w:tcW w:w="1170" w:type="dxa"/>
            <w:vAlign w:val="center"/>
          </w:tcPr>
          <w:p w14:paraId="6A971BFF">
            <w:pPr>
              <w:pStyle w:val="766"/>
              <w:rPr>
                <w:color w:val="auto"/>
              </w:rPr>
            </w:pPr>
            <w:r>
              <w:rPr>
                <w:color w:val="auto"/>
              </w:rPr>
              <w:t>0.00E+00</w:t>
            </w:r>
          </w:p>
        </w:tc>
        <w:tc>
          <w:tcPr>
            <w:tcW w:w="1170" w:type="dxa"/>
            <w:vAlign w:val="center"/>
          </w:tcPr>
          <w:p w14:paraId="1AF8931A">
            <w:pPr>
              <w:pStyle w:val="766"/>
              <w:rPr>
                <w:color w:val="auto"/>
              </w:rPr>
            </w:pPr>
            <w:r>
              <w:rPr>
                <w:color w:val="auto"/>
              </w:rPr>
              <w:t>0.00E+00</w:t>
            </w:r>
          </w:p>
        </w:tc>
        <w:tc>
          <w:tcPr>
            <w:tcW w:w="1170" w:type="dxa"/>
            <w:vAlign w:val="center"/>
          </w:tcPr>
          <w:p w14:paraId="549ADE25">
            <w:pPr>
              <w:pStyle w:val="766"/>
              <w:rPr>
                <w:color w:val="auto"/>
              </w:rPr>
            </w:pPr>
            <w:r>
              <w:rPr>
                <w:color w:val="auto"/>
              </w:rPr>
              <w:t>0.00E+00</w:t>
            </w:r>
          </w:p>
        </w:tc>
        <w:tc>
          <w:tcPr>
            <w:tcW w:w="1170" w:type="dxa"/>
            <w:vAlign w:val="center"/>
          </w:tcPr>
          <w:p w14:paraId="7D225BEB">
            <w:pPr>
              <w:pStyle w:val="766"/>
              <w:rPr>
                <w:color w:val="auto"/>
              </w:rPr>
            </w:pPr>
            <w:r>
              <w:rPr>
                <w:color w:val="auto"/>
              </w:rPr>
              <w:t>4.38E-10</w:t>
            </w:r>
          </w:p>
        </w:tc>
        <w:tc>
          <w:tcPr>
            <w:tcW w:w="1170" w:type="dxa"/>
            <w:vAlign w:val="center"/>
          </w:tcPr>
          <w:p w14:paraId="0846A6AC">
            <w:pPr>
              <w:pStyle w:val="766"/>
              <w:rPr>
                <w:color w:val="auto"/>
              </w:rPr>
            </w:pPr>
            <w:r>
              <w:rPr>
                <w:color w:val="auto"/>
              </w:rPr>
              <w:t>5.00E+02</w:t>
            </w:r>
          </w:p>
        </w:tc>
        <w:tc>
          <w:tcPr>
            <w:tcW w:w="1170" w:type="dxa"/>
            <w:vAlign w:val="center"/>
          </w:tcPr>
          <w:p w14:paraId="03F251A2">
            <w:pPr>
              <w:pStyle w:val="766"/>
              <w:rPr>
                <w:color w:val="auto"/>
              </w:rPr>
            </w:pPr>
            <w:r>
              <w:rPr>
                <w:color w:val="auto"/>
              </w:rPr>
              <w:t>1.00E+03</w:t>
            </w:r>
          </w:p>
        </w:tc>
      </w:tr>
      <w:tr w14:paraId="418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4E71DB5E">
            <w:pPr>
              <w:pStyle w:val="766"/>
              <w:rPr>
                <w:color w:val="auto"/>
              </w:rPr>
            </w:pPr>
            <w:r>
              <w:rPr>
                <w:color w:val="auto"/>
              </w:rPr>
              <w:t>700</w:t>
            </w:r>
          </w:p>
        </w:tc>
        <w:tc>
          <w:tcPr>
            <w:tcW w:w="1165" w:type="dxa"/>
            <w:vAlign w:val="center"/>
          </w:tcPr>
          <w:p w14:paraId="287B2ADE">
            <w:pPr>
              <w:pStyle w:val="766"/>
              <w:rPr>
                <w:color w:val="auto"/>
              </w:rPr>
            </w:pPr>
            <w:r>
              <w:rPr>
                <w:color w:val="auto"/>
              </w:rPr>
              <w:t>0.00E+00</w:t>
            </w:r>
          </w:p>
        </w:tc>
        <w:tc>
          <w:tcPr>
            <w:tcW w:w="1170" w:type="dxa"/>
            <w:vAlign w:val="center"/>
          </w:tcPr>
          <w:p w14:paraId="5B598853">
            <w:pPr>
              <w:pStyle w:val="766"/>
              <w:rPr>
                <w:color w:val="auto"/>
              </w:rPr>
            </w:pPr>
            <w:r>
              <w:rPr>
                <w:color w:val="auto"/>
              </w:rPr>
              <w:t>0.00E+00</w:t>
            </w:r>
          </w:p>
        </w:tc>
        <w:tc>
          <w:tcPr>
            <w:tcW w:w="1170" w:type="dxa"/>
            <w:vAlign w:val="center"/>
          </w:tcPr>
          <w:p w14:paraId="08F3E009">
            <w:pPr>
              <w:pStyle w:val="766"/>
              <w:rPr>
                <w:color w:val="auto"/>
              </w:rPr>
            </w:pPr>
            <w:r>
              <w:rPr>
                <w:color w:val="auto"/>
              </w:rPr>
              <w:t>0.00E+00</w:t>
            </w:r>
          </w:p>
        </w:tc>
        <w:tc>
          <w:tcPr>
            <w:tcW w:w="1170" w:type="dxa"/>
            <w:vAlign w:val="center"/>
          </w:tcPr>
          <w:p w14:paraId="51702906">
            <w:pPr>
              <w:pStyle w:val="766"/>
              <w:rPr>
                <w:color w:val="auto"/>
              </w:rPr>
            </w:pPr>
            <w:r>
              <w:rPr>
                <w:color w:val="auto"/>
              </w:rPr>
              <w:t>0.00E+00</w:t>
            </w:r>
          </w:p>
        </w:tc>
        <w:tc>
          <w:tcPr>
            <w:tcW w:w="1170" w:type="dxa"/>
            <w:vAlign w:val="center"/>
          </w:tcPr>
          <w:p w14:paraId="3F89DE1D">
            <w:pPr>
              <w:pStyle w:val="766"/>
              <w:rPr>
                <w:color w:val="auto"/>
              </w:rPr>
            </w:pPr>
            <w:r>
              <w:rPr>
                <w:color w:val="auto"/>
              </w:rPr>
              <w:t>0.00E+00</w:t>
            </w:r>
          </w:p>
        </w:tc>
        <w:tc>
          <w:tcPr>
            <w:tcW w:w="1170" w:type="dxa"/>
            <w:vAlign w:val="center"/>
          </w:tcPr>
          <w:p w14:paraId="7C67D4F7">
            <w:pPr>
              <w:pStyle w:val="766"/>
              <w:rPr>
                <w:color w:val="auto"/>
              </w:rPr>
            </w:pPr>
            <w:r>
              <w:rPr>
                <w:color w:val="auto"/>
              </w:rPr>
              <w:t>1.04E+02</w:t>
            </w:r>
          </w:p>
        </w:tc>
        <w:tc>
          <w:tcPr>
            <w:tcW w:w="1170" w:type="dxa"/>
            <w:vAlign w:val="center"/>
          </w:tcPr>
          <w:p w14:paraId="2A5255FC">
            <w:pPr>
              <w:pStyle w:val="766"/>
              <w:rPr>
                <w:color w:val="auto"/>
              </w:rPr>
            </w:pPr>
            <w:r>
              <w:rPr>
                <w:color w:val="auto"/>
              </w:rPr>
              <w:t>1.00E+03</w:t>
            </w:r>
          </w:p>
        </w:tc>
      </w:tr>
      <w:tr w14:paraId="06F9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514B398F">
            <w:pPr>
              <w:pStyle w:val="766"/>
              <w:rPr>
                <w:color w:val="auto"/>
              </w:rPr>
            </w:pPr>
            <w:r>
              <w:rPr>
                <w:color w:val="auto"/>
              </w:rPr>
              <w:t>800</w:t>
            </w:r>
          </w:p>
        </w:tc>
        <w:tc>
          <w:tcPr>
            <w:tcW w:w="1165" w:type="dxa"/>
            <w:vAlign w:val="center"/>
          </w:tcPr>
          <w:p w14:paraId="23DC0BD2">
            <w:pPr>
              <w:pStyle w:val="766"/>
              <w:rPr>
                <w:color w:val="auto"/>
              </w:rPr>
            </w:pPr>
            <w:r>
              <w:rPr>
                <w:color w:val="auto"/>
              </w:rPr>
              <w:t>0.00E+00</w:t>
            </w:r>
          </w:p>
        </w:tc>
        <w:tc>
          <w:tcPr>
            <w:tcW w:w="1170" w:type="dxa"/>
            <w:vAlign w:val="center"/>
          </w:tcPr>
          <w:p w14:paraId="00ECCE97">
            <w:pPr>
              <w:pStyle w:val="766"/>
              <w:rPr>
                <w:color w:val="auto"/>
              </w:rPr>
            </w:pPr>
            <w:r>
              <w:rPr>
                <w:color w:val="auto"/>
              </w:rPr>
              <w:t>0.00E+00</w:t>
            </w:r>
          </w:p>
        </w:tc>
        <w:tc>
          <w:tcPr>
            <w:tcW w:w="1170" w:type="dxa"/>
            <w:vAlign w:val="center"/>
          </w:tcPr>
          <w:p w14:paraId="5C2E0121">
            <w:pPr>
              <w:pStyle w:val="766"/>
              <w:rPr>
                <w:color w:val="auto"/>
              </w:rPr>
            </w:pPr>
            <w:r>
              <w:rPr>
                <w:color w:val="auto"/>
              </w:rPr>
              <w:t>0.00E+00</w:t>
            </w:r>
          </w:p>
        </w:tc>
        <w:tc>
          <w:tcPr>
            <w:tcW w:w="1170" w:type="dxa"/>
            <w:vAlign w:val="center"/>
          </w:tcPr>
          <w:p w14:paraId="2BDF5F56">
            <w:pPr>
              <w:pStyle w:val="766"/>
              <w:rPr>
                <w:color w:val="auto"/>
              </w:rPr>
            </w:pPr>
            <w:r>
              <w:rPr>
                <w:color w:val="auto"/>
              </w:rPr>
              <w:t>0.00E+00</w:t>
            </w:r>
          </w:p>
        </w:tc>
        <w:tc>
          <w:tcPr>
            <w:tcW w:w="1170" w:type="dxa"/>
            <w:vAlign w:val="center"/>
          </w:tcPr>
          <w:p w14:paraId="44F97630">
            <w:pPr>
              <w:pStyle w:val="766"/>
              <w:rPr>
                <w:color w:val="auto"/>
              </w:rPr>
            </w:pPr>
            <w:r>
              <w:rPr>
                <w:color w:val="auto"/>
              </w:rPr>
              <w:t>0.00E+00</w:t>
            </w:r>
          </w:p>
        </w:tc>
        <w:tc>
          <w:tcPr>
            <w:tcW w:w="1170" w:type="dxa"/>
            <w:vAlign w:val="center"/>
          </w:tcPr>
          <w:p w14:paraId="0FE86AD6">
            <w:pPr>
              <w:pStyle w:val="766"/>
              <w:rPr>
                <w:color w:val="auto"/>
              </w:rPr>
            </w:pPr>
            <w:r>
              <w:rPr>
                <w:color w:val="auto"/>
              </w:rPr>
              <w:t>5.94E+00</w:t>
            </w:r>
          </w:p>
        </w:tc>
        <w:tc>
          <w:tcPr>
            <w:tcW w:w="1170" w:type="dxa"/>
            <w:vAlign w:val="center"/>
          </w:tcPr>
          <w:p w14:paraId="541FCEE0">
            <w:pPr>
              <w:pStyle w:val="766"/>
              <w:rPr>
                <w:color w:val="auto"/>
              </w:rPr>
            </w:pPr>
            <w:r>
              <w:rPr>
                <w:color w:val="auto"/>
              </w:rPr>
              <w:t>1.00E+03</w:t>
            </w:r>
          </w:p>
        </w:tc>
      </w:tr>
      <w:tr w14:paraId="2F38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36DB6599">
            <w:pPr>
              <w:pStyle w:val="766"/>
              <w:rPr>
                <w:color w:val="auto"/>
              </w:rPr>
            </w:pPr>
            <w:r>
              <w:rPr>
                <w:color w:val="auto"/>
              </w:rPr>
              <w:t>900</w:t>
            </w:r>
          </w:p>
        </w:tc>
        <w:tc>
          <w:tcPr>
            <w:tcW w:w="1165" w:type="dxa"/>
            <w:vAlign w:val="center"/>
          </w:tcPr>
          <w:p w14:paraId="642C3B42">
            <w:pPr>
              <w:pStyle w:val="766"/>
              <w:rPr>
                <w:color w:val="auto"/>
              </w:rPr>
            </w:pPr>
            <w:r>
              <w:rPr>
                <w:color w:val="auto"/>
              </w:rPr>
              <w:t>0.00E+00</w:t>
            </w:r>
          </w:p>
        </w:tc>
        <w:tc>
          <w:tcPr>
            <w:tcW w:w="1170" w:type="dxa"/>
            <w:vAlign w:val="center"/>
          </w:tcPr>
          <w:p w14:paraId="14017F7E">
            <w:pPr>
              <w:pStyle w:val="766"/>
              <w:rPr>
                <w:color w:val="auto"/>
              </w:rPr>
            </w:pPr>
            <w:r>
              <w:rPr>
                <w:color w:val="auto"/>
              </w:rPr>
              <w:t>0.00E+00</w:t>
            </w:r>
          </w:p>
        </w:tc>
        <w:tc>
          <w:tcPr>
            <w:tcW w:w="1170" w:type="dxa"/>
            <w:vAlign w:val="center"/>
          </w:tcPr>
          <w:p w14:paraId="29617AC9">
            <w:pPr>
              <w:pStyle w:val="766"/>
              <w:rPr>
                <w:color w:val="auto"/>
              </w:rPr>
            </w:pPr>
            <w:r>
              <w:rPr>
                <w:color w:val="auto"/>
              </w:rPr>
              <w:t>0.00E+00</w:t>
            </w:r>
          </w:p>
        </w:tc>
        <w:tc>
          <w:tcPr>
            <w:tcW w:w="1170" w:type="dxa"/>
            <w:vAlign w:val="center"/>
          </w:tcPr>
          <w:p w14:paraId="2FB16B15">
            <w:pPr>
              <w:pStyle w:val="766"/>
              <w:rPr>
                <w:color w:val="auto"/>
              </w:rPr>
            </w:pPr>
            <w:r>
              <w:rPr>
                <w:color w:val="auto"/>
              </w:rPr>
              <w:t>0.00E+00</w:t>
            </w:r>
          </w:p>
        </w:tc>
        <w:tc>
          <w:tcPr>
            <w:tcW w:w="1170" w:type="dxa"/>
            <w:vAlign w:val="center"/>
          </w:tcPr>
          <w:p w14:paraId="71E06D62">
            <w:pPr>
              <w:pStyle w:val="766"/>
              <w:rPr>
                <w:color w:val="auto"/>
              </w:rPr>
            </w:pPr>
            <w:r>
              <w:rPr>
                <w:color w:val="auto"/>
              </w:rPr>
              <w:t>0.00E+00</w:t>
            </w:r>
          </w:p>
        </w:tc>
        <w:tc>
          <w:tcPr>
            <w:tcW w:w="1170" w:type="dxa"/>
            <w:vAlign w:val="center"/>
          </w:tcPr>
          <w:p w14:paraId="414935F2">
            <w:pPr>
              <w:pStyle w:val="766"/>
              <w:rPr>
                <w:color w:val="auto"/>
              </w:rPr>
            </w:pPr>
            <w:r>
              <w:rPr>
                <w:color w:val="auto"/>
              </w:rPr>
              <w:t>8.05E-02</w:t>
            </w:r>
          </w:p>
        </w:tc>
        <w:tc>
          <w:tcPr>
            <w:tcW w:w="1170" w:type="dxa"/>
            <w:vAlign w:val="center"/>
          </w:tcPr>
          <w:p w14:paraId="194EB45B">
            <w:pPr>
              <w:pStyle w:val="766"/>
              <w:rPr>
                <w:color w:val="auto"/>
              </w:rPr>
            </w:pPr>
            <w:r>
              <w:rPr>
                <w:color w:val="auto"/>
              </w:rPr>
              <w:t>9.96E+02</w:t>
            </w:r>
          </w:p>
        </w:tc>
      </w:tr>
      <w:tr w14:paraId="3E74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836" w:type="dxa"/>
            <w:vAlign w:val="center"/>
          </w:tcPr>
          <w:p w14:paraId="77DA644B">
            <w:pPr>
              <w:pStyle w:val="766"/>
              <w:rPr>
                <w:color w:val="auto"/>
              </w:rPr>
            </w:pPr>
            <w:r>
              <w:rPr>
                <w:color w:val="auto"/>
              </w:rPr>
              <w:t>1000</w:t>
            </w:r>
          </w:p>
        </w:tc>
        <w:tc>
          <w:tcPr>
            <w:tcW w:w="1165" w:type="dxa"/>
            <w:vAlign w:val="center"/>
          </w:tcPr>
          <w:p w14:paraId="1395C256">
            <w:pPr>
              <w:pStyle w:val="766"/>
              <w:rPr>
                <w:color w:val="auto"/>
              </w:rPr>
            </w:pPr>
            <w:r>
              <w:rPr>
                <w:color w:val="auto"/>
              </w:rPr>
              <w:t>0.00E+00</w:t>
            </w:r>
          </w:p>
        </w:tc>
        <w:tc>
          <w:tcPr>
            <w:tcW w:w="1170" w:type="dxa"/>
            <w:vAlign w:val="center"/>
          </w:tcPr>
          <w:p w14:paraId="0E8D76D2">
            <w:pPr>
              <w:pStyle w:val="766"/>
              <w:rPr>
                <w:color w:val="auto"/>
              </w:rPr>
            </w:pPr>
            <w:r>
              <w:rPr>
                <w:color w:val="auto"/>
              </w:rPr>
              <w:t>0.00E+00</w:t>
            </w:r>
          </w:p>
        </w:tc>
        <w:tc>
          <w:tcPr>
            <w:tcW w:w="1170" w:type="dxa"/>
            <w:vAlign w:val="center"/>
          </w:tcPr>
          <w:p w14:paraId="169EF844">
            <w:pPr>
              <w:pStyle w:val="766"/>
              <w:rPr>
                <w:color w:val="auto"/>
              </w:rPr>
            </w:pPr>
            <w:r>
              <w:rPr>
                <w:color w:val="auto"/>
              </w:rPr>
              <w:t>0.00E+00</w:t>
            </w:r>
          </w:p>
        </w:tc>
        <w:tc>
          <w:tcPr>
            <w:tcW w:w="1170" w:type="dxa"/>
            <w:vAlign w:val="center"/>
          </w:tcPr>
          <w:p w14:paraId="7C16FA0F">
            <w:pPr>
              <w:pStyle w:val="766"/>
              <w:rPr>
                <w:color w:val="auto"/>
              </w:rPr>
            </w:pPr>
            <w:r>
              <w:rPr>
                <w:color w:val="auto"/>
              </w:rPr>
              <w:t>0.00E+00</w:t>
            </w:r>
          </w:p>
        </w:tc>
        <w:tc>
          <w:tcPr>
            <w:tcW w:w="1170" w:type="dxa"/>
            <w:vAlign w:val="center"/>
          </w:tcPr>
          <w:p w14:paraId="69829CA3">
            <w:pPr>
              <w:pStyle w:val="766"/>
              <w:rPr>
                <w:color w:val="auto"/>
              </w:rPr>
            </w:pPr>
            <w:r>
              <w:rPr>
                <w:color w:val="auto"/>
              </w:rPr>
              <w:t>0.00E+00</w:t>
            </w:r>
          </w:p>
        </w:tc>
        <w:tc>
          <w:tcPr>
            <w:tcW w:w="1170" w:type="dxa"/>
            <w:vAlign w:val="center"/>
          </w:tcPr>
          <w:p w14:paraId="72B07460">
            <w:pPr>
              <w:pStyle w:val="766"/>
              <w:rPr>
                <w:color w:val="auto"/>
              </w:rPr>
            </w:pPr>
            <w:r>
              <w:rPr>
                <w:color w:val="auto"/>
              </w:rPr>
              <w:t>2.44E-04</w:t>
            </w:r>
          </w:p>
        </w:tc>
        <w:tc>
          <w:tcPr>
            <w:tcW w:w="1170" w:type="dxa"/>
            <w:vAlign w:val="center"/>
          </w:tcPr>
          <w:p w14:paraId="57E53788">
            <w:pPr>
              <w:pStyle w:val="766"/>
              <w:rPr>
                <w:color w:val="auto"/>
              </w:rPr>
            </w:pPr>
            <w:r>
              <w:rPr>
                <w:color w:val="auto"/>
              </w:rPr>
              <w:t>9.62E+02</w:t>
            </w:r>
          </w:p>
        </w:tc>
      </w:tr>
    </w:tbl>
    <w:p w14:paraId="111872D2">
      <w:pPr>
        <w:pStyle w:val="230"/>
        <w:ind w:firstLine="480"/>
        <w:rPr>
          <w:lang w:eastAsia="zh-CN"/>
        </w:rPr>
      </w:pPr>
      <w:r>
        <w:rPr>
          <w:lang w:eastAsia="zh-CN"/>
        </w:rPr>
        <w:t>由以上表可知，项目废水处理设施事故渗漏情况下，</w:t>
      </w:r>
      <w:r>
        <w:rPr>
          <w:position w:val="2"/>
          <w:lang w:eastAsia="zh-CN"/>
        </w:rPr>
        <w:t>COD</w:t>
      </w:r>
      <w:r>
        <w:rPr>
          <w:lang w:eastAsia="zh-CN"/>
        </w:rPr>
        <w:t>对评价区地下水环境会造成一定的影响，预测结果显示，</w:t>
      </w:r>
      <w:r>
        <w:rPr>
          <w:position w:val="2"/>
          <w:lang w:eastAsia="zh-CN"/>
        </w:rPr>
        <w:t>COD</w:t>
      </w:r>
      <w:r>
        <w:rPr>
          <w:lang w:eastAsia="zh-CN"/>
        </w:rPr>
        <w:t>在第1-1000天内均存在超标现象，随着时间的推移，废水中各污染物事故泄漏对地下水的影响范围不断扩大。</w:t>
      </w:r>
    </w:p>
    <w:p w14:paraId="38FFF203">
      <w:pPr>
        <w:pStyle w:val="369"/>
      </w:pPr>
      <w:r>
        <w:t>表5.2-</w:t>
      </w:r>
      <w:r>
        <w:rPr>
          <w:rFonts w:hint="eastAsia"/>
        </w:rPr>
        <w:t>17</w:t>
      </w:r>
      <w:r>
        <w:t xml:space="preserve">  非正常情况下NH</w:t>
      </w:r>
      <w:r>
        <w:rPr>
          <w:vertAlign w:val="subscript"/>
        </w:rPr>
        <w:t>3</w:t>
      </w:r>
      <w:r>
        <w:t>-N浓度预测（单位：mg/L、m、天）</w:t>
      </w:r>
    </w:p>
    <w:p w14:paraId="15EA40B8">
      <w:pPr>
        <w:widowControl w:val="0"/>
        <w:kinsoku w:val="0"/>
        <w:overflowPunct w:val="0"/>
        <w:autoSpaceDE w:val="0"/>
        <w:autoSpaceDN w:val="0"/>
        <w:adjustRightInd w:val="0"/>
        <w:spacing w:line="240" w:lineRule="auto"/>
        <w:ind w:firstLine="0" w:firstLineChars="0"/>
        <w:rPr>
          <w:kern w:val="0"/>
          <w:sz w:val="7"/>
          <w:szCs w:val="7"/>
        </w:rPr>
      </w:pPr>
    </w:p>
    <w:tbl>
      <w:tblPr>
        <w:tblStyle w:val="82"/>
        <w:tblW w:w="8978"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0"/>
        <w:gridCol w:w="1167"/>
        <w:gridCol w:w="1171"/>
        <w:gridCol w:w="1172"/>
        <w:gridCol w:w="1172"/>
        <w:gridCol w:w="1172"/>
        <w:gridCol w:w="1172"/>
        <w:gridCol w:w="1172"/>
      </w:tblGrid>
      <w:tr w14:paraId="4F27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tcBorders>
              <w:tl2br w:val="single" w:color="auto" w:sz="4" w:space="0"/>
            </w:tcBorders>
            <w:vAlign w:val="center"/>
          </w:tcPr>
          <w:p w14:paraId="4F821BBB">
            <w:pPr>
              <w:pStyle w:val="766"/>
              <w:jc w:val="right"/>
              <w:rPr>
                <w:color w:val="auto"/>
              </w:rPr>
            </w:pPr>
            <w:r>
              <w:rPr>
                <w:color w:val="auto"/>
              </w:rPr>
              <w:t>天</w:t>
            </w:r>
          </w:p>
          <w:p w14:paraId="56612EEA">
            <w:pPr>
              <w:pStyle w:val="766"/>
              <w:jc w:val="left"/>
              <w:rPr>
                <w:color w:val="auto"/>
                <w:szCs w:val="24"/>
              </w:rPr>
            </w:pPr>
            <w:r>
              <w:rPr>
                <w:color w:val="auto"/>
                <w:w w:val="99"/>
              </w:rPr>
              <w:t>X</w:t>
            </w:r>
          </w:p>
        </w:tc>
        <w:tc>
          <w:tcPr>
            <w:tcW w:w="1167" w:type="dxa"/>
            <w:vAlign w:val="center"/>
          </w:tcPr>
          <w:p w14:paraId="7A290911">
            <w:pPr>
              <w:pStyle w:val="766"/>
              <w:rPr>
                <w:color w:val="auto"/>
                <w:szCs w:val="24"/>
              </w:rPr>
            </w:pPr>
            <w:r>
              <w:rPr>
                <w:color w:val="auto"/>
                <w:w w:val="99"/>
              </w:rPr>
              <w:t>1</w:t>
            </w:r>
          </w:p>
        </w:tc>
        <w:tc>
          <w:tcPr>
            <w:tcW w:w="1171" w:type="dxa"/>
            <w:vAlign w:val="center"/>
          </w:tcPr>
          <w:p w14:paraId="22EB0CED">
            <w:pPr>
              <w:pStyle w:val="766"/>
              <w:rPr>
                <w:color w:val="auto"/>
                <w:szCs w:val="24"/>
              </w:rPr>
            </w:pPr>
            <w:r>
              <w:rPr>
                <w:color w:val="auto"/>
              </w:rPr>
              <w:t>10</w:t>
            </w:r>
          </w:p>
        </w:tc>
        <w:tc>
          <w:tcPr>
            <w:tcW w:w="1172" w:type="dxa"/>
            <w:vAlign w:val="center"/>
          </w:tcPr>
          <w:p w14:paraId="36F455C1">
            <w:pPr>
              <w:pStyle w:val="766"/>
              <w:rPr>
                <w:color w:val="auto"/>
                <w:szCs w:val="24"/>
              </w:rPr>
            </w:pPr>
            <w:r>
              <w:rPr>
                <w:color w:val="auto"/>
              </w:rPr>
              <w:t>50</w:t>
            </w:r>
          </w:p>
        </w:tc>
        <w:tc>
          <w:tcPr>
            <w:tcW w:w="1172" w:type="dxa"/>
            <w:vAlign w:val="center"/>
          </w:tcPr>
          <w:p w14:paraId="6DE710D2">
            <w:pPr>
              <w:pStyle w:val="766"/>
              <w:rPr>
                <w:color w:val="auto"/>
                <w:szCs w:val="24"/>
              </w:rPr>
            </w:pPr>
            <w:r>
              <w:rPr>
                <w:color w:val="auto"/>
              </w:rPr>
              <w:t>100</w:t>
            </w:r>
          </w:p>
        </w:tc>
        <w:tc>
          <w:tcPr>
            <w:tcW w:w="1172" w:type="dxa"/>
            <w:vAlign w:val="center"/>
          </w:tcPr>
          <w:p w14:paraId="4110BED4">
            <w:pPr>
              <w:pStyle w:val="766"/>
              <w:rPr>
                <w:color w:val="auto"/>
                <w:szCs w:val="24"/>
              </w:rPr>
            </w:pPr>
            <w:r>
              <w:rPr>
                <w:color w:val="auto"/>
              </w:rPr>
              <w:t>200</w:t>
            </w:r>
          </w:p>
        </w:tc>
        <w:tc>
          <w:tcPr>
            <w:tcW w:w="1172" w:type="dxa"/>
            <w:vAlign w:val="center"/>
          </w:tcPr>
          <w:p w14:paraId="7509FA54">
            <w:pPr>
              <w:pStyle w:val="766"/>
              <w:rPr>
                <w:color w:val="auto"/>
                <w:szCs w:val="24"/>
              </w:rPr>
            </w:pPr>
            <w:r>
              <w:rPr>
                <w:color w:val="auto"/>
              </w:rPr>
              <w:t>500</w:t>
            </w:r>
          </w:p>
        </w:tc>
        <w:tc>
          <w:tcPr>
            <w:tcW w:w="1172" w:type="dxa"/>
            <w:vAlign w:val="center"/>
          </w:tcPr>
          <w:p w14:paraId="3E64FD05">
            <w:pPr>
              <w:pStyle w:val="766"/>
              <w:rPr>
                <w:color w:val="auto"/>
                <w:szCs w:val="24"/>
              </w:rPr>
            </w:pPr>
            <w:r>
              <w:rPr>
                <w:color w:val="auto"/>
              </w:rPr>
              <w:t>1000</w:t>
            </w:r>
          </w:p>
        </w:tc>
      </w:tr>
      <w:tr w14:paraId="0492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061B3ACB">
            <w:pPr>
              <w:pStyle w:val="766"/>
              <w:rPr>
                <w:color w:val="auto"/>
              </w:rPr>
            </w:pPr>
            <w:r>
              <w:rPr>
                <w:color w:val="auto"/>
              </w:rPr>
              <w:t>0</w:t>
            </w:r>
          </w:p>
        </w:tc>
        <w:tc>
          <w:tcPr>
            <w:tcW w:w="1167" w:type="dxa"/>
            <w:vAlign w:val="center"/>
          </w:tcPr>
          <w:p w14:paraId="6042BC34">
            <w:pPr>
              <w:pStyle w:val="766"/>
              <w:rPr>
                <w:color w:val="auto"/>
              </w:rPr>
            </w:pPr>
            <w:r>
              <w:rPr>
                <w:color w:val="auto"/>
              </w:rPr>
              <w:t>1.00E+02</w:t>
            </w:r>
          </w:p>
        </w:tc>
        <w:tc>
          <w:tcPr>
            <w:tcW w:w="1171" w:type="dxa"/>
            <w:vAlign w:val="center"/>
          </w:tcPr>
          <w:p w14:paraId="63C15EBD">
            <w:pPr>
              <w:spacing w:line="240" w:lineRule="auto"/>
              <w:ind w:firstLine="0" w:firstLineChars="0"/>
              <w:jc w:val="right"/>
              <w:rPr>
                <w:kern w:val="0"/>
                <w:sz w:val="22"/>
                <w:szCs w:val="22"/>
              </w:rPr>
            </w:pPr>
            <w:r>
              <w:rPr>
                <w:kern w:val="0"/>
                <w:sz w:val="22"/>
                <w:szCs w:val="22"/>
              </w:rPr>
              <w:t>1.00E+02</w:t>
            </w:r>
          </w:p>
        </w:tc>
        <w:tc>
          <w:tcPr>
            <w:tcW w:w="1172" w:type="dxa"/>
            <w:vAlign w:val="center"/>
          </w:tcPr>
          <w:p w14:paraId="74C2DF39">
            <w:pPr>
              <w:pStyle w:val="766"/>
              <w:rPr>
                <w:color w:val="auto"/>
              </w:rPr>
            </w:pPr>
            <w:r>
              <w:rPr>
                <w:color w:val="auto"/>
              </w:rPr>
              <w:t>1.00E+02</w:t>
            </w:r>
          </w:p>
        </w:tc>
        <w:tc>
          <w:tcPr>
            <w:tcW w:w="1172" w:type="dxa"/>
            <w:vAlign w:val="center"/>
          </w:tcPr>
          <w:p w14:paraId="64330720">
            <w:pPr>
              <w:pStyle w:val="766"/>
              <w:rPr>
                <w:color w:val="auto"/>
              </w:rPr>
            </w:pPr>
            <w:r>
              <w:rPr>
                <w:color w:val="auto"/>
              </w:rPr>
              <w:t>1.00E+02</w:t>
            </w:r>
          </w:p>
        </w:tc>
        <w:tc>
          <w:tcPr>
            <w:tcW w:w="1172" w:type="dxa"/>
            <w:vAlign w:val="center"/>
          </w:tcPr>
          <w:p w14:paraId="3306C19A">
            <w:pPr>
              <w:pStyle w:val="766"/>
              <w:rPr>
                <w:color w:val="auto"/>
              </w:rPr>
            </w:pPr>
            <w:r>
              <w:rPr>
                <w:color w:val="auto"/>
              </w:rPr>
              <w:t>1.00E+02</w:t>
            </w:r>
          </w:p>
        </w:tc>
        <w:tc>
          <w:tcPr>
            <w:tcW w:w="1172" w:type="dxa"/>
            <w:vAlign w:val="center"/>
          </w:tcPr>
          <w:p w14:paraId="64FDAFF5">
            <w:pPr>
              <w:pStyle w:val="766"/>
              <w:rPr>
                <w:color w:val="auto"/>
              </w:rPr>
            </w:pPr>
            <w:r>
              <w:rPr>
                <w:color w:val="auto"/>
              </w:rPr>
              <w:t>1.00E+02</w:t>
            </w:r>
          </w:p>
        </w:tc>
        <w:tc>
          <w:tcPr>
            <w:tcW w:w="1172" w:type="dxa"/>
            <w:vAlign w:val="center"/>
          </w:tcPr>
          <w:p w14:paraId="3F85E003">
            <w:pPr>
              <w:pStyle w:val="766"/>
              <w:rPr>
                <w:color w:val="auto"/>
              </w:rPr>
            </w:pPr>
            <w:r>
              <w:rPr>
                <w:color w:val="auto"/>
              </w:rPr>
              <w:t>1.00E+02</w:t>
            </w:r>
          </w:p>
        </w:tc>
      </w:tr>
      <w:tr w14:paraId="2E26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36A7352E">
            <w:pPr>
              <w:pStyle w:val="766"/>
              <w:rPr>
                <w:color w:val="auto"/>
              </w:rPr>
            </w:pPr>
            <w:r>
              <w:rPr>
                <w:color w:val="auto"/>
              </w:rPr>
              <w:t>100</w:t>
            </w:r>
          </w:p>
        </w:tc>
        <w:tc>
          <w:tcPr>
            <w:tcW w:w="1167" w:type="dxa"/>
            <w:vAlign w:val="center"/>
          </w:tcPr>
          <w:p w14:paraId="61C191FB">
            <w:pPr>
              <w:pStyle w:val="766"/>
              <w:rPr>
                <w:color w:val="auto"/>
              </w:rPr>
            </w:pPr>
            <w:r>
              <w:rPr>
                <w:color w:val="auto"/>
              </w:rPr>
              <w:t>0.00E+00</w:t>
            </w:r>
          </w:p>
        </w:tc>
        <w:tc>
          <w:tcPr>
            <w:tcW w:w="1171" w:type="dxa"/>
            <w:vAlign w:val="center"/>
          </w:tcPr>
          <w:p w14:paraId="4E1FC18E">
            <w:pPr>
              <w:spacing w:line="240" w:lineRule="auto"/>
              <w:ind w:firstLine="0" w:firstLineChars="0"/>
              <w:jc w:val="right"/>
              <w:rPr>
                <w:kern w:val="0"/>
                <w:sz w:val="22"/>
                <w:szCs w:val="22"/>
              </w:rPr>
            </w:pPr>
            <w:r>
              <w:rPr>
                <w:kern w:val="0"/>
                <w:sz w:val="22"/>
                <w:szCs w:val="22"/>
              </w:rPr>
              <w:t>2.66E-13</w:t>
            </w:r>
          </w:p>
        </w:tc>
        <w:tc>
          <w:tcPr>
            <w:tcW w:w="1172" w:type="dxa"/>
            <w:vAlign w:val="center"/>
          </w:tcPr>
          <w:p w14:paraId="4BBF70D5">
            <w:pPr>
              <w:pStyle w:val="766"/>
              <w:rPr>
                <w:color w:val="auto"/>
              </w:rPr>
            </w:pPr>
            <w:r>
              <w:rPr>
                <w:color w:val="auto"/>
              </w:rPr>
              <w:t>7.31E+00</w:t>
            </w:r>
          </w:p>
        </w:tc>
        <w:tc>
          <w:tcPr>
            <w:tcW w:w="1172" w:type="dxa"/>
            <w:vAlign w:val="center"/>
          </w:tcPr>
          <w:p w14:paraId="1348A6F9">
            <w:pPr>
              <w:pStyle w:val="766"/>
              <w:rPr>
                <w:color w:val="auto"/>
              </w:rPr>
            </w:pPr>
            <w:r>
              <w:rPr>
                <w:color w:val="auto"/>
              </w:rPr>
              <w:t>7.67E+01</w:t>
            </w:r>
          </w:p>
        </w:tc>
        <w:tc>
          <w:tcPr>
            <w:tcW w:w="1172" w:type="dxa"/>
            <w:vAlign w:val="center"/>
          </w:tcPr>
          <w:p w14:paraId="5387FBC0">
            <w:pPr>
              <w:pStyle w:val="766"/>
              <w:rPr>
                <w:color w:val="auto"/>
              </w:rPr>
            </w:pPr>
            <w:r>
              <w:rPr>
                <w:color w:val="auto"/>
              </w:rPr>
              <w:t>9.99E+01</w:t>
            </w:r>
          </w:p>
        </w:tc>
        <w:tc>
          <w:tcPr>
            <w:tcW w:w="1172" w:type="dxa"/>
            <w:vAlign w:val="center"/>
          </w:tcPr>
          <w:p w14:paraId="20944C4C">
            <w:pPr>
              <w:pStyle w:val="766"/>
              <w:rPr>
                <w:color w:val="auto"/>
              </w:rPr>
            </w:pPr>
            <w:r>
              <w:rPr>
                <w:color w:val="auto"/>
              </w:rPr>
              <w:t>1.00E+02</w:t>
            </w:r>
          </w:p>
        </w:tc>
        <w:tc>
          <w:tcPr>
            <w:tcW w:w="1172" w:type="dxa"/>
            <w:vAlign w:val="center"/>
          </w:tcPr>
          <w:p w14:paraId="510DCC1D">
            <w:pPr>
              <w:pStyle w:val="766"/>
              <w:rPr>
                <w:color w:val="auto"/>
              </w:rPr>
            </w:pPr>
            <w:r>
              <w:rPr>
                <w:color w:val="auto"/>
              </w:rPr>
              <w:t>1.00E+02</w:t>
            </w:r>
          </w:p>
        </w:tc>
      </w:tr>
      <w:tr w14:paraId="0FC5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5AC68D9F">
            <w:pPr>
              <w:pStyle w:val="766"/>
              <w:rPr>
                <w:color w:val="auto"/>
              </w:rPr>
            </w:pPr>
            <w:r>
              <w:rPr>
                <w:color w:val="auto"/>
              </w:rPr>
              <w:t>200</w:t>
            </w:r>
          </w:p>
        </w:tc>
        <w:tc>
          <w:tcPr>
            <w:tcW w:w="1167" w:type="dxa"/>
            <w:vAlign w:val="center"/>
          </w:tcPr>
          <w:p w14:paraId="0F132A0D">
            <w:pPr>
              <w:pStyle w:val="766"/>
              <w:rPr>
                <w:color w:val="auto"/>
              </w:rPr>
            </w:pPr>
            <w:r>
              <w:rPr>
                <w:color w:val="auto"/>
              </w:rPr>
              <w:t>0.00E+00</w:t>
            </w:r>
          </w:p>
        </w:tc>
        <w:tc>
          <w:tcPr>
            <w:tcW w:w="1171" w:type="dxa"/>
            <w:vAlign w:val="center"/>
          </w:tcPr>
          <w:p w14:paraId="5F2CFDA8">
            <w:pPr>
              <w:spacing w:line="240" w:lineRule="auto"/>
              <w:ind w:firstLine="0" w:firstLineChars="0"/>
              <w:jc w:val="right"/>
              <w:rPr>
                <w:kern w:val="0"/>
                <w:sz w:val="22"/>
                <w:szCs w:val="22"/>
              </w:rPr>
            </w:pPr>
            <w:r>
              <w:rPr>
                <w:kern w:val="0"/>
                <w:sz w:val="22"/>
                <w:szCs w:val="22"/>
              </w:rPr>
              <w:t>0.00E+00</w:t>
            </w:r>
          </w:p>
        </w:tc>
        <w:tc>
          <w:tcPr>
            <w:tcW w:w="1172" w:type="dxa"/>
            <w:vAlign w:val="center"/>
          </w:tcPr>
          <w:p w14:paraId="0EA0CEA5">
            <w:pPr>
              <w:pStyle w:val="766"/>
              <w:rPr>
                <w:color w:val="auto"/>
              </w:rPr>
            </w:pPr>
            <w:r>
              <w:rPr>
                <w:color w:val="auto"/>
              </w:rPr>
              <w:t>1.29E-06</w:t>
            </w:r>
          </w:p>
        </w:tc>
        <w:tc>
          <w:tcPr>
            <w:tcW w:w="1172" w:type="dxa"/>
            <w:vAlign w:val="center"/>
          </w:tcPr>
          <w:p w14:paraId="6B0AEB3E">
            <w:pPr>
              <w:pStyle w:val="766"/>
              <w:rPr>
                <w:color w:val="auto"/>
              </w:rPr>
            </w:pPr>
            <w:r>
              <w:rPr>
                <w:color w:val="auto"/>
              </w:rPr>
              <w:t>1.22E+00</w:t>
            </w:r>
          </w:p>
        </w:tc>
        <w:tc>
          <w:tcPr>
            <w:tcW w:w="1172" w:type="dxa"/>
            <w:vAlign w:val="center"/>
          </w:tcPr>
          <w:p w14:paraId="1BEC5373">
            <w:pPr>
              <w:pStyle w:val="766"/>
              <w:rPr>
                <w:color w:val="auto"/>
              </w:rPr>
            </w:pPr>
            <w:r>
              <w:rPr>
                <w:color w:val="auto"/>
              </w:rPr>
              <w:t>7.87E+01</w:t>
            </w:r>
          </w:p>
        </w:tc>
        <w:tc>
          <w:tcPr>
            <w:tcW w:w="1172" w:type="dxa"/>
            <w:vAlign w:val="center"/>
          </w:tcPr>
          <w:p w14:paraId="2611A956">
            <w:pPr>
              <w:pStyle w:val="766"/>
              <w:rPr>
                <w:color w:val="auto"/>
              </w:rPr>
            </w:pPr>
            <w:r>
              <w:rPr>
                <w:color w:val="auto"/>
              </w:rPr>
              <w:t>1.00E+02</w:t>
            </w:r>
          </w:p>
        </w:tc>
        <w:tc>
          <w:tcPr>
            <w:tcW w:w="1172" w:type="dxa"/>
            <w:vAlign w:val="center"/>
          </w:tcPr>
          <w:p w14:paraId="0D1ED26E">
            <w:pPr>
              <w:pStyle w:val="766"/>
              <w:rPr>
                <w:color w:val="auto"/>
              </w:rPr>
            </w:pPr>
            <w:r>
              <w:rPr>
                <w:color w:val="auto"/>
              </w:rPr>
              <w:t>1.00E+02</w:t>
            </w:r>
          </w:p>
        </w:tc>
      </w:tr>
      <w:tr w14:paraId="2740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5054DFA5">
            <w:pPr>
              <w:pStyle w:val="766"/>
              <w:rPr>
                <w:color w:val="auto"/>
              </w:rPr>
            </w:pPr>
            <w:r>
              <w:rPr>
                <w:color w:val="auto"/>
              </w:rPr>
              <w:t>300</w:t>
            </w:r>
          </w:p>
        </w:tc>
        <w:tc>
          <w:tcPr>
            <w:tcW w:w="1167" w:type="dxa"/>
            <w:vAlign w:val="center"/>
          </w:tcPr>
          <w:p w14:paraId="07F6275A">
            <w:pPr>
              <w:pStyle w:val="766"/>
              <w:rPr>
                <w:color w:val="auto"/>
              </w:rPr>
            </w:pPr>
            <w:r>
              <w:rPr>
                <w:color w:val="auto"/>
              </w:rPr>
              <w:t>0.00E+00</w:t>
            </w:r>
          </w:p>
        </w:tc>
        <w:tc>
          <w:tcPr>
            <w:tcW w:w="1171" w:type="dxa"/>
            <w:vAlign w:val="center"/>
          </w:tcPr>
          <w:p w14:paraId="0846C3AC">
            <w:pPr>
              <w:spacing w:line="240" w:lineRule="auto"/>
              <w:ind w:firstLine="0" w:firstLineChars="0"/>
              <w:jc w:val="right"/>
              <w:rPr>
                <w:kern w:val="0"/>
                <w:sz w:val="22"/>
                <w:szCs w:val="22"/>
              </w:rPr>
            </w:pPr>
            <w:r>
              <w:rPr>
                <w:kern w:val="0"/>
                <w:sz w:val="22"/>
                <w:szCs w:val="22"/>
              </w:rPr>
              <w:t>0.00E+00</w:t>
            </w:r>
          </w:p>
        </w:tc>
        <w:tc>
          <w:tcPr>
            <w:tcW w:w="1172" w:type="dxa"/>
            <w:vAlign w:val="center"/>
          </w:tcPr>
          <w:p w14:paraId="0D0BB3A7">
            <w:pPr>
              <w:pStyle w:val="766"/>
              <w:rPr>
                <w:color w:val="auto"/>
              </w:rPr>
            </w:pPr>
            <w:r>
              <w:rPr>
                <w:color w:val="auto"/>
              </w:rPr>
              <w:t>0.00E+00</w:t>
            </w:r>
          </w:p>
        </w:tc>
        <w:tc>
          <w:tcPr>
            <w:tcW w:w="1172" w:type="dxa"/>
            <w:vAlign w:val="center"/>
          </w:tcPr>
          <w:p w14:paraId="408D378E">
            <w:pPr>
              <w:pStyle w:val="766"/>
              <w:rPr>
                <w:color w:val="auto"/>
              </w:rPr>
            </w:pPr>
            <w:r>
              <w:rPr>
                <w:color w:val="auto"/>
              </w:rPr>
              <w:t>2.07E-05</w:t>
            </w:r>
          </w:p>
        </w:tc>
        <w:tc>
          <w:tcPr>
            <w:tcW w:w="1172" w:type="dxa"/>
            <w:vAlign w:val="center"/>
          </w:tcPr>
          <w:p w14:paraId="7F518DC9">
            <w:pPr>
              <w:pStyle w:val="766"/>
              <w:rPr>
                <w:color w:val="auto"/>
              </w:rPr>
            </w:pPr>
            <w:r>
              <w:rPr>
                <w:color w:val="auto"/>
              </w:rPr>
              <w:t>1.16E+01</w:t>
            </w:r>
          </w:p>
        </w:tc>
        <w:tc>
          <w:tcPr>
            <w:tcW w:w="1172" w:type="dxa"/>
            <w:vAlign w:val="center"/>
          </w:tcPr>
          <w:p w14:paraId="1AC1545C">
            <w:pPr>
              <w:pStyle w:val="766"/>
              <w:rPr>
                <w:color w:val="auto"/>
              </w:rPr>
            </w:pPr>
            <w:r>
              <w:rPr>
                <w:color w:val="auto"/>
              </w:rPr>
              <w:t>1.00E+02</w:t>
            </w:r>
          </w:p>
        </w:tc>
        <w:tc>
          <w:tcPr>
            <w:tcW w:w="1172" w:type="dxa"/>
            <w:vAlign w:val="center"/>
          </w:tcPr>
          <w:p w14:paraId="762F8176">
            <w:pPr>
              <w:pStyle w:val="766"/>
              <w:rPr>
                <w:color w:val="auto"/>
              </w:rPr>
            </w:pPr>
            <w:r>
              <w:rPr>
                <w:color w:val="auto"/>
              </w:rPr>
              <w:t>1.00E+02</w:t>
            </w:r>
          </w:p>
        </w:tc>
      </w:tr>
      <w:tr w14:paraId="75A8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19F45DC0">
            <w:pPr>
              <w:pStyle w:val="766"/>
              <w:rPr>
                <w:color w:val="auto"/>
              </w:rPr>
            </w:pPr>
            <w:r>
              <w:rPr>
                <w:color w:val="auto"/>
              </w:rPr>
              <w:t>400</w:t>
            </w:r>
          </w:p>
        </w:tc>
        <w:tc>
          <w:tcPr>
            <w:tcW w:w="1167" w:type="dxa"/>
            <w:vAlign w:val="center"/>
          </w:tcPr>
          <w:p w14:paraId="393355D7">
            <w:pPr>
              <w:pStyle w:val="766"/>
              <w:rPr>
                <w:color w:val="auto"/>
              </w:rPr>
            </w:pPr>
            <w:r>
              <w:rPr>
                <w:color w:val="auto"/>
              </w:rPr>
              <w:t>0.00E+00</w:t>
            </w:r>
          </w:p>
        </w:tc>
        <w:tc>
          <w:tcPr>
            <w:tcW w:w="1171" w:type="dxa"/>
            <w:vAlign w:val="center"/>
          </w:tcPr>
          <w:p w14:paraId="509755BA">
            <w:pPr>
              <w:spacing w:line="240" w:lineRule="auto"/>
              <w:ind w:firstLine="0" w:firstLineChars="0"/>
              <w:jc w:val="right"/>
              <w:rPr>
                <w:kern w:val="0"/>
                <w:sz w:val="22"/>
                <w:szCs w:val="22"/>
              </w:rPr>
            </w:pPr>
            <w:r>
              <w:rPr>
                <w:kern w:val="0"/>
                <w:sz w:val="22"/>
                <w:szCs w:val="22"/>
              </w:rPr>
              <w:t>0.00E+00</w:t>
            </w:r>
          </w:p>
        </w:tc>
        <w:tc>
          <w:tcPr>
            <w:tcW w:w="1172" w:type="dxa"/>
            <w:vAlign w:val="center"/>
          </w:tcPr>
          <w:p w14:paraId="160D9F7B">
            <w:pPr>
              <w:pStyle w:val="766"/>
              <w:rPr>
                <w:color w:val="auto"/>
              </w:rPr>
            </w:pPr>
            <w:r>
              <w:rPr>
                <w:color w:val="auto"/>
              </w:rPr>
              <w:t>0.00E+00</w:t>
            </w:r>
          </w:p>
        </w:tc>
        <w:tc>
          <w:tcPr>
            <w:tcW w:w="1172" w:type="dxa"/>
            <w:vAlign w:val="center"/>
          </w:tcPr>
          <w:p w14:paraId="53D9A34F">
            <w:pPr>
              <w:pStyle w:val="766"/>
              <w:rPr>
                <w:color w:val="auto"/>
              </w:rPr>
            </w:pPr>
            <w:r>
              <w:rPr>
                <w:color w:val="auto"/>
              </w:rPr>
              <w:t>1.83E-13</w:t>
            </w:r>
          </w:p>
        </w:tc>
        <w:tc>
          <w:tcPr>
            <w:tcW w:w="1172" w:type="dxa"/>
            <w:vAlign w:val="center"/>
          </w:tcPr>
          <w:p w14:paraId="418CD218">
            <w:pPr>
              <w:pStyle w:val="766"/>
              <w:rPr>
                <w:color w:val="auto"/>
              </w:rPr>
            </w:pPr>
            <w:r>
              <w:rPr>
                <w:color w:val="auto"/>
              </w:rPr>
              <w:t>7.31E-02</w:t>
            </w:r>
          </w:p>
        </w:tc>
        <w:tc>
          <w:tcPr>
            <w:tcW w:w="1172" w:type="dxa"/>
            <w:vAlign w:val="center"/>
          </w:tcPr>
          <w:p w14:paraId="4EC4A52A">
            <w:pPr>
              <w:pStyle w:val="766"/>
              <w:rPr>
                <w:color w:val="auto"/>
              </w:rPr>
            </w:pPr>
            <w:r>
              <w:rPr>
                <w:color w:val="auto"/>
              </w:rPr>
              <w:t>9.94E+01</w:t>
            </w:r>
          </w:p>
        </w:tc>
        <w:tc>
          <w:tcPr>
            <w:tcW w:w="1172" w:type="dxa"/>
            <w:vAlign w:val="center"/>
          </w:tcPr>
          <w:p w14:paraId="3FCEDE45">
            <w:pPr>
              <w:pStyle w:val="766"/>
              <w:rPr>
                <w:color w:val="auto"/>
              </w:rPr>
            </w:pPr>
            <w:r>
              <w:rPr>
                <w:color w:val="auto"/>
              </w:rPr>
              <w:t>1.00E+02</w:t>
            </w:r>
          </w:p>
        </w:tc>
      </w:tr>
      <w:tr w14:paraId="6FA4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08DF776A">
            <w:pPr>
              <w:pStyle w:val="766"/>
              <w:rPr>
                <w:color w:val="auto"/>
              </w:rPr>
            </w:pPr>
            <w:r>
              <w:rPr>
                <w:color w:val="auto"/>
              </w:rPr>
              <w:t>500</w:t>
            </w:r>
          </w:p>
        </w:tc>
        <w:tc>
          <w:tcPr>
            <w:tcW w:w="1167" w:type="dxa"/>
            <w:vAlign w:val="center"/>
          </w:tcPr>
          <w:p w14:paraId="5E76C898">
            <w:pPr>
              <w:pStyle w:val="766"/>
              <w:rPr>
                <w:color w:val="auto"/>
              </w:rPr>
            </w:pPr>
            <w:r>
              <w:rPr>
                <w:color w:val="auto"/>
              </w:rPr>
              <w:t>0.00E+00</w:t>
            </w:r>
          </w:p>
        </w:tc>
        <w:tc>
          <w:tcPr>
            <w:tcW w:w="1171" w:type="dxa"/>
            <w:vAlign w:val="center"/>
          </w:tcPr>
          <w:p w14:paraId="72095D23">
            <w:pPr>
              <w:spacing w:line="240" w:lineRule="auto"/>
              <w:ind w:firstLine="0" w:firstLineChars="0"/>
              <w:jc w:val="right"/>
              <w:rPr>
                <w:kern w:val="0"/>
                <w:sz w:val="22"/>
                <w:szCs w:val="22"/>
              </w:rPr>
            </w:pPr>
            <w:r>
              <w:rPr>
                <w:kern w:val="0"/>
                <w:sz w:val="22"/>
                <w:szCs w:val="22"/>
              </w:rPr>
              <w:t>0.00E+00</w:t>
            </w:r>
          </w:p>
        </w:tc>
        <w:tc>
          <w:tcPr>
            <w:tcW w:w="1172" w:type="dxa"/>
            <w:vAlign w:val="center"/>
          </w:tcPr>
          <w:p w14:paraId="1B1F33C4">
            <w:pPr>
              <w:pStyle w:val="766"/>
              <w:rPr>
                <w:color w:val="auto"/>
              </w:rPr>
            </w:pPr>
            <w:r>
              <w:rPr>
                <w:color w:val="auto"/>
              </w:rPr>
              <w:t>0.00E+00</w:t>
            </w:r>
          </w:p>
        </w:tc>
        <w:tc>
          <w:tcPr>
            <w:tcW w:w="1172" w:type="dxa"/>
            <w:vAlign w:val="center"/>
          </w:tcPr>
          <w:p w14:paraId="2D92D21C">
            <w:pPr>
              <w:pStyle w:val="766"/>
              <w:rPr>
                <w:color w:val="auto"/>
              </w:rPr>
            </w:pPr>
            <w:r>
              <w:rPr>
                <w:color w:val="auto"/>
              </w:rPr>
              <w:t>0.00E+00</w:t>
            </w:r>
          </w:p>
        </w:tc>
        <w:tc>
          <w:tcPr>
            <w:tcW w:w="1172" w:type="dxa"/>
            <w:vAlign w:val="center"/>
          </w:tcPr>
          <w:p w14:paraId="3A05EAA0">
            <w:pPr>
              <w:pStyle w:val="766"/>
              <w:rPr>
                <w:color w:val="auto"/>
              </w:rPr>
            </w:pPr>
            <w:r>
              <w:rPr>
                <w:color w:val="auto"/>
              </w:rPr>
              <w:t>1.17E-05</w:t>
            </w:r>
          </w:p>
        </w:tc>
        <w:tc>
          <w:tcPr>
            <w:tcW w:w="1172" w:type="dxa"/>
            <w:vAlign w:val="center"/>
          </w:tcPr>
          <w:p w14:paraId="5A8E2ABB">
            <w:pPr>
              <w:pStyle w:val="766"/>
              <w:rPr>
                <w:color w:val="auto"/>
              </w:rPr>
            </w:pPr>
            <w:r>
              <w:rPr>
                <w:color w:val="auto"/>
              </w:rPr>
              <w:t>8.96E+01</w:t>
            </w:r>
          </w:p>
        </w:tc>
        <w:tc>
          <w:tcPr>
            <w:tcW w:w="1172" w:type="dxa"/>
            <w:vAlign w:val="center"/>
          </w:tcPr>
          <w:p w14:paraId="47B78D1A">
            <w:pPr>
              <w:pStyle w:val="766"/>
              <w:rPr>
                <w:color w:val="auto"/>
              </w:rPr>
            </w:pPr>
            <w:r>
              <w:rPr>
                <w:color w:val="auto"/>
              </w:rPr>
              <w:t>1.00E+02</w:t>
            </w:r>
          </w:p>
        </w:tc>
      </w:tr>
      <w:tr w14:paraId="24BC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680496A5">
            <w:pPr>
              <w:pStyle w:val="766"/>
              <w:rPr>
                <w:color w:val="auto"/>
              </w:rPr>
            </w:pPr>
            <w:r>
              <w:rPr>
                <w:color w:val="auto"/>
              </w:rPr>
              <w:t>600</w:t>
            </w:r>
          </w:p>
        </w:tc>
        <w:tc>
          <w:tcPr>
            <w:tcW w:w="1167" w:type="dxa"/>
            <w:vAlign w:val="center"/>
          </w:tcPr>
          <w:p w14:paraId="2B554359">
            <w:pPr>
              <w:pStyle w:val="766"/>
              <w:rPr>
                <w:color w:val="auto"/>
              </w:rPr>
            </w:pPr>
            <w:r>
              <w:rPr>
                <w:color w:val="auto"/>
              </w:rPr>
              <w:t>0.00E+00</w:t>
            </w:r>
          </w:p>
        </w:tc>
        <w:tc>
          <w:tcPr>
            <w:tcW w:w="1171" w:type="dxa"/>
            <w:vAlign w:val="center"/>
          </w:tcPr>
          <w:p w14:paraId="65A901FD">
            <w:pPr>
              <w:spacing w:line="240" w:lineRule="auto"/>
              <w:ind w:firstLine="0" w:firstLineChars="0"/>
              <w:jc w:val="right"/>
              <w:rPr>
                <w:kern w:val="0"/>
                <w:sz w:val="22"/>
                <w:szCs w:val="22"/>
              </w:rPr>
            </w:pPr>
            <w:r>
              <w:rPr>
                <w:kern w:val="0"/>
                <w:sz w:val="22"/>
                <w:szCs w:val="22"/>
              </w:rPr>
              <w:t>0.00E+00</w:t>
            </w:r>
          </w:p>
        </w:tc>
        <w:tc>
          <w:tcPr>
            <w:tcW w:w="1172" w:type="dxa"/>
            <w:vAlign w:val="center"/>
          </w:tcPr>
          <w:p w14:paraId="4434FFEE">
            <w:pPr>
              <w:pStyle w:val="766"/>
              <w:rPr>
                <w:color w:val="auto"/>
              </w:rPr>
            </w:pPr>
            <w:r>
              <w:rPr>
                <w:color w:val="auto"/>
              </w:rPr>
              <w:t>0.00E+00</w:t>
            </w:r>
          </w:p>
        </w:tc>
        <w:tc>
          <w:tcPr>
            <w:tcW w:w="1172" w:type="dxa"/>
            <w:vAlign w:val="center"/>
          </w:tcPr>
          <w:p w14:paraId="6AD7B7CB">
            <w:pPr>
              <w:pStyle w:val="766"/>
              <w:rPr>
                <w:color w:val="auto"/>
              </w:rPr>
            </w:pPr>
            <w:r>
              <w:rPr>
                <w:color w:val="auto"/>
              </w:rPr>
              <w:t>0.00E+00</w:t>
            </w:r>
          </w:p>
        </w:tc>
        <w:tc>
          <w:tcPr>
            <w:tcW w:w="1172" w:type="dxa"/>
            <w:vAlign w:val="center"/>
          </w:tcPr>
          <w:p w14:paraId="2B8383A0">
            <w:pPr>
              <w:pStyle w:val="766"/>
              <w:rPr>
                <w:color w:val="auto"/>
              </w:rPr>
            </w:pPr>
            <w:r>
              <w:rPr>
                <w:color w:val="auto"/>
              </w:rPr>
              <w:t>4.38E-11</w:t>
            </w:r>
          </w:p>
        </w:tc>
        <w:tc>
          <w:tcPr>
            <w:tcW w:w="1172" w:type="dxa"/>
            <w:vAlign w:val="center"/>
          </w:tcPr>
          <w:p w14:paraId="4A8FEB07">
            <w:pPr>
              <w:pStyle w:val="766"/>
              <w:rPr>
                <w:color w:val="auto"/>
              </w:rPr>
            </w:pPr>
            <w:r>
              <w:rPr>
                <w:color w:val="auto"/>
              </w:rPr>
              <w:t>5.00E+01</w:t>
            </w:r>
          </w:p>
        </w:tc>
        <w:tc>
          <w:tcPr>
            <w:tcW w:w="1172" w:type="dxa"/>
            <w:vAlign w:val="center"/>
          </w:tcPr>
          <w:p w14:paraId="32878FA8">
            <w:pPr>
              <w:pStyle w:val="766"/>
              <w:rPr>
                <w:color w:val="auto"/>
              </w:rPr>
            </w:pPr>
            <w:r>
              <w:rPr>
                <w:color w:val="auto"/>
              </w:rPr>
              <w:t>1.00E+02</w:t>
            </w:r>
          </w:p>
        </w:tc>
      </w:tr>
      <w:tr w14:paraId="7CFB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2D521BB4">
            <w:pPr>
              <w:pStyle w:val="766"/>
              <w:rPr>
                <w:color w:val="auto"/>
              </w:rPr>
            </w:pPr>
            <w:r>
              <w:rPr>
                <w:color w:val="auto"/>
              </w:rPr>
              <w:t>700</w:t>
            </w:r>
          </w:p>
        </w:tc>
        <w:tc>
          <w:tcPr>
            <w:tcW w:w="1167" w:type="dxa"/>
            <w:vAlign w:val="center"/>
          </w:tcPr>
          <w:p w14:paraId="1CFA5A19">
            <w:pPr>
              <w:pStyle w:val="766"/>
              <w:rPr>
                <w:color w:val="auto"/>
              </w:rPr>
            </w:pPr>
            <w:r>
              <w:rPr>
                <w:color w:val="auto"/>
              </w:rPr>
              <w:t>0.00E+00</w:t>
            </w:r>
          </w:p>
        </w:tc>
        <w:tc>
          <w:tcPr>
            <w:tcW w:w="1171" w:type="dxa"/>
            <w:vAlign w:val="center"/>
          </w:tcPr>
          <w:p w14:paraId="4A7AB36C">
            <w:pPr>
              <w:spacing w:line="240" w:lineRule="auto"/>
              <w:ind w:firstLine="0" w:firstLineChars="0"/>
              <w:jc w:val="right"/>
              <w:rPr>
                <w:kern w:val="0"/>
                <w:sz w:val="22"/>
                <w:szCs w:val="22"/>
              </w:rPr>
            </w:pPr>
            <w:r>
              <w:rPr>
                <w:kern w:val="0"/>
                <w:sz w:val="22"/>
                <w:szCs w:val="22"/>
              </w:rPr>
              <w:t>0.00E+00</w:t>
            </w:r>
          </w:p>
        </w:tc>
        <w:tc>
          <w:tcPr>
            <w:tcW w:w="1172" w:type="dxa"/>
            <w:vAlign w:val="center"/>
          </w:tcPr>
          <w:p w14:paraId="2F763E9D">
            <w:pPr>
              <w:pStyle w:val="766"/>
              <w:rPr>
                <w:color w:val="auto"/>
              </w:rPr>
            </w:pPr>
            <w:r>
              <w:rPr>
                <w:color w:val="auto"/>
              </w:rPr>
              <w:t>0.00E+00</w:t>
            </w:r>
          </w:p>
        </w:tc>
        <w:tc>
          <w:tcPr>
            <w:tcW w:w="1172" w:type="dxa"/>
            <w:vAlign w:val="center"/>
          </w:tcPr>
          <w:p w14:paraId="33185964">
            <w:pPr>
              <w:pStyle w:val="766"/>
              <w:rPr>
                <w:color w:val="auto"/>
              </w:rPr>
            </w:pPr>
            <w:r>
              <w:rPr>
                <w:color w:val="auto"/>
              </w:rPr>
              <w:t>0.00E+00</w:t>
            </w:r>
          </w:p>
        </w:tc>
        <w:tc>
          <w:tcPr>
            <w:tcW w:w="1172" w:type="dxa"/>
            <w:vAlign w:val="center"/>
          </w:tcPr>
          <w:p w14:paraId="196ABD7C">
            <w:pPr>
              <w:pStyle w:val="766"/>
              <w:rPr>
                <w:color w:val="auto"/>
              </w:rPr>
            </w:pPr>
            <w:r>
              <w:rPr>
                <w:color w:val="auto"/>
              </w:rPr>
              <w:t>0.00E+00</w:t>
            </w:r>
          </w:p>
        </w:tc>
        <w:tc>
          <w:tcPr>
            <w:tcW w:w="1172" w:type="dxa"/>
            <w:vAlign w:val="center"/>
          </w:tcPr>
          <w:p w14:paraId="0C60E5E7">
            <w:pPr>
              <w:pStyle w:val="766"/>
              <w:rPr>
                <w:color w:val="auto"/>
              </w:rPr>
            </w:pPr>
            <w:r>
              <w:rPr>
                <w:color w:val="auto"/>
              </w:rPr>
              <w:t>1.04E+01</w:t>
            </w:r>
          </w:p>
        </w:tc>
        <w:tc>
          <w:tcPr>
            <w:tcW w:w="1172" w:type="dxa"/>
            <w:vAlign w:val="center"/>
          </w:tcPr>
          <w:p w14:paraId="24387BFF">
            <w:pPr>
              <w:pStyle w:val="766"/>
              <w:rPr>
                <w:color w:val="auto"/>
              </w:rPr>
            </w:pPr>
            <w:r>
              <w:rPr>
                <w:color w:val="auto"/>
              </w:rPr>
              <w:t>1.00E+02</w:t>
            </w:r>
          </w:p>
        </w:tc>
      </w:tr>
      <w:tr w14:paraId="329A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10CCFB6C">
            <w:pPr>
              <w:pStyle w:val="766"/>
              <w:rPr>
                <w:color w:val="auto"/>
              </w:rPr>
            </w:pPr>
            <w:r>
              <w:rPr>
                <w:color w:val="auto"/>
              </w:rPr>
              <w:t>800</w:t>
            </w:r>
          </w:p>
        </w:tc>
        <w:tc>
          <w:tcPr>
            <w:tcW w:w="1167" w:type="dxa"/>
            <w:vAlign w:val="center"/>
          </w:tcPr>
          <w:p w14:paraId="5F628BE6">
            <w:pPr>
              <w:pStyle w:val="766"/>
              <w:rPr>
                <w:color w:val="auto"/>
              </w:rPr>
            </w:pPr>
            <w:r>
              <w:rPr>
                <w:color w:val="auto"/>
              </w:rPr>
              <w:t>0.00E+00</w:t>
            </w:r>
          </w:p>
        </w:tc>
        <w:tc>
          <w:tcPr>
            <w:tcW w:w="1171" w:type="dxa"/>
            <w:vAlign w:val="center"/>
          </w:tcPr>
          <w:p w14:paraId="0570663B">
            <w:pPr>
              <w:spacing w:line="240" w:lineRule="auto"/>
              <w:ind w:firstLine="0" w:firstLineChars="0"/>
              <w:jc w:val="right"/>
              <w:rPr>
                <w:kern w:val="0"/>
                <w:sz w:val="22"/>
                <w:szCs w:val="22"/>
              </w:rPr>
            </w:pPr>
            <w:r>
              <w:rPr>
                <w:kern w:val="0"/>
                <w:sz w:val="22"/>
                <w:szCs w:val="22"/>
              </w:rPr>
              <w:t>0.00E+00</w:t>
            </w:r>
          </w:p>
        </w:tc>
        <w:tc>
          <w:tcPr>
            <w:tcW w:w="1172" w:type="dxa"/>
            <w:vAlign w:val="center"/>
          </w:tcPr>
          <w:p w14:paraId="2A561B9C">
            <w:pPr>
              <w:pStyle w:val="766"/>
              <w:rPr>
                <w:color w:val="auto"/>
              </w:rPr>
            </w:pPr>
            <w:r>
              <w:rPr>
                <w:color w:val="auto"/>
              </w:rPr>
              <w:t>0.00E+00</w:t>
            </w:r>
          </w:p>
        </w:tc>
        <w:tc>
          <w:tcPr>
            <w:tcW w:w="1172" w:type="dxa"/>
            <w:vAlign w:val="center"/>
          </w:tcPr>
          <w:p w14:paraId="61C63998">
            <w:pPr>
              <w:pStyle w:val="766"/>
              <w:rPr>
                <w:color w:val="auto"/>
              </w:rPr>
            </w:pPr>
            <w:r>
              <w:rPr>
                <w:color w:val="auto"/>
              </w:rPr>
              <w:t>0.00E+00</w:t>
            </w:r>
          </w:p>
        </w:tc>
        <w:tc>
          <w:tcPr>
            <w:tcW w:w="1172" w:type="dxa"/>
            <w:vAlign w:val="center"/>
          </w:tcPr>
          <w:p w14:paraId="4971CAFB">
            <w:pPr>
              <w:pStyle w:val="766"/>
              <w:rPr>
                <w:color w:val="auto"/>
              </w:rPr>
            </w:pPr>
            <w:r>
              <w:rPr>
                <w:color w:val="auto"/>
              </w:rPr>
              <w:t>0.00E+00</w:t>
            </w:r>
          </w:p>
        </w:tc>
        <w:tc>
          <w:tcPr>
            <w:tcW w:w="1172" w:type="dxa"/>
            <w:vAlign w:val="center"/>
          </w:tcPr>
          <w:p w14:paraId="0DA4A3F8">
            <w:pPr>
              <w:pStyle w:val="766"/>
              <w:rPr>
                <w:color w:val="auto"/>
              </w:rPr>
            </w:pPr>
            <w:r>
              <w:rPr>
                <w:color w:val="auto"/>
              </w:rPr>
              <w:t>5.94E-01</w:t>
            </w:r>
          </w:p>
        </w:tc>
        <w:tc>
          <w:tcPr>
            <w:tcW w:w="1172" w:type="dxa"/>
            <w:vAlign w:val="center"/>
          </w:tcPr>
          <w:p w14:paraId="797EE78F">
            <w:pPr>
              <w:pStyle w:val="766"/>
              <w:rPr>
                <w:color w:val="auto"/>
              </w:rPr>
            </w:pPr>
            <w:r>
              <w:rPr>
                <w:color w:val="auto"/>
              </w:rPr>
              <w:t>1.00E+02</w:t>
            </w:r>
          </w:p>
        </w:tc>
      </w:tr>
      <w:tr w14:paraId="5A9B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3F17F77B">
            <w:pPr>
              <w:pStyle w:val="766"/>
              <w:rPr>
                <w:color w:val="auto"/>
              </w:rPr>
            </w:pPr>
            <w:r>
              <w:rPr>
                <w:color w:val="auto"/>
              </w:rPr>
              <w:t>900</w:t>
            </w:r>
          </w:p>
        </w:tc>
        <w:tc>
          <w:tcPr>
            <w:tcW w:w="1167" w:type="dxa"/>
            <w:vAlign w:val="center"/>
          </w:tcPr>
          <w:p w14:paraId="6CE16E50">
            <w:pPr>
              <w:pStyle w:val="766"/>
              <w:rPr>
                <w:color w:val="auto"/>
              </w:rPr>
            </w:pPr>
            <w:r>
              <w:rPr>
                <w:color w:val="auto"/>
              </w:rPr>
              <w:t>0.00E+00</w:t>
            </w:r>
          </w:p>
        </w:tc>
        <w:tc>
          <w:tcPr>
            <w:tcW w:w="1171" w:type="dxa"/>
            <w:vAlign w:val="center"/>
          </w:tcPr>
          <w:p w14:paraId="3DB54296">
            <w:pPr>
              <w:spacing w:line="240" w:lineRule="auto"/>
              <w:ind w:firstLine="0" w:firstLineChars="0"/>
              <w:jc w:val="right"/>
              <w:rPr>
                <w:kern w:val="0"/>
                <w:sz w:val="22"/>
                <w:szCs w:val="22"/>
              </w:rPr>
            </w:pPr>
            <w:r>
              <w:rPr>
                <w:kern w:val="0"/>
                <w:sz w:val="22"/>
                <w:szCs w:val="22"/>
              </w:rPr>
              <w:t>0.00E+00</w:t>
            </w:r>
          </w:p>
        </w:tc>
        <w:tc>
          <w:tcPr>
            <w:tcW w:w="1172" w:type="dxa"/>
            <w:vAlign w:val="center"/>
          </w:tcPr>
          <w:p w14:paraId="12020382">
            <w:pPr>
              <w:pStyle w:val="766"/>
              <w:rPr>
                <w:color w:val="auto"/>
              </w:rPr>
            </w:pPr>
            <w:r>
              <w:rPr>
                <w:color w:val="auto"/>
              </w:rPr>
              <w:t>0.00E+00</w:t>
            </w:r>
          </w:p>
        </w:tc>
        <w:tc>
          <w:tcPr>
            <w:tcW w:w="1172" w:type="dxa"/>
            <w:vAlign w:val="center"/>
          </w:tcPr>
          <w:p w14:paraId="2763F5B8">
            <w:pPr>
              <w:pStyle w:val="766"/>
              <w:rPr>
                <w:color w:val="auto"/>
              </w:rPr>
            </w:pPr>
            <w:r>
              <w:rPr>
                <w:color w:val="auto"/>
              </w:rPr>
              <w:t>0.00E+00</w:t>
            </w:r>
          </w:p>
        </w:tc>
        <w:tc>
          <w:tcPr>
            <w:tcW w:w="1172" w:type="dxa"/>
            <w:vAlign w:val="center"/>
          </w:tcPr>
          <w:p w14:paraId="7A026D20">
            <w:pPr>
              <w:pStyle w:val="766"/>
              <w:rPr>
                <w:color w:val="auto"/>
              </w:rPr>
            </w:pPr>
            <w:r>
              <w:rPr>
                <w:color w:val="auto"/>
              </w:rPr>
              <w:t>0.00E+00</w:t>
            </w:r>
          </w:p>
        </w:tc>
        <w:tc>
          <w:tcPr>
            <w:tcW w:w="1172" w:type="dxa"/>
            <w:vAlign w:val="center"/>
          </w:tcPr>
          <w:p w14:paraId="3D4EE5DC">
            <w:pPr>
              <w:pStyle w:val="766"/>
              <w:rPr>
                <w:color w:val="auto"/>
              </w:rPr>
            </w:pPr>
            <w:r>
              <w:rPr>
                <w:color w:val="auto"/>
              </w:rPr>
              <w:t>8.05E-03</w:t>
            </w:r>
          </w:p>
        </w:tc>
        <w:tc>
          <w:tcPr>
            <w:tcW w:w="1172" w:type="dxa"/>
            <w:vAlign w:val="center"/>
          </w:tcPr>
          <w:p w14:paraId="2C2EBFA5">
            <w:pPr>
              <w:pStyle w:val="766"/>
              <w:rPr>
                <w:color w:val="auto"/>
              </w:rPr>
            </w:pPr>
            <w:r>
              <w:rPr>
                <w:color w:val="auto"/>
              </w:rPr>
              <w:t>9.96E+01</w:t>
            </w:r>
          </w:p>
        </w:tc>
      </w:tr>
      <w:tr w14:paraId="1DF6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80" w:type="dxa"/>
            <w:vAlign w:val="center"/>
          </w:tcPr>
          <w:p w14:paraId="13AB868A">
            <w:pPr>
              <w:pStyle w:val="766"/>
              <w:rPr>
                <w:color w:val="auto"/>
              </w:rPr>
            </w:pPr>
            <w:r>
              <w:rPr>
                <w:color w:val="auto"/>
              </w:rPr>
              <w:t>1000</w:t>
            </w:r>
          </w:p>
        </w:tc>
        <w:tc>
          <w:tcPr>
            <w:tcW w:w="1167" w:type="dxa"/>
            <w:vAlign w:val="center"/>
          </w:tcPr>
          <w:p w14:paraId="3B49D268">
            <w:pPr>
              <w:pStyle w:val="766"/>
              <w:rPr>
                <w:color w:val="auto"/>
              </w:rPr>
            </w:pPr>
            <w:r>
              <w:rPr>
                <w:color w:val="auto"/>
              </w:rPr>
              <w:t>0.00E+00</w:t>
            </w:r>
          </w:p>
        </w:tc>
        <w:tc>
          <w:tcPr>
            <w:tcW w:w="1171" w:type="dxa"/>
            <w:vAlign w:val="center"/>
          </w:tcPr>
          <w:p w14:paraId="564B57E2">
            <w:pPr>
              <w:spacing w:line="240" w:lineRule="auto"/>
              <w:ind w:firstLine="0" w:firstLineChars="0"/>
              <w:jc w:val="right"/>
              <w:rPr>
                <w:kern w:val="0"/>
                <w:sz w:val="22"/>
                <w:szCs w:val="22"/>
              </w:rPr>
            </w:pPr>
            <w:r>
              <w:rPr>
                <w:kern w:val="0"/>
                <w:sz w:val="22"/>
                <w:szCs w:val="22"/>
              </w:rPr>
              <w:t>0.00E+00</w:t>
            </w:r>
          </w:p>
        </w:tc>
        <w:tc>
          <w:tcPr>
            <w:tcW w:w="1172" w:type="dxa"/>
            <w:vAlign w:val="center"/>
          </w:tcPr>
          <w:p w14:paraId="02518A87">
            <w:pPr>
              <w:pStyle w:val="766"/>
              <w:rPr>
                <w:color w:val="auto"/>
              </w:rPr>
            </w:pPr>
            <w:r>
              <w:rPr>
                <w:color w:val="auto"/>
              </w:rPr>
              <w:t>0.00E+00</w:t>
            </w:r>
          </w:p>
        </w:tc>
        <w:tc>
          <w:tcPr>
            <w:tcW w:w="1172" w:type="dxa"/>
            <w:vAlign w:val="center"/>
          </w:tcPr>
          <w:p w14:paraId="427AB920">
            <w:pPr>
              <w:pStyle w:val="766"/>
              <w:rPr>
                <w:color w:val="auto"/>
              </w:rPr>
            </w:pPr>
            <w:r>
              <w:rPr>
                <w:color w:val="auto"/>
              </w:rPr>
              <w:t>0.00E+00</w:t>
            </w:r>
          </w:p>
        </w:tc>
        <w:tc>
          <w:tcPr>
            <w:tcW w:w="1172" w:type="dxa"/>
            <w:vAlign w:val="center"/>
          </w:tcPr>
          <w:p w14:paraId="74E5A966">
            <w:pPr>
              <w:pStyle w:val="766"/>
              <w:rPr>
                <w:color w:val="auto"/>
              </w:rPr>
            </w:pPr>
            <w:r>
              <w:rPr>
                <w:color w:val="auto"/>
              </w:rPr>
              <w:t>0.00E+00</w:t>
            </w:r>
          </w:p>
        </w:tc>
        <w:tc>
          <w:tcPr>
            <w:tcW w:w="1172" w:type="dxa"/>
            <w:vAlign w:val="center"/>
          </w:tcPr>
          <w:p w14:paraId="6E237A62">
            <w:pPr>
              <w:pStyle w:val="766"/>
              <w:rPr>
                <w:color w:val="auto"/>
              </w:rPr>
            </w:pPr>
            <w:r>
              <w:rPr>
                <w:color w:val="auto"/>
              </w:rPr>
              <w:t>2.44E-05</w:t>
            </w:r>
          </w:p>
        </w:tc>
        <w:tc>
          <w:tcPr>
            <w:tcW w:w="1172" w:type="dxa"/>
            <w:vAlign w:val="center"/>
          </w:tcPr>
          <w:p w14:paraId="380C21A4">
            <w:pPr>
              <w:pStyle w:val="766"/>
              <w:rPr>
                <w:color w:val="auto"/>
              </w:rPr>
            </w:pPr>
            <w:r>
              <w:rPr>
                <w:color w:val="auto"/>
              </w:rPr>
              <w:t>9.62E+01</w:t>
            </w:r>
          </w:p>
        </w:tc>
      </w:tr>
    </w:tbl>
    <w:p w14:paraId="32CE763F">
      <w:pPr>
        <w:pStyle w:val="230"/>
        <w:ind w:firstLine="460"/>
        <w:jc w:val="both"/>
        <w:rPr>
          <w:lang w:eastAsia="zh-CN"/>
        </w:rPr>
      </w:pPr>
      <w:bookmarkStart w:id="407" w:name="5.2.3.2预防措施"/>
      <w:bookmarkEnd w:id="407"/>
      <w:bookmarkStart w:id="408" w:name="5.2.4运营期声环境影响"/>
      <w:bookmarkEnd w:id="408"/>
      <w:bookmarkStart w:id="409" w:name="5.2.4.1_噪声源强"/>
      <w:bookmarkEnd w:id="409"/>
      <w:r>
        <w:rPr>
          <w:spacing w:val="-5"/>
          <w:lang w:eastAsia="zh-CN"/>
        </w:rPr>
        <w:t>由以上表可知，项目废水处理设施事故渗漏情况下，NH</w:t>
      </w:r>
      <w:r>
        <w:rPr>
          <w:spacing w:val="-5"/>
          <w:sz w:val="15"/>
          <w:szCs w:val="15"/>
          <w:lang w:eastAsia="zh-CN"/>
        </w:rPr>
        <w:t>3</w:t>
      </w:r>
      <w:r>
        <w:rPr>
          <w:spacing w:val="-5"/>
          <w:lang w:eastAsia="zh-CN"/>
        </w:rPr>
        <w:t>-N</w:t>
      </w:r>
      <w:r>
        <w:rPr>
          <w:lang w:eastAsia="zh-CN"/>
        </w:rPr>
        <w:t>对评价区地下水环境会</w:t>
      </w:r>
      <w:r>
        <w:rPr>
          <w:spacing w:val="-3"/>
          <w:lang w:eastAsia="zh-CN"/>
        </w:rPr>
        <w:t>造成一定的影响，预测结果显示，NH</w:t>
      </w:r>
      <w:r>
        <w:rPr>
          <w:spacing w:val="-3"/>
          <w:sz w:val="15"/>
          <w:szCs w:val="15"/>
          <w:lang w:eastAsia="zh-CN"/>
        </w:rPr>
        <w:t>3</w:t>
      </w:r>
      <w:r>
        <w:rPr>
          <w:spacing w:val="-3"/>
          <w:lang w:eastAsia="zh-CN"/>
        </w:rPr>
        <w:t>-N</w:t>
      </w:r>
      <w:r>
        <w:rPr>
          <w:lang w:eastAsia="zh-CN"/>
        </w:rPr>
        <w:t>在第1-1000天内均存在超标现象，随着时间的推移，废水中各污染物事故泄漏对地下水的影响范围不断扩大。</w:t>
      </w:r>
    </w:p>
    <w:p w14:paraId="1373071F">
      <w:pPr>
        <w:pStyle w:val="12"/>
      </w:pPr>
      <w:r>
        <w:t>5.2.4.4项目对地下水环境的影响及保护措施</w:t>
      </w:r>
    </w:p>
    <w:p w14:paraId="314988FE">
      <w:pPr>
        <w:ind w:firstLine="480"/>
      </w:pPr>
      <w:r>
        <w:rPr>
          <w:rFonts w:hint="eastAsia"/>
        </w:rPr>
        <w:t>本项目有机肥发酵车间中鸡粪含水量为26229t/a，鸡粪进入有机肥车间进行发酵，鸡粪中月35%水分进入有机肥中，剩余水分由渗滤液形式排出，因此，本项目发酵过程产生的渗滤液约17049t/a，渗滤液由发酵槽底部渗滤液收集设施进行收集，然后输送至污水处理站进行处理。</w:t>
      </w:r>
    </w:p>
    <w:p w14:paraId="0520A393">
      <w:pPr>
        <w:ind w:firstLine="480"/>
      </w:pPr>
      <w:r>
        <w:rPr>
          <w:rFonts w:hint="eastAsia"/>
        </w:rPr>
        <w:t>本项目地下水污染主要为渗滤液收集设施损坏造成跑冒滴漏现象，渗滤液对土壤地下水造成污染；污水处理站设施损坏造成跑冒滴漏或污水处理站池体防渗结构损坏，污水发生渗漏造成土壤地下水污染。</w:t>
      </w:r>
    </w:p>
    <w:p w14:paraId="53FE8469">
      <w:pPr>
        <w:ind w:firstLine="480"/>
      </w:pPr>
      <w:r>
        <w:t>该项目防渗措施为：</w:t>
      </w:r>
      <w:r>
        <w:rPr>
          <w:rFonts w:hint="eastAsia"/>
        </w:rPr>
        <w:t>有机肥车间、</w:t>
      </w:r>
      <w:r>
        <w:t>废水处理池等地基采取粘土铺底，再在上层铺设土工布、</w:t>
      </w:r>
      <w:r>
        <w:rPr>
          <w:rFonts w:hint="eastAsia"/>
        </w:rPr>
        <w:t>2mm厚</w:t>
      </w:r>
      <w:r>
        <w:t>HDPE防渗膜，再在上层铺设15cm的钢混，建（构）筑物再在地基上铺设钢混，采取双层钢混，有效防止废水渗漏污染地下水。通过上述措施可使污染区K小于等于1.0×10</w:t>
      </w:r>
      <w:r>
        <w:rPr>
          <w:vertAlign w:val="superscript"/>
        </w:rPr>
        <w:t>-7</w:t>
      </w:r>
      <w:r>
        <w:t>cm/s；项目废水排污管道采用明管铺设，做好防渗措施并定期对管道进行巡检。避免废水泄漏事故的发生</w:t>
      </w:r>
      <w:r>
        <w:rPr>
          <w:rFonts w:hint="eastAsia"/>
        </w:rPr>
        <w:t>；有机肥发酵采用发酵槽发酵，发酵槽下方有配套的渗滤液收集设施，定期对渗滤液收集设施进行检查维修，避免出现跑冒滴漏现象。</w:t>
      </w:r>
    </w:p>
    <w:p w14:paraId="72893187">
      <w:pPr>
        <w:ind w:firstLine="480"/>
        <w:sectPr>
          <w:pgSz w:w="11906" w:h="16838"/>
          <w:pgMar w:top="1418" w:right="1418" w:bottom="1418" w:left="1418" w:header="992" w:footer="992" w:gutter="0"/>
          <w:cols w:space="720" w:num="1"/>
          <w:docGrid w:linePitch="312" w:charSpace="0"/>
        </w:sectPr>
      </w:pPr>
      <w:r>
        <w:t>由污染途径及对应措施分析可知，项目对可能产生地下水影响的各项途径均进行有效预防，在确保各项防渗措施得以落实，并加强维护和厂区环境管理的前提下，可有效控制厂区内的废水污染物下渗现象，避免污染地下水。</w:t>
      </w:r>
      <w:r>
        <w:rPr>
          <w:rFonts w:hint="eastAsia"/>
        </w:rPr>
        <w:t>如本项目发生地下水污染事件，影响水质，造成COD、BOD、氨氮的因子超标。</w:t>
      </w:r>
      <w:r>
        <w:t>项目需建立监测井对地下水进行跟踪监测，能够及时反应地下水污染情况。如发生企业废水污染地下水事件，企业有责任解决地下水污染问题。在建设单位严格落实防渗措施后和建立监测井后，项目对区域地下水环境影响较小。</w:t>
      </w:r>
      <w:bookmarkEnd w:id="404"/>
    </w:p>
    <w:p w14:paraId="79F6D5B0">
      <w:pPr>
        <w:pStyle w:val="11"/>
      </w:pPr>
      <w:bookmarkStart w:id="410" w:name="_Toc166572328"/>
      <w:r>
        <w:t>5.2.5声环境影响分析</w:t>
      </w:r>
      <w:bookmarkEnd w:id="410"/>
    </w:p>
    <w:p w14:paraId="3EB12E60">
      <w:pPr>
        <w:pStyle w:val="12"/>
      </w:pPr>
      <w:bookmarkStart w:id="411" w:name="_Toc9770"/>
      <w:bookmarkStart w:id="412" w:name="_Toc315"/>
      <w:r>
        <w:t>5.2.5.1 噪声源强</w:t>
      </w:r>
      <w:bookmarkEnd w:id="411"/>
      <w:bookmarkEnd w:id="412"/>
    </w:p>
    <w:p w14:paraId="466294EA">
      <w:pPr>
        <w:ind w:firstLine="480"/>
        <w:rPr>
          <w:b/>
          <w:bCs/>
        </w:rPr>
      </w:pPr>
      <w:r>
        <w:rPr>
          <w:rStyle w:val="567"/>
          <w:lang w:eastAsia="zh-CN"/>
        </w:rPr>
        <w:t>项目噪声源主要为鸡舍鸡叫、各种泵类、搅拌器等。设备噪声值65～80dB（A）之间，通过基础减震、建筑物隔声等可降低10dB（A）左右。具体噪声排放见下表5.2-</w:t>
      </w:r>
      <w:r>
        <w:rPr>
          <w:rStyle w:val="567"/>
          <w:rFonts w:hint="eastAsia"/>
          <w:lang w:eastAsia="zh-CN"/>
        </w:rPr>
        <w:t>18</w:t>
      </w:r>
      <w:r>
        <w:t>。</w:t>
      </w:r>
    </w:p>
    <w:p w14:paraId="70AB1B3A">
      <w:pPr>
        <w:pStyle w:val="369"/>
      </w:pPr>
      <w:r>
        <w:t>表5.2-1</w:t>
      </w:r>
      <w:r>
        <w:rPr>
          <w:rFonts w:hint="eastAsia"/>
        </w:rPr>
        <w:t>8</w:t>
      </w:r>
      <w:r>
        <w:t xml:space="preserve">  工业企业噪声源调查清单（室内声源）</w:t>
      </w:r>
    </w:p>
    <w:tbl>
      <w:tblPr>
        <w:tblStyle w:val="82"/>
        <w:tblW w:w="504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309"/>
        <w:gridCol w:w="765"/>
        <w:gridCol w:w="548"/>
        <w:gridCol w:w="1048"/>
        <w:gridCol w:w="2619"/>
        <w:gridCol w:w="410"/>
        <w:gridCol w:w="335"/>
        <w:gridCol w:w="725"/>
        <w:gridCol w:w="997"/>
        <w:gridCol w:w="739"/>
        <w:gridCol w:w="693"/>
      </w:tblGrid>
      <w:tr w14:paraId="47F494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68" w:type="pct"/>
            <w:vMerge w:val="restart"/>
            <w:tcBorders>
              <w:tl2br w:val="nil"/>
              <w:tr2bl w:val="nil"/>
            </w:tcBorders>
            <w:shd w:val="clear" w:color="auto" w:fill="auto"/>
            <w:textDirection w:val="tbRlV"/>
            <w:vAlign w:val="center"/>
          </w:tcPr>
          <w:p w14:paraId="709A3F88">
            <w:pPr>
              <w:pStyle w:val="766"/>
              <w:rPr>
                <w:color w:val="auto"/>
              </w:rPr>
            </w:pPr>
            <w:r>
              <w:rPr>
                <w:color w:val="auto"/>
              </w:rPr>
              <w:t>序 号</w:t>
            </w:r>
          </w:p>
        </w:tc>
        <w:tc>
          <w:tcPr>
            <w:tcW w:w="416" w:type="pct"/>
            <w:vMerge w:val="restart"/>
            <w:tcBorders>
              <w:tl2br w:val="nil"/>
              <w:tr2bl w:val="nil"/>
            </w:tcBorders>
            <w:shd w:val="clear" w:color="auto" w:fill="auto"/>
            <w:vAlign w:val="center"/>
          </w:tcPr>
          <w:p w14:paraId="264E5F06">
            <w:pPr>
              <w:pStyle w:val="766"/>
              <w:rPr>
                <w:color w:val="auto"/>
              </w:rPr>
            </w:pPr>
            <w:r>
              <w:rPr>
                <w:color w:val="auto"/>
              </w:rPr>
              <w:t>建筑物 名称</w:t>
            </w:r>
          </w:p>
        </w:tc>
        <w:tc>
          <w:tcPr>
            <w:tcW w:w="298" w:type="pct"/>
            <w:vMerge w:val="restart"/>
            <w:tcBorders>
              <w:tl2br w:val="nil"/>
              <w:tr2bl w:val="nil"/>
            </w:tcBorders>
            <w:shd w:val="clear" w:color="auto" w:fill="auto"/>
            <w:vAlign w:val="center"/>
          </w:tcPr>
          <w:p w14:paraId="450C7830">
            <w:pPr>
              <w:pStyle w:val="766"/>
              <w:rPr>
                <w:color w:val="auto"/>
              </w:rPr>
            </w:pPr>
            <w:r>
              <w:rPr>
                <w:color w:val="auto"/>
              </w:rPr>
              <w:t>声源名称</w:t>
            </w:r>
          </w:p>
        </w:tc>
        <w:tc>
          <w:tcPr>
            <w:tcW w:w="570" w:type="pct"/>
            <w:tcBorders>
              <w:tl2br w:val="nil"/>
              <w:tr2bl w:val="nil"/>
            </w:tcBorders>
            <w:shd w:val="clear" w:color="auto" w:fill="auto"/>
            <w:vAlign w:val="center"/>
          </w:tcPr>
          <w:p w14:paraId="1CF64B01">
            <w:pPr>
              <w:pStyle w:val="766"/>
              <w:rPr>
                <w:color w:val="auto"/>
              </w:rPr>
            </w:pPr>
            <w:r>
              <w:rPr>
                <w:color w:val="auto"/>
              </w:rPr>
              <w:t>声源源强</w:t>
            </w:r>
          </w:p>
        </w:tc>
        <w:tc>
          <w:tcPr>
            <w:tcW w:w="1424" w:type="pct"/>
            <w:vMerge w:val="restart"/>
            <w:tcBorders>
              <w:tl2br w:val="nil"/>
              <w:tr2bl w:val="nil"/>
            </w:tcBorders>
            <w:shd w:val="clear" w:color="auto" w:fill="auto"/>
            <w:vAlign w:val="center"/>
          </w:tcPr>
          <w:p w14:paraId="4B7348FB">
            <w:pPr>
              <w:pStyle w:val="766"/>
              <w:rPr>
                <w:color w:val="auto"/>
              </w:rPr>
            </w:pPr>
            <w:r>
              <w:rPr>
                <w:color w:val="auto"/>
              </w:rPr>
              <w:t>声源控制措施</w:t>
            </w:r>
          </w:p>
        </w:tc>
        <w:tc>
          <w:tcPr>
            <w:tcW w:w="799" w:type="pct"/>
            <w:gridSpan w:val="3"/>
            <w:tcBorders>
              <w:tl2br w:val="nil"/>
              <w:tr2bl w:val="nil"/>
            </w:tcBorders>
            <w:shd w:val="clear" w:color="auto" w:fill="auto"/>
            <w:vAlign w:val="center"/>
          </w:tcPr>
          <w:p w14:paraId="56E94595">
            <w:pPr>
              <w:pStyle w:val="766"/>
              <w:rPr>
                <w:color w:val="auto"/>
              </w:rPr>
            </w:pPr>
            <w:r>
              <w:rPr>
                <w:color w:val="auto"/>
              </w:rPr>
              <w:t>空间相对位置/m</w:t>
            </w:r>
          </w:p>
        </w:tc>
        <w:tc>
          <w:tcPr>
            <w:tcW w:w="542" w:type="pct"/>
            <w:vMerge w:val="restart"/>
            <w:tcBorders>
              <w:tl2br w:val="nil"/>
              <w:tr2bl w:val="nil"/>
            </w:tcBorders>
            <w:shd w:val="clear" w:color="auto" w:fill="auto"/>
            <w:vAlign w:val="center"/>
          </w:tcPr>
          <w:p w14:paraId="34630CA0">
            <w:pPr>
              <w:pStyle w:val="766"/>
              <w:rPr>
                <w:color w:val="auto"/>
              </w:rPr>
            </w:pPr>
            <w:r>
              <w:rPr>
                <w:color w:val="auto"/>
              </w:rPr>
              <w:t>距室内边界距离/m</w:t>
            </w:r>
          </w:p>
        </w:tc>
        <w:tc>
          <w:tcPr>
            <w:tcW w:w="402" w:type="pct"/>
            <w:vMerge w:val="restart"/>
            <w:tcBorders>
              <w:tl2br w:val="nil"/>
              <w:tr2bl w:val="nil"/>
            </w:tcBorders>
            <w:shd w:val="clear" w:color="auto" w:fill="auto"/>
            <w:vAlign w:val="center"/>
          </w:tcPr>
          <w:p w14:paraId="56CD2912">
            <w:pPr>
              <w:pStyle w:val="766"/>
              <w:rPr>
                <w:color w:val="auto"/>
              </w:rPr>
            </w:pPr>
            <w:r>
              <w:rPr>
                <w:color w:val="auto"/>
              </w:rPr>
              <w:t>室内边界</w:t>
            </w:r>
          </w:p>
          <w:p w14:paraId="23825012">
            <w:pPr>
              <w:pStyle w:val="766"/>
              <w:rPr>
                <w:color w:val="auto"/>
              </w:rPr>
            </w:pPr>
            <w:r>
              <w:rPr>
                <w:color w:val="auto"/>
              </w:rPr>
              <w:t>声级</w:t>
            </w:r>
          </w:p>
          <w:p w14:paraId="51ADDD12">
            <w:pPr>
              <w:pStyle w:val="766"/>
              <w:rPr>
                <w:color w:val="auto"/>
              </w:rPr>
            </w:pPr>
            <w:r>
              <w:rPr>
                <w:color w:val="auto"/>
              </w:rPr>
              <w:t>/dB(A)</w:t>
            </w:r>
          </w:p>
        </w:tc>
        <w:tc>
          <w:tcPr>
            <w:tcW w:w="377" w:type="pct"/>
            <w:vMerge w:val="restart"/>
            <w:tcBorders>
              <w:tl2br w:val="nil"/>
              <w:tr2bl w:val="nil"/>
            </w:tcBorders>
            <w:shd w:val="clear" w:color="auto" w:fill="auto"/>
            <w:vAlign w:val="center"/>
          </w:tcPr>
          <w:p w14:paraId="1ABC1FD1">
            <w:pPr>
              <w:pStyle w:val="766"/>
              <w:rPr>
                <w:color w:val="auto"/>
              </w:rPr>
            </w:pPr>
            <w:r>
              <w:rPr>
                <w:color w:val="auto"/>
              </w:rPr>
              <w:t>运行</w:t>
            </w:r>
          </w:p>
          <w:p w14:paraId="174C1218">
            <w:pPr>
              <w:pStyle w:val="766"/>
              <w:rPr>
                <w:color w:val="auto"/>
              </w:rPr>
            </w:pPr>
            <w:r>
              <w:rPr>
                <w:color w:val="auto"/>
              </w:rPr>
              <w:t>时段</w:t>
            </w:r>
          </w:p>
        </w:tc>
      </w:tr>
      <w:tr w14:paraId="1F10D4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168" w:type="pct"/>
            <w:vMerge w:val="continue"/>
            <w:tcBorders>
              <w:tl2br w:val="nil"/>
              <w:tr2bl w:val="nil"/>
            </w:tcBorders>
            <w:shd w:val="clear" w:color="auto" w:fill="auto"/>
            <w:textDirection w:val="tbRlV"/>
            <w:vAlign w:val="center"/>
          </w:tcPr>
          <w:p w14:paraId="50542453">
            <w:pPr>
              <w:pStyle w:val="766"/>
              <w:rPr>
                <w:color w:val="auto"/>
              </w:rPr>
            </w:pPr>
          </w:p>
        </w:tc>
        <w:tc>
          <w:tcPr>
            <w:tcW w:w="416" w:type="pct"/>
            <w:vMerge w:val="continue"/>
            <w:tcBorders>
              <w:tl2br w:val="nil"/>
              <w:tr2bl w:val="nil"/>
            </w:tcBorders>
            <w:shd w:val="clear" w:color="auto" w:fill="auto"/>
            <w:vAlign w:val="center"/>
          </w:tcPr>
          <w:p w14:paraId="7ACB1045">
            <w:pPr>
              <w:pStyle w:val="766"/>
              <w:rPr>
                <w:color w:val="auto"/>
              </w:rPr>
            </w:pPr>
          </w:p>
        </w:tc>
        <w:tc>
          <w:tcPr>
            <w:tcW w:w="298" w:type="pct"/>
            <w:vMerge w:val="continue"/>
            <w:tcBorders>
              <w:tl2br w:val="nil"/>
              <w:tr2bl w:val="nil"/>
            </w:tcBorders>
            <w:shd w:val="clear" w:color="auto" w:fill="auto"/>
            <w:vAlign w:val="center"/>
          </w:tcPr>
          <w:p w14:paraId="7234CB12">
            <w:pPr>
              <w:pStyle w:val="766"/>
              <w:rPr>
                <w:color w:val="auto"/>
              </w:rPr>
            </w:pPr>
          </w:p>
        </w:tc>
        <w:tc>
          <w:tcPr>
            <w:tcW w:w="570" w:type="pct"/>
            <w:tcBorders>
              <w:tl2br w:val="nil"/>
              <w:tr2bl w:val="nil"/>
            </w:tcBorders>
            <w:shd w:val="clear" w:color="auto" w:fill="auto"/>
            <w:vAlign w:val="center"/>
          </w:tcPr>
          <w:p w14:paraId="36A8FE41">
            <w:pPr>
              <w:pStyle w:val="766"/>
              <w:rPr>
                <w:color w:val="auto"/>
              </w:rPr>
            </w:pPr>
            <w:r>
              <w:rPr>
                <w:color w:val="auto"/>
              </w:rPr>
              <w:t>声功率级/dB(A)</w:t>
            </w:r>
          </w:p>
        </w:tc>
        <w:tc>
          <w:tcPr>
            <w:tcW w:w="1424" w:type="pct"/>
            <w:vMerge w:val="continue"/>
            <w:tcBorders>
              <w:tl2br w:val="nil"/>
              <w:tr2bl w:val="nil"/>
            </w:tcBorders>
            <w:shd w:val="clear" w:color="auto" w:fill="auto"/>
            <w:vAlign w:val="center"/>
          </w:tcPr>
          <w:p w14:paraId="53D3063B">
            <w:pPr>
              <w:pStyle w:val="766"/>
              <w:rPr>
                <w:color w:val="auto"/>
              </w:rPr>
            </w:pPr>
          </w:p>
        </w:tc>
        <w:tc>
          <w:tcPr>
            <w:tcW w:w="223" w:type="pct"/>
            <w:tcBorders>
              <w:tl2br w:val="nil"/>
              <w:tr2bl w:val="nil"/>
            </w:tcBorders>
            <w:shd w:val="clear" w:color="auto" w:fill="auto"/>
            <w:vAlign w:val="center"/>
          </w:tcPr>
          <w:p w14:paraId="120FA8BD">
            <w:pPr>
              <w:pStyle w:val="766"/>
              <w:rPr>
                <w:color w:val="auto"/>
              </w:rPr>
            </w:pPr>
            <w:r>
              <w:rPr>
                <w:color w:val="auto"/>
              </w:rPr>
              <w:t>X</w:t>
            </w:r>
          </w:p>
        </w:tc>
        <w:tc>
          <w:tcPr>
            <w:tcW w:w="182" w:type="pct"/>
            <w:tcBorders>
              <w:tl2br w:val="nil"/>
              <w:tr2bl w:val="nil"/>
            </w:tcBorders>
            <w:shd w:val="clear" w:color="auto" w:fill="auto"/>
            <w:vAlign w:val="center"/>
          </w:tcPr>
          <w:p w14:paraId="01DB7845">
            <w:pPr>
              <w:pStyle w:val="766"/>
              <w:rPr>
                <w:color w:val="auto"/>
              </w:rPr>
            </w:pPr>
            <w:r>
              <w:rPr>
                <w:color w:val="auto"/>
              </w:rPr>
              <w:t>Y</w:t>
            </w:r>
          </w:p>
        </w:tc>
        <w:tc>
          <w:tcPr>
            <w:tcW w:w="394" w:type="pct"/>
            <w:tcBorders>
              <w:tl2br w:val="nil"/>
              <w:tr2bl w:val="nil"/>
            </w:tcBorders>
            <w:shd w:val="clear" w:color="auto" w:fill="auto"/>
            <w:vAlign w:val="center"/>
          </w:tcPr>
          <w:p w14:paraId="1D7F7DDC">
            <w:pPr>
              <w:pStyle w:val="766"/>
              <w:rPr>
                <w:color w:val="auto"/>
              </w:rPr>
            </w:pPr>
            <w:r>
              <w:rPr>
                <w:color w:val="auto"/>
              </w:rPr>
              <w:t>Z</w:t>
            </w:r>
          </w:p>
        </w:tc>
        <w:tc>
          <w:tcPr>
            <w:tcW w:w="542" w:type="pct"/>
            <w:vMerge w:val="continue"/>
            <w:tcBorders>
              <w:tl2br w:val="nil"/>
              <w:tr2bl w:val="nil"/>
            </w:tcBorders>
            <w:shd w:val="clear" w:color="auto" w:fill="auto"/>
            <w:vAlign w:val="center"/>
          </w:tcPr>
          <w:p w14:paraId="59BFBDAE">
            <w:pPr>
              <w:pStyle w:val="766"/>
              <w:rPr>
                <w:color w:val="auto"/>
              </w:rPr>
            </w:pPr>
          </w:p>
        </w:tc>
        <w:tc>
          <w:tcPr>
            <w:tcW w:w="402" w:type="pct"/>
            <w:vMerge w:val="continue"/>
            <w:tcBorders>
              <w:tl2br w:val="nil"/>
              <w:tr2bl w:val="nil"/>
            </w:tcBorders>
            <w:shd w:val="clear" w:color="auto" w:fill="auto"/>
            <w:vAlign w:val="center"/>
          </w:tcPr>
          <w:p w14:paraId="54389FBB">
            <w:pPr>
              <w:pStyle w:val="766"/>
              <w:rPr>
                <w:color w:val="auto"/>
              </w:rPr>
            </w:pPr>
          </w:p>
        </w:tc>
        <w:tc>
          <w:tcPr>
            <w:tcW w:w="377" w:type="pct"/>
            <w:vMerge w:val="continue"/>
            <w:tcBorders>
              <w:tl2br w:val="nil"/>
              <w:tr2bl w:val="nil"/>
            </w:tcBorders>
            <w:shd w:val="clear" w:color="auto" w:fill="auto"/>
            <w:vAlign w:val="center"/>
          </w:tcPr>
          <w:p w14:paraId="0A862EFE">
            <w:pPr>
              <w:pStyle w:val="766"/>
              <w:rPr>
                <w:color w:val="auto"/>
              </w:rPr>
            </w:pPr>
          </w:p>
        </w:tc>
      </w:tr>
      <w:tr w14:paraId="47732A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restart"/>
            <w:tcBorders>
              <w:tl2br w:val="nil"/>
              <w:tr2bl w:val="nil"/>
            </w:tcBorders>
            <w:shd w:val="clear" w:color="auto" w:fill="auto"/>
            <w:vAlign w:val="center"/>
          </w:tcPr>
          <w:p w14:paraId="5C509E1D">
            <w:pPr>
              <w:pStyle w:val="766"/>
              <w:rPr>
                <w:color w:val="auto"/>
              </w:rPr>
            </w:pPr>
            <w:r>
              <w:rPr>
                <w:color w:val="auto"/>
              </w:rPr>
              <w:t>1</w:t>
            </w:r>
          </w:p>
        </w:tc>
        <w:tc>
          <w:tcPr>
            <w:tcW w:w="416" w:type="pct"/>
            <w:vMerge w:val="restart"/>
            <w:tcBorders>
              <w:tl2br w:val="nil"/>
              <w:tr2bl w:val="nil"/>
            </w:tcBorders>
            <w:shd w:val="clear" w:color="auto" w:fill="auto"/>
            <w:vAlign w:val="center"/>
          </w:tcPr>
          <w:p w14:paraId="3B6A4889">
            <w:pPr>
              <w:pStyle w:val="766"/>
              <w:rPr>
                <w:color w:val="auto"/>
              </w:rPr>
            </w:pPr>
            <w:r>
              <w:rPr>
                <w:color w:val="auto"/>
              </w:rPr>
              <w:t>鸡舍</w:t>
            </w:r>
          </w:p>
        </w:tc>
        <w:tc>
          <w:tcPr>
            <w:tcW w:w="298" w:type="pct"/>
            <w:vMerge w:val="restart"/>
            <w:tcBorders>
              <w:tl2br w:val="nil"/>
              <w:tr2bl w:val="nil"/>
            </w:tcBorders>
            <w:shd w:val="clear" w:color="auto" w:fill="auto"/>
            <w:vAlign w:val="center"/>
          </w:tcPr>
          <w:p w14:paraId="42F856F1">
            <w:pPr>
              <w:pStyle w:val="766"/>
              <w:rPr>
                <w:color w:val="auto"/>
              </w:rPr>
            </w:pPr>
            <w:r>
              <w:rPr>
                <w:color w:val="auto"/>
              </w:rPr>
              <w:t>鸡舍鸡叫</w:t>
            </w:r>
          </w:p>
        </w:tc>
        <w:tc>
          <w:tcPr>
            <w:tcW w:w="570" w:type="pct"/>
            <w:tcBorders>
              <w:tl2br w:val="nil"/>
              <w:tr2bl w:val="nil"/>
            </w:tcBorders>
            <w:shd w:val="clear" w:color="auto" w:fill="auto"/>
            <w:vAlign w:val="center"/>
          </w:tcPr>
          <w:p w14:paraId="3E9F0D58">
            <w:pPr>
              <w:pStyle w:val="766"/>
              <w:rPr>
                <w:color w:val="auto"/>
              </w:rPr>
            </w:pPr>
            <w:r>
              <w:rPr>
                <w:color w:val="auto"/>
              </w:rPr>
              <w:t>65</w:t>
            </w:r>
          </w:p>
        </w:tc>
        <w:tc>
          <w:tcPr>
            <w:tcW w:w="1424" w:type="pct"/>
            <w:vMerge w:val="restart"/>
            <w:tcBorders>
              <w:tl2br w:val="nil"/>
              <w:tr2bl w:val="nil"/>
            </w:tcBorders>
            <w:shd w:val="clear" w:color="auto" w:fill="auto"/>
            <w:vAlign w:val="center"/>
          </w:tcPr>
          <w:p w14:paraId="7A92A1DB">
            <w:pPr>
              <w:pStyle w:val="766"/>
              <w:rPr>
                <w:color w:val="auto"/>
              </w:rPr>
            </w:pPr>
            <w:r>
              <w:rPr>
                <w:color w:val="auto"/>
              </w:rPr>
              <w:t>喂足饲料和水，避免饥渴几突发性噪声、鸡舍隔声</w:t>
            </w:r>
          </w:p>
        </w:tc>
        <w:tc>
          <w:tcPr>
            <w:tcW w:w="223" w:type="pct"/>
            <w:tcBorders>
              <w:tl2br w:val="nil"/>
              <w:tr2bl w:val="nil"/>
            </w:tcBorders>
            <w:shd w:val="clear" w:color="auto" w:fill="auto"/>
            <w:vAlign w:val="center"/>
          </w:tcPr>
          <w:p w14:paraId="5132926D">
            <w:pPr>
              <w:pStyle w:val="766"/>
              <w:rPr>
                <w:color w:val="auto"/>
              </w:rPr>
            </w:pPr>
            <w:r>
              <w:rPr>
                <w:color w:val="auto"/>
              </w:rPr>
              <w:t>-320</w:t>
            </w:r>
          </w:p>
        </w:tc>
        <w:tc>
          <w:tcPr>
            <w:tcW w:w="182" w:type="pct"/>
            <w:tcBorders>
              <w:tl2br w:val="nil"/>
              <w:tr2bl w:val="nil"/>
            </w:tcBorders>
            <w:shd w:val="clear" w:color="auto" w:fill="auto"/>
            <w:vAlign w:val="center"/>
          </w:tcPr>
          <w:p w14:paraId="7CE0BE54">
            <w:pPr>
              <w:pStyle w:val="766"/>
              <w:rPr>
                <w:color w:val="auto"/>
              </w:rPr>
            </w:pPr>
            <w:r>
              <w:rPr>
                <w:color w:val="auto"/>
              </w:rPr>
              <w:t>410</w:t>
            </w:r>
          </w:p>
        </w:tc>
        <w:tc>
          <w:tcPr>
            <w:tcW w:w="394" w:type="pct"/>
            <w:tcBorders>
              <w:tl2br w:val="nil"/>
              <w:tr2bl w:val="nil"/>
            </w:tcBorders>
            <w:shd w:val="clear" w:color="auto" w:fill="auto"/>
            <w:vAlign w:val="center"/>
          </w:tcPr>
          <w:p w14:paraId="49DFC704">
            <w:pPr>
              <w:pStyle w:val="766"/>
              <w:rPr>
                <w:color w:val="auto"/>
              </w:rPr>
            </w:pPr>
            <w:r>
              <w:rPr>
                <w:color w:val="auto"/>
              </w:rPr>
              <w:t>1135</w:t>
            </w:r>
          </w:p>
        </w:tc>
        <w:tc>
          <w:tcPr>
            <w:tcW w:w="542" w:type="pct"/>
            <w:tcBorders>
              <w:tl2br w:val="nil"/>
              <w:tr2bl w:val="nil"/>
            </w:tcBorders>
            <w:shd w:val="clear" w:color="auto" w:fill="auto"/>
            <w:vAlign w:val="center"/>
          </w:tcPr>
          <w:p w14:paraId="6D2013A8">
            <w:pPr>
              <w:pStyle w:val="766"/>
              <w:rPr>
                <w:color w:val="auto"/>
              </w:rPr>
            </w:pPr>
            <w:r>
              <w:rPr>
                <w:color w:val="auto"/>
              </w:rPr>
              <w:t>3</w:t>
            </w:r>
          </w:p>
        </w:tc>
        <w:tc>
          <w:tcPr>
            <w:tcW w:w="402" w:type="pct"/>
            <w:tcBorders>
              <w:tl2br w:val="nil"/>
              <w:tr2bl w:val="nil"/>
            </w:tcBorders>
            <w:shd w:val="clear" w:color="auto" w:fill="auto"/>
            <w:vAlign w:val="center"/>
          </w:tcPr>
          <w:p w14:paraId="0B4D2E41">
            <w:pPr>
              <w:pStyle w:val="766"/>
              <w:rPr>
                <w:color w:val="auto"/>
              </w:rPr>
            </w:pPr>
            <w:r>
              <w:rPr>
                <w:color w:val="auto"/>
              </w:rPr>
              <w:t>55</w:t>
            </w:r>
          </w:p>
        </w:tc>
        <w:tc>
          <w:tcPr>
            <w:tcW w:w="377" w:type="pct"/>
            <w:tcBorders>
              <w:tl2br w:val="nil"/>
              <w:tr2bl w:val="nil"/>
            </w:tcBorders>
            <w:shd w:val="clear" w:color="auto" w:fill="auto"/>
            <w:vAlign w:val="center"/>
          </w:tcPr>
          <w:p w14:paraId="33580D48">
            <w:pPr>
              <w:pStyle w:val="766"/>
              <w:rPr>
                <w:color w:val="auto"/>
              </w:rPr>
            </w:pPr>
            <w:r>
              <w:rPr>
                <w:color w:val="auto"/>
              </w:rPr>
              <w:t>24小时运行</w:t>
            </w:r>
          </w:p>
        </w:tc>
      </w:tr>
      <w:tr w14:paraId="1A01F4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568A6A9C">
            <w:pPr>
              <w:pStyle w:val="766"/>
              <w:rPr>
                <w:color w:val="auto"/>
              </w:rPr>
            </w:pPr>
          </w:p>
        </w:tc>
        <w:tc>
          <w:tcPr>
            <w:tcW w:w="416" w:type="pct"/>
            <w:vMerge w:val="continue"/>
            <w:tcBorders>
              <w:tl2br w:val="nil"/>
              <w:tr2bl w:val="nil"/>
            </w:tcBorders>
            <w:shd w:val="clear" w:color="auto" w:fill="auto"/>
            <w:vAlign w:val="center"/>
          </w:tcPr>
          <w:p w14:paraId="3ACA1096">
            <w:pPr>
              <w:pStyle w:val="766"/>
              <w:rPr>
                <w:color w:val="auto"/>
              </w:rPr>
            </w:pPr>
          </w:p>
        </w:tc>
        <w:tc>
          <w:tcPr>
            <w:tcW w:w="298" w:type="pct"/>
            <w:vMerge w:val="continue"/>
            <w:tcBorders>
              <w:tl2br w:val="nil"/>
              <w:tr2bl w:val="nil"/>
            </w:tcBorders>
            <w:shd w:val="clear" w:color="auto" w:fill="auto"/>
            <w:vAlign w:val="center"/>
          </w:tcPr>
          <w:p w14:paraId="7D7AC00D">
            <w:pPr>
              <w:pStyle w:val="766"/>
              <w:rPr>
                <w:color w:val="auto"/>
              </w:rPr>
            </w:pPr>
          </w:p>
        </w:tc>
        <w:tc>
          <w:tcPr>
            <w:tcW w:w="570" w:type="pct"/>
            <w:tcBorders>
              <w:tl2br w:val="nil"/>
              <w:tr2bl w:val="nil"/>
            </w:tcBorders>
            <w:shd w:val="clear" w:color="auto" w:fill="auto"/>
            <w:vAlign w:val="center"/>
          </w:tcPr>
          <w:p w14:paraId="2F7C2BBF">
            <w:pPr>
              <w:pStyle w:val="766"/>
              <w:rPr>
                <w:color w:val="auto"/>
              </w:rPr>
            </w:pPr>
            <w:r>
              <w:rPr>
                <w:color w:val="auto"/>
              </w:rPr>
              <w:t>65</w:t>
            </w:r>
          </w:p>
        </w:tc>
        <w:tc>
          <w:tcPr>
            <w:tcW w:w="1424" w:type="pct"/>
            <w:vMerge w:val="continue"/>
            <w:tcBorders>
              <w:tl2br w:val="nil"/>
              <w:tr2bl w:val="nil"/>
            </w:tcBorders>
            <w:shd w:val="clear" w:color="auto" w:fill="auto"/>
            <w:vAlign w:val="center"/>
          </w:tcPr>
          <w:p w14:paraId="1317D95A">
            <w:pPr>
              <w:pStyle w:val="766"/>
              <w:rPr>
                <w:color w:val="auto"/>
              </w:rPr>
            </w:pPr>
          </w:p>
        </w:tc>
        <w:tc>
          <w:tcPr>
            <w:tcW w:w="223" w:type="pct"/>
            <w:tcBorders>
              <w:tl2br w:val="nil"/>
              <w:tr2bl w:val="nil"/>
            </w:tcBorders>
            <w:shd w:val="clear" w:color="auto" w:fill="auto"/>
            <w:vAlign w:val="center"/>
          </w:tcPr>
          <w:p w14:paraId="2CA58EEC">
            <w:pPr>
              <w:pStyle w:val="766"/>
              <w:rPr>
                <w:color w:val="auto"/>
              </w:rPr>
            </w:pPr>
            <w:r>
              <w:rPr>
                <w:color w:val="auto"/>
              </w:rPr>
              <w:t>-293</w:t>
            </w:r>
          </w:p>
        </w:tc>
        <w:tc>
          <w:tcPr>
            <w:tcW w:w="182" w:type="pct"/>
            <w:tcBorders>
              <w:tl2br w:val="nil"/>
              <w:tr2bl w:val="nil"/>
            </w:tcBorders>
            <w:shd w:val="clear" w:color="auto" w:fill="auto"/>
            <w:vAlign w:val="center"/>
          </w:tcPr>
          <w:p w14:paraId="10EFA2E7">
            <w:pPr>
              <w:pStyle w:val="766"/>
              <w:rPr>
                <w:color w:val="auto"/>
              </w:rPr>
            </w:pPr>
            <w:r>
              <w:rPr>
                <w:color w:val="auto"/>
              </w:rPr>
              <w:t>398</w:t>
            </w:r>
          </w:p>
        </w:tc>
        <w:tc>
          <w:tcPr>
            <w:tcW w:w="394" w:type="pct"/>
            <w:tcBorders>
              <w:tl2br w:val="nil"/>
              <w:tr2bl w:val="nil"/>
            </w:tcBorders>
            <w:shd w:val="clear" w:color="auto" w:fill="auto"/>
            <w:vAlign w:val="center"/>
          </w:tcPr>
          <w:p w14:paraId="138DF80D">
            <w:pPr>
              <w:pStyle w:val="766"/>
              <w:rPr>
                <w:color w:val="auto"/>
              </w:rPr>
            </w:pPr>
            <w:r>
              <w:rPr>
                <w:color w:val="auto"/>
              </w:rPr>
              <w:t>1135.28</w:t>
            </w:r>
          </w:p>
        </w:tc>
        <w:tc>
          <w:tcPr>
            <w:tcW w:w="542" w:type="pct"/>
            <w:tcBorders>
              <w:tl2br w:val="nil"/>
              <w:tr2bl w:val="nil"/>
            </w:tcBorders>
            <w:shd w:val="clear" w:color="auto" w:fill="auto"/>
            <w:vAlign w:val="center"/>
          </w:tcPr>
          <w:p w14:paraId="272E27C3">
            <w:pPr>
              <w:pStyle w:val="766"/>
              <w:rPr>
                <w:color w:val="auto"/>
              </w:rPr>
            </w:pPr>
            <w:r>
              <w:rPr>
                <w:color w:val="auto"/>
              </w:rPr>
              <w:t>3</w:t>
            </w:r>
          </w:p>
        </w:tc>
        <w:tc>
          <w:tcPr>
            <w:tcW w:w="402" w:type="pct"/>
            <w:tcBorders>
              <w:tl2br w:val="nil"/>
              <w:tr2bl w:val="nil"/>
            </w:tcBorders>
            <w:shd w:val="clear" w:color="auto" w:fill="auto"/>
            <w:vAlign w:val="center"/>
          </w:tcPr>
          <w:p w14:paraId="1BFED1FB">
            <w:pPr>
              <w:pStyle w:val="766"/>
              <w:rPr>
                <w:color w:val="auto"/>
              </w:rPr>
            </w:pPr>
            <w:r>
              <w:rPr>
                <w:color w:val="auto"/>
              </w:rPr>
              <w:t>55</w:t>
            </w:r>
          </w:p>
        </w:tc>
        <w:tc>
          <w:tcPr>
            <w:tcW w:w="377" w:type="pct"/>
            <w:tcBorders>
              <w:tl2br w:val="nil"/>
              <w:tr2bl w:val="nil"/>
            </w:tcBorders>
            <w:shd w:val="clear" w:color="auto" w:fill="auto"/>
            <w:vAlign w:val="center"/>
          </w:tcPr>
          <w:p w14:paraId="79098BA4">
            <w:pPr>
              <w:pStyle w:val="766"/>
              <w:rPr>
                <w:color w:val="auto"/>
              </w:rPr>
            </w:pPr>
            <w:r>
              <w:rPr>
                <w:color w:val="auto"/>
              </w:rPr>
              <w:t>24小时运行</w:t>
            </w:r>
          </w:p>
        </w:tc>
      </w:tr>
      <w:tr w14:paraId="067D5B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720638C0">
            <w:pPr>
              <w:pStyle w:val="766"/>
              <w:rPr>
                <w:color w:val="auto"/>
              </w:rPr>
            </w:pPr>
          </w:p>
        </w:tc>
        <w:tc>
          <w:tcPr>
            <w:tcW w:w="416" w:type="pct"/>
            <w:vMerge w:val="continue"/>
            <w:tcBorders>
              <w:tl2br w:val="nil"/>
              <w:tr2bl w:val="nil"/>
            </w:tcBorders>
            <w:shd w:val="clear" w:color="auto" w:fill="auto"/>
            <w:vAlign w:val="center"/>
          </w:tcPr>
          <w:p w14:paraId="0714C638">
            <w:pPr>
              <w:pStyle w:val="766"/>
              <w:rPr>
                <w:color w:val="auto"/>
              </w:rPr>
            </w:pPr>
          </w:p>
        </w:tc>
        <w:tc>
          <w:tcPr>
            <w:tcW w:w="298" w:type="pct"/>
            <w:vMerge w:val="continue"/>
            <w:tcBorders>
              <w:tl2br w:val="nil"/>
              <w:tr2bl w:val="nil"/>
            </w:tcBorders>
            <w:shd w:val="clear" w:color="auto" w:fill="auto"/>
            <w:vAlign w:val="center"/>
          </w:tcPr>
          <w:p w14:paraId="6080DB20">
            <w:pPr>
              <w:pStyle w:val="766"/>
              <w:rPr>
                <w:color w:val="auto"/>
              </w:rPr>
            </w:pPr>
          </w:p>
        </w:tc>
        <w:tc>
          <w:tcPr>
            <w:tcW w:w="570" w:type="pct"/>
            <w:tcBorders>
              <w:tl2br w:val="nil"/>
              <w:tr2bl w:val="nil"/>
            </w:tcBorders>
            <w:shd w:val="clear" w:color="auto" w:fill="auto"/>
            <w:vAlign w:val="center"/>
          </w:tcPr>
          <w:p w14:paraId="4BB96572">
            <w:pPr>
              <w:pStyle w:val="766"/>
              <w:rPr>
                <w:color w:val="auto"/>
              </w:rPr>
            </w:pPr>
            <w:r>
              <w:rPr>
                <w:color w:val="auto"/>
              </w:rPr>
              <w:t>65</w:t>
            </w:r>
          </w:p>
        </w:tc>
        <w:tc>
          <w:tcPr>
            <w:tcW w:w="1424" w:type="pct"/>
            <w:vMerge w:val="continue"/>
            <w:tcBorders>
              <w:tl2br w:val="nil"/>
              <w:tr2bl w:val="nil"/>
            </w:tcBorders>
            <w:shd w:val="clear" w:color="auto" w:fill="auto"/>
            <w:vAlign w:val="center"/>
          </w:tcPr>
          <w:p w14:paraId="74AB2622">
            <w:pPr>
              <w:pStyle w:val="766"/>
              <w:rPr>
                <w:color w:val="auto"/>
              </w:rPr>
            </w:pPr>
          </w:p>
        </w:tc>
        <w:tc>
          <w:tcPr>
            <w:tcW w:w="223" w:type="pct"/>
            <w:tcBorders>
              <w:tl2br w:val="nil"/>
              <w:tr2bl w:val="nil"/>
            </w:tcBorders>
            <w:shd w:val="clear" w:color="auto" w:fill="auto"/>
            <w:vAlign w:val="center"/>
          </w:tcPr>
          <w:p w14:paraId="48917635">
            <w:pPr>
              <w:pStyle w:val="766"/>
              <w:rPr>
                <w:color w:val="auto"/>
              </w:rPr>
            </w:pPr>
            <w:r>
              <w:rPr>
                <w:color w:val="auto"/>
              </w:rPr>
              <w:t>-265</w:t>
            </w:r>
          </w:p>
        </w:tc>
        <w:tc>
          <w:tcPr>
            <w:tcW w:w="182" w:type="pct"/>
            <w:tcBorders>
              <w:tl2br w:val="nil"/>
              <w:tr2bl w:val="nil"/>
            </w:tcBorders>
            <w:shd w:val="clear" w:color="auto" w:fill="auto"/>
            <w:vAlign w:val="center"/>
          </w:tcPr>
          <w:p w14:paraId="000C70E3">
            <w:pPr>
              <w:pStyle w:val="766"/>
              <w:rPr>
                <w:color w:val="auto"/>
              </w:rPr>
            </w:pPr>
            <w:r>
              <w:rPr>
                <w:color w:val="auto"/>
              </w:rPr>
              <w:t>381</w:t>
            </w:r>
          </w:p>
        </w:tc>
        <w:tc>
          <w:tcPr>
            <w:tcW w:w="394" w:type="pct"/>
            <w:tcBorders>
              <w:tl2br w:val="nil"/>
              <w:tr2bl w:val="nil"/>
            </w:tcBorders>
            <w:shd w:val="clear" w:color="auto" w:fill="auto"/>
            <w:vAlign w:val="center"/>
          </w:tcPr>
          <w:p w14:paraId="252D3887">
            <w:pPr>
              <w:pStyle w:val="766"/>
              <w:rPr>
                <w:color w:val="auto"/>
              </w:rPr>
            </w:pPr>
            <w:r>
              <w:rPr>
                <w:color w:val="auto"/>
              </w:rPr>
              <w:t>1135.35</w:t>
            </w:r>
          </w:p>
        </w:tc>
        <w:tc>
          <w:tcPr>
            <w:tcW w:w="542" w:type="pct"/>
            <w:tcBorders>
              <w:tl2br w:val="nil"/>
              <w:tr2bl w:val="nil"/>
            </w:tcBorders>
            <w:shd w:val="clear" w:color="auto" w:fill="auto"/>
            <w:vAlign w:val="center"/>
          </w:tcPr>
          <w:p w14:paraId="63C77792">
            <w:pPr>
              <w:pStyle w:val="766"/>
              <w:rPr>
                <w:color w:val="auto"/>
              </w:rPr>
            </w:pPr>
            <w:r>
              <w:rPr>
                <w:color w:val="auto"/>
              </w:rPr>
              <w:t>3</w:t>
            </w:r>
          </w:p>
        </w:tc>
        <w:tc>
          <w:tcPr>
            <w:tcW w:w="402" w:type="pct"/>
            <w:tcBorders>
              <w:tl2br w:val="nil"/>
              <w:tr2bl w:val="nil"/>
            </w:tcBorders>
            <w:shd w:val="clear" w:color="auto" w:fill="auto"/>
            <w:vAlign w:val="center"/>
          </w:tcPr>
          <w:p w14:paraId="4D6A1EE0">
            <w:pPr>
              <w:pStyle w:val="766"/>
              <w:rPr>
                <w:color w:val="auto"/>
              </w:rPr>
            </w:pPr>
            <w:r>
              <w:rPr>
                <w:color w:val="auto"/>
              </w:rPr>
              <w:t>55</w:t>
            </w:r>
          </w:p>
        </w:tc>
        <w:tc>
          <w:tcPr>
            <w:tcW w:w="377" w:type="pct"/>
            <w:tcBorders>
              <w:tl2br w:val="nil"/>
              <w:tr2bl w:val="nil"/>
            </w:tcBorders>
            <w:shd w:val="clear" w:color="auto" w:fill="auto"/>
            <w:vAlign w:val="center"/>
          </w:tcPr>
          <w:p w14:paraId="12DBF65B">
            <w:pPr>
              <w:pStyle w:val="766"/>
              <w:rPr>
                <w:color w:val="auto"/>
              </w:rPr>
            </w:pPr>
            <w:r>
              <w:rPr>
                <w:color w:val="auto"/>
              </w:rPr>
              <w:t>24小时运行</w:t>
            </w:r>
          </w:p>
        </w:tc>
      </w:tr>
      <w:tr w14:paraId="248695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563189C5">
            <w:pPr>
              <w:pStyle w:val="766"/>
              <w:rPr>
                <w:color w:val="auto"/>
              </w:rPr>
            </w:pPr>
          </w:p>
        </w:tc>
        <w:tc>
          <w:tcPr>
            <w:tcW w:w="416" w:type="pct"/>
            <w:vMerge w:val="continue"/>
            <w:tcBorders>
              <w:tl2br w:val="nil"/>
              <w:tr2bl w:val="nil"/>
            </w:tcBorders>
            <w:shd w:val="clear" w:color="auto" w:fill="auto"/>
            <w:vAlign w:val="center"/>
          </w:tcPr>
          <w:p w14:paraId="0245942A">
            <w:pPr>
              <w:pStyle w:val="766"/>
              <w:rPr>
                <w:color w:val="auto"/>
              </w:rPr>
            </w:pPr>
          </w:p>
        </w:tc>
        <w:tc>
          <w:tcPr>
            <w:tcW w:w="298" w:type="pct"/>
            <w:vMerge w:val="continue"/>
            <w:tcBorders>
              <w:tl2br w:val="nil"/>
              <w:tr2bl w:val="nil"/>
            </w:tcBorders>
            <w:shd w:val="clear" w:color="auto" w:fill="auto"/>
            <w:vAlign w:val="center"/>
          </w:tcPr>
          <w:p w14:paraId="02976B67">
            <w:pPr>
              <w:pStyle w:val="766"/>
              <w:rPr>
                <w:color w:val="auto"/>
              </w:rPr>
            </w:pPr>
          </w:p>
        </w:tc>
        <w:tc>
          <w:tcPr>
            <w:tcW w:w="570" w:type="pct"/>
            <w:tcBorders>
              <w:tl2br w:val="nil"/>
              <w:tr2bl w:val="nil"/>
            </w:tcBorders>
            <w:shd w:val="clear" w:color="auto" w:fill="auto"/>
            <w:vAlign w:val="center"/>
          </w:tcPr>
          <w:p w14:paraId="7757142A">
            <w:pPr>
              <w:pStyle w:val="766"/>
              <w:rPr>
                <w:color w:val="auto"/>
              </w:rPr>
            </w:pPr>
            <w:r>
              <w:rPr>
                <w:color w:val="auto"/>
              </w:rPr>
              <w:t>65</w:t>
            </w:r>
          </w:p>
        </w:tc>
        <w:tc>
          <w:tcPr>
            <w:tcW w:w="1424" w:type="pct"/>
            <w:vMerge w:val="continue"/>
            <w:tcBorders>
              <w:tl2br w:val="nil"/>
              <w:tr2bl w:val="nil"/>
            </w:tcBorders>
            <w:shd w:val="clear" w:color="auto" w:fill="auto"/>
            <w:vAlign w:val="center"/>
          </w:tcPr>
          <w:p w14:paraId="393DBE4D">
            <w:pPr>
              <w:pStyle w:val="766"/>
              <w:rPr>
                <w:color w:val="auto"/>
              </w:rPr>
            </w:pPr>
          </w:p>
        </w:tc>
        <w:tc>
          <w:tcPr>
            <w:tcW w:w="223" w:type="pct"/>
            <w:tcBorders>
              <w:tl2br w:val="nil"/>
              <w:tr2bl w:val="nil"/>
            </w:tcBorders>
            <w:shd w:val="clear" w:color="auto" w:fill="auto"/>
            <w:vAlign w:val="center"/>
          </w:tcPr>
          <w:p w14:paraId="15A97B32">
            <w:pPr>
              <w:pStyle w:val="766"/>
              <w:rPr>
                <w:color w:val="auto"/>
              </w:rPr>
            </w:pPr>
            <w:r>
              <w:rPr>
                <w:color w:val="auto"/>
              </w:rPr>
              <w:t>-215</w:t>
            </w:r>
          </w:p>
        </w:tc>
        <w:tc>
          <w:tcPr>
            <w:tcW w:w="182" w:type="pct"/>
            <w:tcBorders>
              <w:tl2br w:val="nil"/>
              <w:tr2bl w:val="nil"/>
            </w:tcBorders>
            <w:shd w:val="clear" w:color="auto" w:fill="auto"/>
            <w:vAlign w:val="center"/>
          </w:tcPr>
          <w:p w14:paraId="321BDA48">
            <w:pPr>
              <w:pStyle w:val="766"/>
              <w:rPr>
                <w:color w:val="auto"/>
              </w:rPr>
            </w:pPr>
            <w:r>
              <w:rPr>
                <w:color w:val="auto"/>
              </w:rPr>
              <w:t>359</w:t>
            </w:r>
          </w:p>
        </w:tc>
        <w:tc>
          <w:tcPr>
            <w:tcW w:w="394" w:type="pct"/>
            <w:tcBorders>
              <w:tl2br w:val="nil"/>
              <w:tr2bl w:val="nil"/>
            </w:tcBorders>
            <w:shd w:val="clear" w:color="auto" w:fill="auto"/>
            <w:vAlign w:val="center"/>
          </w:tcPr>
          <w:p w14:paraId="6A0BFAD5">
            <w:pPr>
              <w:pStyle w:val="766"/>
              <w:rPr>
                <w:color w:val="auto"/>
              </w:rPr>
            </w:pPr>
            <w:r>
              <w:rPr>
                <w:color w:val="auto"/>
              </w:rPr>
              <w:t>1136.02</w:t>
            </w:r>
          </w:p>
        </w:tc>
        <w:tc>
          <w:tcPr>
            <w:tcW w:w="542" w:type="pct"/>
            <w:tcBorders>
              <w:tl2br w:val="nil"/>
              <w:tr2bl w:val="nil"/>
            </w:tcBorders>
            <w:shd w:val="clear" w:color="auto" w:fill="auto"/>
            <w:vAlign w:val="center"/>
          </w:tcPr>
          <w:p w14:paraId="7EAC5E57">
            <w:pPr>
              <w:pStyle w:val="766"/>
              <w:rPr>
                <w:color w:val="auto"/>
              </w:rPr>
            </w:pPr>
            <w:r>
              <w:rPr>
                <w:color w:val="auto"/>
              </w:rPr>
              <w:t>3</w:t>
            </w:r>
          </w:p>
        </w:tc>
        <w:tc>
          <w:tcPr>
            <w:tcW w:w="402" w:type="pct"/>
            <w:tcBorders>
              <w:tl2br w:val="nil"/>
              <w:tr2bl w:val="nil"/>
            </w:tcBorders>
            <w:shd w:val="clear" w:color="auto" w:fill="auto"/>
            <w:vAlign w:val="center"/>
          </w:tcPr>
          <w:p w14:paraId="03E185C6">
            <w:pPr>
              <w:pStyle w:val="766"/>
              <w:rPr>
                <w:color w:val="auto"/>
              </w:rPr>
            </w:pPr>
            <w:r>
              <w:rPr>
                <w:color w:val="auto"/>
              </w:rPr>
              <w:t>55</w:t>
            </w:r>
          </w:p>
        </w:tc>
        <w:tc>
          <w:tcPr>
            <w:tcW w:w="377" w:type="pct"/>
            <w:tcBorders>
              <w:tl2br w:val="nil"/>
              <w:tr2bl w:val="nil"/>
            </w:tcBorders>
            <w:shd w:val="clear" w:color="auto" w:fill="auto"/>
            <w:vAlign w:val="center"/>
          </w:tcPr>
          <w:p w14:paraId="1B6D89D8">
            <w:pPr>
              <w:pStyle w:val="766"/>
              <w:rPr>
                <w:color w:val="auto"/>
              </w:rPr>
            </w:pPr>
            <w:r>
              <w:rPr>
                <w:color w:val="auto"/>
              </w:rPr>
              <w:t>24小时运行</w:t>
            </w:r>
          </w:p>
        </w:tc>
      </w:tr>
      <w:tr w14:paraId="7FFE76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62D1F3EA">
            <w:pPr>
              <w:pStyle w:val="766"/>
              <w:rPr>
                <w:color w:val="auto"/>
              </w:rPr>
            </w:pPr>
          </w:p>
        </w:tc>
        <w:tc>
          <w:tcPr>
            <w:tcW w:w="416" w:type="pct"/>
            <w:vMerge w:val="continue"/>
            <w:tcBorders>
              <w:tl2br w:val="nil"/>
              <w:tr2bl w:val="nil"/>
            </w:tcBorders>
            <w:shd w:val="clear" w:color="auto" w:fill="auto"/>
            <w:vAlign w:val="center"/>
          </w:tcPr>
          <w:p w14:paraId="3EFCEB26">
            <w:pPr>
              <w:pStyle w:val="766"/>
              <w:rPr>
                <w:color w:val="auto"/>
              </w:rPr>
            </w:pPr>
          </w:p>
        </w:tc>
        <w:tc>
          <w:tcPr>
            <w:tcW w:w="298" w:type="pct"/>
            <w:vMerge w:val="continue"/>
            <w:tcBorders>
              <w:tl2br w:val="nil"/>
              <w:tr2bl w:val="nil"/>
            </w:tcBorders>
            <w:shd w:val="clear" w:color="auto" w:fill="auto"/>
            <w:vAlign w:val="center"/>
          </w:tcPr>
          <w:p w14:paraId="60F4E51D">
            <w:pPr>
              <w:pStyle w:val="766"/>
              <w:rPr>
                <w:color w:val="auto"/>
              </w:rPr>
            </w:pPr>
          </w:p>
        </w:tc>
        <w:tc>
          <w:tcPr>
            <w:tcW w:w="570" w:type="pct"/>
            <w:tcBorders>
              <w:tl2br w:val="nil"/>
              <w:tr2bl w:val="nil"/>
            </w:tcBorders>
            <w:shd w:val="clear" w:color="auto" w:fill="auto"/>
            <w:vAlign w:val="center"/>
          </w:tcPr>
          <w:p w14:paraId="366E5C32">
            <w:pPr>
              <w:pStyle w:val="766"/>
              <w:rPr>
                <w:color w:val="auto"/>
              </w:rPr>
            </w:pPr>
            <w:r>
              <w:rPr>
                <w:color w:val="auto"/>
              </w:rPr>
              <w:t>65</w:t>
            </w:r>
          </w:p>
        </w:tc>
        <w:tc>
          <w:tcPr>
            <w:tcW w:w="1424" w:type="pct"/>
            <w:vMerge w:val="continue"/>
            <w:tcBorders>
              <w:tl2br w:val="nil"/>
              <w:tr2bl w:val="nil"/>
            </w:tcBorders>
            <w:shd w:val="clear" w:color="auto" w:fill="auto"/>
            <w:vAlign w:val="center"/>
          </w:tcPr>
          <w:p w14:paraId="20B20F32">
            <w:pPr>
              <w:pStyle w:val="766"/>
              <w:rPr>
                <w:color w:val="auto"/>
              </w:rPr>
            </w:pPr>
          </w:p>
        </w:tc>
        <w:tc>
          <w:tcPr>
            <w:tcW w:w="223" w:type="pct"/>
            <w:tcBorders>
              <w:tl2br w:val="nil"/>
              <w:tr2bl w:val="nil"/>
            </w:tcBorders>
            <w:shd w:val="clear" w:color="auto" w:fill="auto"/>
            <w:vAlign w:val="center"/>
          </w:tcPr>
          <w:p w14:paraId="03B896D3">
            <w:pPr>
              <w:pStyle w:val="766"/>
              <w:rPr>
                <w:color w:val="auto"/>
              </w:rPr>
            </w:pPr>
            <w:r>
              <w:rPr>
                <w:color w:val="auto"/>
              </w:rPr>
              <w:t>-183</w:t>
            </w:r>
          </w:p>
        </w:tc>
        <w:tc>
          <w:tcPr>
            <w:tcW w:w="182" w:type="pct"/>
            <w:tcBorders>
              <w:tl2br w:val="nil"/>
              <w:tr2bl w:val="nil"/>
            </w:tcBorders>
            <w:shd w:val="clear" w:color="auto" w:fill="auto"/>
            <w:vAlign w:val="center"/>
          </w:tcPr>
          <w:p w14:paraId="70E3A2FE">
            <w:pPr>
              <w:pStyle w:val="766"/>
              <w:rPr>
                <w:color w:val="auto"/>
              </w:rPr>
            </w:pPr>
            <w:r>
              <w:rPr>
                <w:color w:val="auto"/>
              </w:rPr>
              <w:t>351</w:t>
            </w:r>
          </w:p>
        </w:tc>
        <w:tc>
          <w:tcPr>
            <w:tcW w:w="394" w:type="pct"/>
            <w:tcBorders>
              <w:tl2br w:val="nil"/>
              <w:tr2bl w:val="nil"/>
            </w:tcBorders>
            <w:shd w:val="clear" w:color="auto" w:fill="auto"/>
            <w:vAlign w:val="center"/>
          </w:tcPr>
          <w:p w14:paraId="04A9C79F">
            <w:pPr>
              <w:pStyle w:val="766"/>
              <w:rPr>
                <w:color w:val="auto"/>
              </w:rPr>
            </w:pPr>
            <w:r>
              <w:rPr>
                <w:color w:val="auto"/>
              </w:rPr>
              <w:t>1136.02</w:t>
            </w:r>
          </w:p>
        </w:tc>
        <w:tc>
          <w:tcPr>
            <w:tcW w:w="542" w:type="pct"/>
            <w:tcBorders>
              <w:tl2br w:val="nil"/>
              <w:tr2bl w:val="nil"/>
            </w:tcBorders>
            <w:shd w:val="clear" w:color="auto" w:fill="auto"/>
            <w:vAlign w:val="center"/>
          </w:tcPr>
          <w:p w14:paraId="417FB715">
            <w:pPr>
              <w:pStyle w:val="766"/>
              <w:rPr>
                <w:color w:val="auto"/>
              </w:rPr>
            </w:pPr>
            <w:r>
              <w:rPr>
                <w:color w:val="auto"/>
              </w:rPr>
              <w:t>3</w:t>
            </w:r>
          </w:p>
        </w:tc>
        <w:tc>
          <w:tcPr>
            <w:tcW w:w="402" w:type="pct"/>
            <w:tcBorders>
              <w:tl2br w:val="nil"/>
              <w:tr2bl w:val="nil"/>
            </w:tcBorders>
            <w:shd w:val="clear" w:color="auto" w:fill="auto"/>
            <w:vAlign w:val="center"/>
          </w:tcPr>
          <w:p w14:paraId="40D41E1B">
            <w:pPr>
              <w:pStyle w:val="766"/>
              <w:rPr>
                <w:color w:val="auto"/>
              </w:rPr>
            </w:pPr>
            <w:r>
              <w:rPr>
                <w:color w:val="auto"/>
              </w:rPr>
              <w:t>55</w:t>
            </w:r>
          </w:p>
        </w:tc>
        <w:tc>
          <w:tcPr>
            <w:tcW w:w="377" w:type="pct"/>
            <w:tcBorders>
              <w:tl2br w:val="nil"/>
              <w:tr2bl w:val="nil"/>
            </w:tcBorders>
            <w:shd w:val="clear" w:color="auto" w:fill="auto"/>
            <w:vAlign w:val="center"/>
          </w:tcPr>
          <w:p w14:paraId="2ECF0510">
            <w:pPr>
              <w:pStyle w:val="766"/>
              <w:rPr>
                <w:color w:val="auto"/>
              </w:rPr>
            </w:pPr>
            <w:r>
              <w:rPr>
                <w:color w:val="auto"/>
              </w:rPr>
              <w:t>24小时运行</w:t>
            </w:r>
          </w:p>
        </w:tc>
      </w:tr>
      <w:tr w14:paraId="312BF9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68D13260">
            <w:pPr>
              <w:pStyle w:val="766"/>
              <w:rPr>
                <w:color w:val="auto"/>
              </w:rPr>
            </w:pPr>
          </w:p>
        </w:tc>
        <w:tc>
          <w:tcPr>
            <w:tcW w:w="416" w:type="pct"/>
            <w:vMerge w:val="continue"/>
            <w:tcBorders>
              <w:tl2br w:val="nil"/>
              <w:tr2bl w:val="nil"/>
            </w:tcBorders>
            <w:shd w:val="clear" w:color="auto" w:fill="auto"/>
            <w:vAlign w:val="center"/>
          </w:tcPr>
          <w:p w14:paraId="52F07B49">
            <w:pPr>
              <w:pStyle w:val="766"/>
              <w:rPr>
                <w:color w:val="auto"/>
              </w:rPr>
            </w:pPr>
          </w:p>
        </w:tc>
        <w:tc>
          <w:tcPr>
            <w:tcW w:w="298" w:type="pct"/>
            <w:vMerge w:val="continue"/>
            <w:tcBorders>
              <w:tl2br w:val="nil"/>
              <w:tr2bl w:val="nil"/>
            </w:tcBorders>
            <w:shd w:val="clear" w:color="auto" w:fill="auto"/>
            <w:vAlign w:val="center"/>
          </w:tcPr>
          <w:p w14:paraId="3D8EEC52">
            <w:pPr>
              <w:pStyle w:val="766"/>
              <w:rPr>
                <w:color w:val="auto"/>
              </w:rPr>
            </w:pPr>
          </w:p>
        </w:tc>
        <w:tc>
          <w:tcPr>
            <w:tcW w:w="570" w:type="pct"/>
            <w:tcBorders>
              <w:tl2br w:val="nil"/>
              <w:tr2bl w:val="nil"/>
            </w:tcBorders>
            <w:shd w:val="clear" w:color="auto" w:fill="auto"/>
            <w:vAlign w:val="center"/>
          </w:tcPr>
          <w:p w14:paraId="04A91685">
            <w:pPr>
              <w:pStyle w:val="766"/>
              <w:rPr>
                <w:color w:val="auto"/>
              </w:rPr>
            </w:pPr>
            <w:r>
              <w:rPr>
                <w:color w:val="auto"/>
              </w:rPr>
              <w:t>65</w:t>
            </w:r>
          </w:p>
        </w:tc>
        <w:tc>
          <w:tcPr>
            <w:tcW w:w="1424" w:type="pct"/>
            <w:vMerge w:val="continue"/>
            <w:tcBorders>
              <w:tl2br w:val="nil"/>
              <w:tr2bl w:val="nil"/>
            </w:tcBorders>
            <w:shd w:val="clear" w:color="auto" w:fill="auto"/>
            <w:vAlign w:val="center"/>
          </w:tcPr>
          <w:p w14:paraId="49AC5AE0">
            <w:pPr>
              <w:pStyle w:val="766"/>
              <w:rPr>
                <w:color w:val="auto"/>
              </w:rPr>
            </w:pPr>
          </w:p>
        </w:tc>
        <w:tc>
          <w:tcPr>
            <w:tcW w:w="223" w:type="pct"/>
            <w:tcBorders>
              <w:tl2br w:val="nil"/>
              <w:tr2bl w:val="nil"/>
            </w:tcBorders>
            <w:shd w:val="clear" w:color="auto" w:fill="auto"/>
            <w:vAlign w:val="center"/>
          </w:tcPr>
          <w:p w14:paraId="54F30886">
            <w:pPr>
              <w:pStyle w:val="766"/>
              <w:rPr>
                <w:color w:val="auto"/>
              </w:rPr>
            </w:pPr>
            <w:r>
              <w:rPr>
                <w:color w:val="auto"/>
              </w:rPr>
              <w:t>-158</w:t>
            </w:r>
          </w:p>
        </w:tc>
        <w:tc>
          <w:tcPr>
            <w:tcW w:w="182" w:type="pct"/>
            <w:tcBorders>
              <w:tl2br w:val="nil"/>
              <w:tr2bl w:val="nil"/>
            </w:tcBorders>
            <w:shd w:val="clear" w:color="auto" w:fill="auto"/>
            <w:vAlign w:val="center"/>
          </w:tcPr>
          <w:p w14:paraId="5D09DC77">
            <w:pPr>
              <w:pStyle w:val="766"/>
              <w:rPr>
                <w:color w:val="auto"/>
              </w:rPr>
            </w:pPr>
            <w:r>
              <w:rPr>
                <w:color w:val="auto"/>
              </w:rPr>
              <w:t>336</w:t>
            </w:r>
          </w:p>
        </w:tc>
        <w:tc>
          <w:tcPr>
            <w:tcW w:w="394" w:type="pct"/>
            <w:tcBorders>
              <w:tl2br w:val="nil"/>
              <w:tr2bl w:val="nil"/>
            </w:tcBorders>
            <w:shd w:val="clear" w:color="auto" w:fill="auto"/>
            <w:vAlign w:val="center"/>
          </w:tcPr>
          <w:p w14:paraId="2E1C9ECE">
            <w:pPr>
              <w:pStyle w:val="766"/>
              <w:rPr>
                <w:color w:val="auto"/>
              </w:rPr>
            </w:pPr>
            <w:r>
              <w:rPr>
                <w:color w:val="auto"/>
              </w:rPr>
              <w:t>1136.45</w:t>
            </w:r>
          </w:p>
        </w:tc>
        <w:tc>
          <w:tcPr>
            <w:tcW w:w="542" w:type="pct"/>
            <w:tcBorders>
              <w:tl2br w:val="nil"/>
              <w:tr2bl w:val="nil"/>
            </w:tcBorders>
            <w:shd w:val="clear" w:color="auto" w:fill="auto"/>
            <w:vAlign w:val="center"/>
          </w:tcPr>
          <w:p w14:paraId="17C6460D">
            <w:pPr>
              <w:pStyle w:val="766"/>
              <w:rPr>
                <w:color w:val="auto"/>
              </w:rPr>
            </w:pPr>
            <w:r>
              <w:rPr>
                <w:color w:val="auto"/>
              </w:rPr>
              <w:t>3</w:t>
            </w:r>
          </w:p>
        </w:tc>
        <w:tc>
          <w:tcPr>
            <w:tcW w:w="402" w:type="pct"/>
            <w:tcBorders>
              <w:tl2br w:val="nil"/>
              <w:tr2bl w:val="nil"/>
            </w:tcBorders>
            <w:shd w:val="clear" w:color="auto" w:fill="auto"/>
            <w:vAlign w:val="center"/>
          </w:tcPr>
          <w:p w14:paraId="2E0EF054">
            <w:pPr>
              <w:pStyle w:val="766"/>
              <w:rPr>
                <w:color w:val="auto"/>
              </w:rPr>
            </w:pPr>
            <w:r>
              <w:rPr>
                <w:color w:val="auto"/>
              </w:rPr>
              <w:t>55</w:t>
            </w:r>
          </w:p>
        </w:tc>
        <w:tc>
          <w:tcPr>
            <w:tcW w:w="377" w:type="pct"/>
            <w:tcBorders>
              <w:tl2br w:val="nil"/>
              <w:tr2bl w:val="nil"/>
            </w:tcBorders>
            <w:shd w:val="clear" w:color="auto" w:fill="auto"/>
            <w:vAlign w:val="center"/>
          </w:tcPr>
          <w:p w14:paraId="5F42CE54">
            <w:pPr>
              <w:pStyle w:val="766"/>
              <w:rPr>
                <w:color w:val="auto"/>
              </w:rPr>
            </w:pPr>
            <w:r>
              <w:rPr>
                <w:color w:val="auto"/>
              </w:rPr>
              <w:t>24小时运行</w:t>
            </w:r>
          </w:p>
        </w:tc>
      </w:tr>
      <w:tr w14:paraId="1BBB51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57B61BA4">
            <w:pPr>
              <w:pStyle w:val="766"/>
              <w:rPr>
                <w:color w:val="auto"/>
              </w:rPr>
            </w:pPr>
          </w:p>
        </w:tc>
        <w:tc>
          <w:tcPr>
            <w:tcW w:w="416" w:type="pct"/>
            <w:vMerge w:val="continue"/>
            <w:tcBorders>
              <w:tl2br w:val="nil"/>
              <w:tr2bl w:val="nil"/>
            </w:tcBorders>
            <w:shd w:val="clear" w:color="auto" w:fill="auto"/>
            <w:vAlign w:val="center"/>
          </w:tcPr>
          <w:p w14:paraId="0F0D5036">
            <w:pPr>
              <w:pStyle w:val="766"/>
              <w:rPr>
                <w:color w:val="auto"/>
              </w:rPr>
            </w:pPr>
          </w:p>
        </w:tc>
        <w:tc>
          <w:tcPr>
            <w:tcW w:w="298" w:type="pct"/>
            <w:vMerge w:val="continue"/>
            <w:tcBorders>
              <w:tl2br w:val="nil"/>
              <w:tr2bl w:val="nil"/>
            </w:tcBorders>
            <w:shd w:val="clear" w:color="auto" w:fill="auto"/>
            <w:vAlign w:val="center"/>
          </w:tcPr>
          <w:p w14:paraId="04CE1874">
            <w:pPr>
              <w:pStyle w:val="766"/>
              <w:rPr>
                <w:color w:val="auto"/>
              </w:rPr>
            </w:pPr>
          </w:p>
        </w:tc>
        <w:tc>
          <w:tcPr>
            <w:tcW w:w="570" w:type="pct"/>
            <w:tcBorders>
              <w:tl2br w:val="nil"/>
              <w:tr2bl w:val="nil"/>
            </w:tcBorders>
            <w:shd w:val="clear" w:color="auto" w:fill="auto"/>
            <w:vAlign w:val="center"/>
          </w:tcPr>
          <w:p w14:paraId="5DFA3DEC">
            <w:pPr>
              <w:pStyle w:val="766"/>
              <w:rPr>
                <w:color w:val="auto"/>
              </w:rPr>
            </w:pPr>
            <w:r>
              <w:rPr>
                <w:color w:val="auto"/>
              </w:rPr>
              <w:t>65</w:t>
            </w:r>
          </w:p>
        </w:tc>
        <w:tc>
          <w:tcPr>
            <w:tcW w:w="1424" w:type="pct"/>
            <w:vMerge w:val="continue"/>
            <w:tcBorders>
              <w:tl2br w:val="nil"/>
              <w:tr2bl w:val="nil"/>
            </w:tcBorders>
            <w:shd w:val="clear" w:color="auto" w:fill="auto"/>
            <w:vAlign w:val="center"/>
          </w:tcPr>
          <w:p w14:paraId="206861E9">
            <w:pPr>
              <w:pStyle w:val="766"/>
              <w:rPr>
                <w:color w:val="auto"/>
              </w:rPr>
            </w:pPr>
          </w:p>
        </w:tc>
        <w:tc>
          <w:tcPr>
            <w:tcW w:w="223" w:type="pct"/>
            <w:tcBorders>
              <w:tl2br w:val="nil"/>
              <w:tr2bl w:val="nil"/>
            </w:tcBorders>
            <w:shd w:val="clear" w:color="auto" w:fill="auto"/>
            <w:vAlign w:val="center"/>
          </w:tcPr>
          <w:p w14:paraId="0D9307E0">
            <w:pPr>
              <w:pStyle w:val="766"/>
              <w:rPr>
                <w:color w:val="auto"/>
              </w:rPr>
            </w:pPr>
            <w:r>
              <w:rPr>
                <w:color w:val="auto"/>
              </w:rPr>
              <w:t>-107</w:t>
            </w:r>
          </w:p>
        </w:tc>
        <w:tc>
          <w:tcPr>
            <w:tcW w:w="182" w:type="pct"/>
            <w:tcBorders>
              <w:tl2br w:val="nil"/>
              <w:tr2bl w:val="nil"/>
            </w:tcBorders>
            <w:shd w:val="clear" w:color="auto" w:fill="auto"/>
            <w:vAlign w:val="center"/>
          </w:tcPr>
          <w:p w14:paraId="38FBCC6D">
            <w:pPr>
              <w:pStyle w:val="766"/>
              <w:rPr>
                <w:color w:val="auto"/>
              </w:rPr>
            </w:pPr>
            <w:r>
              <w:rPr>
                <w:color w:val="auto"/>
              </w:rPr>
              <w:t>313</w:t>
            </w:r>
          </w:p>
        </w:tc>
        <w:tc>
          <w:tcPr>
            <w:tcW w:w="394" w:type="pct"/>
            <w:tcBorders>
              <w:tl2br w:val="nil"/>
              <w:tr2bl w:val="nil"/>
            </w:tcBorders>
            <w:shd w:val="clear" w:color="auto" w:fill="auto"/>
            <w:vAlign w:val="center"/>
          </w:tcPr>
          <w:p w14:paraId="4AD8696C">
            <w:pPr>
              <w:pStyle w:val="766"/>
              <w:rPr>
                <w:color w:val="auto"/>
              </w:rPr>
            </w:pPr>
            <w:r>
              <w:rPr>
                <w:color w:val="auto"/>
              </w:rPr>
              <w:t>1138</w:t>
            </w:r>
          </w:p>
        </w:tc>
        <w:tc>
          <w:tcPr>
            <w:tcW w:w="542" w:type="pct"/>
            <w:tcBorders>
              <w:tl2br w:val="nil"/>
              <w:tr2bl w:val="nil"/>
            </w:tcBorders>
            <w:shd w:val="clear" w:color="auto" w:fill="auto"/>
            <w:vAlign w:val="center"/>
          </w:tcPr>
          <w:p w14:paraId="0B9D3410">
            <w:pPr>
              <w:pStyle w:val="766"/>
              <w:rPr>
                <w:color w:val="auto"/>
              </w:rPr>
            </w:pPr>
            <w:r>
              <w:rPr>
                <w:color w:val="auto"/>
              </w:rPr>
              <w:t>3</w:t>
            </w:r>
          </w:p>
        </w:tc>
        <w:tc>
          <w:tcPr>
            <w:tcW w:w="402" w:type="pct"/>
            <w:tcBorders>
              <w:tl2br w:val="nil"/>
              <w:tr2bl w:val="nil"/>
            </w:tcBorders>
            <w:shd w:val="clear" w:color="auto" w:fill="auto"/>
            <w:vAlign w:val="center"/>
          </w:tcPr>
          <w:p w14:paraId="0D622AAC">
            <w:pPr>
              <w:pStyle w:val="766"/>
              <w:rPr>
                <w:color w:val="auto"/>
              </w:rPr>
            </w:pPr>
            <w:r>
              <w:rPr>
                <w:color w:val="auto"/>
              </w:rPr>
              <w:t>55</w:t>
            </w:r>
          </w:p>
        </w:tc>
        <w:tc>
          <w:tcPr>
            <w:tcW w:w="377" w:type="pct"/>
            <w:tcBorders>
              <w:tl2br w:val="nil"/>
              <w:tr2bl w:val="nil"/>
            </w:tcBorders>
            <w:shd w:val="clear" w:color="auto" w:fill="auto"/>
            <w:vAlign w:val="center"/>
          </w:tcPr>
          <w:p w14:paraId="51DE110D">
            <w:pPr>
              <w:pStyle w:val="766"/>
              <w:rPr>
                <w:color w:val="auto"/>
              </w:rPr>
            </w:pPr>
            <w:r>
              <w:rPr>
                <w:color w:val="auto"/>
              </w:rPr>
              <w:t>24小时运行</w:t>
            </w:r>
          </w:p>
        </w:tc>
      </w:tr>
      <w:tr w14:paraId="105E97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78C6FFC9">
            <w:pPr>
              <w:pStyle w:val="766"/>
              <w:rPr>
                <w:color w:val="auto"/>
              </w:rPr>
            </w:pPr>
          </w:p>
        </w:tc>
        <w:tc>
          <w:tcPr>
            <w:tcW w:w="416" w:type="pct"/>
            <w:vMerge w:val="continue"/>
            <w:tcBorders>
              <w:tl2br w:val="nil"/>
              <w:tr2bl w:val="nil"/>
            </w:tcBorders>
            <w:shd w:val="clear" w:color="auto" w:fill="auto"/>
            <w:vAlign w:val="center"/>
          </w:tcPr>
          <w:p w14:paraId="6CE00121">
            <w:pPr>
              <w:pStyle w:val="766"/>
              <w:rPr>
                <w:color w:val="auto"/>
              </w:rPr>
            </w:pPr>
          </w:p>
        </w:tc>
        <w:tc>
          <w:tcPr>
            <w:tcW w:w="298" w:type="pct"/>
            <w:vMerge w:val="continue"/>
            <w:tcBorders>
              <w:tl2br w:val="nil"/>
              <w:tr2bl w:val="nil"/>
            </w:tcBorders>
            <w:shd w:val="clear" w:color="auto" w:fill="auto"/>
            <w:vAlign w:val="center"/>
          </w:tcPr>
          <w:p w14:paraId="37D9088A">
            <w:pPr>
              <w:pStyle w:val="766"/>
              <w:rPr>
                <w:color w:val="auto"/>
              </w:rPr>
            </w:pPr>
          </w:p>
        </w:tc>
        <w:tc>
          <w:tcPr>
            <w:tcW w:w="570" w:type="pct"/>
            <w:tcBorders>
              <w:tl2br w:val="nil"/>
              <w:tr2bl w:val="nil"/>
            </w:tcBorders>
            <w:shd w:val="clear" w:color="auto" w:fill="auto"/>
            <w:vAlign w:val="center"/>
          </w:tcPr>
          <w:p w14:paraId="02B273FD">
            <w:pPr>
              <w:pStyle w:val="766"/>
              <w:rPr>
                <w:color w:val="auto"/>
              </w:rPr>
            </w:pPr>
            <w:r>
              <w:rPr>
                <w:color w:val="auto"/>
              </w:rPr>
              <w:t>65</w:t>
            </w:r>
          </w:p>
        </w:tc>
        <w:tc>
          <w:tcPr>
            <w:tcW w:w="1424" w:type="pct"/>
            <w:vMerge w:val="continue"/>
            <w:tcBorders>
              <w:tl2br w:val="nil"/>
              <w:tr2bl w:val="nil"/>
            </w:tcBorders>
            <w:shd w:val="clear" w:color="auto" w:fill="auto"/>
            <w:vAlign w:val="center"/>
          </w:tcPr>
          <w:p w14:paraId="04775BCB">
            <w:pPr>
              <w:pStyle w:val="766"/>
              <w:rPr>
                <w:color w:val="auto"/>
              </w:rPr>
            </w:pPr>
          </w:p>
        </w:tc>
        <w:tc>
          <w:tcPr>
            <w:tcW w:w="223" w:type="pct"/>
            <w:tcBorders>
              <w:tl2br w:val="nil"/>
              <w:tr2bl w:val="nil"/>
            </w:tcBorders>
            <w:shd w:val="clear" w:color="auto" w:fill="auto"/>
            <w:vAlign w:val="center"/>
          </w:tcPr>
          <w:p w14:paraId="1750568C">
            <w:pPr>
              <w:pStyle w:val="766"/>
              <w:rPr>
                <w:color w:val="auto"/>
              </w:rPr>
            </w:pPr>
            <w:r>
              <w:rPr>
                <w:color w:val="auto"/>
              </w:rPr>
              <w:t>-81</w:t>
            </w:r>
          </w:p>
        </w:tc>
        <w:tc>
          <w:tcPr>
            <w:tcW w:w="182" w:type="pct"/>
            <w:tcBorders>
              <w:tl2br w:val="nil"/>
              <w:tr2bl w:val="nil"/>
            </w:tcBorders>
            <w:shd w:val="clear" w:color="auto" w:fill="auto"/>
            <w:vAlign w:val="center"/>
          </w:tcPr>
          <w:p w14:paraId="18A7E36B">
            <w:pPr>
              <w:pStyle w:val="766"/>
              <w:rPr>
                <w:color w:val="auto"/>
              </w:rPr>
            </w:pPr>
            <w:r>
              <w:rPr>
                <w:color w:val="auto"/>
              </w:rPr>
              <w:t>297</w:t>
            </w:r>
          </w:p>
        </w:tc>
        <w:tc>
          <w:tcPr>
            <w:tcW w:w="394" w:type="pct"/>
            <w:tcBorders>
              <w:tl2br w:val="nil"/>
              <w:tr2bl w:val="nil"/>
            </w:tcBorders>
            <w:shd w:val="clear" w:color="auto" w:fill="auto"/>
            <w:vAlign w:val="center"/>
          </w:tcPr>
          <w:p w14:paraId="36D8A1B3">
            <w:pPr>
              <w:pStyle w:val="766"/>
              <w:rPr>
                <w:color w:val="auto"/>
              </w:rPr>
            </w:pPr>
            <w:r>
              <w:rPr>
                <w:color w:val="auto"/>
              </w:rPr>
              <w:t>1138.26</w:t>
            </w:r>
          </w:p>
        </w:tc>
        <w:tc>
          <w:tcPr>
            <w:tcW w:w="542" w:type="pct"/>
            <w:tcBorders>
              <w:tl2br w:val="nil"/>
              <w:tr2bl w:val="nil"/>
            </w:tcBorders>
            <w:shd w:val="clear" w:color="auto" w:fill="auto"/>
            <w:vAlign w:val="center"/>
          </w:tcPr>
          <w:p w14:paraId="2744B839">
            <w:pPr>
              <w:pStyle w:val="766"/>
              <w:rPr>
                <w:color w:val="auto"/>
              </w:rPr>
            </w:pPr>
            <w:r>
              <w:rPr>
                <w:color w:val="auto"/>
              </w:rPr>
              <w:t>3</w:t>
            </w:r>
          </w:p>
        </w:tc>
        <w:tc>
          <w:tcPr>
            <w:tcW w:w="402" w:type="pct"/>
            <w:tcBorders>
              <w:tl2br w:val="nil"/>
              <w:tr2bl w:val="nil"/>
            </w:tcBorders>
            <w:shd w:val="clear" w:color="auto" w:fill="auto"/>
            <w:vAlign w:val="center"/>
          </w:tcPr>
          <w:p w14:paraId="5B543F00">
            <w:pPr>
              <w:pStyle w:val="766"/>
              <w:rPr>
                <w:color w:val="auto"/>
              </w:rPr>
            </w:pPr>
            <w:r>
              <w:rPr>
                <w:color w:val="auto"/>
              </w:rPr>
              <w:t>55</w:t>
            </w:r>
          </w:p>
        </w:tc>
        <w:tc>
          <w:tcPr>
            <w:tcW w:w="377" w:type="pct"/>
            <w:tcBorders>
              <w:tl2br w:val="nil"/>
              <w:tr2bl w:val="nil"/>
            </w:tcBorders>
            <w:shd w:val="clear" w:color="auto" w:fill="auto"/>
            <w:vAlign w:val="center"/>
          </w:tcPr>
          <w:p w14:paraId="0B735833">
            <w:pPr>
              <w:pStyle w:val="766"/>
              <w:rPr>
                <w:color w:val="auto"/>
              </w:rPr>
            </w:pPr>
            <w:r>
              <w:rPr>
                <w:color w:val="auto"/>
              </w:rPr>
              <w:t>24小时运行</w:t>
            </w:r>
          </w:p>
        </w:tc>
      </w:tr>
      <w:tr w14:paraId="39324D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7446A54A">
            <w:pPr>
              <w:pStyle w:val="766"/>
              <w:rPr>
                <w:color w:val="auto"/>
              </w:rPr>
            </w:pPr>
          </w:p>
        </w:tc>
        <w:tc>
          <w:tcPr>
            <w:tcW w:w="416" w:type="pct"/>
            <w:vMerge w:val="continue"/>
            <w:tcBorders>
              <w:tl2br w:val="nil"/>
              <w:tr2bl w:val="nil"/>
            </w:tcBorders>
            <w:shd w:val="clear" w:color="auto" w:fill="auto"/>
            <w:vAlign w:val="center"/>
          </w:tcPr>
          <w:p w14:paraId="17171346">
            <w:pPr>
              <w:pStyle w:val="766"/>
              <w:rPr>
                <w:color w:val="auto"/>
              </w:rPr>
            </w:pPr>
          </w:p>
        </w:tc>
        <w:tc>
          <w:tcPr>
            <w:tcW w:w="298" w:type="pct"/>
            <w:vMerge w:val="continue"/>
            <w:tcBorders>
              <w:tl2br w:val="nil"/>
              <w:tr2bl w:val="nil"/>
            </w:tcBorders>
            <w:shd w:val="clear" w:color="auto" w:fill="auto"/>
            <w:vAlign w:val="center"/>
          </w:tcPr>
          <w:p w14:paraId="422E04BC">
            <w:pPr>
              <w:pStyle w:val="766"/>
              <w:rPr>
                <w:color w:val="auto"/>
              </w:rPr>
            </w:pPr>
          </w:p>
        </w:tc>
        <w:tc>
          <w:tcPr>
            <w:tcW w:w="570" w:type="pct"/>
            <w:tcBorders>
              <w:tl2br w:val="nil"/>
              <w:tr2bl w:val="nil"/>
            </w:tcBorders>
            <w:shd w:val="clear" w:color="auto" w:fill="auto"/>
            <w:vAlign w:val="center"/>
          </w:tcPr>
          <w:p w14:paraId="4A2BC74F">
            <w:pPr>
              <w:pStyle w:val="766"/>
              <w:rPr>
                <w:color w:val="auto"/>
              </w:rPr>
            </w:pPr>
            <w:r>
              <w:rPr>
                <w:color w:val="auto"/>
              </w:rPr>
              <w:t>65</w:t>
            </w:r>
          </w:p>
        </w:tc>
        <w:tc>
          <w:tcPr>
            <w:tcW w:w="1424" w:type="pct"/>
            <w:vMerge w:val="continue"/>
            <w:tcBorders>
              <w:tl2br w:val="nil"/>
              <w:tr2bl w:val="nil"/>
            </w:tcBorders>
            <w:shd w:val="clear" w:color="auto" w:fill="auto"/>
            <w:vAlign w:val="center"/>
          </w:tcPr>
          <w:p w14:paraId="79380D11">
            <w:pPr>
              <w:pStyle w:val="766"/>
              <w:rPr>
                <w:color w:val="auto"/>
              </w:rPr>
            </w:pPr>
          </w:p>
        </w:tc>
        <w:tc>
          <w:tcPr>
            <w:tcW w:w="223" w:type="pct"/>
            <w:tcBorders>
              <w:tl2br w:val="nil"/>
              <w:tr2bl w:val="nil"/>
            </w:tcBorders>
            <w:shd w:val="clear" w:color="auto" w:fill="auto"/>
            <w:vAlign w:val="center"/>
          </w:tcPr>
          <w:p w14:paraId="343BE0C6">
            <w:pPr>
              <w:pStyle w:val="766"/>
              <w:rPr>
                <w:color w:val="auto"/>
              </w:rPr>
            </w:pPr>
            <w:r>
              <w:rPr>
                <w:color w:val="auto"/>
              </w:rPr>
              <w:t>-53</w:t>
            </w:r>
          </w:p>
        </w:tc>
        <w:tc>
          <w:tcPr>
            <w:tcW w:w="182" w:type="pct"/>
            <w:tcBorders>
              <w:tl2br w:val="nil"/>
              <w:tr2bl w:val="nil"/>
            </w:tcBorders>
            <w:shd w:val="clear" w:color="auto" w:fill="auto"/>
            <w:vAlign w:val="center"/>
          </w:tcPr>
          <w:p w14:paraId="212FC21B">
            <w:pPr>
              <w:pStyle w:val="766"/>
              <w:rPr>
                <w:color w:val="auto"/>
              </w:rPr>
            </w:pPr>
            <w:r>
              <w:rPr>
                <w:color w:val="auto"/>
              </w:rPr>
              <w:t>285</w:t>
            </w:r>
          </w:p>
        </w:tc>
        <w:tc>
          <w:tcPr>
            <w:tcW w:w="394" w:type="pct"/>
            <w:tcBorders>
              <w:tl2br w:val="nil"/>
              <w:tr2bl w:val="nil"/>
            </w:tcBorders>
            <w:shd w:val="clear" w:color="auto" w:fill="auto"/>
            <w:vAlign w:val="center"/>
          </w:tcPr>
          <w:p w14:paraId="7D4667EE">
            <w:pPr>
              <w:pStyle w:val="766"/>
              <w:rPr>
                <w:color w:val="auto"/>
              </w:rPr>
            </w:pPr>
            <w:r>
              <w:rPr>
                <w:color w:val="auto"/>
              </w:rPr>
              <w:t>1138.61</w:t>
            </w:r>
          </w:p>
        </w:tc>
        <w:tc>
          <w:tcPr>
            <w:tcW w:w="542" w:type="pct"/>
            <w:tcBorders>
              <w:tl2br w:val="nil"/>
              <w:tr2bl w:val="nil"/>
            </w:tcBorders>
            <w:shd w:val="clear" w:color="auto" w:fill="auto"/>
            <w:vAlign w:val="center"/>
          </w:tcPr>
          <w:p w14:paraId="6253BA58">
            <w:pPr>
              <w:pStyle w:val="766"/>
              <w:rPr>
                <w:color w:val="auto"/>
              </w:rPr>
            </w:pPr>
            <w:r>
              <w:rPr>
                <w:color w:val="auto"/>
              </w:rPr>
              <w:t>3</w:t>
            </w:r>
          </w:p>
        </w:tc>
        <w:tc>
          <w:tcPr>
            <w:tcW w:w="402" w:type="pct"/>
            <w:tcBorders>
              <w:tl2br w:val="nil"/>
              <w:tr2bl w:val="nil"/>
            </w:tcBorders>
            <w:shd w:val="clear" w:color="auto" w:fill="auto"/>
            <w:vAlign w:val="center"/>
          </w:tcPr>
          <w:p w14:paraId="0B63D585">
            <w:pPr>
              <w:pStyle w:val="766"/>
              <w:rPr>
                <w:color w:val="auto"/>
              </w:rPr>
            </w:pPr>
            <w:r>
              <w:rPr>
                <w:color w:val="auto"/>
              </w:rPr>
              <w:t>55</w:t>
            </w:r>
          </w:p>
        </w:tc>
        <w:tc>
          <w:tcPr>
            <w:tcW w:w="377" w:type="pct"/>
            <w:tcBorders>
              <w:tl2br w:val="nil"/>
              <w:tr2bl w:val="nil"/>
            </w:tcBorders>
            <w:shd w:val="clear" w:color="auto" w:fill="auto"/>
            <w:vAlign w:val="center"/>
          </w:tcPr>
          <w:p w14:paraId="04AB90C8">
            <w:pPr>
              <w:pStyle w:val="766"/>
              <w:rPr>
                <w:color w:val="auto"/>
              </w:rPr>
            </w:pPr>
            <w:r>
              <w:rPr>
                <w:color w:val="auto"/>
              </w:rPr>
              <w:t>24小时运行</w:t>
            </w:r>
          </w:p>
        </w:tc>
      </w:tr>
      <w:tr w14:paraId="20C7F1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19DA37FF">
            <w:pPr>
              <w:pStyle w:val="766"/>
              <w:rPr>
                <w:color w:val="auto"/>
              </w:rPr>
            </w:pPr>
          </w:p>
        </w:tc>
        <w:tc>
          <w:tcPr>
            <w:tcW w:w="416" w:type="pct"/>
            <w:vMerge w:val="continue"/>
            <w:tcBorders>
              <w:tl2br w:val="nil"/>
              <w:tr2bl w:val="nil"/>
            </w:tcBorders>
            <w:shd w:val="clear" w:color="auto" w:fill="auto"/>
            <w:vAlign w:val="center"/>
          </w:tcPr>
          <w:p w14:paraId="762136AE">
            <w:pPr>
              <w:pStyle w:val="766"/>
              <w:rPr>
                <w:color w:val="auto"/>
              </w:rPr>
            </w:pPr>
          </w:p>
        </w:tc>
        <w:tc>
          <w:tcPr>
            <w:tcW w:w="298" w:type="pct"/>
            <w:vMerge w:val="continue"/>
            <w:tcBorders>
              <w:tl2br w:val="nil"/>
              <w:tr2bl w:val="nil"/>
            </w:tcBorders>
            <w:shd w:val="clear" w:color="auto" w:fill="auto"/>
            <w:vAlign w:val="center"/>
          </w:tcPr>
          <w:p w14:paraId="00286C07">
            <w:pPr>
              <w:pStyle w:val="766"/>
              <w:rPr>
                <w:color w:val="auto"/>
              </w:rPr>
            </w:pPr>
          </w:p>
        </w:tc>
        <w:tc>
          <w:tcPr>
            <w:tcW w:w="570" w:type="pct"/>
            <w:tcBorders>
              <w:tl2br w:val="nil"/>
              <w:tr2bl w:val="nil"/>
            </w:tcBorders>
            <w:shd w:val="clear" w:color="auto" w:fill="auto"/>
            <w:vAlign w:val="center"/>
          </w:tcPr>
          <w:p w14:paraId="03FB350A">
            <w:pPr>
              <w:pStyle w:val="766"/>
              <w:rPr>
                <w:color w:val="auto"/>
              </w:rPr>
            </w:pPr>
            <w:r>
              <w:rPr>
                <w:color w:val="auto"/>
              </w:rPr>
              <w:t>65</w:t>
            </w:r>
          </w:p>
        </w:tc>
        <w:tc>
          <w:tcPr>
            <w:tcW w:w="1424" w:type="pct"/>
            <w:vMerge w:val="continue"/>
            <w:tcBorders>
              <w:tl2br w:val="nil"/>
              <w:tr2bl w:val="nil"/>
            </w:tcBorders>
            <w:shd w:val="clear" w:color="auto" w:fill="auto"/>
            <w:vAlign w:val="center"/>
          </w:tcPr>
          <w:p w14:paraId="0C4B2FD1">
            <w:pPr>
              <w:pStyle w:val="766"/>
              <w:rPr>
                <w:color w:val="auto"/>
              </w:rPr>
            </w:pPr>
          </w:p>
        </w:tc>
        <w:tc>
          <w:tcPr>
            <w:tcW w:w="223" w:type="pct"/>
            <w:tcBorders>
              <w:tl2br w:val="nil"/>
              <w:tr2bl w:val="nil"/>
            </w:tcBorders>
            <w:shd w:val="clear" w:color="auto" w:fill="auto"/>
            <w:vAlign w:val="center"/>
          </w:tcPr>
          <w:p w14:paraId="625856A8">
            <w:pPr>
              <w:pStyle w:val="766"/>
              <w:rPr>
                <w:color w:val="auto"/>
              </w:rPr>
            </w:pPr>
            <w:r>
              <w:rPr>
                <w:color w:val="auto"/>
              </w:rPr>
              <w:t>10</w:t>
            </w:r>
          </w:p>
        </w:tc>
        <w:tc>
          <w:tcPr>
            <w:tcW w:w="182" w:type="pct"/>
            <w:tcBorders>
              <w:tl2br w:val="nil"/>
              <w:tr2bl w:val="nil"/>
            </w:tcBorders>
            <w:shd w:val="clear" w:color="auto" w:fill="auto"/>
            <w:vAlign w:val="center"/>
          </w:tcPr>
          <w:p w14:paraId="59C9D154">
            <w:pPr>
              <w:pStyle w:val="766"/>
              <w:rPr>
                <w:color w:val="auto"/>
              </w:rPr>
            </w:pPr>
            <w:r>
              <w:rPr>
                <w:color w:val="auto"/>
              </w:rPr>
              <w:t>253</w:t>
            </w:r>
          </w:p>
        </w:tc>
        <w:tc>
          <w:tcPr>
            <w:tcW w:w="394" w:type="pct"/>
            <w:tcBorders>
              <w:tl2br w:val="nil"/>
              <w:tr2bl w:val="nil"/>
            </w:tcBorders>
            <w:shd w:val="clear" w:color="auto" w:fill="auto"/>
            <w:vAlign w:val="center"/>
          </w:tcPr>
          <w:p w14:paraId="60983E97">
            <w:pPr>
              <w:pStyle w:val="766"/>
              <w:rPr>
                <w:color w:val="auto"/>
              </w:rPr>
            </w:pPr>
            <w:r>
              <w:rPr>
                <w:color w:val="auto"/>
              </w:rPr>
              <w:t>1139.84</w:t>
            </w:r>
          </w:p>
        </w:tc>
        <w:tc>
          <w:tcPr>
            <w:tcW w:w="542" w:type="pct"/>
            <w:tcBorders>
              <w:tl2br w:val="nil"/>
              <w:tr2bl w:val="nil"/>
            </w:tcBorders>
            <w:shd w:val="clear" w:color="auto" w:fill="auto"/>
            <w:vAlign w:val="center"/>
          </w:tcPr>
          <w:p w14:paraId="4B749955">
            <w:pPr>
              <w:pStyle w:val="766"/>
              <w:rPr>
                <w:color w:val="auto"/>
              </w:rPr>
            </w:pPr>
            <w:r>
              <w:rPr>
                <w:color w:val="auto"/>
              </w:rPr>
              <w:t>3</w:t>
            </w:r>
          </w:p>
        </w:tc>
        <w:tc>
          <w:tcPr>
            <w:tcW w:w="402" w:type="pct"/>
            <w:tcBorders>
              <w:tl2br w:val="nil"/>
              <w:tr2bl w:val="nil"/>
            </w:tcBorders>
            <w:shd w:val="clear" w:color="auto" w:fill="auto"/>
            <w:vAlign w:val="center"/>
          </w:tcPr>
          <w:p w14:paraId="683FEA90">
            <w:pPr>
              <w:pStyle w:val="766"/>
              <w:rPr>
                <w:color w:val="auto"/>
              </w:rPr>
            </w:pPr>
            <w:r>
              <w:rPr>
                <w:color w:val="auto"/>
              </w:rPr>
              <w:t>55</w:t>
            </w:r>
          </w:p>
        </w:tc>
        <w:tc>
          <w:tcPr>
            <w:tcW w:w="377" w:type="pct"/>
            <w:tcBorders>
              <w:tl2br w:val="nil"/>
              <w:tr2bl w:val="nil"/>
            </w:tcBorders>
            <w:shd w:val="clear" w:color="auto" w:fill="auto"/>
            <w:vAlign w:val="center"/>
          </w:tcPr>
          <w:p w14:paraId="6790397B">
            <w:pPr>
              <w:pStyle w:val="766"/>
              <w:rPr>
                <w:color w:val="auto"/>
              </w:rPr>
            </w:pPr>
            <w:r>
              <w:rPr>
                <w:color w:val="auto"/>
              </w:rPr>
              <w:t>24小时运行</w:t>
            </w:r>
          </w:p>
        </w:tc>
      </w:tr>
      <w:tr w14:paraId="414381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021C067F">
            <w:pPr>
              <w:pStyle w:val="766"/>
              <w:rPr>
                <w:color w:val="auto"/>
              </w:rPr>
            </w:pPr>
          </w:p>
        </w:tc>
        <w:tc>
          <w:tcPr>
            <w:tcW w:w="416" w:type="pct"/>
            <w:vMerge w:val="continue"/>
            <w:tcBorders>
              <w:tl2br w:val="nil"/>
              <w:tr2bl w:val="nil"/>
            </w:tcBorders>
            <w:shd w:val="clear" w:color="auto" w:fill="auto"/>
            <w:vAlign w:val="center"/>
          </w:tcPr>
          <w:p w14:paraId="17240498">
            <w:pPr>
              <w:pStyle w:val="766"/>
              <w:rPr>
                <w:color w:val="auto"/>
              </w:rPr>
            </w:pPr>
          </w:p>
        </w:tc>
        <w:tc>
          <w:tcPr>
            <w:tcW w:w="298" w:type="pct"/>
            <w:vMerge w:val="continue"/>
            <w:tcBorders>
              <w:tl2br w:val="nil"/>
              <w:tr2bl w:val="nil"/>
            </w:tcBorders>
            <w:shd w:val="clear" w:color="auto" w:fill="auto"/>
            <w:vAlign w:val="center"/>
          </w:tcPr>
          <w:p w14:paraId="2770D454">
            <w:pPr>
              <w:pStyle w:val="766"/>
              <w:rPr>
                <w:color w:val="auto"/>
              </w:rPr>
            </w:pPr>
          </w:p>
        </w:tc>
        <w:tc>
          <w:tcPr>
            <w:tcW w:w="570" w:type="pct"/>
            <w:tcBorders>
              <w:tl2br w:val="nil"/>
              <w:tr2bl w:val="nil"/>
            </w:tcBorders>
            <w:shd w:val="clear" w:color="auto" w:fill="auto"/>
            <w:vAlign w:val="center"/>
          </w:tcPr>
          <w:p w14:paraId="30251BC2">
            <w:pPr>
              <w:pStyle w:val="766"/>
              <w:rPr>
                <w:color w:val="auto"/>
              </w:rPr>
            </w:pPr>
            <w:r>
              <w:rPr>
                <w:color w:val="auto"/>
              </w:rPr>
              <w:t>65</w:t>
            </w:r>
          </w:p>
        </w:tc>
        <w:tc>
          <w:tcPr>
            <w:tcW w:w="1424" w:type="pct"/>
            <w:vMerge w:val="continue"/>
            <w:tcBorders>
              <w:tl2br w:val="nil"/>
              <w:tr2bl w:val="nil"/>
            </w:tcBorders>
            <w:shd w:val="clear" w:color="auto" w:fill="auto"/>
            <w:vAlign w:val="center"/>
          </w:tcPr>
          <w:p w14:paraId="0B48F85F">
            <w:pPr>
              <w:pStyle w:val="766"/>
              <w:rPr>
                <w:color w:val="auto"/>
              </w:rPr>
            </w:pPr>
          </w:p>
        </w:tc>
        <w:tc>
          <w:tcPr>
            <w:tcW w:w="223" w:type="pct"/>
            <w:tcBorders>
              <w:tl2br w:val="nil"/>
              <w:tr2bl w:val="nil"/>
            </w:tcBorders>
            <w:shd w:val="clear" w:color="auto" w:fill="auto"/>
            <w:vAlign w:val="center"/>
          </w:tcPr>
          <w:p w14:paraId="0046A1B2">
            <w:pPr>
              <w:pStyle w:val="766"/>
              <w:rPr>
                <w:color w:val="auto"/>
              </w:rPr>
            </w:pPr>
            <w:r>
              <w:rPr>
                <w:color w:val="auto"/>
              </w:rPr>
              <w:t>36</w:t>
            </w:r>
          </w:p>
        </w:tc>
        <w:tc>
          <w:tcPr>
            <w:tcW w:w="182" w:type="pct"/>
            <w:tcBorders>
              <w:tl2br w:val="nil"/>
              <w:tr2bl w:val="nil"/>
            </w:tcBorders>
            <w:shd w:val="clear" w:color="auto" w:fill="auto"/>
            <w:vAlign w:val="center"/>
          </w:tcPr>
          <w:p w14:paraId="64C222A4">
            <w:pPr>
              <w:pStyle w:val="766"/>
              <w:rPr>
                <w:color w:val="auto"/>
              </w:rPr>
            </w:pPr>
            <w:r>
              <w:rPr>
                <w:color w:val="auto"/>
              </w:rPr>
              <w:t>238</w:t>
            </w:r>
          </w:p>
        </w:tc>
        <w:tc>
          <w:tcPr>
            <w:tcW w:w="394" w:type="pct"/>
            <w:tcBorders>
              <w:tl2br w:val="nil"/>
              <w:tr2bl w:val="nil"/>
            </w:tcBorders>
            <w:shd w:val="clear" w:color="auto" w:fill="auto"/>
            <w:vAlign w:val="center"/>
          </w:tcPr>
          <w:p w14:paraId="085C3A60">
            <w:pPr>
              <w:pStyle w:val="766"/>
              <w:rPr>
                <w:color w:val="auto"/>
              </w:rPr>
            </w:pPr>
            <w:r>
              <w:rPr>
                <w:color w:val="auto"/>
              </w:rPr>
              <w:t>1141.01</w:t>
            </w:r>
          </w:p>
        </w:tc>
        <w:tc>
          <w:tcPr>
            <w:tcW w:w="542" w:type="pct"/>
            <w:tcBorders>
              <w:tl2br w:val="nil"/>
              <w:tr2bl w:val="nil"/>
            </w:tcBorders>
            <w:shd w:val="clear" w:color="auto" w:fill="auto"/>
            <w:vAlign w:val="center"/>
          </w:tcPr>
          <w:p w14:paraId="3B629828">
            <w:pPr>
              <w:pStyle w:val="766"/>
              <w:rPr>
                <w:color w:val="auto"/>
              </w:rPr>
            </w:pPr>
            <w:r>
              <w:rPr>
                <w:color w:val="auto"/>
              </w:rPr>
              <w:t>3</w:t>
            </w:r>
          </w:p>
        </w:tc>
        <w:tc>
          <w:tcPr>
            <w:tcW w:w="402" w:type="pct"/>
            <w:tcBorders>
              <w:tl2br w:val="nil"/>
              <w:tr2bl w:val="nil"/>
            </w:tcBorders>
            <w:shd w:val="clear" w:color="auto" w:fill="auto"/>
            <w:vAlign w:val="center"/>
          </w:tcPr>
          <w:p w14:paraId="7937287D">
            <w:pPr>
              <w:pStyle w:val="766"/>
              <w:rPr>
                <w:color w:val="auto"/>
              </w:rPr>
            </w:pPr>
            <w:r>
              <w:rPr>
                <w:color w:val="auto"/>
              </w:rPr>
              <w:t>55</w:t>
            </w:r>
          </w:p>
        </w:tc>
        <w:tc>
          <w:tcPr>
            <w:tcW w:w="377" w:type="pct"/>
            <w:tcBorders>
              <w:tl2br w:val="nil"/>
              <w:tr2bl w:val="nil"/>
            </w:tcBorders>
            <w:shd w:val="clear" w:color="auto" w:fill="auto"/>
            <w:vAlign w:val="center"/>
          </w:tcPr>
          <w:p w14:paraId="797C85E1">
            <w:pPr>
              <w:pStyle w:val="766"/>
              <w:rPr>
                <w:color w:val="auto"/>
              </w:rPr>
            </w:pPr>
            <w:r>
              <w:rPr>
                <w:color w:val="auto"/>
              </w:rPr>
              <w:t>24小时运行</w:t>
            </w:r>
          </w:p>
        </w:tc>
      </w:tr>
      <w:tr w14:paraId="5F2F8A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58680747">
            <w:pPr>
              <w:pStyle w:val="766"/>
              <w:rPr>
                <w:color w:val="auto"/>
              </w:rPr>
            </w:pPr>
          </w:p>
        </w:tc>
        <w:tc>
          <w:tcPr>
            <w:tcW w:w="416" w:type="pct"/>
            <w:vMerge w:val="continue"/>
            <w:tcBorders>
              <w:tl2br w:val="nil"/>
              <w:tr2bl w:val="nil"/>
            </w:tcBorders>
            <w:shd w:val="clear" w:color="auto" w:fill="auto"/>
            <w:vAlign w:val="center"/>
          </w:tcPr>
          <w:p w14:paraId="5198EBDF">
            <w:pPr>
              <w:pStyle w:val="766"/>
              <w:rPr>
                <w:color w:val="auto"/>
              </w:rPr>
            </w:pPr>
          </w:p>
        </w:tc>
        <w:tc>
          <w:tcPr>
            <w:tcW w:w="298" w:type="pct"/>
            <w:vMerge w:val="continue"/>
            <w:tcBorders>
              <w:tl2br w:val="nil"/>
              <w:tr2bl w:val="nil"/>
            </w:tcBorders>
            <w:shd w:val="clear" w:color="auto" w:fill="auto"/>
            <w:vAlign w:val="center"/>
          </w:tcPr>
          <w:p w14:paraId="337821FE">
            <w:pPr>
              <w:pStyle w:val="766"/>
              <w:rPr>
                <w:color w:val="auto"/>
              </w:rPr>
            </w:pPr>
          </w:p>
        </w:tc>
        <w:tc>
          <w:tcPr>
            <w:tcW w:w="570" w:type="pct"/>
            <w:tcBorders>
              <w:tl2br w:val="nil"/>
              <w:tr2bl w:val="nil"/>
            </w:tcBorders>
            <w:shd w:val="clear" w:color="auto" w:fill="auto"/>
            <w:vAlign w:val="center"/>
          </w:tcPr>
          <w:p w14:paraId="3C62B12A">
            <w:pPr>
              <w:pStyle w:val="766"/>
              <w:rPr>
                <w:color w:val="auto"/>
              </w:rPr>
            </w:pPr>
            <w:r>
              <w:rPr>
                <w:color w:val="auto"/>
              </w:rPr>
              <w:t>65</w:t>
            </w:r>
          </w:p>
        </w:tc>
        <w:tc>
          <w:tcPr>
            <w:tcW w:w="1424" w:type="pct"/>
            <w:vMerge w:val="continue"/>
            <w:tcBorders>
              <w:tl2br w:val="nil"/>
              <w:tr2bl w:val="nil"/>
            </w:tcBorders>
            <w:shd w:val="clear" w:color="auto" w:fill="auto"/>
            <w:vAlign w:val="center"/>
          </w:tcPr>
          <w:p w14:paraId="1CB4A46B">
            <w:pPr>
              <w:pStyle w:val="766"/>
              <w:rPr>
                <w:color w:val="auto"/>
              </w:rPr>
            </w:pPr>
          </w:p>
        </w:tc>
        <w:tc>
          <w:tcPr>
            <w:tcW w:w="223" w:type="pct"/>
            <w:tcBorders>
              <w:tl2br w:val="nil"/>
              <w:tr2bl w:val="nil"/>
            </w:tcBorders>
            <w:shd w:val="clear" w:color="auto" w:fill="auto"/>
            <w:vAlign w:val="center"/>
          </w:tcPr>
          <w:p w14:paraId="4711F3A0">
            <w:pPr>
              <w:pStyle w:val="766"/>
              <w:rPr>
                <w:color w:val="auto"/>
              </w:rPr>
            </w:pPr>
            <w:r>
              <w:rPr>
                <w:color w:val="auto"/>
              </w:rPr>
              <w:t>64</w:t>
            </w:r>
          </w:p>
        </w:tc>
        <w:tc>
          <w:tcPr>
            <w:tcW w:w="182" w:type="pct"/>
            <w:tcBorders>
              <w:tl2br w:val="nil"/>
              <w:tr2bl w:val="nil"/>
            </w:tcBorders>
            <w:shd w:val="clear" w:color="auto" w:fill="auto"/>
            <w:vAlign w:val="center"/>
          </w:tcPr>
          <w:p w14:paraId="12D7432E">
            <w:pPr>
              <w:pStyle w:val="766"/>
              <w:rPr>
                <w:color w:val="auto"/>
              </w:rPr>
            </w:pPr>
            <w:r>
              <w:rPr>
                <w:color w:val="auto"/>
              </w:rPr>
              <w:t>230</w:t>
            </w:r>
          </w:p>
        </w:tc>
        <w:tc>
          <w:tcPr>
            <w:tcW w:w="394" w:type="pct"/>
            <w:tcBorders>
              <w:tl2br w:val="nil"/>
              <w:tr2bl w:val="nil"/>
            </w:tcBorders>
            <w:shd w:val="clear" w:color="auto" w:fill="auto"/>
            <w:vAlign w:val="center"/>
          </w:tcPr>
          <w:p w14:paraId="386D1EDB">
            <w:pPr>
              <w:pStyle w:val="766"/>
              <w:rPr>
                <w:color w:val="auto"/>
              </w:rPr>
            </w:pPr>
            <w:r>
              <w:rPr>
                <w:color w:val="auto"/>
              </w:rPr>
              <w:t>1141.74</w:t>
            </w:r>
          </w:p>
        </w:tc>
        <w:tc>
          <w:tcPr>
            <w:tcW w:w="542" w:type="pct"/>
            <w:tcBorders>
              <w:tl2br w:val="nil"/>
              <w:tr2bl w:val="nil"/>
            </w:tcBorders>
            <w:shd w:val="clear" w:color="auto" w:fill="auto"/>
            <w:vAlign w:val="center"/>
          </w:tcPr>
          <w:p w14:paraId="5C9F6A65">
            <w:pPr>
              <w:pStyle w:val="766"/>
              <w:rPr>
                <w:color w:val="auto"/>
              </w:rPr>
            </w:pPr>
            <w:r>
              <w:rPr>
                <w:color w:val="auto"/>
              </w:rPr>
              <w:t>3</w:t>
            </w:r>
          </w:p>
        </w:tc>
        <w:tc>
          <w:tcPr>
            <w:tcW w:w="402" w:type="pct"/>
            <w:tcBorders>
              <w:tl2br w:val="nil"/>
              <w:tr2bl w:val="nil"/>
            </w:tcBorders>
            <w:shd w:val="clear" w:color="auto" w:fill="auto"/>
            <w:vAlign w:val="center"/>
          </w:tcPr>
          <w:p w14:paraId="1872A05F">
            <w:pPr>
              <w:pStyle w:val="766"/>
              <w:rPr>
                <w:color w:val="auto"/>
              </w:rPr>
            </w:pPr>
            <w:r>
              <w:rPr>
                <w:color w:val="auto"/>
              </w:rPr>
              <w:t>55</w:t>
            </w:r>
          </w:p>
        </w:tc>
        <w:tc>
          <w:tcPr>
            <w:tcW w:w="377" w:type="pct"/>
            <w:tcBorders>
              <w:tl2br w:val="nil"/>
              <w:tr2bl w:val="nil"/>
            </w:tcBorders>
            <w:shd w:val="clear" w:color="auto" w:fill="auto"/>
            <w:vAlign w:val="center"/>
          </w:tcPr>
          <w:p w14:paraId="549E13A0">
            <w:pPr>
              <w:pStyle w:val="766"/>
              <w:rPr>
                <w:color w:val="auto"/>
              </w:rPr>
            </w:pPr>
            <w:r>
              <w:rPr>
                <w:color w:val="auto"/>
              </w:rPr>
              <w:t>24小时运行</w:t>
            </w:r>
          </w:p>
        </w:tc>
      </w:tr>
      <w:tr w14:paraId="361275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restart"/>
            <w:tcBorders>
              <w:tl2br w:val="nil"/>
              <w:tr2bl w:val="nil"/>
            </w:tcBorders>
            <w:shd w:val="clear" w:color="auto" w:fill="auto"/>
            <w:vAlign w:val="center"/>
          </w:tcPr>
          <w:p w14:paraId="1106DB7A">
            <w:pPr>
              <w:pStyle w:val="766"/>
              <w:rPr>
                <w:color w:val="auto"/>
              </w:rPr>
            </w:pPr>
            <w:r>
              <w:rPr>
                <w:color w:val="auto"/>
              </w:rPr>
              <w:t>2</w:t>
            </w:r>
          </w:p>
        </w:tc>
        <w:tc>
          <w:tcPr>
            <w:tcW w:w="416" w:type="pct"/>
            <w:vMerge w:val="restart"/>
            <w:tcBorders>
              <w:tl2br w:val="nil"/>
              <w:tr2bl w:val="nil"/>
            </w:tcBorders>
            <w:shd w:val="clear" w:color="auto" w:fill="auto"/>
            <w:vAlign w:val="center"/>
          </w:tcPr>
          <w:p w14:paraId="3EB5B65F">
            <w:pPr>
              <w:pStyle w:val="766"/>
              <w:rPr>
                <w:color w:val="auto"/>
              </w:rPr>
            </w:pPr>
            <w:r>
              <w:rPr>
                <w:color w:val="auto"/>
              </w:rPr>
              <w:t>饲料加工车间</w:t>
            </w:r>
          </w:p>
        </w:tc>
        <w:tc>
          <w:tcPr>
            <w:tcW w:w="298" w:type="pct"/>
            <w:tcBorders>
              <w:tl2br w:val="nil"/>
              <w:tr2bl w:val="nil"/>
            </w:tcBorders>
            <w:shd w:val="clear" w:color="auto" w:fill="auto"/>
            <w:vAlign w:val="center"/>
          </w:tcPr>
          <w:p w14:paraId="4E3645D3">
            <w:pPr>
              <w:pStyle w:val="766"/>
              <w:rPr>
                <w:color w:val="auto"/>
              </w:rPr>
            </w:pPr>
            <w:r>
              <w:rPr>
                <w:color w:val="auto"/>
              </w:rPr>
              <w:t>破碎机</w:t>
            </w:r>
          </w:p>
        </w:tc>
        <w:tc>
          <w:tcPr>
            <w:tcW w:w="570" w:type="pct"/>
            <w:tcBorders>
              <w:tl2br w:val="nil"/>
              <w:tr2bl w:val="nil"/>
            </w:tcBorders>
            <w:shd w:val="clear" w:color="auto" w:fill="auto"/>
            <w:vAlign w:val="center"/>
          </w:tcPr>
          <w:p w14:paraId="57D81B8F">
            <w:pPr>
              <w:pStyle w:val="766"/>
              <w:rPr>
                <w:color w:val="auto"/>
              </w:rPr>
            </w:pPr>
            <w:r>
              <w:rPr>
                <w:color w:val="auto"/>
              </w:rPr>
              <w:t>85</w:t>
            </w:r>
          </w:p>
        </w:tc>
        <w:tc>
          <w:tcPr>
            <w:tcW w:w="1424" w:type="pct"/>
            <w:tcBorders>
              <w:tl2br w:val="nil"/>
              <w:tr2bl w:val="nil"/>
            </w:tcBorders>
            <w:shd w:val="clear" w:color="auto" w:fill="auto"/>
            <w:vAlign w:val="center"/>
          </w:tcPr>
          <w:p w14:paraId="5A2230CB">
            <w:pPr>
              <w:pStyle w:val="766"/>
              <w:rPr>
                <w:color w:val="auto"/>
                <w:szCs w:val="24"/>
              </w:rPr>
            </w:pPr>
            <w:r>
              <w:rPr>
                <w:color w:val="auto"/>
                <w:shd w:val="clear" w:color="auto" w:fill="FFFFFF"/>
              </w:rPr>
              <w:t>选低噪声设备、隔声</w:t>
            </w:r>
          </w:p>
        </w:tc>
        <w:tc>
          <w:tcPr>
            <w:tcW w:w="223" w:type="pct"/>
            <w:tcBorders>
              <w:tl2br w:val="nil"/>
              <w:tr2bl w:val="nil"/>
            </w:tcBorders>
            <w:shd w:val="clear" w:color="auto" w:fill="auto"/>
            <w:vAlign w:val="center"/>
          </w:tcPr>
          <w:p w14:paraId="6ACF1AC4">
            <w:pPr>
              <w:pStyle w:val="766"/>
              <w:rPr>
                <w:color w:val="auto"/>
              </w:rPr>
            </w:pPr>
            <w:r>
              <w:rPr>
                <w:color w:val="auto"/>
              </w:rPr>
              <w:t>-45</w:t>
            </w:r>
          </w:p>
        </w:tc>
        <w:tc>
          <w:tcPr>
            <w:tcW w:w="182" w:type="pct"/>
            <w:tcBorders>
              <w:tl2br w:val="nil"/>
              <w:tr2bl w:val="nil"/>
            </w:tcBorders>
            <w:shd w:val="clear" w:color="auto" w:fill="auto"/>
            <w:vAlign w:val="center"/>
          </w:tcPr>
          <w:p w14:paraId="5442D237">
            <w:pPr>
              <w:pStyle w:val="766"/>
              <w:rPr>
                <w:color w:val="auto"/>
              </w:rPr>
            </w:pPr>
            <w:r>
              <w:rPr>
                <w:color w:val="auto"/>
              </w:rPr>
              <w:t>132</w:t>
            </w:r>
          </w:p>
        </w:tc>
        <w:tc>
          <w:tcPr>
            <w:tcW w:w="394" w:type="pct"/>
            <w:tcBorders>
              <w:tl2br w:val="nil"/>
              <w:tr2bl w:val="nil"/>
            </w:tcBorders>
            <w:shd w:val="clear" w:color="auto" w:fill="auto"/>
            <w:vAlign w:val="center"/>
          </w:tcPr>
          <w:p w14:paraId="146BA55E">
            <w:pPr>
              <w:pStyle w:val="766"/>
              <w:rPr>
                <w:color w:val="auto"/>
              </w:rPr>
            </w:pPr>
            <w:r>
              <w:rPr>
                <w:color w:val="auto"/>
              </w:rPr>
              <w:t>1141.92</w:t>
            </w:r>
          </w:p>
        </w:tc>
        <w:tc>
          <w:tcPr>
            <w:tcW w:w="542" w:type="pct"/>
            <w:tcBorders>
              <w:tl2br w:val="nil"/>
              <w:tr2bl w:val="nil"/>
            </w:tcBorders>
            <w:shd w:val="clear" w:color="auto" w:fill="auto"/>
            <w:vAlign w:val="center"/>
          </w:tcPr>
          <w:p w14:paraId="3CA5BB3B">
            <w:pPr>
              <w:pStyle w:val="766"/>
              <w:rPr>
                <w:color w:val="auto"/>
              </w:rPr>
            </w:pPr>
            <w:r>
              <w:rPr>
                <w:color w:val="auto"/>
              </w:rPr>
              <w:t>3</w:t>
            </w:r>
          </w:p>
        </w:tc>
        <w:tc>
          <w:tcPr>
            <w:tcW w:w="402" w:type="pct"/>
            <w:tcBorders>
              <w:tl2br w:val="nil"/>
              <w:tr2bl w:val="nil"/>
            </w:tcBorders>
            <w:shd w:val="clear" w:color="auto" w:fill="auto"/>
            <w:vAlign w:val="center"/>
          </w:tcPr>
          <w:p w14:paraId="7ABEE35E">
            <w:pPr>
              <w:pStyle w:val="766"/>
              <w:rPr>
                <w:color w:val="auto"/>
              </w:rPr>
            </w:pPr>
            <w:r>
              <w:rPr>
                <w:color w:val="auto"/>
              </w:rPr>
              <w:t>75</w:t>
            </w:r>
          </w:p>
        </w:tc>
        <w:tc>
          <w:tcPr>
            <w:tcW w:w="377" w:type="pct"/>
            <w:tcBorders>
              <w:tl2br w:val="nil"/>
              <w:tr2bl w:val="nil"/>
            </w:tcBorders>
            <w:shd w:val="clear" w:color="auto" w:fill="auto"/>
            <w:vAlign w:val="center"/>
          </w:tcPr>
          <w:p w14:paraId="04041CCD">
            <w:pPr>
              <w:pStyle w:val="766"/>
              <w:rPr>
                <w:color w:val="auto"/>
              </w:rPr>
            </w:pPr>
            <w:r>
              <w:rPr>
                <w:color w:val="auto"/>
              </w:rPr>
              <w:t>8小时运行</w:t>
            </w:r>
          </w:p>
        </w:tc>
      </w:tr>
      <w:tr w14:paraId="21C6D7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68" w:type="pct"/>
            <w:vMerge w:val="continue"/>
            <w:tcBorders>
              <w:tl2br w:val="nil"/>
              <w:tr2bl w:val="nil"/>
            </w:tcBorders>
            <w:shd w:val="clear" w:color="auto" w:fill="auto"/>
            <w:vAlign w:val="center"/>
          </w:tcPr>
          <w:p w14:paraId="56163E19">
            <w:pPr>
              <w:pStyle w:val="766"/>
              <w:rPr>
                <w:color w:val="auto"/>
              </w:rPr>
            </w:pPr>
          </w:p>
        </w:tc>
        <w:tc>
          <w:tcPr>
            <w:tcW w:w="416" w:type="pct"/>
            <w:vMerge w:val="continue"/>
            <w:tcBorders>
              <w:tl2br w:val="nil"/>
              <w:tr2bl w:val="nil"/>
            </w:tcBorders>
            <w:shd w:val="clear" w:color="auto" w:fill="auto"/>
            <w:vAlign w:val="center"/>
          </w:tcPr>
          <w:p w14:paraId="67DA0C17">
            <w:pPr>
              <w:pStyle w:val="766"/>
              <w:rPr>
                <w:color w:val="auto"/>
              </w:rPr>
            </w:pPr>
          </w:p>
        </w:tc>
        <w:tc>
          <w:tcPr>
            <w:tcW w:w="298" w:type="pct"/>
            <w:tcBorders>
              <w:tl2br w:val="nil"/>
              <w:tr2bl w:val="nil"/>
            </w:tcBorders>
            <w:shd w:val="clear" w:color="auto" w:fill="auto"/>
            <w:vAlign w:val="center"/>
          </w:tcPr>
          <w:p w14:paraId="6CC9531F">
            <w:pPr>
              <w:pStyle w:val="766"/>
              <w:rPr>
                <w:color w:val="auto"/>
              </w:rPr>
            </w:pPr>
            <w:r>
              <w:rPr>
                <w:color w:val="auto"/>
              </w:rPr>
              <w:t>混料机</w:t>
            </w:r>
          </w:p>
        </w:tc>
        <w:tc>
          <w:tcPr>
            <w:tcW w:w="570" w:type="pct"/>
            <w:tcBorders>
              <w:tl2br w:val="nil"/>
              <w:tr2bl w:val="nil"/>
            </w:tcBorders>
            <w:shd w:val="clear" w:color="auto" w:fill="auto"/>
            <w:vAlign w:val="center"/>
          </w:tcPr>
          <w:p w14:paraId="418EB694">
            <w:pPr>
              <w:pStyle w:val="766"/>
              <w:rPr>
                <w:color w:val="auto"/>
              </w:rPr>
            </w:pPr>
            <w:r>
              <w:rPr>
                <w:color w:val="auto"/>
              </w:rPr>
              <w:t>70</w:t>
            </w:r>
          </w:p>
        </w:tc>
        <w:tc>
          <w:tcPr>
            <w:tcW w:w="1424" w:type="pct"/>
            <w:tcBorders>
              <w:tl2br w:val="nil"/>
              <w:tr2bl w:val="nil"/>
            </w:tcBorders>
            <w:shd w:val="clear" w:color="auto" w:fill="auto"/>
            <w:vAlign w:val="center"/>
          </w:tcPr>
          <w:p w14:paraId="281F3121">
            <w:pPr>
              <w:pStyle w:val="766"/>
              <w:rPr>
                <w:color w:val="auto"/>
                <w:szCs w:val="24"/>
              </w:rPr>
            </w:pPr>
            <w:r>
              <w:rPr>
                <w:color w:val="auto"/>
                <w:shd w:val="clear" w:color="auto" w:fill="FFFFFF"/>
              </w:rPr>
              <w:t>选低噪声设备、隔声</w:t>
            </w:r>
          </w:p>
        </w:tc>
        <w:tc>
          <w:tcPr>
            <w:tcW w:w="223" w:type="pct"/>
            <w:tcBorders>
              <w:tl2br w:val="nil"/>
              <w:tr2bl w:val="nil"/>
            </w:tcBorders>
            <w:shd w:val="clear" w:color="auto" w:fill="auto"/>
            <w:vAlign w:val="center"/>
          </w:tcPr>
          <w:p w14:paraId="3FFE1961">
            <w:pPr>
              <w:pStyle w:val="766"/>
              <w:rPr>
                <w:color w:val="auto"/>
              </w:rPr>
            </w:pPr>
            <w:r>
              <w:rPr>
                <w:color w:val="auto"/>
              </w:rPr>
              <w:t>-30</w:t>
            </w:r>
          </w:p>
        </w:tc>
        <w:tc>
          <w:tcPr>
            <w:tcW w:w="182" w:type="pct"/>
            <w:tcBorders>
              <w:tl2br w:val="nil"/>
              <w:tr2bl w:val="nil"/>
            </w:tcBorders>
            <w:shd w:val="clear" w:color="auto" w:fill="auto"/>
            <w:vAlign w:val="center"/>
          </w:tcPr>
          <w:p w14:paraId="10D0A041">
            <w:pPr>
              <w:pStyle w:val="766"/>
              <w:rPr>
                <w:color w:val="auto"/>
              </w:rPr>
            </w:pPr>
            <w:r>
              <w:rPr>
                <w:color w:val="auto"/>
              </w:rPr>
              <w:t>163</w:t>
            </w:r>
          </w:p>
        </w:tc>
        <w:tc>
          <w:tcPr>
            <w:tcW w:w="394" w:type="pct"/>
            <w:tcBorders>
              <w:tl2br w:val="nil"/>
              <w:tr2bl w:val="nil"/>
            </w:tcBorders>
            <w:shd w:val="clear" w:color="auto" w:fill="auto"/>
            <w:vAlign w:val="center"/>
          </w:tcPr>
          <w:p w14:paraId="628E7507">
            <w:pPr>
              <w:pStyle w:val="766"/>
              <w:rPr>
                <w:color w:val="auto"/>
              </w:rPr>
            </w:pPr>
            <w:r>
              <w:rPr>
                <w:color w:val="auto"/>
              </w:rPr>
              <w:t>1141.21</w:t>
            </w:r>
          </w:p>
        </w:tc>
        <w:tc>
          <w:tcPr>
            <w:tcW w:w="542" w:type="pct"/>
            <w:tcBorders>
              <w:tl2br w:val="nil"/>
              <w:tr2bl w:val="nil"/>
            </w:tcBorders>
            <w:shd w:val="clear" w:color="auto" w:fill="auto"/>
            <w:vAlign w:val="center"/>
          </w:tcPr>
          <w:p w14:paraId="68953641">
            <w:pPr>
              <w:pStyle w:val="766"/>
              <w:rPr>
                <w:color w:val="auto"/>
              </w:rPr>
            </w:pPr>
            <w:r>
              <w:rPr>
                <w:color w:val="auto"/>
              </w:rPr>
              <w:t>3</w:t>
            </w:r>
          </w:p>
        </w:tc>
        <w:tc>
          <w:tcPr>
            <w:tcW w:w="402" w:type="pct"/>
            <w:tcBorders>
              <w:tl2br w:val="nil"/>
              <w:tr2bl w:val="nil"/>
            </w:tcBorders>
            <w:shd w:val="clear" w:color="auto" w:fill="auto"/>
            <w:vAlign w:val="center"/>
          </w:tcPr>
          <w:p w14:paraId="3CA49ECF">
            <w:pPr>
              <w:pStyle w:val="766"/>
              <w:rPr>
                <w:color w:val="auto"/>
              </w:rPr>
            </w:pPr>
            <w:r>
              <w:rPr>
                <w:color w:val="auto"/>
              </w:rPr>
              <w:t>60</w:t>
            </w:r>
          </w:p>
        </w:tc>
        <w:tc>
          <w:tcPr>
            <w:tcW w:w="377" w:type="pct"/>
            <w:tcBorders>
              <w:tl2br w:val="nil"/>
              <w:tr2bl w:val="nil"/>
            </w:tcBorders>
            <w:shd w:val="clear" w:color="auto" w:fill="auto"/>
            <w:vAlign w:val="center"/>
          </w:tcPr>
          <w:p w14:paraId="207FF8B5">
            <w:pPr>
              <w:pStyle w:val="766"/>
              <w:rPr>
                <w:color w:val="auto"/>
              </w:rPr>
            </w:pPr>
            <w:r>
              <w:rPr>
                <w:color w:val="auto"/>
              </w:rPr>
              <w:t>8小时运行</w:t>
            </w:r>
          </w:p>
        </w:tc>
      </w:tr>
      <w:tr w14:paraId="300812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65CF75BF">
            <w:pPr>
              <w:pStyle w:val="766"/>
              <w:rPr>
                <w:color w:val="auto"/>
              </w:rPr>
            </w:pPr>
          </w:p>
        </w:tc>
        <w:tc>
          <w:tcPr>
            <w:tcW w:w="416" w:type="pct"/>
            <w:vMerge w:val="continue"/>
            <w:tcBorders>
              <w:tl2br w:val="nil"/>
              <w:tr2bl w:val="nil"/>
            </w:tcBorders>
            <w:shd w:val="clear" w:color="auto" w:fill="auto"/>
            <w:vAlign w:val="center"/>
          </w:tcPr>
          <w:p w14:paraId="266C90A7">
            <w:pPr>
              <w:pStyle w:val="766"/>
              <w:rPr>
                <w:color w:val="auto"/>
              </w:rPr>
            </w:pPr>
          </w:p>
        </w:tc>
        <w:tc>
          <w:tcPr>
            <w:tcW w:w="298" w:type="pct"/>
            <w:tcBorders>
              <w:tl2br w:val="nil"/>
              <w:tr2bl w:val="nil"/>
            </w:tcBorders>
            <w:shd w:val="clear" w:color="auto" w:fill="auto"/>
            <w:vAlign w:val="center"/>
          </w:tcPr>
          <w:p w14:paraId="71E9DCFA">
            <w:pPr>
              <w:pStyle w:val="766"/>
              <w:rPr>
                <w:color w:val="auto"/>
              </w:rPr>
            </w:pPr>
            <w:r>
              <w:rPr>
                <w:color w:val="auto"/>
              </w:rPr>
              <w:t>风机</w:t>
            </w:r>
          </w:p>
        </w:tc>
        <w:tc>
          <w:tcPr>
            <w:tcW w:w="570" w:type="pct"/>
            <w:tcBorders>
              <w:tl2br w:val="nil"/>
              <w:tr2bl w:val="nil"/>
            </w:tcBorders>
            <w:shd w:val="clear" w:color="auto" w:fill="auto"/>
            <w:vAlign w:val="center"/>
          </w:tcPr>
          <w:p w14:paraId="08AFE548">
            <w:pPr>
              <w:pStyle w:val="766"/>
              <w:rPr>
                <w:color w:val="auto"/>
              </w:rPr>
            </w:pPr>
            <w:r>
              <w:rPr>
                <w:color w:val="auto"/>
              </w:rPr>
              <w:t>80</w:t>
            </w:r>
          </w:p>
        </w:tc>
        <w:tc>
          <w:tcPr>
            <w:tcW w:w="1424" w:type="pct"/>
            <w:tcBorders>
              <w:tl2br w:val="nil"/>
              <w:tr2bl w:val="nil"/>
            </w:tcBorders>
            <w:shd w:val="clear" w:color="auto" w:fill="auto"/>
            <w:vAlign w:val="center"/>
          </w:tcPr>
          <w:p w14:paraId="0C3DB960">
            <w:pPr>
              <w:pStyle w:val="766"/>
              <w:rPr>
                <w:color w:val="auto"/>
              </w:rPr>
            </w:pPr>
            <w:r>
              <w:rPr>
                <w:color w:val="auto"/>
                <w:shd w:val="clear" w:color="auto" w:fill="FFFFFF"/>
              </w:rPr>
              <w:t>选低噪声设备，隔声</w:t>
            </w:r>
          </w:p>
        </w:tc>
        <w:tc>
          <w:tcPr>
            <w:tcW w:w="223" w:type="pct"/>
            <w:tcBorders>
              <w:tl2br w:val="nil"/>
              <w:tr2bl w:val="nil"/>
            </w:tcBorders>
            <w:shd w:val="clear" w:color="auto" w:fill="auto"/>
            <w:vAlign w:val="center"/>
          </w:tcPr>
          <w:p w14:paraId="08DC6674">
            <w:pPr>
              <w:pStyle w:val="766"/>
              <w:rPr>
                <w:color w:val="auto"/>
              </w:rPr>
            </w:pPr>
            <w:r>
              <w:rPr>
                <w:color w:val="auto"/>
              </w:rPr>
              <w:t>-36</w:t>
            </w:r>
          </w:p>
        </w:tc>
        <w:tc>
          <w:tcPr>
            <w:tcW w:w="182" w:type="pct"/>
            <w:tcBorders>
              <w:tl2br w:val="nil"/>
              <w:tr2bl w:val="nil"/>
            </w:tcBorders>
            <w:shd w:val="clear" w:color="auto" w:fill="auto"/>
            <w:vAlign w:val="center"/>
          </w:tcPr>
          <w:p w14:paraId="2B39C0B1">
            <w:pPr>
              <w:pStyle w:val="766"/>
              <w:rPr>
                <w:color w:val="auto"/>
              </w:rPr>
            </w:pPr>
            <w:r>
              <w:rPr>
                <w:color w:val="auto"/>
              </w:rPr>
              <w:t>137</w:t>
            </w:r>
          </w:p>
        </w:tc>
        <w:tc>
          <w:tcPr>
            <w:tcW w:w="394" w:type="pct"/>
            <w:tcBorders>
              <w:tl2br w:val="nil"/>
              <w:tr2bl w:val="nil"/>
            </w:tcBorders>
            <w:shd w:val="clear" w:color="auto" w:fill="auto"/>
            <w:vAlign w:val="center"/>
          </w:tcPr>
          <w:p w14:paraId="758F30B5">
            <w:pPr>
              <w:pStyle w:val="766"/>
              <w:rPr>
                <w:color w:val="auto"/>
              </w:rPr>
            </w:pPr>
            <w:r>
              <w:rPr>
                <w:color w:val="auto"/>
              </w:rPr>
              <w:t>1141.97</w:t>
            </w:r>
          </w:p>
        </w:tc>
        <w:tc>
          <w:tcPr>
            <w:tcW w:w="542" w:type="pct"/>
            <w:tcBorders>
              <w:tl2br w:val="nil"/>
              <w:tr2bl w:val="nil"/>
            </w:tcBorders>
            <w:shd w:val="clear" w:color="auto" w:fill="auto"/>
            <w:vAlign w:val="center"/>
          </w:tcPr>
          <w:p w14:paraId="51B8D9BD">
            <w:pPr>
              <w:pStyle w:val="766"/>
              <w:rPr>
                <w:color w:val="auto"/>
              </w:rPr>
            </w:pPr>
            <w:r>
              <w:rPr>
                <w:color w:val="auto"/>
              </w:rPr>
              <w:t>3</w:t>
            </w:r>
          </w:p>
        </w:tc>
        <w:tc>
          <w:tcPr>
            <w:tcW w:w="402" w:type="pct"/>
            <w:tcBorders>
              <w:tl2br w:val="nil"/>
              <w:tr2bl w:val="nil"/>
            </w:tcBorders>
            <w:shd w:val="clear" w:color="auto" w:fill="auto"/>
            <w:vAlign w:val="center"/>
          </w:tcPr>
          <w:p w14:paraId="74A7DAC7">
            <w:pPr>
              <w:pStyle w:val="766"/>
              <w:rPr>
                <w:color w:val="auto"/>
              </w:rPr>
            </w:pPr>
            <w:r>
              <w:rPr>
                <w:color w:val="auto"/>
              </w:rPr>
              <w:t>70</w:t>
            </w:r>
          </w:p>
        </w:tc>
        <w:tc>
          <w:tcPr>
            <w:tcW w:w="377" w:type="pct"/>
            <w:tcBorders>
              <w:tl2br w:val="nil"/>
              <w:tr2bl w:val="nil"/>
            </w:tcBorders>
            <w:shd w:val="clear" w:color="auto" w:fill="auto"/>
            <w:vAlign w:val="center"/>
          </w:tcPr>
          <w:p w14:paraId="5E10EDCA">
            <w:pPr>
              <w:pStyle w:val="766"/>
              <w:rPr>
                <w:color w:val="auto"/>
              </w:rPr>
            </w:pPr>
            <w:r>
              <w:rPr>
                <w:color w:val="auto"/>
              </w:rPr>
              <w:t>8小时运行</w:t>
            </w:r>
          </w:p>
        </w:tc>
      </w:tr>
      <w:tr w14:paraId="49266F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restart"/>
            <w:tcBorders>
              <w:tl2br w:val="nil"/>
              <w:tr2bl w:val="nil"/>
            </w:tcBorders>
            <w:shd w:val="clear" w:color="auto" w:fill="auto"/>
            <w:vAlign w:val="center"/>
          </w:tcPr>
          <w:p w14:paraId="13435BC0">
            <w:pPr>
              <w:pStyle w:val="766"/>
              <w:rPr>
                <w:color w:val="auto"/>
              </w:rPr>
            </w:pPr>
            <w:r>
              <w:rPr>
                <w:rFonts w:hint="eastAsia"/>
                <w:color w:val="auto"/>
              </w:rPr>
              <w:t>3</w:t>
            </w:r>
          </w:p>
        </w:tc>
        <w:tc>
          <w:tcPr>
            <w:tcW w:w="416" w:type="pct"/>
            <w:vMerge w:val="restart"/>
            <w:tcBorders>
              <w:tl2br w:val="nil"/>
              <w:tr2bl w:val="nil"/>
            </w:tcBorders>
            <w:shd w:val="clear" w:color="auto" w:fill="auto"/>
            <w:vAlign w:val="center"/>
          </w:tcPr>
          <w:p w14:paraId="3FD99E95">
            <w:pPr>
              <w:pStyle w:val="766"/>
              <w:rPr>
                <w:color w:val="auto"/>
              </w:rPr>
            </w:pPr>
            <w:r>
              <w:rPr>
                <w:rFonts w:hint="eastAsia"/>
                <w:color w:val="auto"/>
              </w:rPr>
              <w:t>有机肥加工车间</w:t>
            </w:r>
          </w:p>
          <w:p w14:paraId="35028361">
            <w:pPr>
              <w:pStyle w:val="766"/>
              <w:rPr>
                <w:color w:val="auto"/>
              </w:rPr>
            </w:pPr>
          </w:p>
        </w:tc>
        <w:tc>
          <w:tcPr>
            <w:tcW w:w="298" w:type="pct"/>
            <w:tcBorders>
              <w:tl2br w:val="nil"/>
              <w:tr2bl w:val="nil"/>
            </w:tcBorders>
            <w:shd w:val="clear" w:color="auto" w:fill="auto"/>
            <w:vAlign w:val="center"/>
          </w:tcPr>
          <w:p w14:paraId="5E118623">
            <w:pPr>
              <w:pStyle w:val="766"/>
              <w:rPr>
                <w:color w:val="auto"/>
              </w:rPr>
            </w:pPr>
            <w:r>
              <w:rPr>
                <w:rFonts w:hint="eastAsia"/>
                <w:color w:val="auto"/>
              </w:rPr>
              <w:t>拋翻机</w:t>
            </w:r>
          </w:p>
        </w:tc>
        <w:tc>
          <w:tcPr>
            <w:tcW w:w="570" w:type="pct"/>
            <w:tcBorders>
              <w:tl2br w:val="nil"/>
              <w:tr2bl w:val="nil"/>
            </w:tcBorders>
            <w:shd w:val="clear" w:color="auto" w:fill="auto"/>
            <w:vAlign w:val="center"/>
          </w:tcPr>
          <w:p w14:paraId="0AC32005">
            <w:pPr>
              <w:pStyle w:val="766"/>
              <w:rPr>
                <w:color w:val="auto"/>
              </w:rPr>
            </w:pPr>
            <w:r>
              <w:rPr>
                <w:rFonts w:hint="eastAsia"/>
                <w:color w:val="auto"/>
              </w:rPr>
              <w:t>70</w:t>
            </w:r>
          </w:p>
        </w:tc>
        <w:tc>
          <w:tcPr>
            <w:tcW w:w="1424" w:type="pct"/>
            <w:tcBorders>
              <w:tl2br w:val="nil"/>
              <w:tr2bl w:val="nil"/>
            </w:tcBorders>
            <w:shd w:val="clear" w:color="auto" w:fill="auto"/>
            <w:vAlign w:val="center"/>
          </w:tcPr>
          <w:p w14:paraId="639398CE">
            <w:pPr>
              <w:pStyle w:val="766"/>
              <w:rPr>
                <w:color w:val="auto"/>
                <w:shd w:val="clear" w:color="auto" w:fill="FFFFFF"/>
              </w:rPr>
            </w:pPr>
            <w:r>
              <w:rPr>
                <w:rFonts w:hint="eastAsia"/>
                <w:color w:val="auto"/>
                <w:shd w:val="clear" w:color="auto" w:fill="FFFFFF"/>
              </w:rPr>
              <w:t>低噪声设备、厂房隔声</w:t>
            </w:r>
          </w:p>
        </w:tc>
        <w:tc>
          <w:tcPr>
            <w:tcW w:w="223" w:type="pct"/>
            <w:tcBorders>
              <w:tl2br w:val="nil"/>
              <w:tr2bl w:val="nil"/>
            </w:tcBorders>
            <w:shd w:val="clear" w:color="auto" w:fill="auto"/>
            <w:vAlign w:val="center"/>
          </w:tcPr>
          <w:p w14:paraId="5B604C4B">
            <w:pPr>
              <w:pStyle w:val="766"/>
              <w:rPr>
                <w:color w:val="auto"/>
              </w:rPr>
            </w:pPr>
            <w:r>
              <w:rPr>
                <w:rFonts w:hint="eastAsia"/>
                <w:color w:val="auto"/>
              </w:rPr>
              <w:t>-440</w:t>
            </w:r>
          </w:p>
        </w:tc>
        <w:tc>
          <w:tcPr>
            <w:tcW w:w="182" w:type="pct"/>
            <w:tcBorders>
              <w:tl2br w:val="nil"/>
              <w:tr2bl w:val="nil"/>
            </w:tcBorders>
            <w:shd w:val="clear" w:color="auto" w:fill="auto"/>
            <w:vAlign w:val="center"/>
          </w:tcPr>
          <w:p w14:paraId="5C8F423F">
            <w:pPr>
              <w:pStyle w:val="766"/>
              <w:rPr>
                <w:color w:val="auto"/>
              </w:rPr>
            </w:pPr>
            <w:r>
              <w:rPr>
                <w:rFonts w:hint="eastAsia"/>
                <w:color w:val="auto"/>
              </w:rPr>
              <w:t>312</w:t>
            </w:r>
          </w:p>
        </w:tc>
        <w:tc>
          <w:tcPr>
            <w:tcW w:w="394" w:type="pct"/>
            <w:tcBorders>
              <w:tl2br w:val="nil"/>
              <w:tr2bl w:val="nil"/>
            </w:tcBorders>
            <w:shd w:val="clear" w:color="auto" w:fill="auto"/>
            <w:vAlign w:val="center"/>
          </w:tcPr>
          <w:p w14:paraId="7FA418CA">
            <w:pPr>
              <w:pStyle w:val="766"/>
              <w:rPr>
                <w:color w:val="auto"/>
              </w:rPr>
            </w:pPr>
            <w:r>
              <w:rPr>
                <w:rFonts w:hint="eastAsia"/>
                <w:color w:val="auto"/>
              </w:rPr>
              <w:t>1138.2</w:t>
            </w:r>
          </w:p>
        </w:tc>
        <w:tc>
          <w:tcPr>
            <w:tcW w:w="542" w:type="pct"/>
            <w:tcBorders>
              <w:tl2br w:val="nil"/>
              <w:tr2bl w:val="nil"/>
            </w:tcBorders>
            <w:shd w:val="clear" w:color="auto" w:fill="auto"/>
            <w:vAlign w:val="center"/>
          </w:tcPr>
          <w:p w14:paraId="6DF05E2D">
            <w:pPr>
              <w:pStyle w:val="766"/>
              <w:rPr>
                <w:color w:val="auto"/>
              </w:rPr>
            </w:pPr>
            <w:r>
              <w:rPr>
                <w:rFonts w:hint="eastAsia"/>
                <w:color w:val="auto"/>
              </w:rPr>
              <w:t>3</w:t>
            </w:r>
          </w:p>
        </w:tc>
        <w:tc>
          <w:tcPr>
            <w:tcW w:w="402" w:type="pct"/>
            <w:tcBorders>
              <w:tl2br w:val="nil"/>
              <w:tr2bl w:val="nil"/>
            </w:tcBorders>
            <w:shd w:val="clear" w:color="auto" w:fill="auto"/>
            <w:vAlign w:val="center"/>
          </w:tcPr>
          <w:p w14:paraId="243CC43D">
            <w:pPr>
              <w:pStyle w:val="766"/>
              <w:rPr>
                <w:color w:val="auto"/>
              </w:rPr>
            </w:pPr>
            <w:r>
              <w:rPr>
                <w:rFonts w:hint="eastAsia"/>
                <w:color w:val="auto"/>
              </w:rPr>
              <w:t>50</w:t>
            </w:r>
          </w:p>
        </w:tc>
        <w:tc>
          <w:tcPr>
            <w:tcW w:w="377" w:type="pct"/>
            <w:tcBorders>
              <w:tl2br w:val="nil"/>
              <w:tr2bl w:val="nil"/>
            </w:tcBorders>
            <w:shd w:val="clear" w:color="auto" w:fill="auto"/>
            <w:vAlign w:val="center"/>
          </w:tcPr>
          <w:p w14:paraId="25BC29EC">
            <w:pPr>
              <w:pStyle w:val="766"/>
              <w:rPr>
                <w:color w:val="auto"/>
              </w:rPr>
            </w:pPr>
            <w:r>
              <w:rPr>
                <w:color w:val="auto"/>
              </w:rPr>
              <w:t>8小时运行</w:t>
            </w:r>
          </w:p>
        </w:tc>
      </w:tr>
      <w:tr w14:paraId="32ED62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5EEA7CCB">
            <w:pPr>
              <w:pStyle w:val="766"/>
              <w:rPr>
                <w:color w:val="auto"/>
              </w:rPr>
            </w:pPr>
          </w:p>
        </w:tc>
        <w:tc>
          <w:tcPr>
            <w:tcW w:w="416" w:type="pct"/>
            <w:vMerge w:val="continue"/>
            <w:tcBorders>
              <w:tl2br w:val="nil"/>
              <w:tr2bl w:val="nil"/>
            </w:tcBorders>
            <w:shd w:val="clear" w:color="auto" w:fill="auto"/>
            <w:vAlign w:val="center"/>
          </w:tcPr>
          <w:p w14:paraId="6C4E66DE">
            <w:pPr>
              <w:pStyle w:val="766"/>
              <w:rPr>
                <w:color w:val="auto"/>
              </w:rPr>
            </w:pPr>
          </w:p>
        </w:tc>
        <w:tc>
          <w:tcPr>
            <w:tcW w:w="298" w:type="pct"/>
            <w:tcBorders>
              <w:tl2br w:val="nil"/>
              <w:tr2bl w:val="nil"/>
            </w:tcBorders>
            <w:shd w:val="clear" w:color="auto" w:fill="auto"/>
            <w:vAlign w:val="center"/>
          </w:tcPr>
          <w:p w14:paraId="2C52422D">
            <w:pPr>
              <w:pStyle w:val="766"/>
              <w:rPr>
                <w:color w:val="auto"/>
              </w:rPr>
            </w:pPr>
            <w:r>
              <w:rPr>
                <w:rFonts w:hint="eastAsia"/>
                <w:color w:val="auto"/>
              </w:rPr>
              <w:t>破碎机</w:t>
            </w:r>
          </w:p>
        </w:tc>
        <w:tc>
          <w:tcPr>
            <w:tcW w:w="570" w:type="pct"/>
            <w:tcBorders>
              <w:tl2br w:val="nil"/>
              <w:tr2bl w:val="nil"/>
            </w:tcBorders>
            <w:shd w:val="clear" w:color="auto" w:fill="auto"/>
            <w:vAlign w:val="center"/>
          </w:tcPr>
          <w:p w14:paraId="301EAF34">
            <w:pPr>
              <w:pStyle w:val="766"/>
              <w:rPr>
                <w:color w:val="auto"/>
              </w:rPr>
            </w:pPr>
            <w:r>
              <w:rPr>
                <w:rFonts w:hint="eastAsia"/>
                <w:color w:val="auto"/>
              </w:rPr>
              <w:t>85</w:t>
            </w:r>
          </w:p>
        </w:tc>
        <w:tc>
          <w:tcPr>
            <w:tcW w:w="1424" w:type="pct"/>
            <w:tcBorders>
              <w:tl2br w:val="nil"/>
              <w:tr2bl w:val="nil"/>
            </w:tcBorders>
            <w:shd w:val="clear" w:color="auto" w:fill="auto"/>
            <w:vAlign w:val="center"/>
          </w:tcPr>
          <w:p w14:paraId="3566503F">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223" w:type="pct"/>
            <w:tcBorders>
              <w:tl2br w:val="nil"/>
              <w:tr2bl w:val="nil"/>
            </w:tcBorders>
            <w:shd w:val="clear" w:color="auto" w:fill="auto"/>
            <w:vAlign w:val="center"/>
          </w:tcPr>
          <w:p w14:paraId="4ACED4DA">
            <w:pPr>
              <w:pStyle w:val="766"/>
              <w:rPr>
                <w:color w:val="auto"/>
              </w:rPr>
            </w:pPr>
            <w:r>
              <w:rPr>
                <w:rFonts w:hint="eastAsia"/>
                <w:color w:val="auto"/>
              </w:rPr>
              <w:t>-451</w:t>
            </w:r>
          </w:p>
        </w:tc>
        <w:tc>
          <w:tcPr>
            <w:tcW w:w="182" w:type="pct"/>
            <w:tcBorders>
              <w:tl2br w:val="nil"/>
              <w:tr2bl w:val="nil"/>
            </w:tcBorders>
            <w:shd w:val="clear" w:color="auto" w:fill="auto"/>
            <w:vAlign w:val="center"/>
          </w:tcPr>
          <w:p w14:paraId="604A2225">
            <w:pPr>
              <w:pStyle w:val="766"/>
              <w:rPr>
                <w:color w:val="auto"/>
              </w:rPr>
            </w:pPr>
            <w:r>
              <w:rPr>
                <w:rFonts w:hint="eastAsia"/>
                <w:color w:val="auto"/>
              </w:rPr>
              <w:t>389</w:t>
            </w:r>
          </w:p>
        </w:tc>
        <w:tc>
          <w:tcPr>
            <w:tcW w:w="394" w:type="pct"/>
            <w:tcBorders>
              <w:tl2br w:val="nil"/>
              <w:tr2bl w:val="nil"/>
            </w:tcBorders>
            <w:shd w:val="clear" w:color="auto" w:fill="auto"/>
            <w:vAlign w:val="center"/>
          </w:tcPr>
          <w:p w14:paraId="7FB68B92">
            <w:pPr>
              <w:pStyle w:val="766"/>
              <w:rPr>
                <w:color w:val="auto"/>
              </w:rPr>
            </w:pPr>
            <w:r>
              <w:rPr>
                <w:rFonts w:hint="eastAsia"/>
                <w:color w:val="auto"/>
              </w:rPr>
              <w:t>138.23</w:t>
            </w:r>
          </w:p>
        </w:tc>
        <w:tc>
          <w:tcPr>
            <w:tcW w:w="542" w:type="pct"/>
            <w:tcBorders>
              <w:tl2br w:val="nil"/>
              <w:tr2bl w:val="nil"/>
            </w:tcBorders>
            <w:shd w:val="clear" w:color="auto" w:fill="auto"/>
            <w:vAlign w:val="center"/>
          </w:tcPr>
          <w:p w14:paraId="0F54B711">
            <w:pPr>
              <w:pStyle w:val="766"/>
              <w:rPr>
                <w:color w:val="auto"/>
              </w:rPr>
            </w:pPr>
            <w:r>
              <w:rPr>
                <w:rFonts w:hint="eastAsia"/>
                <w:color w:val="auto"/>
              </w:rPr>
              <w:t>3</w:t>
            </w:r>
          </w:p>
        </w:tc>
        <w:tc>
          <w:tcPr>
            <w:tcW w:w="402" w:type="pct"/>
            <w:tcBorders>
              <w:tl2br w:val="nil"/>
              <w:tr2bl w:val="nil"/>
            </w:tcBorders>
            <w:shd w:val="clear" w:color="auto" w:fill="auto"/>
            <w:vAlign w:val="center"/>
          </w:tcPr>
          <w:p w14:paraId="7C3CB65C">
            <w:pPr>
              <w:pStyle w:val="766"/>
              <w:rPr>
                <w:color w:val="auto"/>
              </w:rPr>
            </w:pPr>
            <w:r>
              <w:rPr>
                <w:rFonts w:hint="eastAsia"/>
                <w:color w:val="auto"/>
              </w:rPr>
              <w:t>60</w:t>
            </w:r>
          </w:p>
        </w:tc>
        <w:tc>
          <w:tcPr>
            <w:tcW w:w="377" w:type="pct"/>
            <w:tcBorders>
              <w:tl2br w:val="nil"/>
              <w:tr2bl w:val="nil"/>
            </w:tcBorders>
            <w:shd w:val="clear" w:color="auto" w:fill="auto"/>
            <w:vAlign w:val="center"/>
          </w:tcPr>
          <w:p w14:paraId="146B5D9E">
            <w:pPr>
              <w:pStyle w:val="766"/>
              <w:rPr>
                <w:color w:val="auto"/>
              </w:rPr>
            </w:pPr>
            <w:r>
              <w:rPr>
                <w:color w:val="auto"/>
              </w:rPr>
              <w:t>8小时运行</w:t>
            </w:r>
          </w:p>
        </w:tc>
      </w:tr>
      <w:tr w14:paraId="4EC2F0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0B1E0F96">
            <w:pPr>
              <w:pStyle w:val="766"/>
              <w:rPr>
                <w:color w:val="auto"/>
              </w:rPr>
            </w:pPr>
          </w:p>
        </w:tc>
        <w:tc>
          <w:tcPr>
            <w:tcW w:w="416" w:type="pct"/>
            <w:vMerge w:val="continue"/>
            <w:tcBorders>
              <w:tl2br w:val="nil"/>
              <w:tr2bl w:val="nil"/>
            </w:tcBorders>
            <w:shd w:val="clear" w:color="auto" w:fill="auto"/>
            <w:vAlign w:val="center"/>
          </w:tcPr>
          <w:p w14:paraId="139215E2">
            <w:pPr>
              <w:pStyle w:val="766"/>
              <w:rPr>
                <w:color w:val="auto"/>
              </w:rPr>
            </w:pPr>
          </w:p>
        </w:tc>
        <w:tc>
          <w:tcPr>
            <w:tcW w:w="298" w:type="pct"/>
            <w:tcBorders>
              <w:tl2br w:val="nil"/>
              <w:tr2bl w:val="nil"/>
            </w:tcBorders>
            <w:shd w:val="clear" w:color="auto" w:fill="auto"/>
            <w:vAlign w:val="center"/>
          </w:tcPr>
          <w:p w14:paraId="71EF1B42">
            <w:pPr>
              <w:pStyle w:val="766"/>
              <w:rPr>
                <w:color w:val="auto"/>
              </w:rPr>
            </w:pPr>
            <w:r>
              <w:rPr>
                <w:rFonts w:hint="eastAsia"/>
                <w:color w:val="auto"/>
              </w:rPr>
              <w:t>混料机</w:t>
            </w:r>
          </w:p>
        </w:tc>
        <w:tc>
          <w:tcPr>
            <w:tcW w:w="570" w:type="pct"/>
            <w:tcBorders>
              <w:tl2br w:val="nil"/>
              <w:tr2bl w:val="nil"/>
            </w:tcBorders>
            <w:shd w:val="clear" w:color="auto" w:fill="auto"/>
            <w:vAlign w:val="center"/>
          </w:tcPr>
          <w:p w14:paraId="40D13071">
            <w:pPr>
              <w:pStyle w:val="766"/>
              <w:rPr>
                <w:color w:val="auto"/>
              </w:rPr>
            </w:pPr>
            <w:r>
              <w:rPr>
                <w:rFonts w:hint="eastAsia"/>
                <w:color w:val="auto"/>
              </w:rPr>
              <w:t>75</w:t>
            </w:r>
          </w:p>
        </w:tc>
        <w:tc>
          <w:tcPr>
            <w:tcW w:w="1424" w:type="pct"/>
            <w:tcBorders>
              <w:tl2br w:val="nil"/>
              <w:tr2bl w:val="nil"/>
            </w:tcBorders>
            <w:shd w:val="clear" w:color="auto" w:fill="auto"/>
            <w:vAlign w:val="center"/>
          </w:tcPr>
          <w:p w14:paraId="381827F7">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223" w:type="pct"/>
            <w:tcBorders>
              <w:tl2br w:val="nil"/>
              <w:tr2bl w:val="nil"/>
            </w:tcBorders>
            <w:shd w:val="clear" w:color="auto" w:fill="auto"/>
            <w:vAlign w:val="center"/>
          </w:tcPr>
          <w:p w14:paraId="375457F4">
            <w:pPr>
              <w:pStyle w:val="766"/>
              <w:rPr>
                <w:color w:val="auto"/>
              </w:rPr>
            </w:pPr>
            <w:r>
              <w:rPr>
                <w:rFonts w:hint="eastAsia"/>
                <w:color w:val="auto"/>
              </w:rPr>
              <w:t>-459</w:t>
            </w:r>
          </w:p>
        </w:tc>
        <w:tc>
          <w:tcPr>
            <w:tcW w:w="182" w:type="pct"/>
            <w:tcBorders>
              <w:tl2br w:val="nil"/>
              <w:tr2bl w:val="nil"/>
            </w:tcBorders>
            <w:shd w:val="clear" w:color="auto" w:fill="auto"/>
            <w:vAlign w:val="center"/>
          </w:tcPr>
          <w:p w14:paraId="268EEA89">
            <w:pPr>
              <w:pStyle w:val="766"/>
              <w:rPr>
                <w:color w:val="auto"/>
              </w:rPr>
            </w:pPr>
            <w:r>
              <w:rPr>
                <w:rFonts w:hint="eastAsia"/>
                <w:color w:val="auto"/>
              </w:rPr>
              <w:t>390</w:t>
            </w:r>
          </w:p>
        </w:tc>
        <w:tc>
          <w:tcPr>
            <w:tcW w:w="394" w:type="pct"/>
            <w:tcBorders>
              <w:tl2br w:val="nil"/>
              <w:tr2bl w:val="nil"/>
            </w:tcBorders>
            <w:shd w:val="clear" w:color="auto" w:fill="auto"/>
            <w:vAlign w:val="center"/>
          </w:tcPr>
          <w:p w14:paraId="49BB0585">
            <w:pPr>
              <w:pStyle w:val="766"/>
              <w:rPr>
                <w:color w:val="auto"/>
              </w:rPr>
            </w:pPr>
            <w:r>
              <w:rPr>
                <w:rFonts w:hint="eastAsia"/>
                <w:color w:val="auto"/>
              </w:rPr>
              <w:t>1138.3</w:t>
            </w:r>
          </w:p>
        </w:tc>
        <w:tc>
          <w:tcPr>
            <w:tcW w:w="542" w:type="pct"/>
            <w:tcBorders>
              <w:tl2br w:val="nil"/>
              <w:tr2bl w:val="nil"/>
            </w:tcBorders>
            <w:shd w:val="clear" w:color="auto" w:fill="auto"/>
            <w:vAlign w:val="center"/>
          </w:tcPr>
          <w:p w14:paraId="2242A3F9">
            <w:pPr>
              <w:pStyle w:val="766"/>
              <w:rPr>
                <w:color w:val="auto"/>
              </w:rPr>
            </w:pPr>
            <w:r>
              <w:rPr>
                <w:rFonts w:hint="eastAsia"/>
                <w:color w:val="auto"/>
              </w:rPr>
              <w:t>3</w:t>
            </w:r>
          </w:p>
        </w:tc>
        <w:tc>
          <w:tcPr>
            <w:tcW w:w="402" w:type="pct"/>
            <w:tcBorders>
              <w:tl2br w:val="nil"/>
              <w:tr2bl w:val="nil"/>
            </w:tcBorders>
            <w:shd w:val="clear" w:color="auto" w:fill="auto"/>
            <w:vAlign w:val="center"/>
          </w:tcPr>
          <w:p w14:paraId="2C8CBC6F">
            <w:pPr>
              <w:pStyle w:val="766"/>
              <w:rPr>
                <w:color w:val="auto"/>
              </w:rPr>
            </w:pPr>
            <w:r>
              <w:rPr>
                <w:rFonts w:hint="eastAsia"/>
                <w:color w:val="auto"/>
              </w:rPr>
              <w:t>55</w:t>
            </w:r>
          </w:p>
        </w:tc>
        <w:tc>
          <w:tcPr>
            <w:tcW w:w="377" w:type="pct"/>
            <w:tcBorders>
              <w:tl2br w:val="nil"/>
              <w:tr2bl w:val="nil"/>
            </w:tcBorders>
            <w:shd w:val="clear" w:color="auto" w:fill="auto"/>
            <w:vAlign w:val="center"/>
          </w:tcPr>
          <w:p w14:paraId="791AE718">
            <w:pPr>
              <w:pStyle w:val="766"/>
              <w:rPr>
                <w:color w:val="auto"/>
              </w:rPr>
            </w:pPr>
            <w:r>
              <w:rPr>
                <w:color w:val="auto"/>
              </w:rPr>
              <w:t>8小时运行</w:t>
            </w:r>
          </w:p>
        </w:tc>
      </w:tr>
      <w:tr w14:paraId="1C318B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2FE95FD4">
            <w:pPr>
              <w:pStyle w:val="766"/>
              <w:rPr>
                <w:color w:val="auto"/>
              </w:rPr>
            </w:pPr>
          </w:p>
        </w:tc>
        <w:tc>
          <w:tcPr>
            <w:tcW w:w="416" w:type="pct"/>
            <w:vMerge w:val="continue"/>
            <w:tcBorders>
              <w:tl2br w:val="nil"/>
              <w:tr2bl w:val="nil"/>
            </w:tcBorders>
            <w:shd w:val="clear" w:color="auto" w:fill="auto"/>
            <w:vAlign w:val="center"/>
          </w:tcPr>
          <w:p w14:paraId="3CEBB91F">
            <w:pPr>
              <w:pStyle w:val="766"/>
              <w:rPr>
                <w:color w:val="auto"/>
              </w:rPr>
            </w:pPr>
          </w:p>
        </w:tc>
        <w:tc>
          <w:tcPr>
            <w:tcW w:w="298" w:type="pct"/>
            <w:tcBorders>
              <w:tl2br w:val="nil"/>
              <w:tr2bl w:val="nil"/>
            </w:tcBorders>
            <w:shd w:val="clear" w:color="auto" w:fill="auto"/>
            <w:vAlign w:val="center"/>
          </w:tcPr>
          <w:p w14:paraId="7DAA467D">
            <w:pPr>
              <w:pStyle w:val="766"/>
              <w:rPr>
                <w:color w:val="auto"/>
              </w:rPr>
            </w:pPr>
            <w:r>
              <w:rPr>
                <w:rFonts w:hint="eastAsia"/>
                <w:color w:val="auto"/>
              </w:rPr>
              <w:t>筛分机</w:t>
            </w:r>
          </w:p>
        </w:tc>
        <w:tc>
          <w:tcPr>
            <w:tcW w:w="570" w:type="pct"/>
            <w:tcBorders>
              <w:tl2br w:val="nil"/>
              <w:tr2bl w:val="nil"/>
            </w:tcBorders>
            <w:shd w:val="clear" w:color="auto" w:fill="auto"/>
            <w:vAlign w:val="center"/>
          </w:tcPr>
          <w:p w14:paraId="09325F97">
            <w:pPr>
              <w:pStyle w:val="766"/>
              <w:rPr>
                <w:color w:val="auto"/>
              </w:rPr>
            </w:pPr>
            <w:r>
              <w:rPr>
                <w:rFonts w:hint="eastAsia"/>
                <w:color w:val="auto"/>
              </w:rPr>
              <w:t>75</w:t>
            </w:r>
          </w:p>
        </w:tc>
        <w:tc>
          <w:tcPr>
            <w:tcW w:w="1424" w:type="pct"/>
            <w:tcBorders>
              <w:tl2br w:val="nil"/>
              <w:tr2bl w:val="nil"/>
            </w:tcBorders>
            <w:shd w:val="clear" w:color="auto" w:fill="auto"/>
            <w:vAlign w:val="center"/>
          </w:tcPr>
          <w:p w14:paraId="511A3A12">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223" w:type="pct"/>
            <w:tcBorders>
              <w:tl2br w:val="nil"/>
              <w:tr2bl w:val="nil"/>
            </w:tcBorders>
            <w:shd w:val="clear" w:color="auto" w:fill="auto"/>
            <w:vAlign w:val="center"/>
          </w:tcPr>
          <w:p w14:paraId="7E4FA26F">
            <w:pPr>
              <w:pStyle w:val="766"/>
              <w:rPr>
                <w:color w:val="auto"/>
              </w:rPr>
            </w:pPr>
            <w:r>
              <w:rPr>
                <w:rFonts w:hint="eastAsia"/>
                <w:color w:val="auto"/>
              </w:rPr>
              <w:t>-463</w:t>
            </w:r>
          </w:p>
        </w:tc>
        <w:tc>
          <w:tcPr>
            <w:tcW w:w="182" w:type="pct"/>
            <w:tcBorders>
              <w:tl2br w:val="nil"/>
              <w:tr2bl w:val="nil"/>
            </w:tcBorders>
            <w:shd w:val="clear" w:color="auto" w:fill="auto"/>
            <w:vAlign w:val="center"/>
          </w:tcPr>
          <w:p w14:paraId="03436AFC">
            <w:pPr>
              <w:pStyle w:val="766"/>
              <w:rPr>
                <w:color w:val="auto"/>
              </w:rPr>
            </w:pPr>
            <w:r>
              <w:rPr>
                <w:rFonts w:hint="eastAsia"/>
                <w:color w:val="auto"/>
              </w:rPr>
              <w:t>390</w:t>
            </w:r>
          </w:p>
        </w:tc>
        <w:tc>
          <w:tcPr>
            <w:tcW w:w="394" w:type="pct"/>
            <w:tcBorders>
              <w:tl2br w:val="nil"/>
              <w:tr2bl w:val="nil"/>
            </w:tcBorders>
            <w:shd w:val="clear" w:color="auto" w:fill="auto"/>
            <w:vAlign w:val="center"/>
          </w:tcPr>
          <w:p w14:paraId="30CA840E">
            <w:pPr>
              <w:pStyle w:val="766"/>
              <w:rPr>
                <w:color w:val="auto"/>
              </w:rPr>
            </w:pPr>
            <w:r>
              <w:rPr>
                <w:rFonts w:hint="eastAsia"/>
                <w:color w:val="auto"/>
              </w:rPr>
              <w:t>1138.25</w:t>
            </w:r>
          </w:p>
        </w:tc>
        <w:tc>
          <w:tcPr>
            <w:tcW w:w="542" w:type="pct"/>
            <w:tcBorders>
              <w:tl2br w:val="nil"/>
              <w:tr2bl w:val="nil"/>
            </w:tcBorders>
            <w:shd w:val="clear" w:color="auto" w:fill="auto"/>
            <w:vAlign w:val="center"/>
          </w:tcPr>
          <w:p w14:paraId="6DD71C13">
            <w:pPr>
              <w:pStyle w:val="766"/>
              <w:rPr>
                <w:color w:val="auto"/>
              </w:rPr>
            </w:pPr>
            <w:r>
              <w:rPr>
                <w:rFonts w:hint="eastAsia"/>
                <w:color w:val="auto"/>
              </w:rPr>
              <w:t>3</w:t>
            </w:r>
          </w:p>
        </w:tc>
        <w:tc>
          <w:tcPr>
            <w:tcW w:w="402" w:type="pct"/>
            <w:tcBorders>
              <w:tl2br w:val="nil"/>
              <w:tr2bl w:val="nil"/>
            </w:tcBorders>
            <w:shd w:val="clear" w:color="auto" w:fill="auto"/>
            <w:vAlign w:val="center"/>
          </w:tcPr>
          <w:p w14:paraId="5D8441ED">
            <w:pPr>
              <w:pStyle w:val="766"/>
              <w:rPr>
                <w:color w:val="auto"/>
              </w:rPr>
            </w:pPr>
            <w:r>
              <w:rPr>
                <w:rFonts w:hint="eastAsia"/>
                <w:color w:val="auto"/>
              </w:rPr>
              <w:t>55</w:t>
            </w:r>
          </w:p>
        </w:tc>
        <w:tc>
          <w:tcPr>
            <w:tcW w:w="377" w:type="pct"/>
            <w:tcBorders>
              <w:tl2br w:val="nil"/>
              <w:tr2bl w:val="nil"/>
            </w:tcBorders>
            <w:shd w:val="clear" w:color="auto" w:fill="auto"/>
            <w:vAlign w:val="center"/>
          </w:tcPr>
          <w:p w14:paraId="6BA99DE5">
            <w:pPr>
              <w:pStyle w:val="766"/>
              <w:rPr>
                <w:color w:val="auto"/>
              </w:rPr>
            </w:pPr>
            <w:r>
              <w:rPr>
                <w:color w:val="auto"/>
              </w:rPr>
              <w:t>8小时运行</w:t>
            </w:r>
          </w:p>
        </w:tc>
      </w:tr>
      <w:tr w14:paraId="498509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4D5EC97C">
            <w:pPr>
              <w:pStyle w:val="766"/>
              <w:rPr>
                <w:color w:val="auto"/>
              </w:rPr>
            </w:pPr>
          </w:p>
        </w:tc>
        <w:tc>
          <w:tcPr>
            <w:tcW w:w="416" w:type="pct"/>
            <w:vMerge w:val="continue"/>
            <w:tcBorders>
              <w:tl2br w:val="nil"/>
              <w:tr2bl w:val="nil"/>
            </w:tcBorders>
            <w:shd w:val="clear" w:color="auto" w:fill="auto"/>
            <w:vAlign w:val="center"/>
          </w:tcPr>
          <w:p w14:paraId="0AEA58B6">
            <w:pPr>
              <w:pStyle w:val="766"/>
              <w:rPr>
                <w:color w:val="auto"/>
              </w:rPr>
            </w:pPr>
          </w:p>
        </w:tc>
        <w:tc>
          <w:tcPr>
            <w:tcW w:w="298" w:type="pct"/>
            <w:tcBorders>
              <w:tl2br w:val="nil"/>
              <w:tr2bl w:val="nil"/>
            </w:tcBorders>
            <w:shd w:val="clear" w:color="auto" w:fill="auto"/>
            <w:vAlign w:val="center"/>
          </w:tcPr>
          <w:p w14:paraId="2806A821">
            <w:pPr>
              <w:pStyle w:val="766"/>
              <w:rPr>
                <w:color w:val="auto"/>
              </w:rPr>
            </w:pPr>
            <w:r>
              <w:rPr>
                <w:rFonts w:hint="eastAsia"/>
                <w:color w:val="auto"/>
              </w:rPr>
              <w:t>烘干机</w:t>
            </w:r>
          </w:p>
        </w:tc>
        <w:tc>
          <w:tcPr>
            <w:tcW w:w="570" w:type="pct"/>
            <w:tcBorders>
              <w:tl2br w:val="nil"/>
              <w:tr2bl w:val="nil"/>
            </w:tcBorders>
            <w:shd w:val="clear" w:color="auto" w:fill="auto"/>
            <w:vAlign w:val="center"/>
          </w:tcPr>
          <w:p w14:paraId="6620CBFD">
            <w:pPr>
              <w:pStyle w:val="766"/>
              <w:rPr>
                <w:color w:val="auto"/>
              </w:rPr>
            </w:pPr>
            <w:r>
              <w:rPr>
                <w:rFonts w:hint="eastAsia"/>
                <w:color w:val="auto"/>
              </w:rPr>
              <w:t>75</w:t>
            </w:r>
          </w:p>
        </w:tc>
        <w:tc>
          <w:tcPr>
            <w:tcW w:w="1424" w:type="pct"/>
            <w:tcBorders>
              <w:tl2br w:val="nil"/>
              <w:tr2bl w:val="nil"/>
            </w:tcBorders>
            <w:shd w:val="clear" w:color="auto" w:fill="auto"/>
            <w:vAlign w:val="center"/>
          </w:tcPr>
          <w:p w14:paraId="4F45ED6A">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223" w:type="pct"/>
            <w:tcBorders>
              <w:tl2br w:val="nil"/>
              <w:tr2bl w:val="nil"/>
            </w:tcBorders>
            <w:shd w:val="clear" w:color="auto" w:fill="auto"/>
            <w:vAlign w:val="center"/>
          </w:tcPr>
          <w:p w14:paraId="51BC2A6D">
            <w:pPr>
              <w:pStyle w:val="766"/>
              <w:rPr>
                <w:color w:val="auto"/>
              </w:rPr>
            </w:pPr>
            <w:r>
              <w:rPr>
                <w:rFonts w:hint="eastAsia"/>
                <w:color w:val="auto"/>
              </w:rPr>
              <w:t>-471</w:t>
            </w:r>
          </w:p>
        </w:tc>
        <w:tc>
          <w:tcPr>
            <w:tcW w:w="182" w:type="pct"/>
            <w:tcBorders>
              <w:tl2br w:val="nil"/>
              <w:tr2bl w:val="nil"/>
            </w:tcBorders>
            <w:shd w:val="clear" w:color="auto" w:fill="auto"/>
            <w:vAlign w:val="center"/>
          </w:tcPr>
          <w:p w14:paraId="6F484226">
            <w:pPr>
              <w:pStyle w:val="766"/>
              <w:rPr>
                <w:color w:val="auto"/>
              </w:rPr>
            </w:pPr>
            <w:r>
              <w:rPr>
                <w:rFonts w:hint="eastAsia"/>
                <w:color w:val="auto"/>
              </w:rPr>
              <w:t>390</w:t>
            </w:r>
          </w:p>
        </w:tc>
        <w:tc>
          <w:tcPr>
            <w:tcW w:w="394" w:type="pct"/>
            <w:tcBorders>
              <w:tl2br w:val="nil"/>
              <w:tr2bl w:val="nil"/>
            </w:tcBorders>
            <w:shd w:val="clear" w:color="auto" w:fill="auto"/>
            <w:vAlign w:val="center"/>
          </w:tcPr>
          <w:p w14:paraId="39C6378F">
            <w:pPr>
              <w:pStyle w:val="766"/>
              <w:rPr>
                <w:color w:val="auto"/>
              </w:rPr>
            </w:pPr>
            <w:r>
              <w:rPr>
                <w:rFonts w:hint="eastAsia"/>
                <w:color w:val="auto"/>
              </w:rPr>
              <w:t>1138.31</w:t>
            </w:r>
          </w:p>
        </w:tc>
        <w:tc>
          <w:tcPr>
            <w:tcW w:w="542" w:type="pct"/>
            <w:tcBorders>
              <w:tl2br w:val="nil"/>
              <w:tr2bl w:val="nil"/>
            </w:tcBorders>
            <w:shd w:val="clear" w:color="auto" w:fill="auto"/>
            <w:vAlign w:val="center"/>
          </w:tcPr>
          <w:p w14:paraId="018C14ED">
            <w:pPr>
              <w:pStyle w:val="766"/>
              <w:rPr>
                <w:color w:val="auto"/>
              </w:rPr>
            </w:pPr>
            <w:r>
              <w:rPr>
                <w:rFonts w:hint="eastAsia"/>
                <w:color w:val="auto"/>
              </w:rPr>
              <w:t>3</w:t>
            </w:r>
          </w:p>
        </w:tc>
        <w:tc>
          <w:tcPr>
            <w:tcW w:w="402" w:type="pct"/>
            <w:tcBorders>
              <w:tl2br w:val="nil"/>
              <w:tr2bl w:val="nil"/>
            </w:tcBorders>
            <w:shd w:val="clear" w:color="auto" w:fill="auto"/>
            <w:vAlign w:val="center"/>
          </w:tcPr>
          <w:p w14:paraId="281A2ADF">
            <w:pPr>
              <w:pStyle w:val="766"/>
              <w:rPr>
                <w:color w:val="auto"/>
              </w:rPr>
            </w:pPr>
            <w:r>
              <w:rPr>
                <w:rFonts w:hint="eastAsia"/>
                <w:color w:val="auto"/>
              </w:rPr>
              <w:t>55</w:t>
            </w:r>
          </w:p>
        </w:tc>
        <w:tc>
          <w:tcPr>
            <w:tcW w:w="377" w:type="pct"/>
            <w:tcBorders>
              <w:tl2br w:val="nil"/>
              <w:tr2bl w:val="nil"/>
            </w:tcBorders>
            <w:shd w:val="clear" w:color="auto" w:fill="auto"/>
            <w:vAlign w:val="center"/>
          </w:tcPr>
          <w:p w14:paraId="7F7695F1">
            <w:pPr>
              <w:pStyle w:val="766"/>
              <w:rPr>
                <w:color w:val="auto"/>
              </w:rPr>
            </w:pPr>
            <w:r>
              <w:rPr>
                <w:color w:val="auto"/>
              </w:rPr>
              <w:t>8小时运行</w:t>
            </w:r>
          </w:p>
        </w:tc>
      </w:tr>
      <w:tr w14:paraId="4313F1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33E3BADB">
            <w:pPr>
              <w:pStyle w:val="766"/>
              <w:rPr>
                <w:color w:val="auto"/>
              </w:rPr>
            </w:pPr>
          </w:p>
        </w:tc>
        <w:tc>
          <w:tcPr>
            <w:tcW w:w="416" w:type="pct"/>
            <w:vMerge w:val="continue"/>
            <w:tcBorders>
              <w:tl2br w:val="nil"/>
              <w:tr2bl w:val="nil"/>
            </w:tcBorders>
            <w:shd w:val="clear" w:color="auto" w:fill="auto"/>
            <w:vAlign w:val="center"/>
          </w:tcPr>
          <w:p w14:paraId="4BA22720">
            <w:pPr>
              <w:pStyle w:val="766"/>
              <w:rPr>
                <w:color w:val="auto"/>
              </w:rPr>
            </w:pPr>
          </w:p>
        </w:tc>
        <w:tc>
          <w:tcPr>
            <w:tcW w:w="298" w:type="pct"/>
            <w:tcBorders>
              <w:tl2br w:val="nil"/>
              <w:tr2bl w:val="nil"/>
            </w:tcBorders>
            <w:shd w:val="clear" w:color="auto" w:fill="auto"/>
            <w:vAlign w:val="center"/>
          </w:tcPr>
          <w:p w14:paraId="78CD43ED">
            <w:pPr>
              <w:pStyle w:val="766"/>
              <w:rPr>
                <w:color w:val="auto"/>
              </w:rPr>
            </w:pPr>
            <w:r>
              <w:rPr>
                <w:rFonts w:hint="eastAsia"/>
                <w:color w:val="auto"/>
              </w:rPr>
              <w:t>制粒机</w:t>
            </w:r>
          </w:p>
        </w:tc>
        <w:tc>
          <w:tcPr>
            <w:tcW w:w="570" w:type="pct"/>
            <w:tcBorders>
              <w:tl2br w:val="nil"/>
              <w:tr2bl w:val="nil"/>
            </w:tcBorders>
            <w:shd w:val="clear" w:color="auto" w:fill="auto"/>
            <w:vAlign w:val="center"/>
          </w:tcPr>
          <w:p w14:paraId="057F8991">
            <w:pPr>
              <w:pStyle w:val="766"/>
              <w:rPr>
                <w:color w:val="auto"/>
              </w:rPr>
            </w:pPr>
            <w:r>
              <w:rPr>
                <w:rFonts w:hint="eastAsia"/>
                <w:color w:val="auto"/>
              </w:rPr>
              <w:t>70</w:t>
            </w:r>
          </w:p>
        </w:tc>
        <w:tc>
          <w:tcPr>
            <w:tcW w:w="1424" w:type="pct"/>
            <w:tcBorders>
              <w:tl2br w:val="nil"/>
              <w:tr2bl w:val="nil"/>
            </w:tcBorders>
            <w:shd w:val="clear" w:color="auto" w:fill="auto"/>
            <w:vAlign w:val="center"/>
          </w:tcPr>
          <w:p w14:paraId="6A6A75EF">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223" w:type="pct"/>
            <w:tcBorders>
              <w:tl2br w:val="nil"/>
              <w:tr2bl w:val="nil"/>
            </w:tcBorders>
            <w:shd w:val="clear" w:color="auto" w:fill="auto"/>
            <w:vAlign w:val="center"/>
          </w:tcPr>
          <w:p w14:paraId="54C2148F">
            <w:pPr>
              <w:pStyle w:val="766"/>
              <w:rPr>
                <w:color w:val="auto"/>
              </w:rPr>
            </w:pPr>
            <w:r>
              <w:rPr>
                <w:rFonts w:hint="eastAsia"/>
                <w:color w:val="auto"/>
              </w:rPr>
              <w:t>-476</w:t>
            </w:r>
          </w:p>
        </w:tc>
        <w:tc>
          <w:tcPr>
            <w:tcW w:w="182" w:type="pct"/>
            <w:tcBorders>
              <w:tl2br w:val="nil"/>
              <w:tr2bl w:val="nil"/>
            </w:tcBorders>
            <w:shd w:val="clear" w:color="auto" w:fill="auto"/>
            <w:vAlign w:val="center"/>
          </w:tcPr>
          <w:p w14:paraId="52F7F6C1">
            <w:pPr>
              <w:pStyle w:val="766"/>
              <w:rPr>
                <w:color w:val="auto"/>
              </w:rPr>
            </w:pPr>
            <w:r>
              <w:rPr>
                <w:rFonts w:hint="eastAsia"/>
                <w:color w:val="auto"/>
              </w:rPr>
              <w:t>390</w:t>
            </w:r>
          </w:p>
        </w:tc>
        <w:tc>
          <w:tcPr>
            <w:tcW w:w="394" w:type="pct"/>
            <w:tcBorders>
              <w:tl2br w:val="nil"/>
              <w:tr2bl w:val="nil"/>
            </w:tcBorders>
            <w:shd w:val="clear" w:color="auto" w:fill="auto"/>
            <w:vAlign w:val="center"/>
          </w:tcPr>
          <w:p w14:paraId="5A7B9F52">
            <w:pPr>
              <w:pStyle w:val="766"/>
              <w:rPr>
                <w:color w:val="auto"/>
              </w:rPr>
            </w:pPr>
            <w:r>
              <w:rPr>
                <w:rFonts w:hint="eastAsia"/>
                <w:color w:val="auto"/>
              </w:rPr>
              <w:t>1138.29</w:t>
            </w:r>
          </w:p>
        </w:tc>
        <w:tc>
          <w:tcPr>
            <w:tcW w:w="542" w:type="pct"/>
            <w:tcBorders>
              <w:tl2br w:val="nil"/>
              <w:tr2bl w:val="nil"/>
            </w:tcBorders>
            <w:shd w:val="clear" w:color="auto" w:fill="auto"/>
            <w:vAlign w:val="center"/>
          </w:tcPr>
          <w:p w14:paraId="34B4CBF8">
            <w:pPr>
              <w:pStyle w:val="766"/>
              <w:rPr>
                <w:color w:val="auto"/>
              </w:rPr>
            </w:pPr>
            <w:r>
              <w:rPr>
                <w:rFonts w:hint="eastAsia"/>
                <w:color w:val="auto"/>
              </w:rPr>
              <w:t>3</w:t>
            </w:r>
          </w:p>
        </w:tc>
        <w:tc>
          <w:tcPr>
            <w:tcW w:w="402" w:type="pct"/>
            <w:tcBorders>
              <w:tl2br w:val="nil"/>
              <w:tr2bl w:val="nil"/>
            </w:tcBorders>
            <w:shd w:val="clear" w:color="auto" w:fill="auto"/>
            <w:vAlign w:val="center"/>
          </w:tcPr>
          <w:p w14:paraId="5CAF1304">
            <w:pPr>
              <w:pStyle w:val="766"/>
              <w:rPr>
                <w:color w:val="auto"/>
              </w:rPr>
            </w:pPr>
            <w:r>
              <w:rPr>
                <w:rFonts w:hint="eastAsia"/>
                <w:color w:val="auto"/>
              </w:rPr>
              <w:t>50</w:t>
            </w:r>
          </w:p>
        </w:tc>
        <w:tc>
          <w:tcPr>
            <w:tcW w:w="377" w:type="pct"/>
            <w:tcBorders>
              <w:tl2br w:val="nil"/>
              <w:tr2bl w:val="nil"/>
            </w:tcBorders>
            <w:shd w:val="clear" w:color="auto" w:fill="auto"/>
            <w:vAlign w:val="center"/>
          </w:tcPr>
          <w:p w14:paraId="14D28582">
            <w:pPr>
              <w:pStyle w:val="766"/>
              <w:rPr>
                <w:color w:val="auto"/>
              </w:rPr>
            </w:pPr>
            <w:r>
              <w:rPr>
                <w:color w:val="auto"/>
              </w:rPr>
              <w:t>8小时运行</w:t>
            </w:r>
          </w:p>
        </w:tc>
      </w:tr>
      <w:tr w14:paraId="1E1D8C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vMerge w:val="continue"/>
            <w:tcBorders>
              <w:tl2br w:val="nil"/>
              <w:tr2bl w:val="nil"/>
            </w:tcBorders>
            <w:shd w:val="clear" w:color="auto" w:fill="auto"/>
            <w:vAlign w:val="center"/>
          </w:tcPr>
          <w:p w14:paraId="2020E93B">
            <w:pPr>
              <w:pStyle w:val="766"/>
              <w:rPr>
                <w:color w:val="auto"/>
              </w:rPr>
            </w:pPr>
          </w:p>
        </w:tc>
        <w:tc>
          <w:tcPr>
            <w:tcW w:w="416" w:type="pct"/>
            <w:vMerge w:val="continue"/>
            <w:tcBorders>
              <w:tl2br w:val="nil"/>
              <w:tr2bl w:val="nil"/>
            </w:tcBorders>
            <w:shd w:val="clear" w:color="auto" w:fill="auto"/>
            <w:vAlign w:val="center"/>
          </w:tcPr>
          <w:p w14:paraId="7EE71916">
            <w:pPr>
              <w:pStyle w:val="766"/>
              <w:rPr>
                <w:color w:val="auto"/>
              </w:rPr>
            </w:pPr>
          </w:p>
        </w:tc>
        <w:tc>
          <w:tcPr>
            <w:tcW w:w="298" w:type="pct"/>
            <w:tcBorders>
              <w:tl2br w:val="nil"/>
              <w:tr2bl w:val="nil"/>
            </w:tcBorders>
            <w:shd w:val="clear" w:color="auto" w:fill="auto"/>
            <w:vAlign w:val="center"/>
          </w:tcPr>
          <w:p w14:paraId="1553FE02">
            <w:pPr>
              <w:pStyle w:val="766"/>
              <w:rPr>
                <w:color w:val="auto"/>
              </w:rPr>
            </w:pPr>
            <w:r>
              <w:rPr>
                <w:rFonts w:hint="eastAsia"/>
                <w:color w:val="auto"/>
              </w:rPr>
              <w:t>包装机</w:t>
            </w:r>
          </w:p>
        </w:tc>
        <w:tc>
          <w:tcPr>
            <w:tcW w:w="570" w:type="pct"/>
            <w:tcBorders>
              <w:tl2br w:val="nil"/>
              <w:tr2bl w:val="nil"/>
            </w:tcBorders>
            <w:shd w:val="clear" w:color="auto" w:fill="auto"/>
            <w:vAlign w:val="center"/>
          </w:tcPr>
          <w:p w14:paraId="3F05DBE5">
            <w:pPr>
              <w:pStyle w:val="766"/>
              <w:rPr>
                <w:color w:val="auto"/>
              </w:rPr>
            </w:pPr>
            <w:r>
              <w:rPr>
                <w:rFonts w:hint="eastAsia"/>
                <w:color w:val="auto"/>
              </w:rPr>
              <w:t>65</w:t>
            </w:r>
          </w:p>
        </w:tc>
        <w:tc>
          <w:tcPr>
            <w:tcW w:w="1424" w:type="pct"/>
            <w:tcBorders>
              <w:tl2br w:val="nil"/>
              <w:tr2bl w:val="nil"/>
            </w:tcBorders>
            <w:shd w:val="clear" w:color="auto" w:fill="auto"/>
            <w:vAlign w:val="center"/>
          </w:tcPr>
          <w:p w14:paraId="7CDA8BE1">
            <w:pPr>
              <w:pStyle w:val="766"/>
              <w:rPr>
                <w:color w:val="auto"/>
                <w:shd w:val="clear" w:color="auto" w:fill="FFFFFF"/>
              </w:rPr>
            </w:pPr>
            <w:r>
              <w:rPr>
                <w:rFonts w:hint="eastAsia"/>
                <w:color w:val="auto"/>
                <w:shd w:val="clear" w:color="auto" w:fill="FFFFFF"/>
              </w:rPr>
              <w:t>低</w:t>
            </w:r>
            <w:r>
              <w:rPr>
                <w:color w:val="auto"/>
                <w:shd w:val="clear" w:color="auto" w:fill="FFFFFF"/>
              </w:rPr>
              <w:t>噪声设备、</w:t>
            </w:r>
            <w:r>
              <w:rPr>
                <w:rFonts w:hint="eastAsia"/>
                <w:color w:val="auto"/>
                <w:shd w:val="clear" w:color="auto" w:fill="FFFFFF"/>
              </w:rPr>
              <w:t>基础减振、厂房</w:t>
            </w:r>
            <w:r>
              <w:rPr>
                <w:color w:val="auto"/>
                <w:shd w:val="clear" w:color="auto" w:fill="FFFFFF"/>
              </w:rPr>
              <w:t>隔声</w:t>
            </w:r>
          </w:p>
        </w:tc>
        <w:tc>
          <w:tcPr>
            <w:tcW w:w="223" w:type="pct"/>
            <w:tcBorders>
              <w:tl2br w:val="nil"/>
              <w:tr2bl w:val="nil"/>
            </w:tcBorders>
            <w:shd w:val="clear" w:color="auto" w:fill="auto"/>
            <w:vAlign w:val="center"/>
          </w:tcPr>
          <w:p w14:paraId="2E222689">
            <w:pPr>
              <w:pStyle w:val="766"/>
              <w:rPr>
                <w:color w:val="auto"/>
              </w:rPr>
            </w:pPr>
            <w:r>
              <w:rPr>
                <w:rFonts w:hint="eastAsia"/>
                <w:color w:val="auto"/>
              </w:rPr>
              <w:t>-470</w:t>
            </w:r>
          </w:p>
        </w:tc>
        <w:tc>
          <w:tcPr>
            <w:tcW w:w="182" w:type="pct"/>
            <w:tcBorders>
              <w:tl2br w:val="nil"/>
              <w:tr2bl w:val="nil"/>
            </w:tcBorders>
            <w:shd w:val="clear" w:color="auto" w:fill="auto"/>
            <w:vAlign w:val="center"/>
          </w:tcPr>
          <w:p w14:paraId="42C9AC80">
            <w:pPr>
              <w:pStyle w:val="766"/>
              <w:rPr>
                <w:color w:val="auto"/>
              </w:rPr>
            </w:pPr>
            <w:r>
              <w:rPr>
                <w:rFonts w:hint="eastAsia"/>
                <w:color w:val="auto"/>
              </w:rPr>
              <w:t>412</w:t>
            </w:r>
          </w:p>
        </w:tc>
        <w:tc>
          <w:tcPr>
            <w:tcW w:w="394" w:type="pct"/>
            <w:tcBorders>
              <w:tl2br w:val="nil"/>
              <w:tr2bl w:val="nil"/>
            </w:tcBorders>
            <w:shd w:val="clear" w:color="auto" w:fill="auto"/>
            <w:vAlign w:val="center"/>
          </w:tcPr>
          <w:p w14:paraId="3FAE0697">
            <w:pPr>
              <w:pStyle w:val="766"/>
              <w:rPr>
                <w:color w:val="auto"/>
              </w:rPr>
            </w:pPr>
            <w:r>
              <w:rPr>
                <w:rFonts w:hint="eastAsia"/>
                <w:color w:val="auto"/>
              </w:rPr>
              <w:t>1138.22</w:t>
            </w:r>
          </w:p>
        </w:tc>
        <w:tc>
          <w:tcPr>
            <w:tcW w:w="542" w:type="pct"/>
            <w:tcBorders>
              <w:tl2br w:val="nil"/>
              <w:tr2bl w:val="nil"/>
            </w:tcBorders>
            <w:shd w:val="clear" w:color="auto" w:fill="auto"/>
            <w:vAlign w:val="center"/>
          </w:tcPr>
          <w:p w14:paraId="1A9A22C0">
            <w:pPr>
              <w:pStyle w:val="766"/>
              <w:rPr>
                <w:color w:val="auto"/>
              </w:rPr>
            </w:pPr>
            <w:r>
              <w:rPr>
                <w:rFonts w:hint="eastAsia"/>
                <w:color w:val="auto"/>
              </w:rPr>
              <w:t>3</w:t>
            </w:r>
          </w:p>
        </w:tc>
        <w:tc>
          <w:tcPr>
            <w:tcW w:w="402" w:type="pct"/>
            <w:tcBorders>
              <w:tl2br w:val="nil"/>
              <w:tr2bl w:val="nil"/>
            </w:tcBorders>
            <w:shd w:val="clear" w:color="auto" w:fill="auto"/>
            <w:vAlign w:val="center"/>
          </w:tcPr>
          <w:p w14:paraId="3FD964AE">
            <w:pPr>
              <w:pStyle w:val="766"/>
              <w:rPr>
                <w:color w:val="auto"/>
              </w:rPr>
            </w:pPr>
            <w:r>
              <w:rPr>
                <w:rFonts w:hint="eastAsia"/>
                <w:color w:val="auto"/>
              </w:rPr>
              <w:t>45</w:t>
            </w:r>
          </w:p>
        </w:tc>
        <w:tc>
          <w:tcPr>
            <w:tcW w:w="377" w:type="pct"/>
            <w:tcBorders>
              <w:tl2br w:val="nil"/>
              <w:tr2bl w:val="nil"/>
            </w:tcBorders>
            <w:shd w:val="clear" w:color="auto" w:fill="auto"/>
            <w:vAlign w:val="center"/>
          </w:tcPr>
          <w:p w14:paraId="2B3CCAAC">
            <w:pPr>
              <w:pStyle w:val="766"/>
              <w:rPr>
                <w:color w:val="auto"/>
              </w:rPr>
            </w:pPr>
            <w:r>
              <w:rPr>
                <w:color w:val="auto"/>
              </w:rPr>
              <w:t>8小时运行</w:t>
            </w:r>
          </w:p>
        </w:tc>
      </w:tr>
      <w:tr w14:paraId="45E77D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8" w:type="pct"/>
            <w:tcBorders>
              <w:tl2br w:val="nil"/>
              <w:tr2bl w:val="nil"/>
            </w:tcBorders>
            <w:shd w:val="clear" w:color="auto" w:fill="auto"/>
            <w:vAlign w:val="center"/>
          </w:tcPr>
          <w:p w14:paraId="3AD446EF">
            <w:pPr>
              <w:pStyle w:val="766"/>
              <w:rPr>
                <w:color w:val="auto"/>
              </w:rPr>
            </w:pPr>
            <w:r>
              <w:rPr>
                <w:rFonts w:hint="eastAsia"/>
                <w:color w:val="auto"/>
              </w:rPr>
              <w:t>4</w:t>
            </w:r>
          </w:p>
        </w:tc>
        <w:tc>
          <w:tcPr>
            <w:tcW w:w="416" w:type="pct"/>
            <w:tcBorders>
              <w:tl2br w:val="nil"/>
              <w:tr2bl w:val="nil"/>
            </w:tcBorders>
            <w:shd w:val="clear" w:color="auto" w:fill="auto"/>
            <w:vAlign w:val="center"/>
          </w:tcPr>
          <w:p w14:paraId="02B5D6F1">
            <w:pPr>
              <w:pStyle w:val="766"/>
              <w:rPr>
                <w:color w:val="auto"/>
              </w:rPr>
            </w:pPr>
            <w:r>
              <w:rPr>
                <w:color w:val="auto"/>
              </w:rPr>
              <w:t>水泵房</w:t>
            </w:r>
          </w:p>
        </w:tc>
        <w:tc>
          <w:tcPr>
            <w:tcW w:w="298" w:type="pct"/>
            <w:tcBorders>
              <w:tl2br w:val="nil"/>
              <w:tr2bl w:val="nil"/>
            </w:tcBorders>
            <w:shd w:val="clear" w:color="auto" w:fill="auto"/>
            <w:vAlign w:val="center"/>
          </w:tcPr>
          <w:p w14:paraId="64636BC7">
            <w:pPr>
              <w:pStyle w:val="766"/>
              <w:rPr>
                <w:color w:val="auto"/>
              </w:rPr>
            </w:pPr>
            <w:r>
              <w:rPr>
                <w:color w:val="auto"/>
              </w:rPr>
              <w:t>水泵</w:t>
            </w:r>
          </w:p>
        </w:tc>
        <w:tc>
          <w:tcPr>
            <w:tcW w:w="570" w:type="pct"/>
            <w:tcBorders>
              <w:tl2br w:val="nil"/>
              <w:tr2bl w:val="nil"/>
            </w:tcBorders>
            <w:shd w:val="clear" w:color="auto" w:fill="auto"/>
            <w:vAlign w:val="center"/>
          </w:tcPr>
          <w:p w14:paraId="0B7BB574">
            <w:pPr>
              <w:pStyle w:val="766"/>
              <w:rPr>
                <w:color w:val="auto"/>
              </w:rPr>
            </w:pPr>
            <w:r>
              <w:rPr>
                <w:color w:val="auto"/>
              </w:rPr>
              <w:t>80</w:t>
            </w:r>
          </w:p>
        </w:tc>
        <w:tc>
          <w:tcPr>
            <w:tcW w:w="1424" w:type="pct"/>
            <w:tcBorders>
              <w:tl2br w:val="nil"/>
              <w:tr2bl w:val="nil"/>
            </w:tcBorders>
            <w:shd w:val="clear" w:color="auto" w:fill="auto"/>
            <w:vAlign w:val="center"/>
          </w:tcPr>
          <w:p w14:paraId="0B0FE4D4">
            <w:pPr>
              <w:pStyle w:val="766"/>
              <w:rPr>
                <w:color w:val="auto"/>
              </w:rPr>
            </w:pPr>
            <w:r>
              <w:rPr>
                <w:color w:val="auto"/>
                <w:shd w:val="clear" w:color="auto" w:fill="FFFFFF"/>
              </w:rPr>
              <w:t>选低噪声设备，隔声、减震</w:t>
            </w:r>
          </w:p>
        </w:tc>
        <w:tc>
          <w:tcPr>
            <w:tcW w:w="223" w:type="pct"/>
            <w:tcBorders>
              <w:tl2br w:val="nil"/>
              <w:tr2bl w:val="nil"/>
            </w:tcBorders>
            <w:shd w:val="clear" w:color="auto" w:fill="auto"/>
            <w:vAlign w:val="center"/>
          </w:tcPr>
          <w:p w14:paraId="3577D98C">
            <w:pPr>
              <w:pStyle w:val="766"/>
              <w:rPr>
                <w:color w:val="auto"/>
              </w:rPr>
            </w:pPr>
            <w:r>
              <w:rPr>
                <w:color w:val="auto"/>
              </w:rPr>
              <w:t>-283</w:t>
            </w:r>
          </w:p>
        </w:tc>
        <w:tc>
          <w:tcPr>
            <w:tcW w:w="182" w:type="pct"/>
            <w:tcBorders>
              <w:tl2br w:val="nil"/>
              <w:tr2bl w:val="nil"/>
            </w:tcBorders>
            <w:shd w:val="clear" w:color="auto" w:fill="auto"/>
            <w:vAlign w:val="center"/>
          </w:tcPr>
          <w:p w14:paraId="2CB1C2B5">
            <w:pPr>
              <w:pStyle w:val="766"/>
              <w:rPr>
                <w:color w:val="auto"/>
              </w:rPr>
            </w:pPr>
            <w:r>
              <w:rPr>
                <w:color w:val="auto"/>
              </w:rPr>
              <w:t>323</w:t>
            </w:r>
          </w:p>
        </w:tc>
        <w:tc>
          <w:tcPr>
            <w:tcW w:w="394" w:type="pct"/>
            <w:tcBorders>
              <w:tl2br w:val="nil"/>
              <w:tr2bl w:val="nil"/>
            </w:tcBorders>
            <w:shd w:val="clear" w:color="auto" w:fill="auto"/>
            <w:vAlign w:val="center"/>
          </w:tcPr>
          <w:p w14:paraId="1A3DC980">
            <w:pPr>
              <w:pStyle w:val="766"/>
              <w:rPr>
                <w:color w:val="auto"/>
              </w:rPr>
            </w:pPr>
            <w:r>
              <w:rPr>
                <w:color w:val="auto"/>
              </w:rPr>
              <w:t>1136.32</w:t>
            </w:r>
          </w:p>
        </w:tc>
        <w:tc>
          <w:tcPr>
            <w:tcW w:w="542" w:type="pct"/>
            <w:tcBorders>
              <w:tl2br w:val="nil"/>
              <w:tr2bl w:val="nil"/>
            </w:tcBorders>
            <w:shd w:val="clear" w:color="auto" w:fill="auto"/>
            <w:vAlign w:val="center"/>
          </w:tcPr>
          <w:p w14:paraId="24528B1E">
            <w:pPr>
              <w:pStyle w:val="766"/>
              <w:rPr>
                <w:color w:val="auto"/>
              </w:rPr>
            </w:pPr>
            <w:r>
              <w:rPr>
                <w:color w:val="auto"/>
              </w:rPr>
              <w:t>3</w:t>
            </w:r>
          </w:p>
        </w:tc>
        <w:tc>
          <w:tcPr>
            <w:tcW w:w="402" w:type="pct"/>
            <w:tcBorders>
              <w:tl2br w:val="nil"/>
              <w:tr2bl w:val="nil"/>
            </w:tcBorders>
            <w:shd w:val="clear" w:color="auto" w:fill="auto"/>
            <w:vAlign w:val="center"/>
          </w:tcPr>
          <w:p w14:paraId="4F679C98">
            <w:pPr>
              <w:pStyle w:val="766"/>
              <w:rPr>
                <w:color w:val="auto"/>
              </w:rPr>
            </w:pPr>
            <w:r>
              <w:rPr>
                <w:color w:val="auto"/>
              </w:rPr>
              <w:t>70</w:t>
            </w:r>
          </w:p>
        </w:tc>
        <w:tc>
          <w:tcPr>
            <w:tcW w:w="377" w:type="pct"/>
            <w:tcBorders>
              <w:tl2br w:val="nil"/>
              <w:tr2bl w:val="nil"/>
            </w:tcBorders>
            <w:shd w:val="clear" w:color="auto" w:fill="auto"/>
            <w:vAlign w:val="center"/>
          </w:tcPr>
          <w:p w14:paraId="68831F23">
            <w:pPr>
              <w:pStyle w:val="766"/>
              <w:rPr>
                <w:color w:val="auto"/>
              </w:rPr>
            </w:pPr>
            <w:r>
              <w:rPr>
                <w:color w:val="auto"/>
              </w:rPr>
              <w:t>8小时运行</w:t>
            </w:r>
          </w:p>
        </w:tc>
      </w:tr>
    </w:tbl>
    <w:p w14:paraId="6155FDB6">
      <w:pPr>
        <w:pStyle w:val="12"/>
        <w:spacing w:line="377" w:lineRule="auto"/>
        <w:rPr>
          <w:bCs w:val="0"/>
        </w:rPr>
      </w:pPr>
      <w:r>
        <w:rPr>
          <w:bCs w:val="0"/>
        </w:rPr>
        <w:t>5.2.5.2 预测方法</w:t>
      </w:r>
    </w:p>
    <w:p w14:paraId="7E8CF450">
      <w:pPr>
        <w:pStyle w:val="230"/>
        <w:ind w:firstLine="480"/>
        <w:rPr>
          <w:lang w:eastAsia="zh-CN"/>
        </w:rPr>
      </w:pPr>
      <w:r>
        <w:rPr>
          <w:lang w:eastAsia="zh-CN"/>
        </w:rPr>
        <w:t>采用《环境影响评价技术导则声环境》（HJ2.4-2021）中工业噪声预测模式。边界噪声预测模式如下：</w:t>
      </w:r>
    </w:p>
    <w:p w14:paraId="1F833550">
      <w:pPr>
        <w:pStyle w:val="230"/>
        <w:ind w:firstLine="480"/>
        <w:rPr>
          <w:lang w:eastAsia="zh-CN"/>
        </w:rPr>
      </w:pPr>
      <w:r>
        <w:rPr>
          <w:lang w:eastAsia="zh-CN"/>
        </w:rPr>
        <w:t>（1）单个室外点声源在预测点产生的声级计算基本公式</w:t>
      </w:r>
    </w:p>
    <w:p w14:paraId="494BDE43">
      <w:pPr>
        <w:pStyle w:val="230"/>
        <w:ind w:firstLine="480"/>
        <w:rPr>
          <w:lang w:eastAsia="zh-CN"/>
        </w:rPr>
      </w:pPr>
      <w:r>
        <w:rPr>
          <w:lang w:eastAsia="zh-CN"/>
        </w:rPr>
        <w:t>已知声源的倍频带声功率级（从63Hz到8000Hz标称频带中心频率的8个倍频带），预测点位置的倍频带声压级</w:t>
      </w:r>
      <w:r>
        <w:object>
          <v:shape id="_x0000_i1029" o:spt="75" type="#_x0000_t75" style="height:18.75pt;width:33pt;" o:ole="t" filled="f" o:preferrelative="t" stroked="f" coordsize="21600,21600">
            <v:path/>
            <v:fill on="f" focussize="0,0"/>
            <v:stroke on="f" joinstyle="miter"/>
            <v:imagedata r:id="rId114" o:title=""/>
            <o:lock v:ext="edit" aspectratio="t"/>
            <w10:wrap type="none"/>
            <w10:anchorlock/>
          </v:shape>
          <o:OLEObject Type="Embed" ProgID="Equation.3" ShapeID="_x0000_i1029" DrawAspect="Content" ObjectID="_1468075730" r:id="rId113">
            <o:LockedField>false</o:LockedField>
          </o:OLEObject>
        </w:object>
      </w:r>
      <w:r>
        <w:rPr>
          <w:lang w:eastAsia="zh-CN"/>
        </w:rPr>
        <w:t>可按下式计算：</w:t>
      </w:r>
    </w:p>
    <w:p w14:paraId="7FD5776B">
      <w:pPr>
        <w:pStyle w:val="230"/>
        <w:ind w:firstLine="480"/>
      </w:pPr>
      <w:r>
        <w:rPr>
          <w:lang w:val="pt-BR"/>
        </w:rPr>
        <w:object>
          <v:shape id="_x0000_i1030" o:spt="75" type="#_x0000_t75" style="height:18.75pt;width:101.2pt;" o:ole="t" filled="f" o:preferrelative="t" stroked="f" coordsize="21600,21600">
            <v:path/>
            <v:fill on="f" focussize="0,0"/>
            <v:stroke on="f" joinstyle="miter"/>
            <v:imagedata r:id="rId116" o:title=""/>
            <o:lock v:ext="edit" aspectratio="t"/>
            <w10:wrap type="none"/>
            <w10:anchorlock/>
          </v:shape>
          <o:OLEObject Type="Embed" ProgID="Equation.3" ShapeID="_x0000_i1030" DrawAspect="Content" ObjectID="_1468075731" r:id="rId115">
            <o:LockedField>false</o:LockedField>
          </o:OLEObject>
        </w:object>
      </w:r>
    </w:p>
    <w:p w14:paraId="7C4DDEA1">
      <w:pPr>
        <w:pStyle w:val="230"/>
        <w:ind w:firstLine="480"/>
      </w:pPr>
      <w:r>
        <w:rPr>
          <w:lang w:val="pt-BR"/>
        </w:rPr>
        <w:object>
          <v:shape id="_x0000_i1031" o:spt="75" type="#_x0000_t75" style="height:18.75pt;width:167.15pt;" o:ole="t" filled="f" o:preferrelative="t" stroked="f" coordsize="21600,21600">
            <v:path/>
            <v:fill on="f" focussize="0,0"/>
            <v:stroke on="f" joinstyle="miter"/>
            <v:imagedata r:id="rId118" o:title=""/>
            <o:lock v:ext="edit" aspectratio="t"/>
            <w10:wrap type="none"/>
            <w10:anchorlock/>
          </v:shape>
          <o:OLEObject Type="Embed" ProgID="Equation.3" ShapeID="_x0000_i1031" DrawAspect="Content" ObjectID="_1468075732" r:id="rId117">
            <o:LockedField>false</o:LockedField>
          </o:OLEObject>
        </w:object>
      </w:r>
    </w:p>
    <w:p w14:paraId="0CAC49EB">
      <w:pPr>
        <w:pStyle w:val="230"/>
        <w:ind w:firstLine="480"/>
        <w:rPr>
          <w:lang w:val="pt-BR" w:eastAsia="zh-CN"/>
        </w:rPr>
      </w:pPr>
      <w:r>
        <w:rPr>
          <w:lang w:eastAsia="zh-CN"/>
        </w:rPr>
        <w:t>式中</w:t>
      </w:r>
      <w:r>
        <w:rPr>
          <w:lang w:val="pt-BR" w:eastAsia="zh-CN"/>
        </w:rPr>
        <w:t>：</w:t>
      </w:r>
      <w:r>
        <w:rPr>
          <w:lang w:val="pt-BR"/>
        </w:rPr>
        <w:object>
          <v:shape id="_x0000_i1032" o:spt="75" type="#_x0000_t75" style="height:18.75pt;width:33pt;" o:ole="t" filled="f" o:preferrelative="t" stroked="f" coordsize="21600,21600">
            <v:path/>
            <v:fill on="f" focussize="0,0"/>
            <v:stroke on="f" joinstyle="miter"/>
            <v:imagedata r:id="rId120" o:title=""/>
            <o:lock v:ext="edit" aspectratio="t"/>
            <w10:wrap type="none"/>
            <w10:anchorlock/>
          </v:shape>
          <o:OLEObject Type="Embed" ProgID="Equation.3" ShapeID="_x0000_i1032" DrawAspect="Content" ObjectID="_1468075733" r:id="rId119">
            <o:LockedField>false</o:LockedField>
          </o:OLEObject>
        </w:object>
      </w:r>
      <w:r>
        <w:rPr>
          <w:lang w:val="pt-BR" w:eastAsia="zh-CN"/>
        </w:rPr>
        <w:t xml:space="preserve">— </w:t>
      </w:r>
      <w:r>
        <w:rPr>
          <w:lang w:eastAsia="zh-CN"/>
        </w:rPr>
        <w:t>距离声源</w:t>
      </w:r>
      <w:r>
        <w:rPr>
          <w:lang w:val="pt-BR" w:eastAsia="zh-CN"/>
        </w:rPr>
        <w:t>r</w:t>
      </w:r>
      <w:r>
        <w:rPr>
          <w:lang w:eastAsia="zh-CN"/>
        </w:rPr>
        <w:t>处的</w:t>
      </w:r>
      <w:r>
        <w:rPr>
          <w:lang w:val="pt-BR" w:eastAsia="zh-CN"/>
        </w:rPr>
        <w:t>倍频带声压级，dB；</w:t>
      </w:r>
    </w:p>
    <w:p w14:paraId="623017B8">
      <w:pPr>
        <w:pStyle w:val="230"/>
        <w:ind w:firstLine="480"/>
        <w:rPr>
          <w:lang w:val="pt-BR" w:eastAsia="zh-CN"/>
        </w:rPr>
      </w:pPr>
      <w:r>
        <w:object>
          <v:shape id="_x0000_i1033" o:spt="75" type="#_x0000_t75" style="height:18.75pt;width:15.75pt;" o:ole="t" filled="f" o:preferrelative="t" stroked="f" coordsize="21600,21600">
            <v:path/>
            <v:fill on="f" focussize="0,0"/>
            <v:stroke on="f" joinstyle="miter"/>
            <v:imagedata r:id="rId122" o:title=""/>
            <o:lock v:ext="edit" aspectratio="t"/>
            <w10:wrap type="none"/>
            <w10:anchorlock/>
          </v:shape>
          <o:OLEObject Type="Embed" ProgID="Equation.3" ShapeID="_x0000_i1033" DrawAspect="Content" ObjectID="_1468075734" r:id="rId121">
            <o:LockedField>false</o:LockedField>
          </o:OLEObject>
        </w:object>
      </w:r>
      <w:r>
        <w:rPr>
          <w:lang w:val="pt-BR" w:eastAsia="zh-CN"/>
        </w:rPr>
        <w:t xml:space="preserve"> — </w:t>
      </w:r>
      <w:r>
        <w:rPr>
          <w:lang w:eastAsia="zh-CN"/>
        </w:rPr>
        <w:t>指向性校正</w:t>
      </w:r>
      <w:r>
        <w:rPr>
          <w:lang w:val="pt-BR" w:eastAsia="zh-CN"/>
        </w:rPr>
        <w:t>，dB；</w:t>
      </w:r>
    </w:p>
    <w:p w14:paraId="7D013E7C">
      <w:pPr>
        <w:pStyle w:val="230"/>
        <w:ind w:firstLine="480"/>
        <w:rPr>
          <w:lang w:val="pt-BR" w:eastAsia="zh-CN"/>
        </w:rPr>
      </w:pPr>
      <w:r>
        <w:object>
          <v:shape id="_x0000_i1034" o:spt="75" type="#_x0000_t75" style="height:12.75pt;width:12.75pt;" o:ole="t" filled="f" o:preferrelative="t" stroked="f" coordsize="21600,21600">
            <v:path/>
            <v:fill on="f" focussize="0,0"/>
            <v:stroke on="f" joinstyle="miter"/>
            <v:imagedata r:id="rId124" o:title=""/>
            <o:lock v:ext="edit" aspectratio="t"/>
            <w10:wrap type="none"/>
            <w10:anchorlock/>
          </v:shape>
          <o:OLEObject Type="Embed" ProgID="Equation.3" ShapeID="_x0000_i1034" DrawAspect="Content" ObjectID="_1468075735" r:id="rId123">
            <o:LockedField>false</o:LockedField>
          </o:OLEObject>
        </w:object>
      </w:r>
      <w:r>
        <w:rPr>
          <w:lang w:val="pt-BR" w:eastAsia="zh-CN"/>
        </w:rPr>
        <w:t xml:space="preserve">— </w:t>
      </w:r>
      <w:r>
        <w:rPr>
          <w:lang w:eastAsia="zh-CN"/>
        </w:rPr>
        <w:t>倍频带衰减，dB；</w:t>
      </w:r>
    </w:p>
    <w:p w14:paraId="4F7F8F95">
      <w:pPr>
        <w:pStyle w:val="230"/>
        <w:ind w:firstLine="480"/>
        <w:rPr>
          <w:lang w:val="pt-BR" w:eastAsia="zh-CN"/>
        </w:rPr>
      </w:pPr>
      <w:r>
        <w:object>
          <v:shape id="_x0000_i1035" o:spt="75" type="#_x0000_t75" style="height:18.75pt;width:18.75pt;" o:ole="t" filled="f" o:preferrelative="t" stroked="f" coordsize="21600,21600">
            <v:path/>
            <v:fill on="f" focussize="0,0"/>
            <v:stroke on="f" joinstyle="miter"/>
            <v:imagedata r:id="rId126" o:title=""/>
            <o:lock v:ext="edit" aspectratio="t"/>
            <w10:wrap type="none"/>
            <w10:anchorlock/>
          </v:shape>
          <o:OLEObject Type="Embed" ProgID="Equation.3" ShapeID="_x0000_i1035" DrawAspect="Content" ObjectID="_1468075736" r:id="rId125">
            <o:LockedField>false</o:LockedField>
          </o:OLEObject>
        </w:object>
      </w:r>
      <w:r>
        <w:rPr>
          <w:lang w:val="pt-BR" w:eastAsia="zh-CN"/>
        </w:rPr>
        <w:t xml:space="preserve">— </w:t>
      </w:r>
      <w:r>
        <w:rPr>
          <w:lang w:eastAsia="zh-CN"/>
        </w:rPr>
        <w:t>几何发散引起的倍频带衰减，dB；</w:t>
      </w:r>
    </w:p>
    <w:p w14:paraId="171D70BB">
      <w:pPr>
        <w:pStyle w:val="230"/>
        <w:ind w:firstLine="480"/>
        <w:rPr>
          <w:lang w:eastAsia="zh-CN"/>
        </w:rPr>
      </w:pPr>
      <w:r>
        <w:object>
          <v:shape id="_x0000_i1036" o:spt="75" type="#_x0000_t75" style="height:18.75pt;width:18.75pt;" o:ole="t" filled="f" o:preferrelative="t" stroked="f" coordsize="21600,21600">
            <v:path/>
            <v:fill on="f" focussize="0,0"/>
            <v:stroke on="f" joinstyle="miter"/>
            <v:imagedata r:id="rId128" o:title=""/>
            <o:lock v:ext="edit" aspectratio="t"/>
            <w10:wrap type="none"/>
            <w10:anchorlock/>
          </v:shape>
          <o:OLEObject Type="Embed" ProgID="Equation.3" ShapeID="_x0000_i1036" DrawAspect="Content" ObjectID="_1468075737" r:id="rId127">
            <o:LockedField>false</o:LockedField>
          </o:OLEObject>
        </w:object>
      </w:r>
      <w:r>
        <w:rPr>
          <w:lang w:val="pt-BR" w:eastAsia="zh-CN"/>
        </w:rPr>
        <w:t xml:space="preserve">— </w:t>
      </w:r>
      <w:r>
        <w:rPr>
          <w:lang w:eastAsia="zh-CN"/>
        </w:rPr>
        <w:t>地面效应引起的倍频带衰减，dB；</w:t>
      </w:r>
    </w:p>
    <w:p w14:paraId="4C0744CA">
      <w:pPr>
        <w:pStyle w:val="230"/>
        <w:ind w:firstLine="480"/>
        <w:rPr>
          <w:lang w:val="pt-BR" w:eastAsia="zh-CN"/>
        </w:rPr>
      </w:pPr>
      <w:r>
        <w:object>
          <v:shape id="_x0000_i1037" o:spt="75" type="#_x0000_t75" style="height:18.75pt;width:23.25pt;" o:ole="t" filled="f" o:preferrelative="t" stroked="f" coordsize="21600,21600">
            <v:path/>
            <v:fill on="f" focussize="0,0"/>
            <v:stroke on="f" joinstyle="miter"/>
            <v:imagedata r:id="rId130" o:title=""/>
            <o:lock v:ext="edit" aspectratio="t"/>
            <w10:wrap type="none"/>
            <w10:anchorlock/>
          </v:shape>
          <o:OLEObject Type="Embed" ProgID="Equation.3" ShapeID="_x0000_i1037" DrawAspect="Content" ObjectID="_1468075738" r:id="rId129">
            <o:LockedField>false</o:LockedField>
          </o:OLEObject>
        </w:object>
      </w:r>
      <w:r>
        <w:rPr>
          <w:lang w:val="pt-BR" w:eastAsia="zh-CN"/>
        </w:rPr>
        <w:t xml:space="preserve">— </w:t>
      </w:r>
      <w:r>
        <w:rPr>
          <w:lang w:eastAsia="zh-CN"/>
        </w:rPr>
        <w:t>大气吸收引起的倍频带衰减，dB；</w:t>
      </w:r>
    </w:p>
    <w:p w14:paraId="4DE10B90">
      <w:pPr>
        <w:pStyle w:val="230"/>
        <w:ind w:firstLine="480"/>
        <w:rPr>
          <w:lang w:val="pt-BR" w:eastAsia="zh-CN"/>
        </w:rPr>
      </w:pPr>
      <w:r>
        <w:object>
          <v:shape id="_x0000_i1038" o:spt="75" type="#_x0000_t75" style="height:18.75pt;width:23.25pt;" o:ole="t" filled="f" o:preferrelative="t" stroked="f" coordsize="21600,21600">
            <v:path/>
            <v:fill on="f" focussize="0,0"/>
            <v:stroke on="f" joinstyle="miter"/>
            <v:imagedata r:id="rId132" o:title=""/>
            <o:lock v:ext="edit" aspectratio="t"/>
            <w10:wrap type="none"/>
            <w10:anchorlock/>
          </v:shape>
          <o:OLEObject Type="Embed" ProgID="Equation.3" ShapeID="_x0000_i1038" DrawAspect="Content" ObjectID="_1468075739" r:id="rId131">
            <o:LockedField>false</o:LockedField>
          </o:OLEObject>
        </w:object>
      </w:r>
      <w:r>
        <w:rPr>
          <w:lang w:val="pt-BR" w:eastAsia="zh-CN"/>
        </w:rPr>
        <w:t xml:space="preserve">— </w:t>
      </w:r>
      <w:r>
        <w:rPr>
          <w:lang w:eastAsia="zh-CN"/>
        </w:rPr>
        <w:t>声屏障引起的倍频带衰减，dB；</w:t>
      </w:r>
    </w:p>
    <w:p w14:paraId="2D689A58">
      <w:pPr>
        <w:pStyle w:val="230"/>
        <w:ind w:firstLine="480"/>
        <w:rPr>
          <w:lang w:val="pt-BR" w:eastAsia="zh-CN"/>
        </w:rPr>
      </w:pPr>
      <w:r>
        <w:object>
          <v:shape id="_x0000_i1039" o:spt="75" type="#_x0000_t75" style="height:18.75pt;width:26.25pt;" o:ole="t" filled="f" o:preferrelative="t" stroked="f" coordsize="21600,21600">
            <v:path/>
            <v:fill on="f" focussize="0,0"/>
            <v:stroke on="f" joinstyle="miter"/>
            <v:imagedata r:id="rId134" o:title=""/>
            <o:lock v:ext="edit" aspectratio="t"/>
            <w10:wrap type="none"/>
            <w10:anchorlock/>
          </v:shape>
          <o:OLEObject Type="Embed" ProgID="Equation.3" ShapeID="_x0000_i1039" DrawAspect="Content" ObjectID="_1468075740" r:id="rId133">
            <o:LockedField>false</o:LockedField>
          </o:OLEObject>
        </w:object>
      </w:r>
      <w:r>
        <w:rPr>
          <w:lang w:val="pt-BR" w:eastAsia="zh-CN"/>
        </w:rPr>
        <w:t xml:space="preserve">— </w:t>
      </w:r>
      <w:r>
        <w:rPr>
          <w:lang w:eastAsia="zh-CN"/>
        </w:rPr>
        <w:t>其他多方面效应引起的倍频带衰减，dB。</w:t>
      </w:r>
    </w:p>
    <w:p w14:paraId="1066C260">
      <w:pPr>
        <w:pStyle w:val="230"/>
        <w:ind w:firstLine="480"/>
        <w:rPr>
          <w:lang w:val="pt-BR" w:eastAsia="zh-CN"/>
        </w:rPr>
      </w:pPr>
      <w:r>
        <w:rPr>
          <w:lang w:eastAsia="zh-CN"/>
        </w:rPr>
        <w:t>（2）室内声源等效室外声源声功率级计算方法</w:t>
      </w:r>
    </w:p>
    <w:p w14:paraId="6E2CA0A1">
      <w:pPr>
        <w:pStyle w:val="230"/>
        <w:ind w:firstLine="480"/>
        <w:rPr>
          <w:lang w:val="pt-BR" w:eastAsia="zh-CN"/>
        </w:rPr>
      </w:pPr>
      <w:r>
        <w:rPr>
          <w:rFonts w:hint="eastAsia" w:ascii="宋体" w:hAnsi="宋体" w:cs="宋体"/>
          <w:lang w:eastAsia="zh-CN"/>
        </w:rPr>
        <w:t>①</w:t>
      </w:r>
      <w:r>
        <w:rPr>
          <w:lang w:eastAsia="zh-CN"/>
        </w:rPr>
        <w:t>首先计算出某个室内声源靠近围护结构处的倍频带声压级：</w:t>
      </w:r>
    </w:p>
    <w:p w14:paraId="59E8C73A">
      <w:pPr>
        <w:pStyle w:val="230"/>
        <w:ind w:firstLine="480"/>
      </w:pPr>
      <w:r>
        <w:object>
          <v:shape id="_x0000_i1040" o:spt="75" type="#_x0000_t75" style="height:33pt;width:134.25pt;" o:ole="t" filled="f" o:preferrelative="t" stroked="f" coordsize="21600,21600">
            <v:path/>
            <v:fill on="f" focussize="0,0"/>
            <v:stroke on="f" joinstyle="miter"/>
            <v:imagedata r:id="rId136" o:title=""/>
            <o:lock v:ext="edit" aspectratio="t"/>
            <w10:wrap type="none"/>
            <w10:anchorlock/>
          </v:shape>
          <o:OLEObject Type="Embed" ProgID="Equation.3" ShapeID="_x0000_i1040" DrawAspect="Content" ObjectID="_1468075741" r:id="rId135">
            <o:LockedField>false</o:LockedField>
          </o:OLEObject>
        </w:object>
      </w:r>
    </w:p>
    <w:p w14:paraId="7F062280">
      <w:pPr>
        <w:pStyle w:val="230"/>
        <w:ind w:firstLine="480"/>
        <w:rPr>
          <w:lang w:val="pt-BR" w:eastAsia="zh-CN"/>
        </w:rPr>
      </w:pPr>
      <w:r>
        <w:rPr>
          <w:lang w:eastAsia="zh-CN"/>
        </w:rPr>
        <w:t>式中：</w:t>
      </w:r>
      <w:r>
        <w:object>
          <v:shape id="_x0000_i1041" o:spt="75" type="#_x0000_t75" style="height:18.75pt;width:18.75pt;" o:ole="t" filled="f" o:preferrelative="t" stroked="f" coordsize="21600,21600">
            <v:path/>
            <v:fill on="f" focussize="0,0"/>
            <v:stroke on="f" joinstyle="miter"/>
            <v:imagedata r:id="rId138" o:title=""/>
            <o:lock v:ext="edit" aspectratio="t"/>
            <w10:wrap type="none"/>
            <w10:anchorlock/>
          </v:shape>
          <o:OLEObject Type="Embed" ProgID="Equation.3" ShapeID="_x0000_i1041" DrawAspect="Content" ObjectID="_1468075742" r:id="rId137">
            <o:LockedField>false</o:LockedField>
          </o:OLEObject>
        </w:object>
      </w:r>
      <w:r>
        <w:rPr>
          <w:lang w:val="pt-BR" w:eastAsia="zh-CN"/>
        </w:rPr>
        <w:t xml:space="preserve">— </w:t>
      </w:r>
      <w:r>
        <w:rPr>
          <w:lang w:eastAsia="zh-CN"/>
        </w:rPr>
        <w:t>室内声源在靠近围护结构处产生的倍频带声压级，dB；</w:t>
      </w:r>
    </w:p>
    <w:p w14:paraId="1384508D">
      <w:pPr>
        <w:pStyle w:val="230"/>
        <w:ind w:firstLine="480"/>
        <w:rPr>
          <w:lang w:val="pt-BR" w:eastAsia="zh-CN"/>
        </w:rPr>
      </w:pPr>
      <w:r>
        <w:object>
          <v:shape id="_x0000_i1042" o:spt="75" type="#_x0000_t75" style="height:18.75pt;width:15.75pt;" o:ole="t" filled="f" o:preferrelative="t" stroked="f" coordsize="21600,21600">
            <v:path/>
            <v:fill on="f" focussize="0,0"/>
            <v:stroke on="f" joinstyle="miter"/>
            <v:imagedata r:id="rId140" o:title=""/>
            <o:lock v:ext="edit" aspectratio="t"/>
            <w10:wrap type="none"/>
            <w10:anchorlock/>
          </v:shape>
          <o:OLEObject Type="Embed" ProgID="Equation.3" ShapeID="_x0000_i1042" DrawAspect="Content" ObjectID="_1468075743" r:id="rId139">
            <o:LockedField>false</o:LockedField>
          </o:OLEObject>
        </w:object>
      </w:r>
      <w:r>
        <w:rPr>
          <w:lang w:val="pt-BR" w:eastAsia="zh-CN"/>
        </w:rPr>
        <w:t xml:space="preserve">— </w:t>
      </w:r>
      <w:r>
        <w:rPr>
          <w:lang w:eastAsia="zh-CN"/>
        </w:rPr>
        <w:t>声源的倍频带声功率级，dB；</w:t>
      </w:r>
    </w:p>
    <w:p w14:paraId="3458B341">
      <w:pPr>
        <w:pStyle w:val="230"/>
        <w:ind w:firstLine="480"/>
        <w:rPr>
          <w:lang w:val="pt-BR" w:eastAsia="zh-CN"/>
        </w:rPr>
      </w:pPr>
      <w:r>
        <w:object>
          <v:shape id="_x0000_i1043" o:spt="75" type="#_x0000_t75" style="height:9.75pt;width:9.75pt;" o:ole="t" filled="f" o:preferrelative="t" stroked="f" coordsize="21600,21600">
            <v:path/>
            <v:fill on="f" focussize="0,0"/>
            <v:stroke on="f" joinstyle="miter"/>
            <v:imagedata r:id="rId142" o:title=""/>
            <o:lock v:ext="edit" aspectratio="t"/>
            <w10:wrap type="none"/>
            <w10:anchorlock/>
          </v:shape>
          <o:OLEObject Type="Embed" ProgID="Equation.3" ShapeID="_x0000_i1043" DrawAspect="Content" ObjectID="_1468075744" r:id="rId141">
            <o:LockedField>false</o:LockedField>
          </o:OLEObject>
        </w:object>
      </w:r>
      <w:r>
        <w:rPr>
          <w:lang w:val="pt-BR" w:eastAsia="zh-CN"/>
        </w:rPr>
        <w:t xml:space="preserve">— </w:t>
      </w:r>
      <w:r>
        <w:rPr>
          <w:lang w:eastAsia="zh-CN"/>
        </w:rPr>
        <w:t>声源到靠近围护结构某点处的距离，m；</w:t>
      </w:r>
    </w:p>
    <w:p w14:paraId="0D608588">
      <w:pPr>
        <w:pStyle w:val="230"/>
        <w:ind w:firstLine="480"/>
        <w:rPr>
          <w:lang w:val="pt-BR" w:eastAsia="zh-CN"/>
        </w:rPr>
      </w:pPr>
      <w:r>
        <w:object>
          <v:shape id="_x0000_i1044" o:spt="75" type="#_x0000_t75" style="height:15.75pt;width:12.75pt;" o:ole="t" filled="f" o:preferrelative="t" stroked="f" coordsize="21600,21600">
            <v:path/>
            <v:fill on="f" focussize="0,0"/>
            <v:stroke on="f" joinstyle="miter"/>
            <v:imagedata r:id="rId144" o:title=""/>
            <o:lock v:ext="edit" aspectratio="t"/>
            <w10:wrap type="none"/>
            <w10:anchorlock/>
          </v:shape>
          <o:OLEObject Type="Embed" ProgID="Equation.3" ShapeID="_x0000_i1044" DrawAspect="Content" ObjectID="_1468075745" r:id="rId143">
            <o:LockedField>false</o:LockedField>
          </o:OLEObject>
        </w:object>
      </w:r>
      <w:r>
        <w:rPr>
          <w:lang w:val="pt-BR" w:eastAsia="zh-CN"/>
        </w:rPr>
        <w:t xml:space="preserve">— </w:t>
      </w:r>
      <w:r>
        <w:rPr>
          <w:lang w:eastAsia="zh-CN"/>
        </w:rPr>
        <w:t>指向性因子；</w:t>
      </w:r>
    </w:p>
    <w:p w14:paraId="6ACB50A1">
      <w:pPr>
        <w:pStyle w:val="230"/>
        <w:ind w:firstLine="480"/>
        <w:rPr>
          <w:lang w:val="pt-BR" w:eastAsia="zh-CN"/>
        </w:rPr>
      </w:pPr>
      <w:r>
        <w:object>
          <v:shape id="_x0000_i1045" o:spt="75" type="#_x0000_t75" style="height:12.75pt;width:12.75pt;" o:ole="t" filled="f" o:preferrelative="t" stroked="f" coordsize="21600,21600">
            <v:path/>
            <v:fill on="f" focussize="0,0"/>
            <v:stroke on="f" joinstyle="miter"/>
            <v:imagedata r:id="rId146" o:title=""/>
            <o:lock v:ext="edit" aspectratio="t"/>
            <w10:wrap type="none"/>
            <w10:anchorlock/>
          </v:shape>
          <o:OLEObject Type="Embed" ProgID="Equation.3" ShapeID="_x0000_i1045" DrawAspect="Content" ObjectID="_1468075746" r:id="rId145">
            <o:LockedField>false</o:LockedField>
          </o:OLEObject>
        </w:object>
      </w:r>
      <w:r>
        <w:rPr>
          <w:lang w:val="pt-BR" w:eastAsia="zh-CN"/>
        </w:rPr>
        <w:t xml:space="preserve">— </w:t>
      </w:r>
      <w:r>
        <w:rPr>
          <w:lang w:eastAsia="zh-CN"/>
        </w:rPr>
        <w:t>房间常数，</w:t>
      </w:r>
      <w:r>
        <w:object>
          <v:shape id="_x0000_i1046" o:spt="75" type="#_x0000_t75" style="height:15.75pt;width:75pt;" o:ole="t" filled="f" o:preferrelative="t" stroked="f" coordsize="21600,21600">
            <v:path/>
            <v:fill on="f" focussize="0,0"/>
            <v:stroke on="f" joinstyle="miter"/>
            <v:imagedata r:id="rId148" o:title=""/>
            <o:lock v:ext="edit" aspectratio="t"/>
            <w10:wrap type="none"/>
            <w10:anchorlock/>
          </v:shape>
          <o:OLEObject Type="Embed" ProgID="Equation.3" ShapeID="_x0000_i1046" DrawAspect="Content" ObjectID="_1468075747" r:id="rId147">
            <o:LockedField>false</o:LockedField>
          </o:OLEObject>
        </w:object>
      </w:r>
      <w:r>
        <w:rPr>
          <w:lang w:eastAsia="zh-CN"/>
        </w:rPr>
        <w:t>，</w:t>
      </w:r>
      <w:r>
        <w:object>
          <v:shape id="_x0000_i1047" o:spt="75" type="#_x0000_t75" style="height:15.75pt;width:9.75pt;" o:ole="t" filled="f" o:preferrelative="t" stroked="f" coordsize="21600,21600">
            <v:path/>
            <v:fill on="f" focussize="0,0"/>
            <v:stroke on="f" joinstyle="miter"/>
            <v:imagedata r:id="rId150" o:title=""/>
            <o:lock v:ext="edit" aspectratio="t"/>
            <w10:wrap type="none"/>
            <w10:anchorlock/>
          </v:shape>
          <o:OLEObject Type="Embed" ProgID="Equation.3" ShapeID="_x0000_i1047" DrawAspect="Content" ObjectID="_1468075748" r:id="rId149">
            <o:LockedField>false</o:LockedField>
          </o:OLEObject>
        </w:object>
      </w:r>
      <w:r>
        <w:rPr>
          <w:lang w:eastAsia="zh-CN"/>
        </w:rPr>
        <w:t>为房间内表面面积，m2，</w:t>
      </w:r>
      <w:r>
        <w:object>
          <v:shape id="_x0000_i1048" o:spt="75" type="#_x0000_t75" style="height:9.75pt;width:12.75pt;" o:ole="t" filled="f" o:preferrelative="t" stroked="f" coordsize="21600,21600">
            <v:path/>
            <v:fill on="f" focussize="0,0"/>
            <v:stroke on="f" joinstyle="miter"/>
            <v:imagedata r:id="rId152" o:title=""/>
            <o:lock v:ext="edit" aspectratio="t"/>
            <w10:wrap type="none"/>
            <w10:anchorlock/>
          </v:shape>
          <o:OLEObject Type="Embed" ProgID="Equation.3" ShapeID="_x0000_i1048" DrawAspect="Content" ObjectID="_1468075749" r:id="rId151">
            <o:LockedField>false</o:LockedField>
          </o:OLEObject>
        </w:object>
      </w:r>
      <w:r>
        <w:rPr>
          <w:lang w:eastAsia="zh-CN"/>
        </w:rPr>
        <w:t>为平均吸声系数。</w:t>
      </w:r>
    </w:p>
    <w:p w14:paraId="1E5A837B">
      <w:pPr>
        <w:pStyle w:val="230"/>
        <w:ind w:firstLine="480"/>
        <w:rPr>
          <w:lang w:val="pt-BR" w:eastAsia="zh-CN"/>
        </w:rPr>
      </w:pPr>
      <w:r>
        <w:rPr>
          <w:rFonts w:hint="eastAsia" w:ascii="宋体" w:hAnsi="宋体" w:cs="宋体"/>
          <w:lang w:eastAsia="zh-CN"/>
        </w:rPr>
        <w:t>②</w:t>
      </w:r>
      <w:r>
        <w:rPr>
          <w:lang w:eastAsia="zh-CN"/>
        </w:rPr>
        <w:t>计算出所有室内声源在靠近围护结构处产生的</w:t>
      </w:r>
      <w:r>
        <w:object>
          <v:shape id="_x0000_i1049" o:spt="75" type="#_x0000_t75" style="height:12.75pt;width:6.75pt;" o:ole="t" filled="f" o:preferrelative="t" stroked="f" coordsize="21600,21600">
            <v:path/>
            <v:fill on="f" focussize="0,0"/>
            <v:stroke on="f" joinstyle="miter"/>
            <v:imagedata r:id="rId154" o:title=""/>
            <o:lock v:ext="edit" aspectratio="t"/>
            <w10:wrap type="none"/>
            <w10:anchorlock/>
          </v:shape>
          <o:OLEObject Type="Embed" ProgID="Equation.3" ShapeID="_x0000_i1049" DrawAspect="Content" ObjectID="_1468075750" r:id="rId153">
            <o:LockedField>false</o:LockedField>
          </o:OLEObject>
        </w:object>
      </w:r>
      <w:r>
        <w:rPr>
          <w:lang w:eastAsia="zh-CN"/>
        </w:rPr>
        <w:t>倍频带叠加声压级：</w:t>
      </w:r>
    </w:p>
    <w:p w14:paraId="692FA069">
      <w:pPr>
        <w:pStyle w:val="230"/>
        <w:ind w:firstLine="480"/>
        <w:rPr>
          <w:lang w:val="pt-BR"/>
        </w:rPr>
      </w:pPr>
      <w:r>
        <w:object>
          <v:shape id="_x0000_i1050" o:spt="75" type="#_x0000_t75" style="height:36pt;width:131.25pt;" o:ole="t" filled="f" o:preferrelative="t" stroked="f" coordsize="21600,21600">
            <v:path/>
            <v:fill on="f" focussize="0,0"/>
            <v:stroke on="f" joinstyle="miter"/>
            <v:imagedata r:id="rId156" o:title=""/>
            <o:lock v:ext="edit" aspectratio="t"/>
            <w10:wrap type="none"/>
            <w10:anchorlock/>
          </v:shape>
          <o:OLEObject Type="Embed" ProgID="Equation.3" ShapeID="_x0000_i1050" DrawAspect="Content" ObjectID="_1468075751" r:id="rId155">
            <o:LockedField>false</o:LockedField>
          </o:OLEObject>
        </w:object>
      </w:r>
    </w:p>
    <w:p w14:paraId="0620855B">
      <w:pPr>
        <w:pStyle w:val="230"/>
        <w:ind w:firstLine="480"/>
        <w:rPr>
          <w:lang w:val="pt-BR" w:eastAsia="zh-CN"/>
        </w:rPr>
      </w:pPr>
      <w:r>
        <w:rPr>
          <w:lang w:eastAsia="zh-CN"/>
        </w:rPr>
        <w:t>式中：</w:t>
      </w:r>
      <w:r>
        <w:object>
          <v:shape id="_x0000_i1051" o:spt="75" type="#_x0000_t75" style="height:18.75pt;width:39pt;" o:ole="t" filled="f" o:preferrelative="t" stroked="f" coordsize="21600,21600">
            <v:path/>
            <v:fill on="f" focussize="0,0"/>
            <v:stroke on="f" joinstyle="miter"/>
            <v:imagedata r:id="rId158" o:title=""/>
            <o:lock v:ext="edit" aspectratio="t"/>
            <w10:wrap type="none"/>
            <w10:anchorlock/>
          </v:shape>
          <o:OLEObject Type="Embed" ProgID="Equation.3" ShapeID="_x0000_i1051" DrawAspect="Content" ObjectID="_1468075752" r:id="rId157">
            <o:LockedField>false</o:LockedField>
          </o:OLEObject>
        </w:object>
      </w:r>
      <w:r>
        <w:rPr>
          <w:lang w:val="pt-BR" w:eastAsia="zh-CN"/>
        </w:rPr>
        <w:t xml:space="preserve">— </w:t>
      </w:r>
      <w:r>
        <w:rPr>
          <w:lang w:eastAsia="zh-CN"/>
        </w:rPr>
        <w:t>靠近围护结构处室内N个声源</w:t>
      </w:r>
      <w:r>
        <w:object>
          <v:shape id="_x0000_i1052" o:spt="75" type="#_x0000_t75" style="height:12.75pt;width:6.75pt;" o:ole="t" filled="f" o:preferrelative="t" stroked="f" coordsize="21600,21600">
            <v:path/>
            <v:fill on="f" focussize="0,0"/>
            <v:stroke on="f" joinstyle="miter"/>
            <v:imagedata r:id="rId160" o:title=""/>
            <o:lock v:ext="edit" aspectratio="t"/>
            <w10:wrap type="none"/>
            <w10:anchorlock/>
          </v:shape>
          <o:OLEObject Type="Embed" ProgID="Equation.3" ShapeID="_x0000_i1052" DrawAspect="Content" ObjectID="_1468075753" r:id="rId159">
            <o:LockedField>false</o:LockedField>
          </o:OLEObject>
        </w:object>
      </w:r>
      <w:r>
        <w:rPr>
          <w:lang w:eastAsia="zh-CN"/>
        </w:rPr>
        <w:t>倍频带的叠加声压级，dB；</w:t>
      </w:r>
    </w:p>
    <w:p w14:paraId="400D0F94">
      <w:pPr>
        <w:pStyle w:val="230"/>
        <w:ind w:firstLine="480"/>
        <w:rPr>
          <w:lang w:val="pt-BR" w:eastAsia="zh-CN"/>
        </w:rPr>
      </w:pPr>
      <w:r>
        <w:object>
          <v:shape id="_x0000_i1053" o:spt="75" type="#_x0000_t75" style="height:18.75pt;width:23.25pt;" o:ole="t" filled="f" o:preferrelative="t" stroked="f" coordsize="21600,21600">
            <v:path/>
            <v:fill on="f" focussize="0,0"/>
            <v:stroke on="f" joinstyle="miter"/>
            <v:imagedata r:id="rId162" o:title=""/>
            <o:lock v:ext="edit" aspectratio="t"/>
            <w10:wrap type="none"/>
            <w10:anchorlock/>
          </v:shape>
          <o:OLEObject Type="Embed" ProgID="Equation.3" ShapeID="_x0000_i1053" DrawAspect="Content" ObjectID="_1468075754" r:id="rId161">
            <o:LockedField>false</o:LockedField>
          </o:OLEObject>
        </w:object>
      </w:r>
      <w:r>
        <w:rPr>
          <w:lang w:val="pt-BR" w:eastAsia="zh-CN"/>
        </w:rPr>
        <w:t xml:space="preserve">— </w:t>
      </w:r>
      <w:r>
        <w:rPr>
          <w:lang w:eastAsia="zh-CN"/>
        </w:rPr>
        <w:t>室内</w:t>
      </w:r>
      <w:r>
        <w:object>
          <v:shape id="_x0000_i1054" o:spt="75" type="#_x0000_t75" style="height:15.75pt;width:9.75pt;" o:ole="t" filled="f" o:preferrelative="t" stroked="f" coordsize="21600,21600">
            <v:path/>
            <v:fill on="f" focussize="0,0"/>
            <v:stroke on="f" joinstyle="miter"/>
            <v:imagedata r:id="rId164" o:title=""/>
            <o:lock v:ext="edit" aspectratio="t"/>
            <w10:wrap type="none"/>
            <w10:anchorlock/>
          </v:shape>
          <o:OLEObject Type="Embed" ProgID="Equation.3" ShapeID="_x0000_i1054" DrawAspect="Content" ObjectID="_1468075755" r:id="rId163">
            <o:LockedField>false</o:LockedField>
          </o:OLEObject>
        </w:object>
      </w:r>
      <w:r>
        <w:rPr>
          <w:lang w:eastAsia="zh-CN"/>
        </w:rPr>
        <w:t>声源</w:t>
      </w:r>
      <w:r>
        <w:object>
          <v:shape id="_x0000_i1055" o:spt="75" type="#_x0000_t75" style="height:12.75pt;width:6.75pt;" o:ole="t" filled="f" o:preferrelative="t" stroked="f" coordsize="21600,21600">
            <v:path/>
            <v:fill on="f" focussize="0,0"/>
            <v:stroke on="f" joinstyle="miter"/>
            <v:imagedata r:id="rId166" o:title=""/>
            <o:lock v:ext="edit" aspectratio="t"/>
            <w10:wrap type="none"/>
            <w10:anchorlock/>
          </v:shape>
          <o:OLEObject Type="Embed" ProgID="Equation.3" ShapeID="_x0000_i1055" DrawAspect="Content" ObjectID="_1468075756" r:id="rId165">
            <o:LockedField>false</o:LockedField>
          </o:OLEObject>
        </w:object>
      </w:r>
      <w:r>
        <w:rPr>
          <w:lang w:eastAsia="zh-CN"/>
        </w:rPr>
        <w:t>倍频带的声压级，dB；</w:t>
      </w:r>
    </w:p>
    <w:p w14:paraId="228C6CE1">
      <w:pPr>
        <w:pStyle w:val="230"/>
        <w:ind w:firstLine="480"/>
        <w:rPr>
          <w:lang w:val="pt-BR" w:eastAsia="zh-CN"/>
        </w:rPr>
      </w:pPr>
      <w:r>
        <w:object>
          <v:shape id="_x0000_i1056" o:spt="75" type="#_x0000_t75" style="height:15.75pt;width:15.75pt;" o:ole="t" filled="f" o:preferrelative="t" stroked="f" coordsize="21600,21600">
            <v:path/>
            <v:fill on="f" focussize="0,0"/>
            <v:stroke on="f" joinstyle="miter"/>
            <v:imagedata r:id="rId168" o:title=""/>
            <o:lock v:ext="edit" aspectratio="t"/>
            <w10:wrap type="none"/>
            <w10:anchorlock/>
          </v:shape>
          <o:OLEObject Type="Embed" ProgID="Equation.3" ShapeID="_x0000_i1056" DrawAspect="Content" ObjectID="_1468075757" r:id="rId167">
            <o:LockedField>false</o:LockedField>
          </o:OLEObject>
        </w:object>
      </w:r>
      <w:r>
        <w:rPr>
          <w:lang w:val="pt-BR" w:eastAsia="zh-CN"/>
        </w:rPr>
        <w:t xml:space="preserve">— </w:t>
      </w:r>
      <w:r>
        <w:rPr>
          <w:lang w:eastAsia="zh-CN"/>
        </w:rPr>
        <w:t>室内声源总数。</w:t>
      </w:r>
    </w:p>
    <w:p w14:paraId="5B9A364E">
      <w:pPr>
        <w:pStyle w:val="230"/>
        <w:ind w:firstLine="480"/>
        <w:rPr>
          <w:lang w:val="pt-BR" w:eastAsia="zh-CN"/>
        </w:rPr>
      </w:pPr>
      <w:r>
        <w:rPr>
          <w:rFonts w:hint="eastAsia" w:ascii="宋体" w:hAnsi="宋体" w:cs="宋体"/>
          <w:lang w:eastAsia="zh-CN"/>
        </w:rPr>
        <w:t>③</w:t>
      </w:r>
      <w:r>
        <w:rPr>
          <w:lang w:eastAsia="zh-CN"/>
        </w:rPr>
        <w:t>计算出室外靠近围护结构处的声压级：</w:t>
      </w:r>
    </w:p>
    <w:p w14:paraId="1383CD9B">
      <w:pPr>
        <w:pStyle w:val="230"/>
        <w:ind w:firstLine="480"/>
        <w:rPr>
          <w:lang w:val="pt-BR"/>
        </w:rPr>
      </w:pPr>
      <w:r>
        <w:object>
          <v:shape id="_x0000_i1057" o:spt="75" type="#_x0000_t75" style="height:18.75pt;width:134.25pt;" o:ole="t" filled="f" o:preferrelative="t" stroked="f" coordsize="21600,21600">
            <v:path/>
            <v:fill on="f" focussize="0,0"/>
            <v:stroke on="f" joinstyle="miter"/>
            <v:imagedata r:id="rId170" o:title=""/>
            <o:lock v:ext="edit" aspectratio="t"/>
            <w10:wrap type="none"/>
            <w10:anchorlock/>
          </v:shape>
          <o:OLEObject Type="Embed" ProgID="Equation.3" ShapeID="_x0000_i1057" DrawAspect="Content" ObjectID="_1468075758" r:id="rId169">
            <o:LockedField>false</o:LockedField>
          </o:OLEObject>
        </w:object>
      </w:r>
    </w:p>
    <w:p w14:paraId="540F6EAF">
      <w:pPr>
        <w:pStyle w:val="230"/>
        <w:ind w:firstLine="480"/>
        <w:rPr>
          <w:lang w:val="pt-BR" w:eastAsia="zh-CN"/>
        </w:rPr>
      </w:pPr>
      <w:r>
        <w:rPr>
          <w:lang w:eastAsia="zh-CN"/>
        </w:rPr>
        <w:t>式中：</w:t>
      </w:r>
      <w:r>
        <w:object>
          <v:shape id="_x0000_i1058" o:spt="75" type="#_x0000_t75" style="height:18.75pt;width:39pt;" o:ole="t" filled="f" o:preferrelative="t" stroked="f" coordsize="21600,21600">
            <v:path/>
            <v:fill on="f" focussize="0,0"/>
            <v:stroke on="f" joinstyle="miter"/>
            <v:imagedata r:id="rId172" o:title=""/>
            <o:lock v:ext="edit" aspectratio="t"/>
            <w10:wrap type="none"/>
            <w10:anchorlock/>
          </v:shape>
          <o:OLEObject Type="Embed" ProgID="Equation.3" ShapeID="_x0000_i1058" DrawAspect="Content" ObjectID="_1468075759" r:id="rId171">
            <o:LockedField>false</o:LockedField>
          </o:OLEObject>
        </w:object>
      </w:r>
      <w:r>
        <w:rPr>
          <w:lang w:val="pt-BR" w:eastAsia="zh-CN"/>
        </w:rPr>
        <w:t xml:space="preserve">— </w:t>
      </w:r>
      <w:r>
        <w:rPr>
          <w:lang w:eastAsia="zh-CN"/>
        </w:rPr>
        <w:t>靠近围护结构处室外N个声源</w:t>
      </w:r>
      <w:r>
        <w:object>
          <v:shape id="_x0000_i1059" o:spt="75" type="#_x0000_t75" style="height:12.75pt;width:6.75pt;" o:ole="t" filled="f" o:preferrelative="t" stroked="f" coordsize="21600,21600">
            <v:path/>
            <v:fill on="f" focussize="0,0"/>
            <v:stroke on="f" joinstyle="miter"/>
            <v:imagedata r:id="rId174" o:title=""/>
            <o:lock v:ext="edit" aspectratio="t"/>
            <w10:wrap type="none"/>
            <w10:anchorlock/>
          </v:shape>
          <o:OLEObject Type="Embed" ProgID="Equation.3" ShapeID="_x0000_i1059" DrawAspect="Content" ObjectID="_1468075760" r:id="rId173">
            <o:LockedField>false</o:LockedField>
          </o:OLEObject>
        </w:object>
      </w:r>
      <w:r>
        <w:rPr>
          <w:lang w:eastAsia="zh-CN"/>
        </w:rPr>
        <w:t>倍频带的叠加声压级，dB；</w:t>
      </w:r>
    </w:p>
    <w:p w14:paraId="435139A8">
      <w:pPr>
        <w:pStyle w:val="230"/>
        <w:ind w:firstLine="480"/>
        <w:rPr>
          <w:lang w:val="pt-BR" w:eastAsia="zh-CN"/>
        </w:rPr>
      </w:pPr>
      <w:r>
        <w:object>
          <v:shape id="_x0000_i1060" o:spt="75" type="#_x0000_t75" style="height:18.75pt;width:18.75pt;" o:ole="t" filled="f" o:preferrelative="t" stroked="f" coordsize="21600,21600">
            <v:path/>
            <v:fill on="f" focussize="0,0"/>
            <v:stroke on="f" joinstyle="miter"/>
            <v:imagedata r:id="rId176" o:title=""/>
            <o:lock v:ext="edit" aspectratio="t"/>
            <w10:wrap type="none"/>
            <w10:anchorlock/>
          </v:shape>
          <o:OLEObject Type="Embed" ProgID="Equation.3" ShapeID="_x0000_i1060" DrawAspect="Content" ObjectID="_1468075761" r:id="rId175">
            <o:LockedField>false</o:LockedField>
          </o:OLEObject>
        </w:object>
      </w:r>
      <w:r>
        <w:rPr>
          <w:lang w:val="pt-BR" w:eastAsia="zh-CN"/>
        </w:rPr>
        <w:t xml:space="preserve">— </w:t>
      </w:r>
      <w:r>
        <w:rPr>
          <w:lang w:eastAsia="zh-CN"/>
        </w:rPr>
        <w:t>围护结构</w:t>
      </w:r>
      <w:r>
        <w:object>
          <v:shape id="_x0000_i1061" o:spt="75" type="#_x0000_t75" style="height:12.75pt;width:6.75pt;" o:ole="t" filled="f" o:preferrelative="t" stroked="f" coordsize="21600,21600">
            <v:path/>
            <v:fill on="f" focussize="0,0"/>
            <v:stroke on="f" joinstyle="miter"/>
            <v:imagedata r:id="rId178" o:title=""/>
            <o:lock v:ext="edit" aspectratio="t"/>
            <w10:wrap type="none"/>
            <w10:anchorlock/>
          </v:shape>
          <o:OLEObject Type="Embed" ProgID="Equation.3" ShapeID="_x0000_i1061" DrawAspect="Content" ObjectID="_1468075762" r:id="rId177">
            <o:LockedField>false</o:LockedField>
          </o:OLEObject>
        </w:object>
      </w:r>
      <w:r>
        <w:rPr>
          <w:lang w:eastAsia="zh-CN"/>
        </w:rPr>
        <w:t>倍频带的隔声量，dB；</w:t>
      </w:r>
    </w:p>
    <w:p w14:paraId="6EEE6F35">
      <w:pPr>
        <w:pStyle w:val="230"/>
        <w:ind w:firstLine="480"/>
        <w:rPr>
          <w:lang w:val="pt-BR" w:eastAsia="zh-CN"/>
        </w:rPr>
      </w:pPr>
      <w:r>
        <w:rPr>
          <w:rFonts w:hint="eastAsia" w:ascii="宋体" w:hAnsi="宋体" w:cs="宋体"/>
          <w:lang w:eastAsia="zh-CN"/>
        </w:rPr>
        <w:t>④</w:t>
      </w:r>
      <w:r>
        <w:rPr>
          <w:lang w:eastAsia="zh-CN"/>
        </w:rPr>
        <w:t>将室外声源的声压级和透过面积换算成等效的室外声源，计算出中心位置位于透声面积（S）处的等效声源的倍频带声功率级。</w:t>
      </w:r>
    </w:p>
    <w:p w14:paraId="70747FD8">
      <w:pPr>
        <w:pStyle w:val="230"/>
        <w:ind w:firstLine="480"/>
        <w:rPr>
          <w:lang w:val="pt-BR"/>
        </w:rPr>
      </w:pPr>
      <w:r>
        <w:object>
          <v:shape id="_x0000_i1062" o:spt="75" type="#_x0000_t75" style="height:18.75pt;width:105pt;" o:ole="t" filled="f" o:preferrelative="t" stroked="f" coordsize="21600,21600">
            <v:path/>
            <v:fill on="f" focussize="0,0"/>
            <v:stroke on="f" joinstyle="miter"/>
            <v:imagedata r:id="rId180" o:title=""/>
            <o:lock v:ext="edit" aspectratio="t"/>
            <w10:wrap type="none"/>
            <w10:anchorlock/>
          </v:shape>
          <o:OLEObject Type="Embed" ProgID="Equation.3" ShapeID="_x0000_i1062" DrawAspect="Content" ObjectID="_1468075763" r:id="rId179">
            <o:LockedField>false</o:LockedField>
          </o:OLEObject>
        </w:object>
      </w:r>
    </w:p>
    <w:p w14:paraId="1A209319">
      <w:pPr>
        <w:pStyle w:val="230"/>
        <w:ind w:firstLine="480"/>
        <w:rPr>
          <w:lang w:eastAsia="zh-CN"/>
        </w:rPr>
      </w:pPr>
      <w:r>
        <w:rPr>
          <w:rFonts w:hint="eastAsia" w:ascii="宋体" w:hAnsi="宋体" w:cs="宋体"/>
          <w:lang w:eastAsia="zh-CN"/>
        </w:rPr>
        <w:t>⑤</w:t>
      </w:r>
      <w:r>
        <w:rPr>
          <w:lang w:eastAsia="zh-CN"/>
        </w:rPr>
        <w:t>等效室外声源的位置为围护结构的位置，其倍频带声功率级为</w:t>
      </w:r>
      <w:r>
        <w:object>
          <v:shape id="_x0000_i1063" o:spt="75" type="#_x0000_t75" style="height:18.75pt;width:15.75pt;" o:ole="t" filled="f" o:preferrelative="t" stroked="f" coordsize="21600,21600">
            <v:path/>
            <v:fill on="f" focussize="0,0"/>
            <v:stroke on="f" joinstyle="miter"/>
            <v:imagedata r:id="rId182" o:title=""/>
            <o:lock v:ext="edit" aspectratio="t"/>
            <w10:wrap type="none"/>
            <w10:anchorlock/>
          </v:shape>
          <o:OLEObject Type="Embed" ProgID="Equation.3" ShapeID="_x0000_i1063" DrawAspect="Content" ObjectID="_1468075764" r:id="rId181">
            <o:LockedField>false</o:LockedField>
          </o:OLEObject>
        </w:object>
      </w:r>
      <w:r>
        <w:rPr>
          <w:lang w:eastAsia="zh-CN"/>
        </w:rPr>
        <w:t>，根据厂房结构（门、窗）和预测点的位置关系，分别按照面声源、线声源和点声源的衰减模式，计算预测点处的声级。</w:t>
      </w:r>
    </w:p>
    <w:p w14:paraId="4629AF8B">
      <w:pPr>
        <w:pStyle w:val="230"/>
        <w:ind w:firstLine="480"/>
        <w:rPr>
          <w:lang w:eastAsia="zh-CN"/>
        </w:rPr>
      </w:pPr>
      <w:r>
        <w:rPr>
          <w:lang w:eastAsia="zh-CN"/>
        </w:rPr>
        <w:t>假设窗户的宽度为a，高度为b，窗户个数为n；预测点距墙中心的距离为</w:t>
      </w:r>
      <w:r>
        <w:object>
          <v:shape id="_x0000_i1064" o:spt="75" type="#_x0000_t75" style="height:9.75pt;width:9.75pt;" o:ole="t" filled="f" o:preferrelative="t" stroked="f" coordsize="21600,21600">
            <v:path/>
            <v:fill on="f" focussize="0,0"/>
            <v:stroke on="f" joinstyle="miter"/>
            <v:imagedata r:id="rId184" o:title=""/>
            <o:lock v:ext="edit" aspectratio="t"/>
            <w10:wrap type="none"/>
            <w10:anchorlock/>
          </v:shape>
          <o:OLEObject Type="Embed" ProgID="Equation.3" ShapeID="_x0000_i1064" DrawAspect="Content" ObjectID="_1468075765" r:id="rId183">
            <o:LockedField>false</o:LockedField>
          </o:OLEObject>
        </w:object>
      </w:r>
      <w:r>
        <w:rPr>
          <w:lang w:eastAsia="zh-CN"/>
        </w:rPr>
        <w:t>。预测点的声级按照下述公式进行预测：</w:t>
      </w:r>
    </w:p>
    <w:p w14:paraId="059B0B1C">
      <w:pPr>
        <w:pStyle w:val="230"/>
        <w:ind w:firstLine="480"/>
        <w:rPr>
          <w:lang w:eastAsia="zh-CN"/>
        </w:rPr>
      </w:pPr>
      <w:r>
        <w:rPr>
          <w:lang w:eastAsia="zh-CN"/>
        </w:rPr>
        <w:t>当</w:t>
      </w:r>
      <w:r>
        <w:object>
          <v:shape id="_x0000_i1065" o:spt="75" type="#_x0000_t75" style="height:33pt;width:33pt;" o:ole="t" filled="f" o:preferrelative="t" stroked="f" coordsize="21600,21600">
            <v:path/>
            <v:fill on="f" focussize="0,0"/>
            <v:stroke on="f" joinstyle="miter"/>
            <v:imagedata r:id="rId186" o:title=""/>
            <o:lock v:ext="edit" aspectratio="t"/>
            <w10:wrap type="none"/>
            <w10:anchorlock/>
          </v:shape>
          <o:OLEObject Type="Embed" ProgID="Equation.3" ShapeID="_x0000_i1065" DrawAspect="Content" ObjectID="_1468075766" r:id="rId185">
            <o:LockedField>false</o:LockedField>
          </o:OLEObject>
        </w:object>
      </w:r>
      <w:r>
        <w:rPr>
          <w:lang w:eastAsia="zh-CN"/>
        </w:rPr>
        <w:t>时，</w:t>
      </w:r>
      <w:r>
        <w:object>
          <v:shape id="_x0000_i1066" o:spt="75" type="#_x0000_t75" style="height:15.75pt;width:56.2pt;" o:ole="t" filled="f" o:preferrelative="t" stroked="f" coordsize="21600,21600">
            <v:path/>
            <v:fill on="f" focussize="0,0"/>
            <v:stroke on="f" joinstyle="miter"/>
            <v:imagedata r:id="rId188" o:title=""/>
            <o:lock v:ext="edit" aspectratio="t"/>
            <w10:wrap type="none"/>
            <w10:anchorlock/>
          </v:shape>
          <o:OLEObject Type="Embed" ProgID="Equation.3" ShapeID="_x0000_i1066" DrawAspect="Content" ObjectID="_1468075767" r:id="rId187">
            <o:LockedField>false</o:LockedField>
          </o:OLEObject>
        </w:object>
      </w:r>
      <w:r>
        <w:rPr>
          <w:lang w:eastAsia="zh-CN"/>
        </w:rPr>
        <w:t>（即按面声源处理）；</w:t>
      </w:r>
    </w:p>
    <w:p w14:paraId="2E7C24F5">
      <w:pPr>
        <w:pStyle w:val="230"/>
        <w:ind w:firstLine="480"/>
        <w:rPr>
          <w:lang w:eastAsia="zh-CN"/>
        </w:rPr>
      </w:pPr>
      <w:r>
        <w:rPr>
          <w:lang w:eastAsia="zh-CN"/>
        </w:rPr>
        <w:t>当</w:t>
      </w:r>
      <w:r>
        <w:object>
          <v:shape id="_x0000_i1067" o:spt="75" type="#_x0000_t75" style="height:33pt;width:56.2pt;" o:ole="t" filled="f" o:preferrelative="t" stroked="f" coordsize="21600,21600">
            <v:path/>
            <v:fill on="f" focussize="0,0"/>
            <v:stroke on="f" joinstyle="miter"/>
            <v:imagedata r:id="rId190" o:title=""/>
            <o:lock v:ext="edit" aspectratio="t"/>
            <w10:wrap type="none"/>
            <w10:anchorlock/>
          </v:shape>
          <o:OLEObject Type="Embed" ProgID="Equation.3" ShapeID="_x0000_i1067" DrawAspect="Content" ObjectID="_1468075768" r:id="rId189">
            <o:LockedField>false</o:LockedField>
          </o:OLEObject>
        </w:object>
      </w:r>
      <w:r>
        <w:rPr>
          <w:lang w:eastAsia="zh-CN"/>
        </w:rPr>
        <w:t>时，</w:t>
      </w:r>
      <w:r>
        <w:object>
          <v:shape id="_x0000_i1068" o:spt="75" type="#_x0000_t75" style="height:33pt;width:98.3pt;" o:ole="t" filled="f" o:preferrelative="t" stroked="f" coordsize="21600,21600">
            <v:path/>
            <v:fill on="f" focussize="0,0"/>
            <v:stroke on="f" joinstyle="miter"/>
            <v:imagedata r:id="rId192" o:title=""/>
            <o:lock v:ext="edit" aspectratio="t"/>
            <w10:wrap type="none"/>
            <w10:anchorlock/>
          </v:shape>
          <o:OLEObject Type="Embed" ProgID="Equation.3" ShapeID="_x0000_i1068" DrawAspect="Content" ObjectID="_1468075769" r:id="rId191">
            <o:LockedField>false</o:LockedField>
          </o:OLEObject>
        </w:object>
      </w:r>
      <w:r>
        <w:rPr>
          <w:lang w:eastAsia="zh-CN"/>
        </w:rPr>
        <w:t>（即按线声源处理）；</w:t>
      </w:r>
    </w:p>
    <w:p w14:paraId="7B194295">
      <w:pPr>
        <w:pStyle w:val="230"/>
        <w:ind w:firstLine="480"/>
        <w:rPr>
          <w:lang w:eastAsia="zh-CN"/>
        </w:rPr>
      </w:pPr>
      <w:r>
        <w:rPr>
          <w:lang w:eastAsia="zh-CN"/>
        </w:rPr>
        <w:t>当</w:t>
      </w:r>
      <w:r>
        <w:object>
          <v:shape id="_x0000_i1069" o:spt="75" type="#_x0000_t75" style="height:33pt;width:36pt;" o:ole="t" filled="f" o:preferrelative="t" stroked="f" coordsize="21600,21600">
            <v:path/>
            <v:fill on="f" focussize="0,0"/>
            <v:stroke on="f" joinstyle="miter"/>
            <v:imagedata r:id="rId194" o:title=""/>
            <o:lock v:ext="edit" aspectratio="t"/>
            <w10:wrap type="none"/>
            <w10:anchorlock/>
          </v:shape>
          <o:OLEObject Type="Embed" ProgID="Equation.3" ShapeID="_x0000_i1069" DrawAspect="Content" ObjectID="_1468075770" r:id="rId193">
            <o:LockedField>false</o:LockedField>
          </o:OLEObject>
        </w:object>
      </w:r>
      <w:r>
        <w:rPr>
          <w:lang w:eastAsia="zh-CN"/>
        </w:rPr>
        <w:t>时，</w:t>
      </w:r>
      <w:r>
        <w:object>
          <v:shape id="_x0000_i1070" o:spt="75" type="#_x0000_t75" style="height:33pt;width:107.2pt;" o:ole="t" filled="f" o:preferrelative="t" stroked="f" coordsize="21600,21600">
            <v:path/>
            <v:fill on="f" focussize="0,0"/>
            <v:stroke on="f" joinstyle="miter"/>
            <v:imagedata r:id="rId196" o:title=""/>
            <o:lock v:ext="edit" aspectratio="t"/>
            <w10:wrap type="none"/>
            <w10:anchorlock/>
          </v:shape>
          <o:OLEObject Type="Embed" ProgID="Equation.3" ShapeID="_x0000_i1070" DrawAspect="Content" ObjectID="_1468075771" r:id="rId195">
            <o:LockedField>false</o:LockedField>
          </o:OLEObject>
        </w:object>
      </w:r>
      <w:r>
        <w:rPr>
          <w:lang w:eastAsia="zh-CN"/>
        </w:rPr>
        <w:t>（即按点声源处理）；</w:t>
      </w:r>
    </w:p>
    <w:p w14:paraId="59FE6857">
      <w:pPr>
        <w:pStyle w:val="230"/>
        <w:ind w:firstLine="480"/>
        <w:rPr>
          <w:lang w:eastAsia="zh-CN"/>
        </w:rPr>
      </w:pPr>
      <w:r>
        <w:rPr>
          <w:lang w:eastAsia="zh-CN"/>
        </w:rPr>
        <w:t>（3）计算总声压级</w:t>
      </w:r>
    </w:p>
    <w:p w14:paraId="5F5A6BB2">
      <w:pPr>
        <w:pStyle w:val="230"/>
        <w:ind w:firstLine="480"/>
        <w:rPr>
          <w:lang w:eastAsia="zh-CN"/>
        </w:rPr>
      </w:pPr>
      <w:bookmarkStart w:id="413" w:name="_Toc90324306"/>
      <w:r>
        <w:rPr>
          <w:rFonts w:hint="eastAsia" w:ascii="宋体" w:hAnsi="宋体" w:cs="宋体"/>
          <w:lang w:eastAsia="zh-CN"/>
        </w:rPr>
        <w:t>①</w:t>
      </w:r>
      <w:r>
        <w:rPr>
          <w:lang w:eastAsia="zh-CN"/>
        </w:rPr>
        <w:t>计算本工程各室外噪声源和各含噪声源厂房对各预测点噪声贡献值</w:t>
      </w:r>
      <w:bookmarkEnd w:id="413"/>
    </w:p>
    <w:p w14:paraId="417CA1DF">
      <w:pPr>
        <w:pStyle w:val="230"/>
        <w:ind w:firstLine="480"/>
        <w:rPr>
          <w:lang w:eastAsia="zh-CN"/>
        </w:rPr>
      </w:pPr>
      <w:r>
        <w:rPr>
          <w:lang w:eastAsia="zh-CN"/>
        </w:rPr>
        <w:t>设第</w:t>
      </w:r>
      <w:r>
        <w:object>
          <v:shape id="_x0000_i1071" o:spt="75" type="#_x0000_t75" style="height:12.75pt;width:6.75pt;" o:ole="t" filled="f" o:preferrelative="t" stroked="f" coordsize="21600,21600">
            <v:path/>
            <v:fill on="f" focussize="0,0"/>
            <v:stroke on="f" joinstyle="miter"/>
            <v:imagedata r:id="rId198" o:title=""/>
            <o:lock v:ext="edit" aspectratio="t"/>
            <w10:wrap type="none"/>
            <w10:anchorlock/>
          </v:shape>
          <o:OLEObject Type="Embed" ProgID="Equation.3" ShapeID="_x0000_i1071" DrawAspect="Content" ObjectID="_1468075772" r:id="rId197">
            <o:LockedField>false</o:LockedField>
          </o:OLEObject>
        </w:object>
      </w:r>
      <w:r>
        <w:rPr>
          <w:lang w:eastAsia="zh-CN"/>
        </w:rPr>
        <w:t>个室外声源在预测点产生的A声级为</w:t>
      </w:r>
      <w:r>
        <w:object>
          <v:shape id="_x0000_i1072" o:spt="75" type="#_x0000_t75" style="height:18.75pt;width:18.75pt;" o:ole="t" filled="f" o:preferrelative="t" stroked="f" coordsize="21600,21600">
            <v:path/>
            <v:fill on="f" focussize="0,0"/>
            <v:stroke on="f" joinstyle="miter"/>
            <v:imagedata r:id="rId200" o:title=""/>
            <o:lock v:ext="edit" aspectratio="t"/>
            <w10:wrap type="none"/>
            <w10:anchorlock/>
          </v:shape>
          <o:OLEObject Type="Embed" ProgID="Equation.3" ShapeID="_x0000_i1072" DrawAspect="Content" ObjectID="_1468075773" r:id="rId199">
            <o:LockedField>false</o:LockedField>
          </o:OLEObject>
        </w:object>
      </w:r>
      <w:r>
        <w:rPr>
          <w:lang w:eastAsia="zh-CN"/>
        </w:rPr>
        <w:t>，在T时间内该声源工作时间为</w:t>
      </w:r>
      <w:r>
        <w:object>
          <v:shape id="_x0000_i1073" o:spt="75" type="#_x0000_t75" style="height:18.75pt;width:9.75pt;" o:ole="t" filled="f" o:preferrelative="t" stroked="f" coordsize="21600,21600">
            <v:path/>
            <v:fill on="f" focussize="0,0"/>
            <v:stroke on="f" joinstyle="miter"/>
            <v:imagedata r:id="rId202" o:title=""/>
            <o:lock v:ext="edit" aspectratio="t"/>
            <w10:wrap type="none"/>
            <w10:anchorlock/>
          </v:shape>
          <o:OLEObject Type="Embed" ProgID="Equation.3" ShapeID="_x0000_i1073" DrawAspect="Content" ObjectID="_1468075774" r:id="rId201">
            <o:LockedField>false</o:LockedField>
          </o:OLEObject>
        </w:object>
      </w:r>
      <w:r>
        <w:rPr>
          <w:lang w:eastAsia="zh-CN"/>
        </w:rPr>
        <w:t>；第</w:t>
      </w:r>
      <w:r>
        <w:object>
          <v:shape id="_x0000_i1074" o:spt="75" type="#_x0000_t75" style="height:15.75pt;width:9.75pt;" o:ole="t" filled="f" o:preferrelative="t" stroked="f" coordsize="21600,21600">
            <v:path/>
            <v:fill on="f" focussize="0,0"/>
            <v:stroke on="f" joinstyle="miter"/>
            <v:imagedata r:id="rId204" o:title=""/>
            <o:lock v:ext="edit" aspectratio="t"/>
            <w10:wrap type="none"/>
            <w10:anchorlock/>
          </v:shape>
          <o:OLEObject Type="Embed" ProgID="Equation.3" ShapeID="_x0000_i1074" DrawAspect="Content" ObjectID="_1468075775" r:id="rId203">
            <o:LockedField>false</o:LockedField>
          </o:OLEObject>
        </w:object>
      </w:r>
      <w:r>
        <w:rPr>
          <w:lang w:eastAsia="zh-CN"/>
        </w:rPr>
        <w:t>个等效室外声源在预测点产生的A声级为</w:t>
      </w:r>
      <w:r>
        <w:object>
          <v:shape id="_x0000_i1075" o:spt="75" type="#_x0000_t75" style="height:18.75pt;width:18.75pt;" o:ole="t" filled="f" o:preferrelative="t" stroked="f" coordsize="21600,21600">
            <v:path/>
            <v:fill on="f" focussize="0,0"/>
            <v:stroke on="f" joinstyle="miter"/>
            <v:imagedata r:id="rId206" o:title=""/>
            <o:lock v:ext="edit" aspectratio="t"/>
            <w10:wrap type="none"/>
            <w10:anchorlock/>
          </v:shape>
          <o:OLEObject Type="Embed" ProgID="Equation.3" ShapeID="_x0000_i1075" DrawAspect="Content" ObjectID="_1468075776" r:id="rId205">
            <o:LockedField>false</o:LockedField>
          </o:OLEObject>
        </w:object>
      </w:r>
      <w:r>
        <w:rPr>
          <w:lang w:eastAsia="zh-CN"/>
        </w:rPr>
        <w:t>，在T时间内该声源工作时间为</w:t>
      </w:r>
      <w:r>
        <w:object>
          <v:shape id="_x0000_i1076" o:spt="75" type="#_x0000_t75" style="height:18.75pt;width:9.75pt;" o:ole="t" filled="f" o:preferrelative="t" stroked="f" coordsize="21600,21600">
            <v:path/>
            <v:fill on="f" focussize="0,0"/>
            <v:stroke on="f" joinstyle="miter"/>
            <v:imagedata r:id="rId208" o:title=""/>
            <o:lock v:ext="edit" aspectratio="t"/>
            <w10:wrap type="none"/>
            <w10:anchorlock/>
          </v:shape>
          <o:OLEObject Type="Embed" ProgID="Equation.3" ShapeID="_x0000_i1076" DrawAspect="Content" ObjectID="_1468075777" r:id="rId207">
            <o:LockedField>false</o:LockedField>
          </o:OLEObject>
        </w:object>
      </w:r>
      <w:r>
        <w:rPr>
          <w:lang w:eastAsia="zh-CN"/>
        </w:rPr>
        <w:t>，则拟建工程声源对预测点产生的贡献值（</w:t>
      </w:r>
      <w:r>
        <w:object>
          <v:shape id="_x0000_i1077" o:spt="75" type="#_x0000_t75" style="height:18.75pt;width:23.25pt;" o:ole="t" filled="f" o:preferrelative="t" stroked="f" coordsize="21600,21600">
            <v:path/>
            <v:fill on="f" focussize="0,0"/>
            <v:stroke on="f" joinstyle="miter"/>
            <v:imagedata r:id="rId210" o:title=""/>
            <o:lock v:ext="edit" aspectratio="t"/>
            <w10:wrap type="none"/>
            <w10:anchorlock/>
          </v:shape>
          <o:OLEObject Type="Embed" ProgID="Equation.3" ShapeID="_x0000_i1077" DrawAspect="Content" ObjectID="_1468075778" r:id="rId209">
            <o:LockedField>false</o:LockedField>
          </o:OLEObject>
        </w:object>
      </w:r>
      <w:r>
        <w:rPr>
          <w:lang w:eastAsia="zh-CN"/>
        </w:rPr>
        <w:t>）为：</w:t>
      </w:r>
    </w:p>
    <w:p w14:paraId="68F88E2C">
      <w:pPr>
        <w:pStyle w:val="230"/>
        <w:ind w:firstLine="480"/>
      </w:pPr>
      <w:r>
        <w:rPr>
          <w:position w:val="-30"/>
        </w:rPr>
        <w:object>
          <v:shape id="_x0000_i1078" o:spt="75" type="#_x0000_t75" style="height:36pt;width:204pt;" o:ole="t" filled="f" o:preferrelative="t" stroked="f" coordsize="21600,21600">
            <v:path/>
            <v:fill on="f" focussize="0,0"/>
            <v:stroke on="f" joinstyle="miter"/>
            <v:imagedata r:id="rId212" o:title=""/>
            <o:lock v:ext="edit" aspectratio="t"/>
            <w10:wrap type="none"/>
            <w10:anchorlock/>
          </v:shape>
          <o:OLEObject Type="Embed" ProgID="Equation.3" ShapeID="_x0000_i1078" DrawAspect="Content" ObjectID="_1468075779" r:id="rId211">
            <o:LockedField>false</o:LockedField>
          </o:OLEObject>
        </w:object>
      </w:r>
    </w:p>
    <w:p w14:paraId="7BD2C441">
      <w:pPr>
        <w:pStyle w:val="230"/>
        <w:ind w:firstLine="480"/>
      </w:pPr>
      <w:bookmarkStart w:id="414" w:name="_Toc90324307"/>
      <w:r>
        <w:rPr>
          <w:rFonts w:hint="eastAsia" w:ascii="宋体" w:hAnsi="宋体" w:cs="宋体"/>
        </w:rPr>
        <w:t>②</w:t>
      </w:r>
      <w:r>
        <w:t>预测点的噪声预测值</w:t>
      </w:r>
      <w:bookmarkEnd w:id="414"/>
    </w:p>
    <w:p w14:paraId="4296BD34">
      <w:pPr>
        <w:pStyle w:val="230"/>
        <w:ind w:firstLine="480"/>
      </w:pPr>
      <w:r>
        <w:object>
          <v:shape id="_x0000_i1079" o:spt="75" type="#_x0000_t75" style="height:18.75pt;width:141pt;" o:ole="t" filled="f" o:preferrelative="t" stroked="f" coordsize="21600,21600">
            <v:path/>
            <v:fill on="f" focussize="0,0"/>
            <v:stroke on="f" joinstyle="miter"/>
            <v:imagedata r:id="rId214" o:title=""/>
            <o:lock v:ext="edit" aspectratio="t"/>
            <w10:wrap type="none"/>
            <w10:anchorlock/>
          </v:shape>
          <o:OLEObject Type="Embed" ProgID="Equation.3" ShapeID="_x0000_i1079" DrawAspect="Content" ObjectID="_1468075780" r:id="rId213">
            <o:LockedField>false</o:LockedField>
          </o:OLEObject>
        </w:object>
      </w:r>
    </w:p>
    <w:p w14:paraId="23B7DAE5">
      <w:pPr>
        <w:pStyle w:val="230"/>
        <w:ind w:firstLine="480"/>
        <w:rPr>
          <w:lang w:eastAsia="zh-CN"/>
        </w:rPr>
      </w:pPr>
      <w:r>
        <w:rPr>
          <w:lang w:eastAsia="zh-CN"/>
        </w:rPr>
        <w:t>式中：</w:t>
      </w:r>
      <w:r>
        <w:object>
          <v:shape id="_x0000_i1080" o:spt="75" type="#_x0000_t75" style="height:18.75pt;width:23.25pt;" o:ole="t" filled="f" o:preferrelative="t" stroked="f" coordsize="21600,21600">
            <v:path/>
            <v:fill on="f" focussize="0,0"/>
            <v:stroke on="f" joinstyle="miter"/>
            <v:imagedata r:id="rId216" o:title=""/>
            <o:lock v:ext="edit" aspectratio="t"/>
            <w10:wrap type="none"/>
            <w10:anchorlock/>
          </v:shape>
          <o:OLEObject Type="Embed" ProgID="Equation.3" ShapeID="_x0000_i1080" DrawAspect="Content" ObjectID="_1468075781" r:id="rId215">
            <o:LockedField>false</o:LockedField>
          </o:OLEObject>
        </w:object>
      </w:r>
      <w:r>
        <w:rPr>
          <w:lang w:val="pt-BR" w:eastAsia="zh-CN"/>
        </w:rPr>
        <w:t xml:space="preserve">— </w:t>
      </w:r>
      <w:r>
        <w:rPr>
          <w:lang w:eastAsia="zh-CN"/>
        </w:rPr>
        <w:t>建设项目声源在预测点的等效声级贡献值，dB（A）；</w:t>
      </w:r>
    </w:p>
    <w:p w14:paraId="38A8C961">
      <w:pPr>
        <w:pStyle w:val="230"/>
        <w:ind w:firstLine="480"/>
        <w:rPr>
          <w:lang w:eastAsia="zh-CN"/>
        </w:rPr>
      </w:pPr>
      <w:r>
        <w:object>
          <v:shape id="_x0000_i1081" o:spt="75" type="#_x0000_t75" style="height:18.75pt;width:18.75pt;" o:ole="t" filled="f" o:preferrelative="t" stroked="f" coordsize="21600,21600">
            <v:path/>
            <v:fill on="f" focussize="0,0"/>
            <v:stroke on="f" joinstyle="miter"/>
            <v:imagedata r:id="rId218" o:title=""/>
            <o:lock v:ext="edit" aspectratio="t"/>
            <w10:wrap type="none"/>
            <w10:anchorlock/>
          </v:shape>
          <o:OLEObject Type="Embed" ProgID="Equation.3" ShapeID="_x0000_i1081" DrawAspect="Content" ObjectID="_1468075782" r:id="rId217">
            <o:LockedField>false</o:LockedField>
          </o:OLEObject>
        </w:object>
      </w:r>
      <w:r>
        <w:rPr>
          <w:lang w:val="pt-BR" w:eastAsia="zh-CN"/>
        </w:rPr>
        <w:t xml:space="preserve">— </w:t>
      </w:r>
      <w:r>
        <w:rPr>
          <w:lang w:eastAsia="zh-CN"/>
        </w:rPr>
        <w:t>预测点的背景值，dB（A）（1）预测模式</w:t>
      </w:r>
    </w:p>
    <w:p w14:paraId="6235C9F9">
      <w:pPr>
        <w:pStyle w:val="230"/>
        <w:ind w:firstLine="480"/>
        <w:rPr>
          <w:lang w:eastAsia="zh-CN"/>
        </w:rPr>
      </w:pPr>
      <w:r>
        <w:rPr>
          <w:lang w:eastAsia="zh-CN"/>
        </w:rPr>
        <w:t>3、噪声影响预测结果及其评价</w:t>
      </w:r>
    </w:p>
    <w:p w14:paraId="04E3D83C">
      <w:pPr>
        <w:pStyle w:val="369"/>
        <w:rPr>
          <w:lang w:val="zh-CN"/>
        </w:rPr>
      </w:pPr>
      <w:r>
        <w:rPr>
          <w:lang w:val="zh-CN"/>
        </w:rPr>
        <w:t>表5.2-</w:t>
      </w:r>
      <w:r>
        <w:rPr>
          <w:rFonts w:hint="eastAsia"/>
        </w:rPr>
        <w:t>19</w:t>
      </w:r>
      <w:r>
        <w:rPr>
          <w:lang w:val="zh-CN"/>
        </w:rPr>
        <w:t xml:space="preserve">  厂界噪声贡献值统计表   单位：Leq（dB(A)）</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4"/>
        <w:gridCol w:w="2786"/>
        <w:gridCol w:w="3717"/>
      </w:tblGrid>
      <w:tr w14:paraId="3457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499" w:type="pct"/>
            <w:noWrap/>
            <w:vAlign w:val="center"/>
          </w:tcPr>
          <w:p w14:paraId="480E4B11">
            <w:pPr>
              <w:pStyle w:val="766"/>
              <w:rPr>
                <w:color w:val="auto"/>
              </w:rPr>
            </w:pPr>
            <w:r>
              <w:rPr>
                <w:color w:val="auto"/>
              </w:rPr>
              <w:t>预测点</w:t>
            </w:r>
          </w:p>
        </w:tc>
        <w:tc>
          <w:tcPr>
            <w:tcW w:w="1500" w:type="pct"/>
            <w:noWrap/>
            <w:vAlign w:val="center"/>
          </w:tcPr>
          <w:p w14:paraId="6DA22202">
            <w:pPr>
              <w:pStyle w:val="766"/>
              <w:rPr>
                <w:color w:val="auto"/>
              </w:rPr>
            </w:pPr>
            <w:r>
              <w:rPr>
                <w:color w:val="auto"/>
              </w:rPr>
              <w:t>时段</w:t>
            </w:r>
          </w:p>
        </w:tc>
        <w:tc>
          <w:tcPr>
            <w:tcW w:w="2001" w:type="pct"/>
            <w:noWrap/>
            <w:vAlign w:val="center"/>
          </w:tcPr>
          <w:p w14:paraId="20042370">
            <w:pPr>
              <w:pStyle w:val="766"/>
              <w:rPr>
                <w:color w:val="auto"/>
              </w:rPr>
            </w:pPr>
            <w:r>
              <w:rPr>
                <w:color w:val="auto"/>
              </w:rPr>
              <w:t>贡献值</w:t>
            </w:r>
          </w:p>
        </w:tc>
      </w:tr>
      <w:tr w14:paraId="675C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restart"/>
            <w:noWrap/>
            <w:vAlign w:val="center"/>
          </w:tcPr>
          <w:p w14:paraId="54319629">
            <w:pPr>
              <w:pStyle w:val="766"/>
              <w:rPr>
                <w:color w:val="auto"/>
              </w:rPr>
            </w:pPr>
            <w:r>
              <w:rPr>
                <w:color w:val="auto"/>
              </w:rPr>
              <w:t>厂界东</w:t>
            </w:r>
          </w:p>
        </w:tc>
        <w:tc>
          <w:tcPr>
            <w:tcW w:w="1500" w:type="pct"/>
            <w:noWrap/>
            <w:vAlign w:val="center"/>
          </w:tcPr>
          <w:p w14:paraId="0DE84D9A">
            <w:pPr>
              <w:pStyle w:val="766"/>
              <w:rPr>
                <w:color w:val="auto"/>
              </w:rPr>
            </w:pPr>
            <w:r>
              <w:rPr>
                <w:color w:val="auto"/>
              </w:rPr>
              <w:t>昼间</w:t>
            </w:r>
          </w:p>
        </w:tc>
        <w:tc>
          <w:tcPr>
            <w:tcW w:w="2001" w:type="pct"/>
            <w:noWrap/>
            <w:vAlign w:val="center"/>
          </w:tcPr>
          <w:p w14:paraId="13147200">
            <w:pPr>
              <w:pStyle w:val="766"/>
              <w:rPr>
                <w:color w:val="auto"/>
              </w:rPr>
            </w:pPr>
            <w:r>
              <w:rPr>
                <w:color w:val="auto"/>
              </w:rPr>
              <w:t>27</w:t>
            </w:r>
          </w:p>
        </w:tc>
      </w:tr>
      <w:tr w14:paraId="41C0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continue"/>
            <w:noWrap/>
            <w:vAlign w:val="center"/>
          </w:tcPr>
          <w:p w14:paraId="6288335A">
            <w:pPr>
              <w:pStyle w:val="766"/>
              <w:rPr>
                <w:color w:val="auto"/>
              </w:rPr>
            </w:pPr>
          </w:p>
        </w:tc>
        <w:tc>
          <w:tcPr>
            <w:tcW w:w="1500" w:type="pct"/>
            <w:noWrap/>
            <w:vAlign w:val="center"/>
          </w:tcPr>
          <w:p w14:paraId="1BD8C497">
            <w:pPr>
              <w:pStyle w:val="766"/>
              <w:rPr>
                <w:color w:val="auto"/>
              </w:rPr>
            </w:pPr>
            <w:r>
              <w:rPr>
                <w:color w:val="auto"/>
              </w:rPr>
              <w:t>夜间</w:t>
            </w:r>
          </w:p>
        </w:tc>
        <w:tc>
          <w:tcPr>
            <w:tcW w:w="2001" w:type="pct"/>
            <w:noWrap/>
            <w:vAlign w:val="center"/>
          </w:tcPr>
          <w:p w14:paraId="269F8A3F">
            <w:pPr>
              <w:pStyle w:val="766"/>
              <w:rPr>
                <w:color w:val="auto"/>
              </w:rPr>
            </w:pPr>
            <w:r>
              <w:rPr>
                <w:color w:val="auto"/>
              </w:rPr>
              <w:t>27</w:t>
            </w:r>
          </w:p>
        </w:tc>
      </w:tr>
      <w:tr w14:paraId="2D32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restart"/>
            <w:noWrap/>
            <w:vAlign w:val="center"/>
          </w:tcPr>
          <w:p w14:paraId="2BE3935B">
            <w:pPr>
              <w:pStyle w:val="766"/>
              <w:rPr>
                <w:color w:val="auto"/>
              </w:rPr>
            </w:pPr>
            <w:r>
              <w:rPr>
                <w:color w:val="auto"/>
              </w:rPr>
              <w:t>厂界南</w:t>
            </w:r>
          </w:p>
        </w:tc>
        <w:tc>
          <w:tcPr>
            <w:tcW w:w="1500" w:type="pct"/>
            <w:noWrap/>
            <w:vAlign w:val="center"/>
          </w:tcPr>
          <w:p w14:paraId="48408282">
            <w:pPr>
              <w:pStyle w:val="766"/>
              <w:rPr>
                <w:color w:val="auto"/>
              </w:rPr>
            </w:pPr>
            <w:r>
              <w:rPr>
                <w:color w:val="auto"/>
              </w:rPr>
              <w:t>昼间</w:t>
            </w:r>
          </w:p>
        </w:tc>
        <w:tc>
          <w:tcPr>
            <w:tcW w:w="2001" w:type="pct"/>
            <w:noWrap/>
            <w:vAlign w:val="center"/>
          </w:tcPr>
          <w:p w14:paraId="26D4927B">
            <w:pPr>
              <w:pStyle w:val="766"/>
              <w:rPr>
                <w:color w:val="auto"/>
              </w:rPr>
            </w:pPr>
            <w:r>
              <w:rPr>
                <w:color w:val="auto"/>
              </w:rPr>
              <w:t>25</w:t>
            </w:r>
          </w:p>
        </w:tc>
      </w:tr>
      <w:tr w14:paraId="35F4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continue"/>
            <w:noWrap/>
            <w:vAlign w:val="center"/>
          </w:tcPr>
          <w:p w14:paraId="7FB289BF">
            <w:pPr>
              <w:pStyle w:val="766"/>
              <w:rPr>
                <w:color w:val="auto"/>
              </w:rPr>
            </w:pPr>
          </w:p>
        </w:tc>
        <w:tc>
          <w:tcPr>
            <w:tcW w:w="1500" w:type="pct"/>
            <w:noWrap/>
            <w:vAlign w:val="center"/>
          </w:tcPr>
          <w:p w14:paraId="2B21BD88">
            <w:pPr>
              <w:pStyle w:val="766"/>
              <w:rPr>
                <w:color w:val="auto"/>
              </w:rPr>
            </w:pPr>
            <w:r>
              <w:rPr>
                <w:color w:val="auto"/>
              </w:rPr>
              <w:t>夜间</w:t>
            </w:r>
          </w:p>
        </w:tc>
        <w:tc>
          <w:tcPr>
            <w:tcW w:w="2001" w:type="pct"/>
            <w:noWrap/>
            <w:vAlign w:val="center"/>
          </w:tcPr>
          <w:p w14:paraId="78B547D7">
            <w:pPr>
              <w:pStyle w:val="766"/>
              <w:rPr>
                <w:color w:val="auto"/>
              </w:rPr>
            </w:pPr>
            <w:r>
              <w:rPr>
                <w:color w:val="auto"/>
              </w:rPr>
              <w:t>25</w:t>
            </w:r>
          </w:p>
        </w:tc>
      </w:tr>
      <w:tr w14:paraId="23AC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restart"/>
            <w:noWrap/>
            <w:vAlign w:val="center"/>
          </w:tcPr>
          <w:p w14:paraId="6449CC05">
            <w:pPr>
              <w:pStyle w:val="766"/>
              <w:rPr>
                <w:color w:val="auto"/>
              </w:rPr>
            </w:pPr>
            <w:r>
              <w:rPr>
                <w:color w:val="auto"/>
              </w:rPr>
              <w:t>厂界西</w:t>
            </w:r>
          </w:p>
        </w:tc>
        <w:tc>
          <w:tcPr>
            <w:tcW w:w="1500" w:type="pct"/>
            <w:noWrap/>
            <w:vAlign w:val="center"/>
          </w:tcPr>
          <w:p w14:paraId="5DFE7839">
            <w:pPr>
              <w:pStyle w:val="766"/>
              <w:rPr>
                <w:color w:val="auto"/>
              </w:rPr>
            </w:pPr>
            <w:r>
              <w:rPr>
                <w:color w:val="auto"/>
              </w:rPr>
              <w:t>昼间</w:t>
            </w:r>
          </w:p>
        </w:tc>
        <w:tc>
          <w:tcPr>
            <w:tcW w:w="2001" w:type="pct"/>
            <w:noWrap/>
            <w:vAlign w:val="center"/>
          </w:tcPr>
          <w:p w14:paraId="4FA52E9C">
            <w:pPr>
              <w:pStyle w:val="766"/>
              <w:rPr>
                <w:color w:val="auto"/>
              </w:rPr>
            </w:pPr>
            <w:r>
              <w:rPr>
                <w:color w:val="auto"/>
              </w:rPr>
              <w:t>30</w:t>
            </w:r>
          </w:p>
        </w:tc>
      </w:tr>
      <w:tr w14:paraId="0A52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continue"/>
            <w:noWrap/>
            <w:vAlign w:val="center"/>
          </w:tcPr>
          <w:p w14:paraId="106218E4">
            <w:pPr>
              <w:pStyle w:val="766"/>
              <w:rPr>
                <w:color w:val="auto"/>
              </w:rPr>
            </w:pPr>
          </w:p>
        </w:tc>
        <w:tc>
          <w:tcPr>
            <w:tcW w:w="1500" w:type="pct"/>
            <w:noWrap/>
            <w:vAlign w:val="center"/>
          </w:tcPr>
          <w:p w14:paraId="18EF4FDE">
            <w:pPr>
              <w:pStyle w:val="766"/>
              <w:rPr>
                <w:color w:val="auto"/>
              </w:rPr>
            </w:pPr>
            <w:r>
              <w:rPr>
                <w:color w:val="auto"/>
              </w:rPr>
              <w:t>夜间</w:t>
            </w:r>
          </w:p>
        </w:tc>
        <w:tc>
          <w:tcPr>
            <w:tcW w:w="2001" w:type="pct"/>
            <w:noWrap/>
            <w:vAlign w:val="center"/>
          </w:tcPr>
          <w:p w14:paraId="36F3618F">
            <w:pPr>
              <w:pStyle w:val="766"/>
              <w:rPr>
                <w:color w:val="auto"/>
              </w:rPr>
            </w:pPr>
            <w:r>
              <w:rPr>
                <w:color w:val="auto"/>
              </w:rPr>
              <w:t>30</w:t>
            </w:r>
          </w:p>
        </w:tc>
      </w:tr>
      <w:tr w14:paraId="4DA7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restart"/>
            <w:noWrap/>
            <w:vAlign w:val="center"/>
          </w:tcPr>
          <w:p w14:paraId="015BF201">
            <w:pPr>
              <w:pStyle w:val="766"/>
              <w:rPr>
                <w:color w:val="auto"/>
              </w:rPr>
            </w:pPr>
            <w:r>
              <w:rPr>
                <w:color w:val="auto"/>
              </w:rPr>
              <w:t>厂界北</w:t>
            </w:r>
          </w:p>
        </w:tc>
        <w:tc>
          <w:tcPr>
            <w:tcW w:w="1500" w:type="pct"/>
            <w:noWrap/>
            <w:vAlign w:val="center"/>
          </w:tcPr>
          <w:p w14:paraId="72897B47">
            <w:pPr>
              <w:pStyle w:val="766"/>
              <w:rPr>
                <w:color w:val="auto"/>
              </w:rPr>
            </w:pPr>
            <w:r>
              <w:rPr>
                <w:color w:val="auto"/>
              </w:rPr>
              <w:t>昼间</w:t>
            </w:r>
          </w:p>
        </w:tc>
        <w:tc>
          <w:tcPr>
            <w:tcW w:w="2001" w:type="pct"/>
            <w:noWrap/>
            <w:vAlign w:val="center"/>
          </w:tcPr>
          <w:p w14:paraId="5D3F5E26">
            <w:pPr>
              <w:pStyle w:val="766"/>
              <w:rPr>
                <w:color w:val="auto"/>
              </w:rPr>
            </w:pPr>
            <w:r>
              <w:rPr>
                <w:color w:val="auto"/>
              </w:rPr>
              <w:t>12</w:t>
            </w:r>
          </w:p>
        </w:tc>
      </w:tr>
      <w:tr w14:paraId="4135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9" w:type="pct"/>
            <w:vMerge w:val="continue"/>
            <w:noWrap/>
            <w:vAlign w:val="center"/>
          </w:tcPr>
          <w:p w14:paraId="3DAB76DA">
            <w:pPr>
              <w:pStyle w:val="766"/>
              <w:rPr>
                <w:color w:val="auto"/>
              </w:rPr>
            </w:pPr>
          </w:p>
        </w:tc>
        <w:tc>
          <w:tcPr>
            <w:tcW w:w="1500" w:type="pct"/>
            <w:noWrap/>
            <w:vAlign w:val="center"/>
          </w:tcPr>
          <w:p w14:paraId="25345240">
            <w:pPr>
              <w:pStyle w:val="766"/>
              <w:rPr>
                <w:color w:val="auto"/>
              </w:rPr>
            </w:pPr>
            <w:r>
              <w:rPr>
                <w:color w:val="auto"/>
              </w:rPr>
              <w:t>夜间</w:t>
            </w:r>
          </w:p>
        </w:tc>
        <w:tc>
          <w:tcPr>
            <w:tcW w:w="2001" w:type="pct"/>
            <w:noWrap/>
            <w:vAlign w:val="center"/>
          </w:tcPr>
          <w:p w14:paraId="21BE6745">
            <w:pPr>
              <w:pStyle w:val="766"/>
              <w:rPr>
                <w:color w:val="auto"/>
              </w:rPr>
            </w:pPr>
            <w:r>
              <w:rPr>
                <w:color w:val="auto"/>
              </w:rPr>
              <w:t>12</w:t>
            </w:r>
          </w:p>
        </w:tc>
      </w:tr>
    </w:tbl>
    <w:p w14:paraId="2E19F044">
      <w:pPr>
        <w:pStyle w:val="766"/>
        <w:rPr>
          <w:color w:val="auto"/>
        </w:rPr>
      </w:pPr>
    </w:p>
    <w:p w14:paraId="7507097B">
      <w:pPr>
        <w:pStyle w:val="12"/>
      </w:pPr>
      <w:r>
        <w:t>5.2.4.5影响评价</w:t>
      </w:r>
    </w:p>
    <w:p w14:paraId="1C80D78A">
      <w:pPr>
        <w:pStyle w:val="230"/>
        <w:ind w:firstLine="480"/>
        <w:jc w:val="both"/>
        <w:rPr>
          <w:lang w:val="zh-CN" w:eastAsia="zh-CN"/>
        </w:rPr>
      </w:pPr>
      <w:r>
        <w:rPr>
          <w:lang w:eastAsia="zh-CN"/>
        </w:rPr>
        <w:t>从预测结果可见，在正常运行情况下，项目厂界噪声贡献值为12-30dB（A）之间。故本项目昼夜间各厂界贡献值均低于《工业企业厂界环境噪声排放标准》（GB12348-2008）2类标准要求。本项目声环境评价范围200m内无声环境敏感点，</w:t>
      </w:r>
      <w:r>
        <w:rPr>
          <w:rFonts w:hint="eastAsia"/>
          <w:lang w:eastAsia="zh-CN"/>
        </w:rPr>
        <w:t>本项目生产运行后对周边声环境影响较小。</w:t>
      </w:r>
    </w:p>
    <w:p w14:paraId="6DC5DAB5">
      <w:pPr>
        <w:pStyle w:val="230"/>
        <w:ind w:firstLine="480"/>
        <w:rPr>
          <w:lang w:eastAsia="zh-CN"/>
        </w:rPr>
      </w:pPr>
      <w:r>
        <w:rPr>
          <w:lang w:val="zh-CN" w:eastAsia="zh-CN"/>
        </w:rPr>
        <w:t>声环境影响评价自查表见表</w:t>
      </w:r>
      <w:r>
        <w:rPr>
          <w:lang w:eastAsia="zh-CN"/>
        </w:rPr>
        <w:t>5.2-2</w:t>
      </w:r>
      <w:r>
        <w:rPr>
          <w:rFonts w:hint="eastAsia"/>
          <w:lang w:eastAsia="zh-CN"/>
        </w:rPr>
        <w:t>0</w:t>
      </w:r>
      <w:r>
        <w:rPr>
          <w:lang w:eastAsia="zh-CN"/>
        </w:rPr>
        <w:t>。</w:t>
      </w:r>
    </w:p>
    <w:p w14:paraId="447D967C">
      <w:pPr>
        <w:pStyle w:val="369"/>
      </w:pPr>
      <w:r>
        <w:t>表5.2-2</w:t>
      </w:r>
      <w:r>
        <w:rPr>
          <w:rFonts w:hint="eastAsia"/>
        </w:rPr>
        <w:t>0</w:t>
      </w:r>
      <w:r>
        <w:t xml:space="preserve">    声环境影响评价自查表</w:t>
      </w:r>
    </w:p>
    <w:tbl>
      <w:tblPr>
        <w:tblStyle w:val="8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387"/>
        <w:gridCol w:w="1120"/>
        <w:gridCol w:w="568"/>
        <w:gridCol w:w="327"/>
        <w:gridCol w:w="227"/>
        <w:gridCol w:w="19"/>
        <w:gridCol w:w="102"/>
        <w:gridCol w:w="171"/>
        <w:gridCol w:w="580"/>
        <w:gridCol w:w="279"/>
        <w:gridCol w:w="580"/>
        <w:gridCol w:w="98"/>
        <w:gridCol w:w="438"/>
        <w:gridCol w:w="123"/>
        <w:gridCol w:w="501"/>
        <w:gridCol w:w="247"/>
        <w:gridCol w:w="186"/>
        <w:gridCol w:w="63"/>
        <w:gridCol w:w="1178"/>
      </w:tblGrid>
      <w:tr w14:paraId="170C2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336" w:type="pct"/>
            <w:gridSpan w:val="2"/>
            <w:tcBorders>
              <w:tl2br w:val="nil"/>
              <w:tr2bl w:val="nil"/>
            </w:tcBorders>
            <w:vAlign w:val="center"/>
          </w:tcPr>
          <w:p w14:paraId="50955E79">
            <w:pPr>
              <w:pStyle w:val="766"/>
              <w:rPr>
                <w:color w:val="auto"/>
              </w:rPr>
            </w:pPr>
            <w:r>
              <w:rPr>
                <w:color w:val="auto"/>
              </w:rPr>
              <w:t>工作内容</w:t>
            </w:r>
          </w:p>
        </w:tc>
        <w:tc>
          <w:tcPr>
            <w:tcW w:w="3664" w:type="pct"/>
            <w:gridSpan w:val="18"/>
            <w:tcBorders>
              <w:tl2br w:val="nil"/>
              <w:tr2bl w:val="nil"/>
            </w:tcBorders>
            <w:vAlign w:val="center"/>
          </w:tcPr>
          <w:p w14:paraId="20205726">
            <w:pPr>
              <w:pStyle w:val="766"/>
              <w:rPr>
                <w:color w:val="auto"/>
              </w:rPr>
            </w:pPr>
            <w:r>
              <w:rPr>
                <w:color w:val="auto"/>
              </w:rPr>
              <w:t>自查项目</w:t>
            </w:r>
          </w:p>
        </w:tc>
      </w:tr>
      <w:tr w14:paraId="05EF8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9" w:type="pct"/>
            <w:vMerge w:val="restart"/>
            <w:tcBorders>
              <w:tl2br w:val="nil"/>
              <w:tr2bl w:val="nil"/>
            </w:tcBorders>
            <w:vAlign w:val="center"/>
          </w:tcPr>
          <w:p w14:paraId="170361AC">
            <w:pPr>
              <w:pStyle w:val="766"/>
              <w:rPr>
                <w:color w:val="auto"/>
              </w:rPr>
            </w:pPr>
            <w:r>
              <w:rPr>
                <w:color w:val="auto"/>
              </w:rPr>
              <w:t>评价等级与范围</w:t>
            </w:r>
          </w:p>
        </w:tc>
        <w:tc>
          <w:tcPr>
            <w:tcW w:w="746" w:type="pct"/>
            <w:tcBorders>
              <w:tl2br w:val="nil"/>
              <w:tr2bl w:val="nil"/>
            </w:tcBorders>
            <w:vAlign w:val="center"/>
          </w:tcPr>
          <w:p w14:paraId="3FD30688">
            <w:pPr>
              <w:pStyle w:val="766"/>
              <w:rPr>
                <w:color w:val="auto"/>
              </w:rPr>
            </w:pPr>
            <w:r>
              <w:rPr>
                <w:color w:val="auto"/>
              </w:rPr>
              <w:t>评价等级</w:t>
            </w:r>
          </w:p>
        </w:tc>
        <w:tc>
          <w:tcPr>
            <w:tcW w:w="3664" w:type="pct"/>
            <w:gridSpan w:val="18"/>
            <w:tcBorders>
              <w:tl2br w:val="nil"/>
              <w:tr2bl w:val="nil"/>
            </w:tcBorders>
            <w:vAlign w:val="center"/>
          </w:tcPr>
          <w:p w14:paraId="16E2F61F">
            <w:pPr>
              <w:pStyle w:val="766"/>
              <w:rPr>
                <w:color w:val="auto"/>
              </w:rPr>
            </w:pPr>
            <w:r>
              <w:rPr>
                <w:color w:val="auto"/>
              </w:rPr>
              <w:t>一级□                 二级□           三级</w:t>
            </w:r>
            <w:r>
              <w:rPr>
                <w:color w:val="auto"/>
              </w:rPr>
              <w:sym w:font="Wingdings 2" w:char="0052"/>
            </w:r>
          </w:p>
        </w:tc>
      </w:tr>
      <w:tr w14:paraId="385954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589" w:type="pct"/>
            <w:vMerge w:val="continue"/>
            <w:tcBorders>
              <w:tl2br w:val="nil"/>
              <w:tr2bl w:val="nil"/>
            </w:tcBorders>
            <w:vAlign w:val="center"/>
          </w:tcPr>
          <w:p w14:paraId="0D4E8A00">
            <w:pPr>
              <w:pStyle w:val="766"/>
              <w:rPr>
                <w:color w:val="auto"/>
              </w:rPr>
            </w:pPr>
          </w:p>
        </w:tc>
        <w:tc>
          <w:tcPr>
            <w:tcW w:w="746" w:type="pct"/>
            <w:tcBorders>
              <w:tl2br w:val="nil"/>
              <w:tr2bl w:val="nil"/>
            </w:tcBorders>
            <w:vAlign w:val="center"/>
          </w:tcPr>
          <w:p w14:paraId="70F9CEC5">
            <w:pPr>
              <w:pStyle w:val="766"/>
              <w:rPr>
                <w:color w:val="auto"/>
              </w:rPr>
            </w:pPr>
            <w:r>
              <w:rPr>
                <w:color w:val="auto"/>
              </w:rPr>
              <w:t>评价范围</w:t>
            </w:r>
          </w:p>
        </w:tc>
        <w:tc>
          <w:tcPr>
            <w:tcW w:w="3664" w:type="pct"/>
            <w:gridSpan w:val="18"/>
            <w:tcBorders>
              <w:tl2br w:val="nil"/>
              <w:tr2bl w:val="nil"/>
            </w:tcBorders>
            <w:vAlign w:val="center"/>
          </w:tcPr>
          <w:p w14:paraId="5412F45F">
            <w:pPr>
              <w:pStyle w:val="766"/>
              <w:rPr>
                <w:color w:val="auto"/>
              </w:rPr>
            </w:pPr>
            <w:r>
              <w:rPr>
                <w:color w:val="auto"/>
              </w:rPr>
              <w:t>200m</w:t>
            </w:r>
            <w:r>
              <w:rPr>
                <w:color w:val="auto"/>
              </w:rPr>
              <w:sym w:font="Wingdings 2" w:char="0052"/>
            </w:r>
            <w:r>
              <w:rPr>
                <w:color w:val="auto"/>
              </w:rPr>
              <w:t xml:space="preserve">                 大于200 m□           小于200m□</w:t>
            </w:r>
          </w:p>
        </w:tc>
      </w:tr>
      <w:tr w14:paraId="088874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89" w:type="pct"/>
            <w:tcBorders>
              <w:tl2br w:val="nil"/>
              <w:tr2bl w:val="nil"/>
            </w:tcBorders>
            <w:vAlign w:val="center"/>
          </w:tcPr>
          <w:p w14:paraId="71C74C73">
            <w:pPr>
              <w:pStyle w:val="766"/>
              <w:rPr>
                <w:color w:val="auto"/>
              </w:rPr>
            </w:pPr>
            <w:r>
              <w:rPr>
                <w:color w:val="auto"/>
              </w:rPr>
              <w:t>评价因子</w:t>
            </w:r>
          </w:p>
        </w:tc>
        <w:tc>
          <w:tcPr>
            <w:tcW w:w="746" w:type="pct"/>
            <w:tcBorders>
              <w:tl2br w:val="nil"/>
              <w:tr2bl w:val="nil"/>
            </w:tcBorders>
            <w:vAlign w:val="center"/>
          </w:tcPr>
          <w:p w14:paraId="3B5B3C03">
            <w:pPr>
              <w:pStyle w:val="766"/>
              <w:rPr>
                <w:color w:val="auto"/>
              </w:rPr>
            </w:pPr>
            <w:r>
              <w:rPr>
                <w:color w:val="auto"/>
              </w:rPr>
              <w:t>评价因子</w:t>
            </w:r>
          </w:p>
        </w:tc>
        <w:tc>
          <w:tcPr>
            <w:tcW w:w="1272" w:type="pct"/>
            <w:gridSpan w:val="6"/>
            <w:tcBorders>
              <w:tl2br w:val="nil"/>
              <w:tr2bl w:val="nil"/>
            </w:tcBorders>
            <w:vAlign w:val="center"/>
          </w:tcPr>
          <w:p w14:paraId="247B915F">
            <w:pPr>
              <w:pStyle w:val="766"/>
              <w:rPr>
                <w:color w:val="auto"/>
              </w:rPr>
            </w:pPr>
            <w:r>
              <w:rPr>
                <w:color w:val="auto"/>
              </w:rPr>
              <w:t>等效连续A声级</w:t>
            </w:r>
            <w:r>
              <w:rPr>
                <w:color w:val="auto"/>
              </w:rPr>
              <w:sym w:font="Wingdings 2" w:char="0052"/>
            </w:r>
          </w:p>
        </w:tc>
        <w:tc>
          <w:tcPr>
            <w:tcW w:w="866" w:type="pct"/>
            <w:gridSpan w:val="4"/>
            <w:tcBorders>
              <w:tl2br w:val="nil"/>
              <w:tr2bl w:val="nil"/>
            </w:tcBorders>
            <w:vAlign w:val="center"/>
          </w:tcPr>
          <w:p w14:paraId="636CF191">
            <w:pPr>
              <w:pStyle w:val="766"/>
              <w:rPr>
                <w:color w:val="auto"/>
              </w:rPr>
            </w:pPr>
            <w:r>
              <w:rPr>
                <w:color w:val="auto"/>
              </w:rPr>
              <w:t>最大A声级□</w:t>
            </w:r>
          </w:p>
        </w:tc>
        <w:tc>
          <w:tcPr>
            <w:tcW w:w="1526" w:type="pct"/>
            <w:gridSpan w:val="8"/>
            <w:tcBorders>
              <w:tl2br w:val="nil"/>
              <w:tr2bl w:val="nil"/>
            </w:tcBorders>
            <w:vAlign w:val="center"/>
          </w:tcPr>
          <w:p w14:paraId="4A007F10">
            <w:pPr>
              <w:pStyle w:val="766"/>
              <w:rPr>
                <w:color w:val="auto"/>
              </w:rPr>
            </w:pPr>
            <w:r>
              <w:rPr>
                <w:color w:val="auto"/>
              </w:rPr>
              <w:t>计权等效连续感觉噪声级□</w:t>
            </w:r>
          </w:p>
        </w:tc>
      </w:tr>
      <w:tr w14:paraId="1FC4C2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89" w:type="pct"/>
            <w:tcBorders>
              <w:tl2br w:val="nil"/>
              <w:tr2bl w:val="nil"/>
            </w:tcBorders>
            <w:vAlign w:val="center"/>
          </w:tcPr>
          <w:p w14:paraId="21507A26">
            <w:pPr>
              <w:pStyle w:val="766"/>
              <w:rPr>
                <w:color w:val="auto"/>
              </w:rPr>
            </w:pPr>
            <w:r>
              <w:rPr>
                <w:color w:val="auto"/>
              </w:rPr>
              <w:t>评价标准</w:t>
            </w:r>
          </w:p>
        </w:tc>
        <w:tc>
          <w:tcPr>
            <w:tcW w:w="746" w:type="pct"/>
            <w:tcBorders>
              <w:tl2br w:val="nil"/>
              <w:tr2bl w:val="nil"/>
            </w:tcBorders>
            <w:vAlign w:val="center"/>
          </w:tcPr>
          <w:p w14:paraId="17456F2E">
            <w:pPr>
              <w:pStyle w:val="766"/>
              <w:rPr>
                <w:color w:val="auto"/>
              </w:rPr>
            </w:pPr>
            <w:r>
              <w:rPr>
                <w:color w:val="auto"/>
              </w:rPr>
              <w:t>评价标准</w:t>
            </w:r>
          </w:p>
        </w:tc>
        <w:tc>
          <w:tcPr>
            <w:tcW w:w="1272" w:type="pct"/>
            <w:gridSpan w:val="6"/>
            <w:tcBorders>
              <w:tl2br w:val="nil"/>
              <w:tr2bl w:val="nil"/>
            </w:tcBorders>
            <w:vAlign w:val="center"/>
          </w:tcPr>
          <w:p w14:paraId="29C788D3">
            <w:pPr>
              <w:pStyle w:val="766"/>
              <w:rPr>
                <w:color w:val="auto"/>
              </w:rPr>
            </w:pPr>
            <w:r>
              <w:rPr>
                <w:color w:val="auto"/>
              </w:rPr>
              <w:t>国家标准</w:t>
            </w:r>
            <w:r>
              <w:rPr>
                <w:color w:val="auto"/>
              </w:rPr>
              <w:sym w:font="Wingdings 2" w:char="0052"/>
            </w:r>
          </w:p>
        </w:tc>
        <w:tc>
          <w:tcPr>
            <w:tcW w:w="866" w:type="pct"/>
            <w:gridSpan w:val="4"/>
            <w:tcBorders>
              <w:tl2br w:val="nil"/>
              <w:tr2bl w:val="nil"/>
            </w:tcBorders>
            <w:vAlign w:val="center"/>
          </w:tcPr>
          <w:p w14:paraId="6902CF84">
            <w:pPr>
              <w:pStyle w:val="766"/>
              <w:rPr>
                <w:color w:val="auto"/>
              </w:rPr>
            </w:pPr>
            <w:r>
              <w:rPr>
                <w:color w:val="auto"/>
              </w:rPr>
              <w:t>地方标准□</w:t>
            </w:r>
          </w:p>
        </w:tc>
        <w:tc>
          <w:tcPr>
            <w:tcW w:w="758" w:type="pct"/>
            <w:gridSpan w:val="5"/>
            <w:tcBorders>
              <w:tl2br w:val="nil"/>
              <w:tr2bl w:val="nil"/>
            </w:tcBorders>
            <w:vAlign w:val="center"/>
          </w:tcPr>
          <w:p w14:paraId="18D02F11">
            <w:pPr>
              <w:pStyle w:val="766"/>
              <w:rPr>
                <w:color w:val="auto"/>
              </w:rPr>
            </w:pPr>
          </w:p>
        </w:tc>
        <w:tc>
          <w:tcPr>
            <w:tcW w:w="768" w:type="pct"/>
            <w:gridSpan w:val="3"/>
            <w:tcBorders>
              <w:tl2br w:val="nil"/>
              <w:tr2bl w:val="nil"/>
            </w:tcBorders>
            <w:vAlign w:val="center"/>
          </w:tcPr>
          <w:p w14:paraId="16A19D44">
            <w:pPr>
              <w:pStyle w:val="766"/>
              <w:rPr>
                <w:color w:val="auto"/>
              </w:rPr>
            </w:pPr>
            <w:r>
              <w:rPr>
                <w:color w:val="auto"/>
              </w:rPr>
              <w:t>国外标准□</w:t>
            </w:r>
          </w:p>
        </w:tc>
      </w:tr>
      <w:tr w14:paraId="4FB92F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9" w:type="pct"/>
            <w:vMerge w:val="restart"/>
            <w:tcBorders>
              <w:tl2br w:val="nil"/>
              <w:tr2bl w:val="nil"/>
            </w:tcBorders>
            <w:vAlign w:val="center"/>
          </w:tcPr>
          <w:p w14:paraId="7D43121F">
            <w:pPr>
              <w:pStyle w:val="766"/>
              <w:rPr>
                <w:color w:val="auto"/>
              </w:rPr>
            </w:pPr>
            <w:r>
              <w:rPr>
                <w:color w:val="auto"/>
              </w:rPr>
              <w:t>现状评价</w:t>
            </w:r>
          </w:p>
        </w:tc>
        <w:tc>
          <w:tcPr>
            <w:tcW w:w="746" w:type="pct"/>
            <w:tcBorders>
              <w:tl2br w:val="nil"/>
              <w:tr2bl w:val="nil"/>
            </w:tcBorders>
            <w:vAlign w:val="center"/>
          </w:tcPr>
          <w:p w14:paraId="601129E8">
            <w:pPr>
              <w:pStyle w:val="766"/>
              <w:rPr>
                <w:color w:val="auto"/>
              </w:rPr>
            </w:pPr>
            <w:r>
              <w:rPr>
                <w:color w:val="auto"/>
              </w:rPr>
              <w:t>环境功能区</w:t>
            </w:r>
          </w:p>
        </w:tc>
        <w:tc>
          <w:tcPr>
            <w:tcW w:w="603" w:type="pct"/>
            <w:tcBorders>
              <w:tl2br w:val="nil"/>
              <w:tr2bl w:val="nil"/>
            </w:tcBorders>
            <w:vAlign w:val="center"/>
          </w:tcPr>
          <w:p w14:paraId="385DD47C">
            <w:pPr>
              <w:pStyle w:val="766"/>
              <w:rPr>
                <w:color w:val="auto"/>
              </w:rPr>
            </w:pPr>
            <w:r>
              <w:rPr>
                <w:color w:val="auto"/>
              </w:rPr>
              <w:t>0类区□</w:t>
            </w:r>
          </w:p>
        </w:tc>
        <w:tc>
          <w:tcPr>
            <w:tcW w:w="604" w:type="pct"/>
            <w:gridSpan w:val="3"/>
            <w:tcBorders>
              <w:tl2br w:val="nil"/>
              <w:tr2bl w:val="nil"/>
            </w:tcBorders>
            <w:vAlign w:val="center"/>
          </w:tcPr>
          <w:p w14:paraId="52869C67">
            <w:pPr>
              <w:pStyle w:val="766"/>
              <w:rPr>
                <w:color w:val="auto"/>
              </w:rPr>
            </w:pPr>
            <w:r>
              <w:rPr>
                <w:color w:val="auto"/>
              </w:rPr>
              <w:t>1类区□</w:t>
            </w:r>
          </w:p>
        </w:tc>
        <w:tc>
          <w:tcPr>
            <w:tcW w:w="619" w:type="pct"/>
            <w:gridSpan w:val="5"/>
            <w:tcBorders>
              <w:tl2br w:val="nil"/>
              <w:tr2bl w:val="nil"/>
            </w:tcBorders>
            <w:vAlign w:val="center"/>
          </w:tcPr>
          <w:p w14:paraId="0EFFECC0">
            <w:pPr>
              <w:pStyle w:val="766"/>
              <w:rPr>
                <w:color w:val="auto"/>
              </w:rPr>
            </w:pPr>
            <w:r>
              <w:rPr>
                <w:color w:val="auto"/>
              </w:rPr>
              <w:t>2类区</w:t>
            </w:r>
            <w:r>
              <w:rPr>
                <w:color w:val="auto"/>
              </w:rPr>
              <w:sym w:font="Wingdings 2" w:char="0052"/>
            </w:r>
          </w:p>
        </w:tc>
        <w:tc>
          <w:tcPr>
            <w:tcW w:w="601" w:type="pct"/>
            <w:gridSpan w:val="3"/>
            <w:tcBorders>
              <w:tl2br w:val="nil"/>
              <w:tr2bl w:val="nil"/>
            </w:tcBorders>
            <w:vAlign w:val="center"/>
          </w:tcPr>
          <w:p w14:paraId="26A6C858">
            <w:pPr>
              <w:pStyle w:val="766"/>
              <w:rPr>
                <w:color w:val="auto"/>
              </w:rPr>
            </w:pPr>
            <w:r>
              <w:rPr>
                <w:color w:val="auto"/>
              </w:rPr>
              <w:t>3类区</w:t>
            </w:r>
            <w:r>
              <w:rPr>
                <w:color w:val="auto"/>
              </w:rPr>
              <w:sym w:font="Wingdings 2" w:char="00A3"/>
            </w:r>
          </w:p>
        </w:tc>
        <w:tc>
          <w:tcPr>
            <w:tcW w:w="603" w:type="pct"/>
            <w:gridSpan w:val="5"/>
            <w:tcBorders>
              <w:tl2br w:val="nil"/>
              <w:tr2bl w:val="nil"/>
            </w:tcBorders>
            <w:vAlign w:val="center"/>
          </w:tcPr>
          <w:p w14:paraId="593990EC">
            <w:pPr>
              <w:pStyle w:val="766"/>
              <w:rPr>
                <w:color w:val="auto"/>
              </w:rPr>
            </w:pPr>
            <w:r>
              <w:rPr>
                <w:color w:val="auto"/>
              </w:rPr>
              <w:t>4a类区□</w:t>
            </w:r>
          </w:p>
        </w:tc>
        <w:tc>
          <w:tcPr>
            <w:tcW w:w="635" w:type="pct"/>
            <w:tcBorders>
              <w:tl2br w:val="nil"/>
              <w:tr2bl w:val="nil"/>
            </w:tcBorders>
            <w:vAlign w:val="center"/>
          </w:tcPr>
          <w:p w14:paraId="1A24DC10">
            <w:pPr>
              <w:pStyle w:val="766"/>
              <w:rPr>
                <w:color w:val="auto"/>
              </w:rPr>
            </w:pPr>
            <w:r>
              <w:rPr>
                <w:color w:val="auto"/>
              </w:rPr>
              <w:t>4b类区□</w:t>
            </w:r>
          </w:p>
        </w:tc>
      </w:tr>
      <w:tr w14:paraId="6CAB6C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9" w:type="pct"/>
            <w:vMerge w:val="continue"/>
            <w:tcBorders>
              <w:tl2br w:val="nil"/>
              <w:tr2bl w:val="nil"/>
            </w:tcBorders>
            <w:vAlign w:val="center"/>
          </w:tcPr>
          <w:p w14:paraId="784EE2FD">
            <w:pPr>
              <w:pStyle w:val="766"/>
              <w:rPr>
                <w:color w:val="auto"/>
              </w:rPr>
            </w:pPr>
          </w:p>
        </w:tc>
        <w:tc>
          <w:tcPr>
            <w:tcW w:w="746" w:type="pct"/>
            <w:tcBorders>
              <w:tl2br w:val="nil"/>
              <w:tr2bl w:val="nil"/>
            </w:tcBorders>
            <w:vAlign w:val="center"/>
          </w:tcPr>
          <w:p w14:paraId="7DA7F1EF">
            <w:pPr>
              <w:pStyle w:val="766"/>
              <w:rPr>
                <w:color w:val="auto"/>
              </w:rPr>
            </w:pPr>
            <w:r>
              <w:rPr>
                <w:color w:val="auto"/>
              </w:rPr>
              <w:t>评价年度</w:t>
            </w:r>
          </w:p>
        </w:tc>
        <w:tc>
          <w:tcPr>
            <w:tcW w:w="909" w:type="pct"/>
            <w:gridSpan w:val="2"/>
            <w:tcBorders>
              <w:tl2br w:val="nil"/>
              <w:tr2bl w:val="nil"/>
            </w:tcBorders>
            <w:vAlign w:val="center"/>
          </w:tcPr>
          <w:p w14:paraId="1856503B">
            <w:pPr>
              <w:pStyle w:val="766"/>
              <w:rPr>
                <w:color w:val="auto"/>
              </w:rPr>
            </w:pPr>
            <w:r>
              <w:rPr>
                <w:color w:val="auto"/>
              </w:rPr>
              <w:t>初期□</w:t>
            </w:r>
          </w:p>
        </w:tc>
        <w:tc>
          <w:tcPr>
            <w:tcW w:w="917" w:type="pct"/>
            <w:gridSpan w:val="7"/>
            <w:tcBorders>
              <w:tl2br w:val="nil"/>
              <w:tr2bl w:val="nil"/>
            </w:tcBorders>
            <w:vAlign w:val="center"/>
          </w:tcPr>
          <w:p w14:paraId="3A4C0FF3">
            <w:pPr>
              <w:pStyle w:val="766"/>
              <w:rPr>
                <w:color w:val="auto"/>
              </w:rPr>
            </w:pPr>
            <w:r>
              <w:rPr>
                <w:color w:val="auto"/>
              </w:rPr>
              <w:t>近期□</w:t>
            </w:r>
          </w:p>
        </w:tc>
        <w:tc>
          <w:tcPr>
            <w:tcW w:w="937" w:type="pct"/>
            <w:gridSpan w:val="5"/>
            <w:tcBorders>
              <w:tl2br w:val="nil"/>
              <w:tr2bl w:val="nil"/>
            </w:tcBorders>
            <w:vAlign w:val="center"/>
          </w:tcPr>
          <w:p w14:paraId="2D1E3B3E">
            <w:pPr>
              <w:pStyle w:val="766"/>
              <w:rPr>
                <w:color w:val="auto"/>
              </w:rPr>
            </w:pPr>
            <w:r>
              <w:rPr>
                <w:color w:val="auto"/>
              </w:rPr>
              <w:t>中期□</w:t>
            </w:r>
          </w:p>
        </w:tc>
        <w:tc>
          <w:tcPr>
            <w:tcW w:w="902" w:type="pct"/>
            <w:gridSpan w:val="4"/>
            <w:tcBorders>
              <w:tl2br w:val="nil"/>
              <w:tr2bl w:val="nil"/>
            </w:tcBorders>
            <w:vAlign w:val="center"/>
          </w:tcPr>
          <w:p w14:paraId="7983E1A4">
            <w:pPr>
              <w:pStyle w:val="766"/>
              <w:rPr>
                <w:color w:val="auto"/>
              </w:rPr>
            </w:pPr>
            <w:r>
              <w:rPr>
                <w:color w:val="auto"/>
              </w:rPr>
              <w:t>远期□</w:t>
            </w:r>
          </w:p>
        </w:tc>
      </w:tr>
      <w:tr w14:paraId="1E06DE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89" w:type="pct"/>
            <w:vMerge w:val="continue"/>
            <w:tcBorders>
              <w:tl2br w:val="nil"/>
              <w:tr2bl w:val="nil"/>
            </w:tcBorders>
            <w:vAlign w:val="center"/>
          </w:tcPr>
          <w:p w14:paraId="4567F8F6">
            <w:pPr>
              <w:pStyle w:val="766"/>
              <w:rPr>
                <w:color w:val="auto"/>
              </w:rPr>
            </w:pPr>
          </w:p>
        </w:tc>
        <w:tc>
          <w:tcPr>
            <w:tcW w:w="746" w:type="pct"/>
            <w:tcBorders>
              <w:tl2br w:val="nil"/>
              <w:tr2bl w:val="nil"/>
            </w:tcBorders>
            <w:vAlign w:val="center"/>
          </w:tcPr>
          <w:p w14:paraId="15571257">
            <w:pPr>
              <w:pStyle w:val="766"/>
              <w:rPr>
                <w:color w:val="auto"/>
              </w:rPr>
            </w:pPr>
            <w:r>
              <w:rPr>
                <w:color w:val="auto"/>
              </w:rPr>
              <w:t>现状调查方法</w:t>
            </w:r>
          </w:p>
        </w:tc>
        <w:tc>
          <w:tcPr>
            <w:tcW w:w="1364" w:type="pct"/>
            <w:gridSpan w:val="7"/>
            <w:tcBorders>
              <w:tl2br w:val="nil"/>
              <w:tr2bl w:val="nil"/>
            </w:tcBorders>
            <w:vAlign w:val="center"/>
          </w:tcPr>
          <w:p w14:paraId="2778A2C3">
            <w:pPr>
              <w:pStyle w:val="766"/>
              <w:rPr>
                <w:color w:val="auto"/>
              </w:rPr>
            </w:pPr>
            <w:r>
              <w:rPr>
                <w:color w:val="auto"/>
              </w:rPr>
              <w:t>现场实测法</w:t>
            </w:r>
            <w:r>
              <w:rPr>
                <w:color w:val="auto"/>
              </w:rPr>
              <w:sym w:font="Wingdings 2" w:char="0052"/>
            </w:r>
          </w:p>
        </w:tc>
        <w:tc>
          <w:tcPr>
            <w:tcW w:w="1398" w:type="pct"/>
            <w:gridSpan w:val="7"/>
            <w:tcBorders>
              <w:tl2br w:val="nil"/>
              <w:tr2bl w:val="nil"/>
            </w:tcBorders>
            <w:vAlign w:val="center"/>
          </w:tcPr>
          <w:p w14:paraId="00FED259">
            <w:pPr>
              <w:pStyle w:val="766"/>
              <w:rPr>
                <w:color w:val="auto"/>
              </w:rPr>
            </w:pPr>
            <w:r>
              <w:rPr>
                <w:color w:val="auto"/>
              </w:rPr>
              <w:t>现场实测加模型计算法□</w:t>
            </w:r>
          </w:p>
        </w:tc>
        <w:tc>
          <w:tcPr>
            <w:tcW w:w="902" w:type="pct"/>
            <w:gridSpan w:val="4"/>
            <w:tcBorders>
              <w:tl2br w:val="nil"/>
              <w:tr2bl w:val="nil"/>
            </w:tcBorders>
            <w:vAlign w:val="center"/>
          </w:tcPr>
          <w:p w14:paraId="3D57ECCC">
            <w:pPr>
              <w:pStyle w:val="766"/>
              <w:rPr>
                <w:color w:val="auto"/>
              </w:rPr>
            </w:pPr>
            <w:r>
              <w:rPr>
                <w:color w:val="auto"/>
              </w:rPr>
              <w:t>收集资料</w:t>
            </w:r>
            <w:r>
              <w:rPr>
                <w:color w:val="auto"/>
              </w:rPr>
              <w:sym w:font="Wingdings 2" w:char="00A3"/>
            </w:r>
          </w:p>
        </w:tc>
      </w:tr>
      <w:tr w14:paraId="2E67DF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9" w:type="pct"/>
            <w:vMerge w:val="continue"/>
            <w:tcBorders>
              <w:tl2br w:val="nil"/>
              <w:tr2bl w:val="nil"/>
            </w:tcBorders>
            <w:vAlign w:val="center"/>
          </w:tcPr>
          <w:p w14:paraId="6D523BA6">
            <w:pPr>
              <w:pStyle w:val="766"/>
              <w:rPr>
                <w:color w:val="auto"/>
              </w:rPr>
            </w:pPr>
          </w:p>
        </w:tc>
        <w:tc>
          <w:tcPr>
            <w:tcW w:w="746" w:type="pct"/>
            <w:tcBorders>
              <w:tl2br w:val="nil"/>
              <w:tr2bl w:val="nil"/>
            </w:tcBorders>
            <w:vAlign w:val="center"/>
          </w:tcPr>
          <w:p w14:paraId="1D8F69DC">
            <w:pPr>
              <w:pStyle w:val="766"/>
              <w:rPr>
                <w:color w:val="auto"/>
              </w:rPr>
            </w:pPr>
            <w:r>
              <w:rPr>
                <w:color w:val="auto"/>
              </w:rPr>
              <w:t>现状评价</w:t>
            </w:r>
          </w:p>
        </w:tc>
        <w:tc>
          <w:tcPr>
            <w:tcW w:w="1085" w:type="pct"/>
            <w:gridSpan w:val="3"/>
            <w:tcBorders>
              <w:tl2br w:val="nil"/>
              <w:tr2bl w:val="nil"/>
            </w:tcBorders>
            <w:vAlign w:val="center"/>
          </w:tcPr>
          <w:p w14:paraId="2EBDA8FC">
            <w:pPr>
              <w:pStyle w:val="766"/>
              <w:rPr>
                <w:color w:val="auto"/>
              </w:rPr>
            </w:pPr>
            <w:r>
              <w:rPr>
                <w:color w:val="auto"/>
              </w:rPr>
              <w:t>达标百分比</w:t>
            </w:r>
          </w:p>
        </w:tc>
        <w:tc>
          <w:tcPr>
            <w:tcW w:w="2580" w:type="pct"/>
            <w:gridSpan w:val="15"/>
            <w:tcBorders>
              <w:tl2br w:val="nil"/>
              <w:tr2bl w:val="nil"/>
            </w:tcBorders>
            <w:vAlign w:val="center"/>
          </w:tcPr>
          <w:p w14:paraId="7B407E22">
            <w:pPr>
              <w:pStyle w:val="766"/>
              <w:rPr>
                <w:color w:val="auto"/>
              </w:rPr>
            </w:pPr>
            <w:r>
              <w:rPr>
                <w:color w:val="auto"/>
              </w:rPr>
              <w:t>100%</w:t>
            </w:r>
          </w:p>
        </w:tc>
      </w:tr>
      <w:tr w14:paraId="10197E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589" w:type="pct"/>
            <w:tcBorders>
              <w:tl2br w:val="nil"/>
              <w:tr2bl w:val="nil"/>
            </w:tcBorders>
            <w:vAlign w:val="center"/>
          </w:tcPr>
          <w:p w14:paraId="67F4AEDD">
            <w:pPr>
              <w:pStyle w:val="766"/>
              <w:rPr>
                <w:color w:val="auto"/>
              </w:rPr>
            </w:pPr>
            <w:r>
              <w:rPr>
                <w:color w:val="auto"/>
              </w:rPr>
              <w:t>噪声源</w:t>
            </w:r>
          </w:p>
          <w:p w14:paraId="18A8A968">
            <w:pPr>
              <w:pStyle w:val="766"/>
              <w:rPr>
                <w:color w:val="auto"/>
              </w:rPr>
            </w:pPr>
            <w:r>
              <w:rPr>
                <w:color w:val="auto"/>
              </w:rPr>
              <w:t>调查</w:t>
            </w:r>
          </w:p>
        </w:tc>
        <w:tc>
          <w:tcPr>
            <w:tcW w:w="746" w:type="pct"/>
            <w:tcBorders>
              <w:tl2br w:val="nil"/>
              <w:tr2bl w:val="nil"/>
            </w:tcBorders>
            <w:vAlign w:val="center"/>
          </w:tcPr>
          <w:p w14:paraId="08D0BF09">
            <w:pPr>
              <w:pStyle w:val="766"/>
              <w:rPr>
                <w:color w:val="auto"/>
              </w:rPr>
            </w:pPr>
            <w:r>
              <w:rPr>
                <w:color w:val="auto"/>
              </w:rPr>
              <w:t>噪声源调查方法</w:t>
            </w:r>
          </w:p>
        </w:tc>
        <w:tc>
          <w:tcPr>
            <w:tcW w:w="1085" w:type="pct"/>
            <w:gridSpan w:val="3"/>
            <w:tcBorders>
              <w:tl2br w:val="nil"/>
              <w:tr2bl w:val="nil"/>
            </w:tcBorders>
            <w:vAlign w:val="center"/>
          </w:tcPr>
          <w:p w14:paraId="6DB41DFD">
            <w:pPr>
              <w:pStyle w:val="766"/>
              <w:rPr>
                <w:color w:val="auto"/>
              </w:rPr>
            </w:pPr>
            <w:r>
              <w:rPr>
                <w:color w:val="auto"/>
              </w:rPr>
              <w:t>现场实测□</w:t>
            </w:r>
          </w:p>
        </w:tc>
        <w:tc>
          <w:tcPr>
            <w:tcW w:w="1408" w:type="pct"/>
            <w:gridSpan w:val="10"/>
            <w:tcBorders>
              <w:tl2br w:val="nil"/>
              <w:tr2bl w:val="nil"/>
            </w:tcBorders>
            <w:vAlign w:val="center"/>
          </w:tcPr>
          <w:p w14:paraId="56E49D9E">
            <w:pPr>
              <w:pStyle w:val="766"/>
              <w:rPr>
                <w:color w:val="auto"/>
              </w:rPr>
            </w:pPr>
            <w:r>
              <w:rPr>
                <w:color w:val="auto"/>
              </w:rPr>
              <w:t>已有资料</w:t>
            </w:r>
            <w:r>
              <w:rPr>
                <w:color w:val="auto"/>
              </w:rPr>
              <w:sym w:font="Wingdings 2" w:char="0052"/>
            </w:r>
          </w:p>
        </w:tc>
        <w:tc>
          <w:tcPr>
            <w:tcW w:w="1171" w:type="pct"/>
            <w:gridSpan w:val="5"/>
            <w:tcBorders>
              <w:tl2br w:val="nil"/>
              <w:tr2bl w:val="nil"/>
            </w:tcBorders>
            <w:vAlign w:val="center"/>
          </w:tcPr>
          <w:p w14:paraId="67A95842">
            <w:pPr>
              <w:pStyle w:val="766"/>
              <w:rPr>
                <w:color w:val="auto"/>
              </w:rPr>
            </w:pPr>
            <w:r>
              <w:rPr>
                <w:color w:val="auto"/>
              </w:rPr>
              <w:t>研究成果□</w:t>
            </w:r>
          </w:p>
        </w:tc>
      </w:tr>
      <w:tr w14:paraId="5347CD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89" w:type="pct"/>
            <w:vMerge w:val="restart"/>
            <w:tcBorders>
              <w:tl2br w:val="nil"/>
              <w:tr2bl w:val="nil"/>
            </w:tcBorders>
            <w:vAlign w:val="center"/>
          </w:tcPr>
          <w:p w14:paraId="1058B585">
            <w:pPr>
              <w:pStyle w:val="766"/>
              <w:rPr>
                <w:color w:val="auto"/>
              </w:rPr>
            </w:pPr>
            <w:r>
              <w:rPr>
                <w:color w:val="auto"/>
              </w:rPr>
              <w:t>声环境影响预测与评价</w:t>
            </w:r>
          </w:p>
        </w:tc>
        <w:tc>
          <w:tcPr>
            <w:tcW w:w="746" w:type="pct"/>
            <w:tcBorders>
              <w:tl2br w:val="nil"/>
              <w:tr2bl w:val="nil"/>
            </w:tcBorders>
            <w:vAlign w:val="center"/>
          </w:tcPr>
          <w:p w14:paraId="48C86784">
            <w:pPr>
              <w:pStyle w:val="766"/>
              <w:rPr>
                <w:color w:val="auto"/>
              </w:rPr>
            </w:pPr>
            <w:r>
              <w:rPr>
                <w:color w:val="auto"/>
              </w:rPr>
              <w:t>预测模型</w:t>
            </w:r>
          </w:p>
        </w:tc>
        <w:tc>
          <w:tcPr>
            <w:tcW w:w="1085" w:type="pct"/>
            <w:gridSpan w:val="3"/>
            <w:tcBorders>
              <w:tl2br w:val="nil"/>
              <w:tr2bl w:val="nil"/>
            </w:tcBorders>
            <w:vAlign w:val="center"/>
          </w:tcPr>
          <w:p w14:paraId="35B73903">
            <w:pPr>
              <w:pStyle w:val="766"/>
              <w:rPr>
                <w:color w:val="auto"/>
              </w:rPr>
            </w:pPr>
            <w:r>
              <w:rPr>
                <w:color w:val="auto"/>
              </w:rPr>
              <w:t>导则推荐模型</w:t>
            </w:r>
            <w:r>
              <w:rPr>
                <w:color w:val="auto"/>
              </w:rPr>
              <w:sym w:font="Wingdings 2" w:char="0052"/>
            </w:r>
          </w:p>
        </w:tc>
        <w:tc>
          <w:tcPr>
            <w:tcW w:w="2580" w:type="pct"/>
            <w:gridSpan w:val="15"/>
            <w:tcBorders>
              <w:tl2br w:val="nil"/>
              <w:tr2bl w:val="nil"/>
            </w:tcBorders>
            <w:vAlign w:val="center"/>
          </w:tcPr>
          <w:p w14:paraId="5C0D85C9">
            <w:pPr>
              <w:pStyle w:val="766"/>
              <w:rPr>
                <w:color w:val="auto"/>
              </w:rPr>
            </w:pPr>
            <w:r>
              <w:rPr>
                <w:color w:val="auto"/>
              </w:rPr>
              <w:t>其他□</w:t>
            </w:r>
          </w:p>
        </w:tc>
      </w:tr>
      <w:tr w14:paraId="051E9A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9" w:type="pct"/>
            <w:vMerge w:val="continue"/>
            <w:tcBorders>
              <w:tl2br w:val="nil"/>
              <w:tr2bl w:val="nil"/>
            </w:tcBorders>
            <w:vAlign w:val="center"/>
          </w:tcPr>
          <w:p w14:paraId="4BFC2D65">
            <w:pPr>
              <w:pStyle w:val="766"/>
              <w:rPr>
                <w:color w:val="auto"/>
              </w:rPr>
            </w:pPr>
          </w:p>
        </w:tc>
        <w:tc>
          <w:tcPr>
            <w:tcW w:w="746" w:type="pct"/>
            <w:tcBorders>
              <w:tl2br w:val="nil"/>
              <w:tr2bl w:val="nil"/>
            </w:tcBorders>
            <w:vAlign w:val="center"/>
          </w:tcPr>
          <w:p w14:paraId="00C6917C">
            <w:pPr>
              <w:pStyle w:val="766"/>
              <w:rPr>
                <w:color w:val="auto"/>
              </w:rPr>
            </w:pPr>
            <w:r>
              <w:rPr>
                <w:color w:val="auto"/>
              </w:rPr>
              <w:t>预测范围</w:t>
            </w:r>
          </w:p>
        </w:tc>
        <w:tc>
          <w:tcPr>
            <w:tcW w:w="1217" w:type="pct"/>
            <w:gridSpan w:val="5"/>
            <w:tcBorders>
              <w:tl2br w:val="nil"/>
              <w:tr2bl w:val="nil"/>
            </w:tcBorders>
            <w:vAlign w:val="center"/>
          </w:tcPr>
          <w:p w14:paraId="0F2727D9">
            <w:pPr>
              <w:pStyle w:val="766"/>
              <w:rPr>
                <w:color w:val="auto"/>
              </w:rPr>
            </w:pPr>
            <w:r>
              <w:rPr>
                <w:color w:val="auto"/>
              </w:rPr>
              <w:t>200m</w:t>
            </w:r>
            <w:r>
              <w:rPr>
                <w:color w:val="auto"/>
              </w:rPr>
              <w:sym w:font="Wingdings 2" w:char="0052"/>
            </w:r>
          </w:p>
        </w:tc>
        <w:tc>
          <w:tcPr>
            <w:tcW w:w="973" w:type="pct"/>
            <w:gridSpan w:val="6"/>
            <w:tcBorders>
              <w:tl2br w:val="nil"/>
              <w:tr2bl w:val="nil"/>
            </w:tcBorders>
            <w:vAlign w:val="center"/>
          </w:tcPr>
          <w:p w14:paraId="09943738">
            <w:pPr>
              <w:pStyle w:val="766"/>
              <w:rPr>
                <w:color w:val="auto"/>
              </w:rPr>
            </w:pPr>
            <w:r>
              <w:rPr>
                <w:color w:val="auto"/>
              </w:rPr>
              <w:t>大于200 m□</w:t>
            </w:r>
          </w:p>
        </w:tc>
        <w:tc>
          <w:tcPr>
            <w:tcW w:w="1474" w:type="pct"/>
            <w:gridSpan w:val="7"/>
            <w:tcBorders>
              <w:tl2br w:val="nil"/>
              <w:tr2bl w:val="nil"/>
            </w:tcBorders>
            <w:vAlign w:val="center"/>
          </w:tcPr>
          <w:p w14:paraId="0041C92F">
            <w:pPr>
              <w:pStyle w:val="766"/>
              <w:rPr>
                <w:color w:val="auto"/>
              </w:rPr>
            </w:pPr>
            <w:r>
              <w:rPr>
                <w:color w:val="auto"/>
              </w:rPr>
              <w:t>小于200m□</w:t>
            </w:r>
          </w:p>
        </w:tc>
      </w:tr>
      <w:tr w14:paraId="1E8E7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89" w:type="pct"/>
            <w:vMerge w:val="continue"/>
            <w:tcBorders>
              <w:tl2br w:val="nil"/>
              <w:tr2bl w:val="nil"/>
            </w:tcBorders>
            <w:vAlign w:val="center"/>
          </w:tcPr>
          <w:p w14:paraId="58EC4E03">
            <w:pPr>
              <w:pStyle w:val="766"/>
              <w:rPr>
                <w:color w:val="auto"/>
              </w:rPr>
            </w:pPr>
          </w:p>
        </w:tc>
        <w:tc>
          <w:tcPr>
            <w:tcW w:w="746" w:type="pct"/>
            <w:tcBorders>
              <w:tl2br w:val="nil"/>
              <w:tr2bl w:val="nil"/>
            </w:tcBorders>
            <w:vAlign w:val="center"/>
          </w:tcPr>
          <w:p w14:paraId="408AA76A">
            <w:pPr>
              <w:pStyle w:val="766"/>
              <w:rPr>
                <w:color w:val="auto"/>
              </w:rPr>
            </w:pPr>
            <w:r>
              <w:rPr>
                <w:color w:val="auto"/>
              </w:rPr>
              <w:t>预测因子</w:t>
            </w:r>
          </w:p>
        </w:tc>
        <w:tc>
          <w:tcPr>
            <w:tcW w:w="1085" w:type="pct"/>
            <w:gridSpan w:val="3"/>
            <w:tcBorders>
              <w:tl2br w:val="nil"/>
              <w:tr2bl w:val="nil"/>
            </w:tcBorders>
            <w:vAlign w:val="center"/>
          </w:tcPr>
          <w:p w14:paraId="450E80C7">
            <w:pPr>
              <w:pStyle w:val="766"/>
              <w:rPr>
                <w:color w:val="auto"/>
              </w:rPr>
            </w:pPr>
            <w:r>
              <w:rPr>
                <w:color w:val="auto"/>
              </w:rPr>
              <w:t>等效连续A声级</w:t>
            </w:r>
            <w:r>
              <w:rPr>
                <w:color w:val="auto"/>
              </w:rPr>
              <w:sym w:font="Wingdings 2" w:char="0052"/>
            </w:r>
          </w:p>
        </w:tc>
        <w:tc>
          <w:tcPr>
            <w:tcW w:w="1106" w:type="pct"/>
            <w:gridSpan w:val="8"/>
            <w:tcBorders>
              <w:tl2br w:val="nil"/>
              <w:tr2bl w:val="nil"/>
            </w:tcBorders>
            <w:vAlign w:val="center"/>
          </w:tcPr>
          <w:p w14:paraId="01B3C361">
            <w:pPr>
              <w:pStyle w:val="766"/>
              <w:rPr>
                <w:color w:val="auto"/>
              </w:rPr>
            </w:pPr>
            <w:r>
              <w:rPr>
                <w:color w:val="auto"/>
              </w:rPr>
              <w:t>最大A声级□</w:t>
            </w:r>
          </w:p>
        </w:tc>
        <w:tc>
          <w:tcPr>
            <w:tcW w:w="1474" w:type="pct"/>
            <w:gridSpan w:val="7"/>
            <w:tcBorders>
              <w:tl2br w:val="nil"/>
              <w:tr2bl w:val="nil"/>
            </w:tcBorders>
            <w:vAlign w:val="center"/>
          </w:tcPr>
          <w:p w14:paraId="18A315EF">
            <w:pPr>
              <w:pStyle w:val="766"/>
              <w:rPr>
                <w:color w:val="auto"/>
              </w:rPr>
            </w:pPr>
            <w:r>
              <w:rPr>
                <w:color w:val="auto"/>
              </w:rPr>
              <w:t>计权等效连续感觉噪声级□</w:t>
            </w:r>
          </w:p>
        </w:tc>
      </w:tr>
      <w:tr w14:paraId="78E397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89" w:type="pct"/>
            <w:vMerge w:val="continue"/>
            <w:tcBorders>
              <w:tl2br w:val="nil"/>
              <w:tr2bl w:val="nil"/>
            </w:tcBorders>
            <w:vAlign w:val="center"/>
          </w:tcPr>
          <w:p w14:paraId="4C055A98">
            <w:pPr>
              <w:pStyle w:val="766"/>
              <w:rPr>
                <w:color w:val="auto"/>
              </w:rPr>
            </w:pPr>
          </w:p>
        </w:tc>
        <w:tc>
          <w:tcPr>
            <w:tcW w:w="746" w:type="pct"/>
            <w:tcBorders>
              <w:tl2br w:val="nil"/>
              <w:tr2bl w:val="nil"/>
            </w:tcBorders>
            <w:vAlign w:val="center"/>
          </w:tcPr>
          <w:p w14:paraId="3A3FE72D">
            <w:pPr>
              <w:pStyle w:val="766"/>
              <w:rPr>
                <w:color w:val="auto"/>
              </w:rPr>
            </w:pPr>
            <w:r>
              <w:rPr>
                <w:color w:val="auto"/>
              </w:rPr>
              <w:t>厂界噪声贡献值</w:t>
            </w:r>
          </w:p>
        </w:tc>
        <w:tc>
          <w:tcPr>
            <w:tcW w:w="1676" w:type="pct"/>
            <w:gridSpan w:val="8"/>
            <w:tcBorders>
              <w:tl2br w:val="nil"/>
              <w:tr2bl w:val="nil"/>
            </w:tcBorders>
            <w:vAlign w:val="center"/>
          </w:tcPr>
          <w:p w14:paraId="76501C3E">
            <w:pPr>
              <w:pStyle w:val="766"/>
              <w:rPr>
                <w:color w:val="auto"/>
              </w:rPr>
            </w:pPr>
            <w:r>
              <w:rPr>
                <w:color w:val="auto"/>
              </w:rPr>
              <w:t xml:space="preserve">达标 </w:t>
            </w:r>
            <w:r>
              <w:rPr>
                <w:color w:val="auto"/>
              </w:rPr>
              <w:sym w:font="Wingdings 2" w:char="0052"/>
            </w:r>
          </w:p>
        </w:tc>
        <w:tc>
          <w:tcPr>
            <w:tcW w:w="1988" w:type="pct"/>
            <w:gridSpan w:val="10"/>
            <w:tcBorders>
              <w:tl2br w:val="nil"/>
              <w:tr2bl w:val="nil"/>
            </w:tcBorders>
            <w:vAlign w:val="center"/>
          </w:tcPr>
          <w:p w14:paraId="323A7808">
            <w:pPr>
              <w:pStyle w:val="766"/>
              <w:rPr>
                <w:color w:val="auto"/>
              </w:rPr>
            </w:pPr>
            <w:r>
              <w:rPr>
                <w:color w:val="auto"/>
              </w:rPr>
              <w:t>不达标□</w:t>
            </w:r>
          </w:p>
        </w:tc>
      </w:tr>
      <w:tr w14:paraId="5D31BF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89" w:type="pct"/>
            <w:vMerge w:val="continue"/>
            <w:tcBorders>
              <w:tl2br w:val="nil"/>
              <w:tr2bl w:val="nil"/>
            </w:tcBorders>
            <w:vAlign w:val="center"/>
          </w:tcPr>
          <w:p w14:paraId="4F84589F">
            <w:pPr>
              <w:pStyle w:val="766"/>
              <w:rPr>
                <w:color w:val="auto"/>
              </w:rPr>
            </w:pPr>
          </w:p>
        </w:tc>
        <w:tc>
          <w:tcPr>
            <w:tcW w:w="746" w:type="pct"/>
            <w:tcBorders>
              <w:tl2br w:val="nil"/>
              <w:tr2bl w:val="nil"/>
            </w:tcBorders>
            <w:vAlign w:val="center"/>
          </w:tcPr>
          <w:p w14:paraId="5AA70B0D">
            <w:pPr>
              <w:pStyle w:val="766"/>
              <w:rPr>
                <w:color w:val="auto"/>
              </w:rPr>
            </w:pPr>
            <w:r>
              <w:rPr>
                <w:color w:val="auto"/>
              </w:rPr>
              <w:t>声环境保护目标处噪声值</w:t>
            </w:r>
          </w:p>
        </w:tc>
        <w:tc>
          <w:tcPr>
            <w:tcW w:w="1676" w:type="pct"/>
            <w:gridSpan w:val="8"/>
            <w:tcBorders>
              <w:tl2br w:val="nil"/>
              <w:tr2bl w:val="nil"/>
            </w:tcBorders>
            <w:vAlign w:val="center"/>
          </w:tcPr>
          <w:p w14:paraId="617302EC">
            <w:pPr>
              <w:pStyle w:val="766"/>
              <w:rPr>
                <w:color w:val="auto"/>
              </w:rPr>
            </w:pPr>
            <w:r>
              <w:rPr>
                <w:color w:val="auto"/>
              </w:rPr>
              <w:t>达标□</w:t>
            </w:r>
          </w:p>
        </w:tc>
        <w:tc>
          <w:tcPr>
            <w:tcW w:w="1988" w:type="pct"/>
            <w:gridSpan w:val="10"/>
            <w:tcBorders>
              <w:tl2br w:val="nil"/>
              <w:tr2bl w:val="nil"/>
            </w:tcBorders>
            <w:vAlign w:val="center"/>
          </w:tcPr>
          <w:p w14:paraId="0C8A68C8">
            <w:pPr>
              <w:pStyle w:val="766"/>
              <w:rPr>
                <w:color w:val="auto"/>
              </w:rPr>
            </w:pPr>
            <w:r>
              <w:rPr>
                <w:color w:val="auto"/>
              </w:rPr>
              <w:t>不达标□</w:t>
            </w:r>
          </w:p>
        </w:tc>
      </w:tr>
      <w:tr w14:paraId="4497E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9" w:type="pct"/>
            <w:vMerge w:val="restart"/>
            <w:tcBorders>
              <w:tl2br w:val="nil"/>
              <w:tr2bl w:val="nil"/>
            </w:tcBorders>
            <w:vAlign w:val="center"/>
          </w:tcPr>
          <w:p w14:paraId="4B19E93C">
            <w:pPr>
              <w:pStyle w:val="766"/>
              <w:rPr>
                <w:color w:val="auto"/>
              </w:rPr>
            </w:pPr>
            <w:r>
              <w:rPr>
                <w:color w:val="auto"/>
              </w:rPr>
              <w:t>环境监测计划</w:t>
            </w:r>
          </w:p>
        </w:tc>
        <w:tc>
          <w:tcPr>
            <w:tcW w:w="746" w:type="pct"/>
            <w:tcBorders>
              <w:tl2br w:val="nil"/>
              <w:tr2bl w:val="nil"/>
            </w:tcBorders>
            <w:vAlign w:val="center"/>
          </w:tcPr>
          <w:p w14:paraId="75C28BCF">
            <w:pPr>
              <w:pStyle w:val="766"/>
              <w:rPr>
                <w:color w:val="auto"/>
              </w:rPr>
            </w:pPr>
            <w:r>
              <w:rPr>
                <w:color w:val="auto"/>
              </w:rPr>
              <w:t>排放监测</w:t>
            </w:r>
          </w:p>
        </w:tc>
        <w:tc>
          <w:tcPr>
            <w:tcW w:w="1676" w:type="pct"/>
            <w:gridSpan w:val="8"/>
            <w:tcBorders>
              <w:tl2br w:val="nil"/>
              <w:tr2bl w:val="nil"/>
            </w:tcBorders>
            <w:vAlign w:val="center"/>
          </w:tcPr>
          <w:p w14:paraId="34F946D2">
            <w:pPr>
              <w:pStyle w:val="766"/>
              <w:rPr>
                <w:color w:val="auto"/>
              </w:rPr>
            </w:pPr>
            <w:r>
              <w:rPr>
                <w:color w:val="auto"/>
              </w:rPr>
              <w:t>厂界监测</w:t>
            </w:r>
            <w:r>
              <w:rPr>
                <w:color w:val="auto"/>
              </w:rPr>
              <w:sym w:font="Wingdings 2" w:char="0052"/>
            </w:r>
            <w:r>
              <w:rPr>
                <w:color w:val="auto"/>
              </w:rPr>
              <w:t>固定位置监测□</w:t>
            </w:r>
          </w:p>
        </w:tc>
        <w:tc>
          <w:tcPr>
            <w:tcW w:w="1320" w:type="pct"/>
            <w:gridSpan w:val="8"/>
            <w:tcBorders>
              <w:tl2br w:val="nil"/>
              <w:tr2bl w:val="nil"/>
            </w:tcBorders>
            <w:vAlign w:val="center"/>
          </w:tcPr>
          <w:p w14:paraId="2EE40F23">
            <w:pPr>
              <w:pStyle w:val="766"/>
              <w:rPr>
                <w:color w:val="auto"/>
              </w:rPr>
            </w:pPr>
            <w:r>
              <w:rPr>
                <w:color w:val="auto"/>
              </w:rPr>
              <w:t>自动监测□手动监测</w:t>
            </w:r>
            <w:r>
              <w:rPr>
                <w:color w:val="auto"/>
              </w:rPr>
              <w:sym w:font="Wingdings 2" w:char="0052"/>
            </w:r>
          </w:p>
        </w:tc>
        <w:tc>
          <w:tcPr>
            <w:tcW w:w="668" w:type="pct"/>
            <w:gridSpan w:val="2"/>
            <w:tcBorders>
              <w:tl2br w:val="nil"/>
              <w:tr2bl w:val="nil"/>
            </w:tcBorders>
            <w:vAlign w:val="center"/>
          </w:tcPr>
          <w:p w14:paraId="58614A9E">
            <w:pPr>
              <w:pStyle w:val="766"/>
              <w:rPr>
                <w:color w:val="auto"/>
              </w:rPr>
            </w:pPr>
            <w:r>
              <w:rPr>
                <w:color w:val="auto"/>
              </w:rPr>
              <w:t>无监测□</w:t>
            </w:r>
          </w:p>
        </w:tc>
      </w:tr>
      <w:tr w14:paraId="3A037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9" w:type="pct"/>
            <w:vMerge w:val="continue"/>
            <w:tcBorders>
              <w:tl2br w:val="nil"/>
              <w:tr2bl w:val="nil"/>
            </w:tcBorders>
            <w:vAlign w:val="center"/>
          </w:tcPr>
          <w:p w14:paraId="56A613B6">
            <w:pPr>
              <w:pStyle w:val="766"/>
              <w:rPr>
                <w:color w:val="auto"/>
              </w:rPr>
            </w:pPr>
          </w:p>
        </w:tc>
        <w:tc>
          <w:tcPr>
            <w:tcW w:w="746" w:type="pct"/>
            <w:tcBorders>
              <w:tl2br w:val="nil"/>
              <w:tr2bl w:val="nil"/>
            </w:tcBorders>
            <w:vAlign w:val="center"/>
          </w:tcPr>
          <w:p w14:paraId="5AE4572D">
            <w:pPr>
              <w:pStyle w:val="766"/>
              <w:rPr>
                <w:color w:val="auto"/>
              </w:rPr>
            </w:pPr>
            <w:r>
              <w:rPr>
                <w:color w:val="auto"/>
              </w:rPr>
              <w:t>声环境保护目标处噪声监测</w:t>
            </w:r>
          </w:p>
        </w:tc>
        <w:tc>
          <w:tcPr>
            <w:tcW w:w="1676" w:type="pct"/>
            <w:gridSpan w:val="8"/>
            <w:tcBorders>
              <w:tl2br w:val="nil"/>
              <w:tr2bl w:val="nil"/>
            </w:tcBorders>
            <w:vAlign w:val="center"/>
          </w:tcPr>
          <w:p w14:paraId="253DFA98">
            <w:pPr>
              <w:pStyle w:val="766"/>
              <w:rPr>
                <w:color w:val="auto"/>
              </w:rPr>
            </w:pPr>
            <w:r>
              <w:rPr>
                <w:color w:val="auto"/>
              </w:rPr>
              <w:t>监测因子：（）</w:t>
            </w:r>
          </w:p>
        </w:tc>
        <w:tc>
          <w:tcPr>
            <w:tcW w:w="1320" w:type="pct"/>
            <w:gridSpan w:val="8"/>
            <w:tcBorders>
              <w:tl2br w:val="nil"/>
              <w:tr2bl w:val="nil"/>
            </w:tcBorders>
            <w:vAlign w:val="center"/>
          </w:tcPr>
          <w:p w14:paraId="0ACC7EDE">
            <w:pPr>
              <w:pStyle w:val="766"/>
              <w:rPr>
                <w:color w:val="auto"/>
              </w:rPr>
            </w:pPr>
            <w:r>
              <w:rPr>
                <w:color w:val="auto"/>
              </w:rPr>
              <w:t>监测点位数（）</w:t>
            </w:r>
          </w:p>
        </w:tc>
        <w:tc>
          <w:tcPr>
            <w:tcW w:w="668" w:type="pct"/>
            <w:gridSpan w:val="2"/>
            <w:tcBorders>
              <w:tl2br w:val="nil"/>
              <w:tr2bl w:val="nil"/>
            </w:tcBorders>
            <w:vAlign w:val="center"/>
          </w:tcPr>
          <w:p w14:paraId="0EF15ABB">
            <w:pPr>
              <w:pStyle w:val="766"/>
              <w:rPr>
                <w:color w:val="auto"/>
              </w:rPr>
            </w:pPr>
            <w:r>
              <w:rPr>
                <w:color w:val="auto"/>
              </w:rPr>
              <w:t>无监测□</w:t>
            </w:r>
          </w:p>
        </w:tc>
      </w:tr>
      <w:tr w14:paraId="4134DC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589" w:type="pct"/>
            <w:tcBorders>
              <w:tl2br w:val="nil"/>
              <w:tr2bl w:val="nil"/>
            </w:tcBorders>
            <w:vAlign w:val="center"/>
          </w:tcPr>
          <w:p w14:paraId="0C92FFA7">
            <w:pPr>
              <w:pStyle w:val="766"/>
              <w:rPr>
                <w:color w:val="auto"/>
              </w:rPr>
            </w:pPr>
            <w:r>
              <w:rPr>
                <w:color w:val="auto"/>
              </w:rPr>
              <w:t>评价结论</w:t>
            </w:r>
          </w:p>
        </w:tc>
        <w:tc>
          <w:tcPr>
            <w:tcW w:w="746" w:type="pct"/>
            <w:tcBorders>
              <w:tl2br w:val="nil"/>
              <w:tr2bl w:val="nil"/>
            </w:tcBorders>
            <w:vAlign w:val="center"/>
          </w:tcPr>
          <w:p w14:paraId="1C897748">
            <w:pPr>
              <w:pStyle w:val="766"/>
              <w:rPr>
                <w:color w:val="auto"/>
              </w:rPr>
            </w:pPr>
            <w:r>
              <w:rPr>
                <w:color w:val="auto"/>
              </w:rPr>
              <w:t>环境影响</w:t>
            </w:r>
          </w:p>
        </w:tc>
        <w:tc>
          <w:tcPr>
            <w:tcW w:w="3664" w:type="pct"/>
            <w:gridSpan w:val="18"/>
            <w:tcBorders>
              <w:tl2br w:val="nil"/>
              <w:tr2bl w:val="nil"/>
            </w:tcBorders>
            <w:vAlign w:val="center"/>
          </w:tcPr>
          <w:p w14:paraId="0ABA46AC">
            <w:pPr>
              <w:pStyle w:val="766"/>
              <w:rPr>
                <w:color w:val="auto"/>
              </w:rPr>
            </w:pPr>
            <w:r>
              <w:rPr>
                <w:color w:val="auto"/>
              </w:rPr>
              <w:t>可行</w:t>
            </w:r>
            <w:r>
              <w:rPr>
                <w:color w:val="auto"/>
              </w:rPr>
              <w:sym w:font="Wingdings 2" w:char="0052"/>
            </w:r>
            <w:r>
              <w:rPr>
                <w:color w:val="auto"/>
              </w:rPr>
              <w:t>不可行□</w:t>
            </w:r>
          </w:p>
        </w:tc>
      </w:tr>
      <w:tr w14:paraId="0F6486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5000" w:type="pct"/>
            <w:gridSpan w:val="20"/>
            <w:tcBorders>
              <w:tl2br w:val="nil"/>
              <w:tr2bl w:val="nil"/>
            </w:tcBorders>
            <w:vAlign w:val="center"/>
          </w:tcPr>
          <w:p w14:paraId="53A7B8E0">
            <w:pPr>
              <w:pStyle w:val="766"/>
              <w:rPr>
                <w:color w:val="auto"/>
              </w:rPr>
            </w:pPr>
            <w:r>
              <w:rPr>
                <w:color w:val="auto"/>
              </w:rPr>
              <w:t>注：“□”为勾选项，可√；“（）”为内容填写项。</w:t>
            </w:r>
          </w:p>
        </w:tc>
      </w:tr>
    </w:tbl>
    <w:p w14:paraId="2833D567">
      <w:pPr>
        <w:pStyle w:val="11"/>
      </w:pPr>
      <w:bookmarkStart w:id="415" w:name="_Toc29776"/>
      <w:bookmarkStart w:id="416" w:name="_Toc6867"/>
      <w:bookmarkStart w:id="417" w:name="_Toc166572329"/>
      <w:r>
        <w:t>5.2.6土壤环境影响分析与评价</w:t>
      </w:r>
      <w:bookmarkEnd w:id="415"/>
      <w:bookmarkEnd w:id="416"/>
      <w:bookmarkEnd w:id="417"/>
    </w:p>
    <w:p w14:paraId="6995C60A">
      <w:pPr>
        <w:pStyle w:val="230"/>
        <w:ind w:firstLine="480"/>
        <w:rPr>
          <w:lang w:val="en-GB" w:eastAsia="zh-CN"/>
        </w:rPr>
      </w:pPr>
      <w:r>
        <w:rPr>
          <w:lang w:val="en-GB" w:eastAsia="zh-CN"/>
        </w:rPr>
        <w:t>本项目在建设运行过程中可能造成土壤污染，按照《环境影响评价技术导则</w:t>
      </w:r>
      <w:r>
        <w:rPr>
          <w:lang w:eastAsia="zh-CN"/>
        </w:rPr>
        <w:t xml:space="preserve"> </w:t>
      </w:r>
      <w:r>
        <w:rPr>
          <w:lang w:val="en-GB" w:eastAsia="zh-CN"/>
        </w:rPr>
        <w:t>土壤 环境（试行）》（HJ964-2018）的相关要求，本项目土壤环境影响属于污染影响型，土壤环境影响评价工作等级判定为三级，根据导则要求，本项目土壤环境影响评价可采用定性描述或类比分析方法进行预测。根据建设项目自身性质及其对土壤环境影响的特点，需要对运行期土壤的影响进行定性分析、预测和评价项目投产后对土壤环境可能造成的影响，并针对这种影响提出防治对策，从而达到预防与控制环境恶化，减轻不良环境影响的目的，为土壤环境保护提供科学依据。</w:t>
      </w:r>
    </w:p>
    <w:p w14:paraId="5ED53E11">
      <w:pPr>
        <w:pStyle w:val="12"/>
      </w:pPr>
      <w:r>
        <w:t>5.2.6.1 土壤环境影响识别</w:t>
      </w:r>
    </w:p>
    <w:p w14:paraId="346B6BD2">
      <w:pPr>
        <w:pStyle w:val="230"/>
        <w:ind w:firstLine="480"/>
        <w:rPr>
          <w:lang w:eastAsia="zh-CN"/>
        </w:rPr>
      </w:pPr>
      <w:r>
        <w:rPr>
          <w:lang w:val="en-GB" w:eastAsia="zh-CN"/>
        </w:rPr>
        <w:t>（</w:t>
      </w:r>
      <w:r>
        <w:rPr>
          <w:lang w:eastAsia="zh-CN"/>
        </w:rPr>
        <w:t>1</w:t>
      </w:r>
      <w:r>
        <w:rPr>
          <w:lang w:val="en-GB" w:eastAsia="zh-CN"/>
        </w:rPr>
        <w:t>）</w:t>
      </w:r>
      <w:r>
        <w:rPr>
          <w:lang w:eastAsia="zh-CN"/>
        </w:rPr>
        <w:t>影响类别及影响途径识别</w:t>
      </w:r>
    </w:p>
    <w:p w14:paraId="1D465EE2">
      <w:pPr>
        <w:pStyle w:val="230"/>
        <w:ind w:firstLine="480"/>
        <w:rPr>
          <w:lang w:val="en-GB" w:eastAsia="zh-CN"/>
        </w:rPr>
      </w:pPr>
      <w:r>
        <w:rPr>
          <w:lang w:val="en-GB" w:eastAsia="zh-CN"/>
        </w:rPr>
        <w:t xml:space="preserve">本次土壤环境预测与评价工作，是在对评价区土壤环境影响识别、评价工作等级划分及土地利用现状等因素综合分析的基础上，结合项目的特点，根据工程建设涉及的垂直入渗途径，给出工程建设在各实施阶段不同环节与不同环境影响防控措施下预测因子的土壤环境影响范围与程度，对工程建设产生的土壤包气带环境影响进行综合评价。 </w:t>
      </w:r>
    </w:p>
    <w:p w14:paraId="612E7E59">
      <w:pPr>
        <w:pStyle w:val="230"/>
        <w:ind w:firstLine="480"/>
        <w:rPr>
          <w:lang w:val="en-GB" w:eastAsia="zh-CN"/>
        </w:rPr>
      </w:pPr>
      <w:r>
        <w:rPr>
          <w:lang w:eastAsia="zh-CN"/>
        </w:rPr>
        <w:t>本项目运营期对土壤的影响主要有</w:t>
      </w:r>
      <w:r>
        <w:rPr>
          <w:rFonts w:hint="eastAsia"/>
          <w:lang w:eastAsia="zh-CN"/>
        </w:rPr>
        <w:t>鸡舍、有机肥车间、污水处理设施、储水池</w:t>
      </w:r>
      <w:r>
        <w:rPr>
          <w:lang w:eastAsia="zh-CN"/>
        </w:rPr>
        <w:t>等对土壤产生的</w:t>
      </w:r>
      <w:r>
        <w:rPr>
          <w:rFonts w:hint="eastAsia"/>
          <w:lang w:eastAsia="zh-CN"/>
        </w:rPr>
        <w:t>污染。</w:t>
      </w:r>
    </w:p>
    <w:p w14:paraId="74007BF7">
      <w:pPr>
        <w:pStyle w:val="230"/>
        <w:ind w:firstLine="480"/>
        <w:rPr>
          <w:lang w:val="en-GB" w:eastAsia="zh-CN"/>
        </w:rPr>
      </w:pPr>
      <w:r>
        <w:rPr>
          <w:lang w:val="en-GB" w:eastAsia="zh-CN"/>
        </w:rPr>
        <w:t>本项目对土壤的影响类型和途径见表</w:t>
      </w:r>
      <w:r>
        <w:rPr>
          <w:lang w:eastAsia="zh-CN"/>
        </w:rPr>
        <w:t>5.2-2</w:t>
      </w:r>
      <w:r>
        <w:rPr>
          <w:rFonts w:hint="eastAsia"/>
          <w:lang w:eastAsia="zh-CN"/>
        </w:rPr>
        <w:t>1</w:t>
      </w:r>
      <w:r>
        <w:rPr>
          <w:lang w:val="en-GB" w:eastAsia="zh-CN"/>
        </w:rPr>
        <w:t>，本项目土壤环境影响识别见表</w:t>
      </w:r>
      <w:r>
        <w:rPr>
          <w:lang w:eastAsia="zh-CN"/>
        </w:rPr>
        <w:t>5.2-2</w:t>
      </w:r>
      <w:r>
        <w:rPr>
          <w:rFonts w:hint="eastAsia"/>
          <w:lang w:eastAsia="zh-CN"/>
        </w:rPr>
        <w:t>2</w:t>
      </w:r>
      <w:r>
        <w:rPr>
          <w:lang w:val="en-GB" w:eastAsia="zh-CN"/>
        </w:rPr>
        <w:t>。</w:t>
      </w:r>
    </w:p>
    <w:p w14:paraId="0CE467C0">
      <w:pPr>
        <w:pStyle w:val="369"/>
        <w:rPr>
          <w:lang w:val="en-GB"/>
        </w:rPr>
      </w:pPr>
      <w:r>
        <w:rPr>
          <w:lang w:val="en-GB"/>
        </w:rPr>
        <w:t>表5.</w:t>
      </w:r>
      <w:r>
        <w:t>2-21</w:t>
      </w:r>
      <w:r>
        <w:rPr>
          <w:lang w:val="en-GB"/>
        </w:rPr>
        <w:t xml:space="preserve">  拟建项目土壤环境类型与影响途径表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49"/>
        <w:gridCol w:w="1812"/>
        <w:gridCol w:w="2122"/>
        <w:gridCol w:w="1772"/>
        <w:gridCol w:w="1772"/>
      </w:tblGrid>
      <w:tr w14:paraId="3D05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1604" w:type="dxa"/>
            <w:vMerge w:val="restart"/>
            <w:vAlign w:val="center"/>
          </w:tcPr>
          <w:p w14:paraId="25DC3BB6">
            <w:pPr>
              <w:pStyle w:val="766"/>
              <w:rPr>
                <w:color w:val="auto"/>
              </w:rPr>
            </w:pPr>
            <w:r>
              <w:rPr>
                <w:color w:val="auto"/>
              </w:rPr>
              <w:t>时段</w:t>
            </w:r>
          </w:p>
        </w:tc>
        <w:tc>
          <w:tcPr>
            <w:tcW w:w="7276" w:type="dxa"/>
            <w:gridSpan w:val="4"/>
            <w:vAlign w:val="center"/>
          </w:tcPr>
          <w:p w14:paraId="26B34717">
            <w:pPr>
              <w:pStyle w:val="766"/>
              <w:rPr>
                <w:color w:val="auto"/>
              </w:rPr>
            </w:pPr>
            <w:r>
              <w:rPr>
                <w:color w:val="auto"/>
              </w:rPr>
              <w:t>污染影响型</w:t>
            </w:r>
          </w:p>
        </w:tc>
      </w:tr>
      <w:tr w14:paraId="6D6A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1604" w:type="dxa"/>
            <w:vMerge w:val="continue"/>
            <w:vAlign w:val="center"/>
          </w:tcPr>
          <w:p w14:paraId="78CA35A7">
            <w:pPr>
              <w:pStyle w:val="766"/>
              <w:rPr>
                <w:color w:val="auto"/>
              </w:rPr>
            </w:pPr>
          </w:p>
        </w:tc>
        <w:tc>
          <w:tcPr>
            <w:tcW w:w="1763" w:type="dxa"/>
            <w:vAlign w:val="center"/>
          </w:tcPr>
          <w:p w14:paraId="0918268C">
            <w:pPr>
              <w:pStyle w:val="766"/>
              <w:rPr>
                <w:color w:val="auto"/>
              </w:rPr>
            </w:pPr>
            <w:r>
              <w:rPr>
                <w:color w:val="auto"/>
              </w:rPr>
              <w:t>大气沉降</w:t>
            </w:r>
          </w:p>
        </w:tc>
        <w:tc>
          <w:tcPr>
            <w:tcW w:w="2065" w:type="dxa"/>
            <w:vAlign w:val="center"/>
          </w:tcPr>
          <w:p w14:paraId="3BD969AC">
            <w:pPr>
              <w:pStyle w:val="766"/>
              <w:rPr>
                <w:color w:val="auto"/>
              </w:rPr>
            </w:pPr>
            <w:r>
              <w:rPr>
                <w:color w:val="auto"/>
              </w:rPr>
              <w:t>地面漫流</w:t>
            </w:r>
          </w:p>
        </w:tc>
        <w:tc>
          <w:tcPr>
            <w:tcW w:w="1724" w:type="dxa"/>
            <w:vAlign w:val="center"/>
          </w:tcPr>
          <w:p w14:paraId="0674C38E">
            <w:pPr>
              <w:pStyle w:val="766"/>
              <w:rPr>
                <w:color w:val="auto"/>
              </w:rPr>
            </w:pPr>
            <w:r>
              <w:rPr>
                <w:color w:val="auto"/>
              </w:rPr>
              <w:t>垂直入渗</w:t>
            </w:r>
          </w:p>
        </w:tc>
        <w:tc>
          <w:tcPr>
            <w:tcW w:w="1724" w:type="dxa"/>
          </w:tcPr>
          <w:p w14:paraId="1C8CA92E">
            <w:pPr>
              <w:pStyle w:val="766"/>
              <w:rPr>
                <w:color w:val="auto"/>
              </w:rPr>
            </w:pPr>
            <w:r>
              <w:rPr>
                <w:color w:val="auto"/>
              </w:rPr>
              <w:t>其他</w:t>
            </w:r>
          </w:p>
        </w:tc>
      </w:tr>
      <w:tr w14:paraId="52AD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1604" w:type="dxa"/>
            <w:vAlign w:val="center"/>
          </w:tcPr>
          <w:p w14:paraId="172CD987">
            <w:pPr>
              <w:pStyle w:val="766"/>
              <w:rPr>
                <w:color w:val="auto"/>
              </w:rPr>
            </w:pPr>
            <w:r>
              <w:rPr>
                <w:color w:val="auto"/>
              </w:rPr>
              <w:t>建设期</w:t>
            </w:r>
          </w:p>
        </w:tc>
        <w:tc>
          <w:tcPr>
            <w:tcW w:w="1763" w:type="dxa"/>
            <w:vAlign w:val="center"/>
          </w:tcPr>
          <w:p w14:paraId="30665153">
            <w:pPr>
              <w:pStyle w:val="766"/>
              <w:rPr>
                <w:color w:val="auto"/>
              </w:rPr>
            </w:pPr>
          </w:p>
        </w:tc>
        <w:tc>
          <w:tcPr>
            <w:tcW w:w="2065" w:type="dxa"/>
            <w:vAlign w:val="center"/>
          </w:tcPr>
          <w:p w14:paraId="2940C00F">
            <w:pPr>
              <w:pStyle w:val="766"/>
              <w:rPr>
                <w:color w:val="auto"/>
              </w:rPr>
            </w:pPr>
          </w:p>
        </w:tc>
        <w:tc>
          <w:tcPr>
            <w:tcW w:w="1724" w:type="dxa"/>
            <w:vAlign w:val="center"/>
          </w:tcPr>
          <w:p w14:paraId="68A1D53A">
            <w:pPr>
              <w:pStyle w:val="766"/>
              <w:rPr>
                <w:color w:val="auto"/>
              </w:rPr>
            </w:pPr>
          </w:p>
        </w:tc>
        <w:tc>
          <w:tcPr>
            <w:tcW w:w="1724" w:type="dxa"/>
          </w:tcPr>
          <w:p w14:paraId="12643EDA">
            <w:pPr>
              <w:pStyle w:val="766"/>
              <w:rPr>
                <w:color w:val="auto"/>
              </w:rPr>
            </w:pPr>
          </w:p>
        </w:tc>
      </w:tr>
      <w:tr w14:paraId="61F8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1604" w:type="dxa"/>
            <w:vAlign w:val="center"/>
          </w:tcPr>
          <w:p w14:paraId="39D9A318">
            <w:pPr>
              <w:pStyle w:val="766"/>
              <w:rPr>
                <w:color w:val="auto"/>
              </w:rPr>
            </w:pPr>
            <w:r>
              <w:rPr>
                <w:color w:val="auto"/>
              </w:rPr>
              <w:t>运营期</w:t>
            </w:r>
          </w:p>
        </w:tc>
        <w:tc>
          <w:tcPr>
            <w:tcW w:w="1763" w:type="dxa"/>
            <w:vAlign w:val="center"/>
          </w:tcPr>
          <w:p w14:paraId="3816A57E">
            <w:pPr>
              <w:pStyle w:val="766"/>
              <w:rPr>
                <w:color w:val="auto"/>
              </w:rPr>
            </w:pPr>
          </w:p>
        </w:tc>
        <w:tc>
          <w:tcPr>
            <w:tcW w:w="2065" w:type="dxa"/>
            <w:vAlign w:val="center"/>
          </w:tcPr>
          <w:p w14:paraId="0604950F">
            <w:pPr>
              <w:pStyle w:val="766"/>
              <w:rPr>
                <w:color w:val="auto"/>
              </w:rPr>
            </w:pPr>
            <w:r>
              <w:rPr>
                <w:color w:val="auto"/>
              </w:rPr>
              <w:t>√</w:t>
            </w:r>
          </w:p>
        </w:tc>
        <w:tc>
          <w:tcPr>
            <w:tcW w:w="1724" w:type="dxa"/>
            <w:vAlign w:val="center"/>
          </w:tcPr>
          <w:p w14:paraId="38A4210E">
            <w:pPr>
              <w:pStyle w:val="766"/>
              <w:rPr>
                <w:color w:val="auto"/>
              </w:rPr>
            </w:pPr>
            <w:r>
              <w:rPr>
                <w:color w:val="auto"/>
              </w:rPr>
              <w:t>√</w:t>
            </w:r>
          </w:p>
        </w:tc>
        <w:tc>
          <w:tcPr>
            <w:tcW w:w="1724" w:type="dxa"/>
          </w:tcPr>
          <w:p w14:paraId="40FC999E">
            <w:pPr>
              <w:pStyle w:val="766"/>
              <w:rPr>
                <w:color w:val="auto"/>
              </w:rPr>
            </w:pPr>
          </w:p>
        </w:tc>
      </w:tr>
    </w:tbl>
    <w:p w14:paraId="0AD0AEC9">
      <w:pPr>
        <w:pStyle w:val="369"/>
        <w:rPr>
          <w:lang w:val="en-GB"/>
        </w:rPr>
      </w:pPr>
      <w:r>
        <w:rPr>
          <w:lang w:val="en-GB"/>
        </w:rPr>
        <w:t>表5</w:t>
      </w:r>
      <w:r>
        <w:t>.2-2</w:t>
      </w:r>
      <w:r>
        <w:rPr>
          <w:rFonts w:hint="eastAsia"/>
        </w:rPr>
        <w:t>2</w:t>
      </w:r>
      <w:r>
        <w:rPr>
          <w:lang w:val="en-GB"/>
        </w:rPr>
        <w:t xml:space="preserve">  本项目土壤环境影响源及影响因子识别表</w:t>
      </w:r>
    </w:p>
    <w:tbl>
      <w:tblPr>
        <w:tblStyle w:val="8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98"/>
        <w:gridCol w:w="2533"/>
        <w:gridCol w:w="2294"/>
        <w:gridCol w:w="1313"/>
        <w:gridCol w:w="1278"/>
      </w:tblGrid>
      <w:tr w14:paraId="46B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2" w:hRule="atLeast"/>
        </w:trPr>
        <w:tc>
          <w:tcPr>
            <w:tcW w:w="1699" w:type="dxa"/>
            <w:vAlign w:val="center"/>
          </w:tcPr>
          <w:p w14:paraId="5B666B48">
            <w:pPr>
              <w:pStyle w:val="766"/>
              <w:rPr>
                <w:color w:val="auto"/>
              </w:rPr>
            </w:pPr>
            <w:r>
              <w:rPr>
                <w:color w:val="auto"/>
              </w:rPr>
              <w:t>污染源</w:t>
            </w:r>
          </w:p>
        </w:tc>
        <w:tc>
          <w:tcPr>
            <w:tcW w:w="2533" w:type="dxa"/>
            <w:vAlign w:val="center"/>
          </w:tcPr>
          <w:p w14:paraId="0F7325DC">
            <w:pPr>
              <w:pStyle w:val="766"/>
              <w:rPr>
                <w:color w:val="auto"/>
              </w:rPr>
            </w:pPr>
            <w:r>
              <w:rPr>
                <w:rFonts w:hint="eastAsia"/>
                <w:color w:val="auto"/>
              </w:rPr>
              <w:t>污染物</w:t>
            </w:r>
          </w:p>
        </w:tc>
        <w:tc>
          <w:tcPr>
            <w:tcW w:w="2294" w:type="dxa"/>
            <w:vAlign w:val="center"/>
          </w:tcPr>
          <w:p w14:paraId="04122947">
            <w:pPr>
              <w:pStyle w:val="766"/>
              <w:rPr>
                <w:color w:val="auto"/>
              </w:rPr>
            </w:pPr>
            <w:r>
              <w:rPr>
                <w:color w:val="auto"/>
              </w:rPr>
              <w:t>污染途径</w:t>
            </w:r>
          </w:p>
        </w:tc>
        <w:tc>
          <w:tcPr>
            <w:tcW w:w="1313" w:type="dxa"/>
            <w:vAlign w:val="center"/>
          </w:tcPr>
          <w:p w14:paraId="7FBB558E">
            <w:pPr>
              <w:pStyle w:val="766"/>
              <w:rPr>
                <w:color w:val="auto"/>
              </w:rPr>
            </w:pPr>
            <w:r>
              <w:rPr>
                <w:color w:val="auto"/>
              </w:rPr>
              <w:t>污染因子</w:t>
            </w:r>
          </w:p>
        </w:tc>
        <w:tc>
          <w:tcPr>
            <w:tcW w:w="1278" w:type="dxa"/>
            <w:vAlign w:val="center"/>
          </w:tcPr>
          <w:p w14:paraId="106D7A67">
            <w:pPr>
              <w:pStyle w:val="766"/>
              <w:rPr>
                <w:color w:val="auto"/>
              </w:rPr>
            </w:pPr>
            <w:r>
              <w:rPr>
                <w:color w:val="auto"/>
              </w:rPr>
              <w:t>备注</w:t>
            </w:r>
          </w:p>
        </w:tc>
      </w:tr>
      <w:tr w14:paraId="1263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3" w:hRule="atLeast"/>
        </w:trPr>
        <w:tc>
          <w:tcPr>
            <w:tcW w:w="1699" w:type="dxa"/>
            <w:vAlign w:val="center"/>
          </w:tcPr>
          <w:p w14:paraId="18587888">
            <w:pPr>
              <w:pStyle w:val="766"/>
              <w:rPr>
                <w:color w:val="auto"/>
              </w:rPr>
            </w:pPr>
            <w:r>
              <w:rPr>
                <w:color w:val="auto"/>
              </w:rPr>
              <w:t>鸡舍</w:t>
            </w:r>
          </w:p>
        </w:tc>
        <w:tc>
          <w:tcPr>
            <w:tcW w:w="2533" w:type="dxa"/>
            <w:vAlign w:val="center"/>
          </w:tcPr>
          <w:p w14:paraId="394D3F01">
            <w:pPr>
              <w:pStyle w:val="766"/>
              <w:rPr>
                <w:color w:val="auto"/>
              </w:rPr>
            </w:pPr>
            <w:r>
              <w:rPr>
                <w:rFonts w:hint="eastAsia"/>
                <w:color w:val="auto"/>
              </w:rPr>
              <w:t>养殖鸡粪、鸡舍冲洗废水</w:t>
            </w:r>
          </w:p>
        </w:tc>
        <w:tc>
          <w:tcPr>
            <w:tcW w:w="2294" w:type="dxa"/>
            <w:vAlign w:val="center"/>
          </w:tcPr>
          <w:p w14:paraId="0FFF9F9F">
            <w:pPr>
              <w:pStyle w:val="766"/>
              <w:rPr>
                <w:color w:val="auto"/>
              </w:rPr>
            </w:pPr>
            <w:r>
              <w:rPr>
                <w:color w:val="auto"/>
              </w:rPr>
              <w:t>垂直入渗、地面漫流</w:t>
            </w:r>
          </w:p>
        </w:tc>
        <w:tc>
          <w:tcPr>
            <w:tcW w:w="1313" w:type="dxa"/>
            <w:vMerge w:val="restart"/>
            <w:vAlign w:val="center"/>
          </w:tcPr>
          <w:p w14:paraId="576B979A">
            <w:pPr>
              <w:pStyle w:val="766"/>
              <w:rPr>
                <w:color w:val="auto"/>
              </w:rPr>
            </w:pPr>
            <w:r>
              <w:rPr>
                <w:color w:val="auto"/>
              </w:rPr>
              <w:t>pH、氨氮</w:t>
            </w:r>
            <w:r>
              <w:rPr>
                <w:rFonts w:hint="eastAsia"/>
                <w:color w:val="auto"/>
              </w:rPr>
              <w:t>、COD、BOD</w:t>
            </w:r>
          </w:p>
        </w:tc>
        <w:tc>
          <w:tcPr>
            <w:tcW w:w="1278" w:type="dxa"/>
            <w:vAlign w:val="center"/>
          </w:tcPr>
          <w:p w14:paraId="78E0605D">
            <w:pPr>
              <w:pStyle w:val="766"/>
              <w:rPr>
                <w:color w:val="auto"/>
              </w:rPr>
            </w:pPr>
            <w:r>
              <w:rPr>
                <w:color w:val="auto"/>
              </w:rPr>
              <w:t>连续</w:t>
            </w:r>
          </w:p>
        </w:tc>
      </w:tr>
      <w:tr w14:paraId="79A3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3" w:hRule="atLeast"/>
        </w:trPr>
        <w:tc>
          <w:tcPr>
            <w:tcW w:w="1699" w:type="dxa"/>
            <w:vAlign w:val="center"/>
          </w:tcPr>
          <w:p w14:paraId="2779742E">
            <w:pPr>
              <w:pStyle w:val="766"/>
              <w:rPr>
                <w:color w:val="auto"/>
              </w:rPr>
            </w:pPr>
            <w:r>
              <w:rPr>
                <w:rFonts w:hint="eastAsia"/>
                <w:color w:val="auto"/>
              </w:rPr>
              <w:t>有机肥车间</w:t>
            </w:r>
          </w:p>
        </w:tc>
        <w:tc>
          <w:tcPr>
            <w:tcW w:w="2533" w:type="dxa"/>
            <w:vAlign w:val="center"/>
          </w:tcPr>
          <w:p w14:paraId="00C0CC0D">
            <w:pPr>
              <w:pStyle w:val="766"/>
              <w:rPr>
                <w:color w:val="auto"/>
              </w:rPr>
            </w:pPr>
            <w:r>
              <w:rPr>
                <w:rFonts w:hint="eastAsia"/>
                <w:color w:val="auto"/>
              </w:rPr>
              <w:t>有机肥</w:t>
            </w:r>
            <w:r>
              <w:rPr>
                <w:color w:val="auto"/>
              </w:rPr>
              <w:t>发酵</w:t>
            </w:r>
            <w:r>
              <w:rPr>
                <w:rFonts w:hint="eastAsia"/>
                <w:color w:val="auto"/>
              </w:rPr>
              <w:t>渗滤液</w:t>
            </w:r>
          </w:p>
        </w:tc>
        <w:tc>
          <w:tcPr>
            <w:tcW w:w="2294" w:type="dxa"/>
            <w:vAlign w:val="center"/>
          </w:tcPr>
          <w:p w14:paraId="24DCDCA4">
            <w:pPr>
              <w:pStyle w:val="766"/>
              <w:rPr>
                <w:color w:val="auto"/>
              </w:rPr>
            </w:pPr>
            <w:r>
              <w:rPr>
                <w:color w:val="auto"/>
              </w:rPr>
              <w:t>垂直入渗、地面漫流</w:t>
            </w:r>
          </w:p>
        </w:tc>
        <w:tc>
          <w:tcPr>
            <w:tcW w:w="1313" w:type="dxa"/>
            <w:vMerge w:val="continue"/>
            <w:vAlign w:val="center"/>
          </w:tcPr>
          <w:p w14:paraId="4714B95C">
            <w:pPr>
              <w:pStyle w:val="766"/>
              <w:rPr>
                <w:color w:val="auto"/>
              </w:rPr>
            </w:pPr>
          </w:p>
        </w:tc>
        <w:tc>
          <w:tcPr>
            <w:tcW w:w="1278" w:type="dxa"/>
            <w:vAlign w:val="center"/>
          </w:tcPr>
          <w:p w14:paraId="6B763B5C">
            <w:pPr>
              <w:pStyle w:val="766"/>
              <w:rPr>
                <w:color w:val="auto"/>
              </w:rPr>
            </w:pPr>
            <w:r>
              <w:rPr>
                <w:color w:val="auto"/>
              </w:rPr>
              <w:t>连续</w:t>
            </w:r>
          </w:p>
        </w:tc>
      </w:tr>
      <w:tr w14:paraId="3AD7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1699" w:type="dxa"/>
            <w:vAlign w:val="center"/>
          </w:tcPr>
          <w:p w14:paraId="4448D5FC">
            <w:pPr>
              <w:pStyle w:val="766"/>
              <w:rPr>
                <w:color w:val="auto"/>
              </w:rPr>
            </w:pPr>
            <w:r>
              <w:rPr>
                <w:color w:val="auto"/>
              </w:rPr>
              <w:t>污水处理设施</w:t>
            </w:r>
          </w:p>
        </w:tc>
        <w:tc>
          <w:tcPr>
            <w:tcW w:w="2533" w:type="dxa"/>
            <w:vAlign w:val="center"/>
          </w:tcPr>
          <w:p w14:paraId="0A220426">
            <w:pPr>
              <w:pStyle w:val="766"/>
              <w:rPr>
                <w:color w:val="auto"/>
              </w:rPr>
            </w:pPr>
            <w:r>
              <w:rPr>
                <w:rFonts w:hint="eastAsia"/>
                <w:color w:val="auto"/>
              </w:rPr>
              <w:t>污水</w:t>
            </w:r>
          </w:p>
        </w:tc>
        <w:tc>
          <w:tcPr>
            <w:tcW w:w="2294" w:type="dxa"/>
            <w:vAlign w:val="center"/>
          </w:tcPr>
          <w:p w14:paraId="43F1A361">
            <w:pPr>
              <w:pStyle w:val="766"/>
              <w:rPr>
                <w:color w:val="auto"/>
              </w:rPr>
            </w:pPr>
            <w:r>
              <w:rPr>
                <w:color w:val="auto"/>
              </w:rPr>
              <w:t>垂直入渗、地面漫流</w:t>
            </w:r>
          </w:p>
        </w:tc>
        <w:tc>
          <w:tcPr>
            <w:tcW w:w="1313" w:type="dxa"/>
            <w:vMerge w:val="continue"/>
            <w:vAlign w:val="center"/>
          </w:tcPr>
          <w:p w14:paraId="4352ABCB">
            <w:pPr>
              <w:pStyle w:val="766"/>
              <w:rPr>
                <w:color w:val="auto"/>
              </w:rPr>
            </w:pPr>
          </w:p>
        </w:tc>
        <w:tc>
          <w:tcPr>
            <w:tcW w:w="1278" w:type="dxa"/>
            <w:vAlign w:val="center"/>
          </w:tcPr>
          <w:p w14:paraId="723DEC71">
            <w:pPr>
              <w:pStyle w:val="766"/>
              <w:rPr>
                <w:color w:val="auto"/>
              </w:rPr>
            </w:pPr>
            <w:r>
              <w:rPr>
                <w:color w:val="auto"/>
              </w:rPr>
              <w:t>连续</w:t>
            </w:r>
          </w:p>
        </w:tc>
      </w:tr>
      <w:tr w14:paraId="2A39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0" w:hRule="atLeast"/>
        </w:trPr>
        <w:tc>
          <w:tcPr>
            <w:tcW w:w="1699" w:type="dxa"/>
            <w:vAlign w:val="center"/>
          </w:tcPr>
          <w:p w14:paraId="714613F0">
            <w:pPr>
              <w:pStyle w:val="766"/>
              <w:rPr>
                <w:color w:val="auto"/>
              </w:rPr>
            </w:pPr>
            <w:r>
              <w:rPr>
                <w:rFonts w:hint="eastAsia"/>
                <w:color w:val="auto"/>
              </w:rPr>
              <w:t>储水池</w:t>
            </w:r>
          </w:p>
        </w:tc>
        <w:tc>
          <w:tcPr>
            <w:tcW w:w="2533" w:type="dxa"/>
            <w:vAlign w:val="center"/>
          </w:tcPr>
          <w:p w14:paraId="0C9A70B1">
            <w:pPr>
              <w:pStyle w:val="766"/>
              <w:rPr>
                <w:color w:val="auto"/>
              </w:rPr>
            </w:pPr>
            <w:r>
              <w:rPr>
                <w:rFonts w:hint="eastAsia"/>
                <w:color w:val="auto"/>
              </w:rPr>
              <w:t>污水</w:t>
            </w:r>
          </w:p>
        </w:tc>
        <w:tc>
          <w:tcPr>
            <w:tcW w:w="2294" w:type="dxa"/>
            <w:vAlign w:val="center"/>
          </w:tcPr>
          <w:p w14:paraId="3AB990DA">
            <w:pPr>
              <w:pStyle w:val="766"/>
              <w:rPr>
                <w:color w:val="auto"/>
              </w:rPr>
            </w:pPr>
            <w:r>
              <w:rPr>
                <w:rFonts w:hint="eastAsia"/>
                <w:color w:val="auto"/>
              </w:rPr>
              <w:t>垂直入渗</w:t>
            </w:r>
          </w:p>
        </w:tc>
        <w:tc>
          <w:tcPr>
            <w:tcW w:w="1313" w:type="dxa"/>
            <w:vMerge w:val="continue"/>
            <w:vAlign w:val="center"/>
          </w:tcPr>
          <w:p w14:paraId="0AACF532">
            <w:pPr>
              <w:pStyle w:val="766"/>
              <w:rPr>
                <w:color w:val="auto"/>
              </w:rPr>
            </w:pPr>
          </w:p>
        </w:tc>
        <w:tc>
          <w:tcPr>
            <w:tcW w:w="1278" w:type="dxa"/>
            <w:vAlign w:val="center"/>
          </w:tcPr>
          <w:p w14:paraId="4D64A1DB">
            <w:pPr>
              <w:pStyle w:val="766"/>
              <w:rPr>
                <w:color w:val="auto"/>
              </w:rPr>
            </w:pPr>
            <w:r>
              <w:rPr>
                <w:rFonts w:hint="eastAsia"/>
                <w:color w:val="auto"/>
              </w:rPr>
              <w:t>连续</w:t>
            </w:r>
          </w:p>
        </w:tc>
      </w:tr>
    </w:tbl>
    <w:p w14:paraId="2AC49C5D">
      <w:pPr>
        <w:pStyle w:val="230"/>
        <w:ind w:firstLine="480"/>
      </w:pPr>
      <w:r>
        <w:t xml:space="preserve">（2）预测评价方法 </w:t>
      </w:r>
    </w:p>
    <w:p w14:paraId="1F842FE7">
      <w:pPr>
        <w:pStyle w:val="230"/>
        <w:ind w:firstLine="480"/>
        <w:rPr>
          <w:lang w:eastAsia="zh-CN"/>
        </w:rPr>
      </w:pPr>
      <w:r>
        <w:rPr>
          <w:lang w:eastAsia="zh-CN"/>
        </w:rPr>
        <w:t xml:space="preserve">根据《环境影响评价技术导则 土壤环境（试行）》（HJ964-2018）8.7.3规定：污染影响型建设项目，其评价工作等级为一级、二级的，预测方法可参见附录E或进行类比分析；占地范围内还应根据土壤构型、土壤质地、饱和含水率等分析其可能影响的深度。《环境影响评价技术导则 土壤环境（试行）》（HJ964-2018）8.7.4规定：评价工作等级为三级的建设项目，可采用定性描述或类比分析法进行预测。 </w:t>
      </w:r>
    </w:p>
    <w:p w14:paraId="3B8CD913">
      <w:pPr>
        <w:pStyle w:val="230"/>
        <w:ind w:firstLine="480"/>
        <w:rPr>
          <w:lang w:eastAsia="zh-CN"/>
        </w:rPr>
      </w:pPr>
      <w:r>
        <w:rPr>
          <w:lang w:eastAsia="zh-CN"/>
        </w:rPr>
        <w:t>本项目土壤环境评价工作等级为三级，因此本次评价方法采用定性描述。</w:t>
      </w:r>
    </w:p>
    <w:p w14:paraId="4C394A66">
      <w:pPr>
        <w:pStyle w:val="12"/>
      </w:pPr>
      <w:r>
        <w:t>5.2.6.2 土壤环境影响分析</w:t>
      </w:r>
    </w:p>
    <w:p w14:paraId="2B72CF3D">
      <w:pPr>
        <w:pStyle w:val="230"/>
        <w:ind w:firstLine="480"/>
        <w:rPr>
          <w:lang w:val="en-GB" w:eastAsia="zh-CN"/>
        </w:rPr>
      </w:pPr>
      <w:r>
        <w:rPr>
          <w:lang w:val="en-GB" w:eastAsia="zh-CN"/>
        </w:rPr>
        <w:t>（1）正常工况下土壤环境影响分析</w:t>
      </w:r>
    </w:p>
    <w:p w14:paraId="1DF9448F">
      <w:pPr>
        <w:pStyle w:val="230"/>
        <w:ind w:firstLine="480"/>
        <w:rPr>
          <w:lang w:val="en-GB" w:eastAsia="zh-CN"/>
        </w:rPr>
      </w:pPr>
      <w:r>
        <w:rPr>
          <w:lang w:val="en-GB" w:eastAsia="zh-CN"/>
        </w:rPr>
        <w:t>项目</w:t>
      </w:r>
      <w:r>
        <w:rPr>
          <w:lang w:eastAsia="zh-CN"/>
        </w:rPr>
        <w:t>鸡舍</w:t>
      </w:r>
      <w:r>
        <w:rPr>
          <w:lang w:val="en-GB" w:eastAsia="zh-CN"/>
        </w:rPr>
        <w:t>、化粪池、污水处理设施、</w:t>
      </w:r>
      <w:r>
        <w:rPr>
          <w:rFonts w:hint="eastAsia"/>
          <w:lang w:val="en-GB" w:eastAsia="zh-CN"/>
        </w:rPr>
        <w:t>诊疗废弃物暂存间</w:t>
      </w:r>
      <w:r>
        <w:rPr>
          <w:lang w:eastAsia="zh-CN"/>
        </w:rPr>
        <w:t>等</w:t>
      </w:r>
      <w:r>
        <w:rPr>
          <w:lang w:val="en-GB" w:eastAsia="zh-CN"/>
        </w:rPr>
        <w:t>采取防渗、防溢流等措施，正常工况下不会进入地下对土壤环境造成污染。通过以上分析可以看出，建设项目在正常运行工况下，不会对土壤环境质量造成显著影响。</w:t>
      </w:r>
    </w:p>
    <w:p w14:paraId="669C2A60">
      <w:pPr>
        <w:pStyle w:val="230"/>
        <w:ind w:firstLine="480"/>
        <w:rPr>
          <w:lang w:val="en-GB" w:eastAsia="zh-CN"/>
        </w:rPr>
      </w:pPr>
      <w:r>
        <w:rPr>
          <w:lang w:val="en-GB" w:eastAsia="zh-CN"/>
        </w:rPr>
        <w:t>（2）非正常工况下影响途径分析</w:t>
      </w:r>
    </w:p>
    <w:p w14:paraId="57498239">
      <w:pPr>
        <w:pStyle w:val="230"/>
        <w:ind w:firstLine="480"/>
        <w:rPr>
          <w:lang w:eastAsia="zh-CN"/>
        </w:rPr>
      </w:pPr>
      <w:r>
        <w:rPr>
          <w:lang w:eastAsia="zh-CN"/>
        </w:rPr>
        <w:t>如果废水处理设施、鸡舍、固废贮存场所、废水管道、阀门等未采取很好的防渗措施，一旦发生渗漏将会导致废水中高浓度有机污染物和氮磷等渗入地下污染土壤，进而通过土壤入渗污染地下水。粪污未经无害化处理直接进入土壤，粪污中的蛋白质、脂肪、糖等有机质将可能会出现降解不完全和厌氧腐解，产生恶臭物质和亚硝酸盐等有害物质，引起土壤的组成和性状发生改变；导致土壤孔隙堵塞，造成土壤透气、透水性下降及板结，严重影响土壤质量。</w:t>
      </w:r>
    </w:p>
    <w:p w14:paraId="120CEC21">
      <w:pPr>
        <w:ind w:firstLine="480"/>
      </w:pPr>
      <w:r>
        <w:t>本评价要求建设单位需对鸡舍、化粪池、污水处理设施、粪污收集间</w:t>
      </w:r>
      <w:r>
        <w:rPr>
          <w:rFonts w:hint="eastAsia"/>
        </w:rPr>
        <w:t>、有机肥加工车间</w:t>
      </w:r>
      <w:r>
        <w:t>等采取防渗措施，铺设防渗地坪；对污水处理系统（污水处理设施、化粪池等）按照《混凝土结构设计规范》（GB50010）的要求选用硅酸盐水泥严格做好防渗措施；管道、阀门采用优质产品并派专人负责随时观察地上管道、阀门，如出现渗漏问题及时解决；对工艺要求必须地下走管的管道、阀门设专用防渗管沟，管沟上设活动观察顶盖，以便观察并及时解决管沟出现的渗漏问题，管沟与污水集水井相连，并设计合理的排水坡度，便于废水排至污粪收集池，然后输入</w:t>
      </w:r>
      <w:r>
        <w:rPr>
          <w:rFonts w:hint="eastAsia"/>
        </w:rPr>
        <w:t>储水池</w:t>
      </w:r>
      <w:r>
        <w:t>统一处理。项目通过对场区采取分区防渗措施，做好场内各污染防治设施的防渗工作，加强设施运行维护管理，杜绝项目污染物直接进入土壤的可能性。</w:t>
      </w:r>
      <w:r>
        <w:rPr>
          <w:rStyle w:val="567"/>
          <w:lang w:eastAsia="zh-CN"/>
        </w:rPr>
        <w:t>同时项目运营期需定期开展对项目场区的土壤监测工作，根据本项目建设特点，本项目设有重点监测单元。一类单元为污水处理设施、</w:t>
      </w:r>
      <w:r>
        <w:rPr>
          <w:rStyle w:val="567"/>
          <w:rFonts w:hint="eastAsia"/>
          <w:lang w:eastAsia="zh-CN"/>
        </w:rPr>
        <w:t>有机肥加工车间</w:t>
      </w:r>
      <w:r>
        <w:rPr>
          <w:rStyle w:val="567"/>
          <w:lang w:eastAsia="zh-CN"/>
        </w:rPr>
        <w:t>，二类单元为鸡舍。一类单元布周边布设一个深层采样点，内部布设一个表层采样点。二类单元周边布设周边布设一个表层采样点。根据《工业企业土壤和地下水自行监测技术指南（试行）》（HJ1209-2021）的要求，表层土壤1年内开展1次监测工作，深层土壤每3年内开展1次监测工作。</w:t>
      </w:r>
    </w:p>
    <w:p w14:paraId="3B1D7CA6">
      <w:pPr>
        <w:ind w:firstLine="480"/>
      </w:pPr>
      <w:r>
        <w:t>本项目一旦发现地下水质收到污染，及时查找渗漏源头，并采取修复措施，减轻项目对场区土壤和地下水的污染影响。</w:t>
      </w:r>
    </w:p>
    <w:p w14:paraId="7753BAD5">
      <w:pPr>
        <w:pStyle w:val="12"/>
        <w:spacing w:line="377" w:lineRule="auto"/>
        <w:rPr>
          <w:bCs w:val="0"/>
        </w:rPr>
      </w:pPr>
      <w:r>
        <w:rPr>
          <w:bCs w:val="0"/>
        </w:rPr>
        <w:t>5.2.6.3土壤环境影响评价自查表</w:t>
      </w:r>
    </w:p>
    <w:p w14:paraId="73CFCA7F">
      <w:pPr>
        <w:pStyle w:val="230"/>
        <w:ind w:firstLine="480"/>
        <w:rPr>
          <w:b/>
          <w:bCs/>
          <w:lang w:eastAsia="zh-CN"/>
        </w:rPr>
      </w:pPr>
      <w:r>
        <w:rPr>
          <w:lang w:eastAsia="zh-CN"/>
        </w:rPr>
        <w:t>根据《环境影响评价技术导则 土壤环境》（HJ964-2018）土壤环境影响评价完成后，应对土壤环境影响评价主要内容与结论进行自查。</w:t>
      </w:r>
    </w:p>
    <w:p w14:paraId="3FD7AEA1">
      <w:pPr>
        <w:pStyle w:val="369"/>
      </w:pPr>
      <w:r>
        <w:t>表5.2-2</w:t>
      </w:r>
      <w:r>
        <w:rPr>
          <w:rFonts w:hint="eastAsia"/>
        </w:rPr>
        <w:t>3</w:t>
      </w:r>
      <w:r>
        <w:t xml:space="preserve">  建设项目土壤环境影响评价自查表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725"/>
        <w:gridCol w:w="1294"/>
        <w:gridCol w:w="800"/>
        <w:gridCol w:w="494"/>
        <w:gridCol w:w="1360"/>
        <w:gridCol w:w="77"/>
        <w:gridCol w:w="1809"/>
        <w:gridCol w:w="1154"/>
      </w:tblGrid>
      <w:tr w14:paraId="3050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blHeader/>
        </w:trPr>
        <w:tc>
          <w:tcPr>
            <w:tcW w:w="2266" w:type="dxa"/>
            <w:gridSpan w:val="2"/>
            <w:vAlign w:val="center"/>
          </w:tcPr>
          <w:p w14:paraId="0929D4D8">
            <w:pPr>
              <w:pStyle w:val="766"/>
              <w:rPr>
                <w:color w:val="auto"/>
              </w:rPr>
            </w:pPr>
            <w:r>
              <w:rPr>
                <w:color w:val="auto"/>
              </w:rPr>
              <w:t>工作内容</w:t>
            </w:r>
          </w:p>
        </w:tc>
        <w:tc>
          <w:tcPr>
            <w:tcW w:w="5753" w:type="dxa"/>
            <w:gridSpan w:val="6"/>
            <w:vAlign w:val="center"/>
          </w:tcPr>
          <w:p w14:paraId="13D3EC79">
            <w:pPr>
              <w:pStyle w:val="766"/>
              <w:rPr>
                <w:color w:val="auto"/>
              </w:rPr>
            </w:pPr>
            <w:r>
              <w:rPr>
                <w:color w:val="auto"/>
              </w:rPr>
              <w:t>完成情况</w:t>
            </w:r>
          </w:p>
        </w:tc>
        <w:tc>
          <w:tcPr>
            <w:tcW w:w="1138" w:type="dxa"/>
            <w:vAlign w:val="center"/>
          </w:tcPr>
          <w:p w14:paraId="1D2FF60B">
            <w:pPr>
              <w:pStyle w:val="766"/>
              <w:rPr>
                <w:color w:val="auto"/>
              </w:rPr>
            </w:pPr>
            <w:r>
              <w:rPr>
                <w:color w:val="auto"/>
              </w:rPr>
              <w:t>备注</w:t>
            </w:r>
          </w:p>
        </w:tc>
      </w:tr>
      <w:tr w14:paraId="4A2E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restart"/>
            <w:vAlign w:val="center"/>
          </w:tcPr>
          <w:p w14:paraId="743183CF">
            <w:pPr>
              <w:pStyle w:val="766"/>
              <w:rPr>
                <w:color w:val="auto"/>
              </w:rPr>
            </w:pPr>
            <w:r>
              <w:rPr>
                <w:color w:val="auto"/>
              </w:rPr>
              <w:t>影</w:t>
            </w:r>
          </w:p>
          <w:p w14:paraId="2E17FFAE">
            <w:pPr>
              <w:pStyle w:val="766"/>
              <w:rPr>
                <w:color w:val="auto"/>
              </w:rPr>
            </w:pPr>
            <w:r>
              <w:rPr>
                <w:color w:val="auto"/>
              </w:rPr>
              <w:t>响</w:t>
            </w:r>
          </w:p>
          <w:p w14:paraId="002508DD">
            <w:pPr>
              <w:pStyle w:val="766"/>
              <w:rPr>
                <w:color w:val="auto"/>
              </w:rPr>
            </w:pPr>
            <w:r>
              <w:rPr>
                <w:color w:val="auto"/>
              </w:rPr>
              <w:t>识</w:t>
            </w:r>
          </w:p>
          <w:p w14:paraId="545911F3">
            <w:pPr>
              <w:pStyle w:val="766"/>
              <w:rPr>
                <w:color w:val="auto"/>
              </w:rPr>
            </w:pPr>
            <w:r>
              <w:rPr>
                <w:color w:val="auto"/>
              </w:rPr>
              <w:t>别</w:t>
            </w:r>
          </w:p>
        </w:tc>
        <w:tc>
          <w:tcPr>
            <w:tcW w:w="1701" w:type="dxa"/>
            <w:vAlign w:val="center"/>
          </w:tcPr>
          <w:p w14:paraId="5CAF018F">
            <w:pPr>
              <w:pStyle w:val="766"/>
              <w:rPr>
                <w:color w:val="auto"/>
              </w:rPr>
            </w:pPr>
            <w:r>
              <w:rPr>
                <w:color w:val="auto"/>
              </w:rPr>
              <w:t>影响类型</w:t>
            </w:r>
          </w:p>
        </w:tc>
        <w:tc>
          <w:tcPr>
            <w:tcW w:w="5753" w:type="dxa"/>
            <w:gridSpan w:val="6"/>
            <w:vAlign w:val="center"/>
          </w:tcPr>
          <w:p w14:paraId="7833EA33">
            <w:pPr>
              <w:pStyle w:val="766"/>
              <w:rPr>
                <w:color w:val="auto"/>
              </w:rPr>
            </w:pPr>
            <w:r>
              <w:rPr>
                <w:color w:val="auto"/>
              </w:rPr>
              <w:t>污染影响型</w:t>
            </w:r>
            <w:r>
              <w:rPr>
                <w:color w:val="auto"/>
              </w:rPr>
              <w:sym w:font="Wingdings 2" w:char="0052"/>
            </w:r>
            <w:r>
              <w:rPr>
                <w:color w:val="auto"/>
              </w:rPr>
              <w:t>；生态影响型□；两种兼有□</w:t>
            </w:r>
          </w:p>
        </w:tc>
        <w:tc>
          <w:tcPr>
            <w:tcW w:w="1138" w:type="dxa"/>
            <w:vAlign w:val="center"/>
          </w:tcPr>
          <w:p w14:paraId="090BCE25">
            <w:pPr>
              <w:pStyle w:val="766"/>
              <w:rPr>
                <w:color w:val="auto"/>
              </w:rPr>
            </w:pPr>
          </w:p>
        </w:tc>
      </w:tr>
      <w:tr w14:paraId="3B6B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11DD9132">
            <w:pPr>
              <w:pStyle w:val="766"/>
              <w:rPr>
                <w:color w:val="auto"/>
              </w:rPr>
            </w:pPr>
          </w:p>
        </w:tc>
        <w:tc>
          <w:tcPr>
            <w:tcW w:w="1701" w:type="dxa"/>
            <w:vAlign w:val="center"/>
          </w:tcPr>
          <w:p w14:paraId="4479545B">
            <w:pPr>
              <w:pStyle w:val="766"/>
              <w:rPr>
                <w:color w:val="auto"/>
              </w:rPr>
            </w:pPr>
            <w:r>
              <w:rPr>
                <w:color w:val="auto"/>
              </w:rPr>
              <w:t>土地利用类型</w:t>
            </w:r>
          </w:p>
        </w:tc>
        <w:tc>
          <w:tcPr>
            <w:tcW w:w="5753" w:type="dxa"/>
            <w:gridSpan w:val="6"/>
            <w:vAlign w:val="center"/>
          </w:tcPr>
          <w:p w14:paraId="362BDA41">
            <w:pPr>
              <w:pStyle w:val="766"/>
              <w:rPr>
                <w:color w:val="auto"/>
              </w:rPr>
            </w:pPr>
            <w:r>
              <w:rPr>
                <w:color w:val="auto"/>
              </w:rPr>
              <w:t>建设用地</w:t>
            </w:r>
            <w:r>
              <w:rPr>
                <w:color w:val="auto"/>
              </w:rPr>
              <w:sym w:font="Wingdings 2" w:char="00A3"/>
            </w:r>
            <w:r>
              <w:rPr>
                <w:color w:val="auto"/>
              </w:rPr>
              <w:t>；农用地</w:t>
            </w:r>
            <w:r>
              <w:rPr>
                <w:color w:val="auto"/>
              </w:rPr>
              <w:sym w:font="Wingdings 2" w:char="0052"/>
            </w:r>
            <w:r>
              <w:rPr>
                <w:color w:val="auto"/>
              </w:rPr>
              <w:t>；未利用地□</w:t>
            </w:r>
          </w:p>
        </w:tc>
        <w:tc>
          <w:tcPr>
            <w:tcW w:w="1138" w:type="dxa"/>
            <w:vAlign w:val="center"/>
          </w:tcPr>
          <w:p w14:paraId="5926B18A">
            <w:pPr>
              <w:pStyle w:val="766"/>
              <w:rPr>
                <w:color w:val="auto"/>
              </w:rPr>
            </w:pPr>
          </w:p>
        </w:tc>
      </w:tr>
      <w:tr w14:paraId="2A20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565" w:type="dxa"/>
            <w:vMerge w:val="continue"/>
            <w:vAlign w:val="center"/>
          </w:tcPr>
          <w:p w14:paraId="09C3033E">
            <w:pPr>
              <w:pStyle w:val="766"/>
              <w:rPr>
                <w:color w:val="auto"/>
              </w:rPr>
            </w:pPr>
          </w:p>
        </w:tc>
        <w:tc>
          <w:tcPr>
            <w:tcW w:w="1701" w:type="dxa"/>
            <w:vAlign w:val="center"/>
          </w:tcPr>
          <w:p w14:paraId="129307A3">
            <w:pPr>
              <w:pStyle w:val="766"/>
              <w:rPr>
                <w:color w:val="auto"/>
              </w:rPr>
            </w:pPr>
            <w:r>
              <w:rPr>
                <w:color w:val="auto"/>
              </w:rPr>
              <w:t>占地规模</w:t>
            </w:r>
          </w:p>
        </w:tc>
        <w:tc>
          <w:tcPr>
            <w:tcW w:w="5753" w:type="dxa"/>
            <w:gridSpan w:val="6"/>
            <w:vAlign w:val="center"/>
          </w:tcPr>
          <w:p w14:paraId="1BA09247">
            <w:pPr>
              <w:pStyle w:val="766"/>
              <w:rPr>
                <w:color w:val="auto"/>
              </w:rPr>
            </w:pPr>
            <w:r>
              <w:rPr>
                <w:rFonts w:hint="eastAsia"/>
                <w:color w:val="auto"/>
              </w:rPr>
              <w:t>28.02</w:t>
            </w:r>
            <w:r>
              <w:rPr>
                <w:color w:val="auto"/>
              </w:rPr>
              <w:t>hm</w:t>
            </w:r>
            <w:r>
              <w:rPr>
                <w:color w:val="auto"/>
                <w:vertAlign w:val="superscript"/>
              </w:rPr>
              <w:t>2</w:t>
            </w:r>
          </w:p>
        </w:tc>
        <w:tc>
          <w:tcPr>
            <w:tcW w:w="1138" w:type="dxa"/>
            <w:vAlign w:val="center"/>
          </w:tcPr>
          <w:p w14:paraId="182D3046">
            <w:pPr>
              <w:pStyle w:val="766"/>
              <w:rPr>
                <w:color w:val="auto"/>
              </w:rPr>
            </w:pPr>
          </w:p>
        </w:tc>
      </w:tr>
      <w:tr w14:paraId="3D73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50186EB5">
            <w:pPr>
              <w:pStyle w:val="766"/>
              <w:rPr>
                <w:color w:val="auto"/>
              </w:rPr>
            </w:pPr>
          </w:p>
        </w:tc>
        <w:tc>
          <w:tcPr>
            <w:tcW w:w="1701" w:type="dxa"/>
            <w:vAlign w:val="center"/>
          </w:tcPr>
          <w:p w14:paraId="4A290B10">
            <w:pPr>
              <w:pStyle w:val="766"/>
              <w:rPr>
                <w:color w:val="auto"/>
              </w:rPr>
            </w:pPr>
            <w:r>
              <w:rPr>
                <w:color w:val="auto"/>
              </w:rPr>
              <w:t>敏感目标信息</w:t>
            </w:r>
          </w:p>
        </w:tc>
        <w:tc>
          <w:tcPr>
            <w:tcW w:w="5753" w:type="dxa"/>
            <w:gridSpan w:val="6"/>
            <w:vAlign w:val="center"/>
          </w:tcPr>
          <w:p w14:paraId="509B3A47">
            <w:pPr>
              <w:pStyle w:val="766"/>
              <w:rPr>
                <w:color w:val="auto"/>
              </w:rPr>
            </w:pPr>
            <w:r>
              <w:rPr>
                <w:color w:val="auto"/>
              </w:rPr>
              <w:t>/</w:t>
            </w:r>
          </w:p>
        </w:tc>
        <w:tc>
          <w:tcPr>
            <w:tcW w:w="1138" w:type="dxa"/>
            <w:vAlign w:val="center"/>
          </w:tcPr>
          <w:p w14:paraId="20FFE8CC">
            <w:pPr>
              <w:pStyle w:val="766"/>
              <w:rPr>
                <w:color w:val="auto"/>
              </w:rPr>
            </w:pPr>
          </w:p>
        </w:tc>
      </w:tr>
      <w:tr w14:paraId="2369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5ACE9F42">
            <w:pPr>
              <w:pStyle w:val="766"/>
              <w:rPr>
                <w:color w:val="auto"/>
              </w:rPr>
            </w:pPr>
          </w:p>
        </w:tc>
        <w:tc>
          <w:tcPr>
            <w:tcW w:w="1701" w:type="dxa"/>
            <w:vAlign w:val="center"/>
          </w:tcPr>
          <w:p w14:paraId="2C76C7A9">
            <w:pPr>
              <w:pStyle w:val="766"/>
              <w:rPr>
                <w:color w:val="auto"/>
              </w:rPr>
            </w:pPr>
            <w:r>
              <w:rPr>
                <w:color w:val="auto"/>
              </w:rPr>
              <w:t>影响途径</w:t>
            </w:r>
          </w:p>
        </w:tc>
        <w:tc>
          <w:tcPr>
            <w:tcW w:w="5753" w:type="dxa"/>
            <w:gridSpan w:val="6"/>
            <w:vAlign w:val="center"/>
          </w:tcPr>
          <w:p w14:paraId="5D1B1769">
            <w:pPr>
              <w:pStyle w:val="766"/>
              <w:rPr>
                <w:color w:val="auto"/>
              </w:rPr>
            </w:pPr>
            <w:r>
              <w:rPr>
                <w:color w:val="auto"/>
              </w:rPr>
              <w:t>大气沉降□；地面漫流</w:t>
            </w:r>
            <w:r>
              <w:rPr>
                <w:color w:val="auto"/>
              </w:rPr>
              <w:sym w:font="Wingdings 2" w:char="0052"/>
            </w:r>
            <w:r>
              <w:rPr>
                <w:color w:val="auto"/>
              </w:rPr>
              <w:t>；垂直入渗</w:t>
            </w:r>
            <w:r>
              <w:rPr>
                <w:color w:val="auto"/>
              </w:rPr>
              <w:sym w:font="Wingdings 2" w:char="0052"/>
            </w:r>
            <w:r>
              <w:rPr>
                <w:color w:val="auto"/>
              </w:rPr>
              <w:t>；地下水位□；其他（/）</w:t>
            </w:r>
          </w:p>
        </w:tc>
        <w:tc>
          <w:tcPr>
            <w:tcW w:w="1138" w:type="dxa"/>
            <w:vAlign w:val="center"/>
          </w:tcPr>
          <w:p w14:paraId="51B6216D">
            <w:pPr>
              <w:pStyle w:val="766"/>
              <w:rPr>
                <w:color w:val="auto"/>
              </w:rPr>
            </w:pPr>
          </w:p>
        </w:tc>
      </w:tr>
      <w:tr w14:paraId="5369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0A250E96">
            <w:pPr>
              <w:pStyle w:val="766"/>
              <w:rPr>
                <w:color w:val="auto"/>
              </w:rPr>
            </w:pPr>
          </w:p>
        </w:tc>
        <w:tc>
          <w:tcPr>
            <w:tcW w:w="1701" w:type="dxa"/>
            <w:vAlign w:val="center"/>
          </w:tcPr>
          <w:p w14:paraId="1CDC6852">
            <w:pPr>
              <w:pStyle w:val="766"/>
              <w:rPr>
                <w:color w:val="auto"/>
              </w:rPr>
            </w:pPr>
            <w:r>
              <w:rPr>
                <w:color w:val="auto"/>
              </w:rPr>
              <w:t>全部污染物</w:t>
            </w:r>
          </w:p>
        </w:tc>
        <w:tc>
          <w:tcPr>
            <w:tcW w:w="5753" w:type="dxa"/>
            <w:gridSpan w:val="6"/>
            <w:vAlign w:val="center"/>
          </w:tcPr>
          <w:p w14:paraId="07F152F4">
            <w:pPr>
              <w:pStyle w:val="766"/>
              <w:rPr>
                <w:color w:val="auto"/>
              </w:rPr>
            </w:pPr>
            <w:r>
              <w:rPr>
                <w:color w:val="auto"/>
              </w:rPr>
              <w:t>（粪污渗滤液</w:t>
            </w:r>
            <w:r>
              <w:rPr>
                <w:rFonts w:hint="eastAsia"/>
                <w:color w:val="auto"/>
              </w:rPr>
              <w:t>、污水处理站废水</w:t>
            </w:r>
            <w:r>
              <w:rPr>
                <w:color w:val="auto"/>
              </w:rPr>
              <w:t>）</w:t>
            </w:r>
          </w:p>
        </w:tc>
        <w:tc>
          <w:tcPr>
            <w:tcW w:w="1138" w:type="dxa"/>
            <w:vAlign w:val="center"/>
          </w:tcPr>
          <w:p w14:paraId="7E99A9A9">
            <w:pPr>
              <w:pStyle w:val="766"/>
              <w:rPr>
                <w:color w:val="auto"/>
              </w:rPr>
            </w:pPr>
          </w:p>
        </w:tc>
      </w:tr>
      <w:tr w14:paraId="61F9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37A1E91A">
            <w:pPr>
              <w:pStyle w:val="766"/>
              <w:rPr>
                <w:color w:val="auto"/>
              </w:rPr>
            </w:pPr>
          </w:p>
        </w:tc>
        <w:tc>
          <w:tcPr>
            <w:tcW w:w="1701" w:type="dxa"/>
            <w:vAlign w:val="center"/>
          </w:tcPr>
          <w:p w14:paraId="1A927196">
            <w:pPr>
              <w:pStyle w:val="766"/>
              <w:rPr>
                <w:color w:val="auto"/>
              </w:rPr>
            </w:pPr>
            <w:r>
              <w:rPr>
                <w:color w:val="auto"/>
              </w:rPr>
              <w:t>特征因子</w:t>
            </w:r>
          </w:p>
        </w:tc>
        <w:tc>
          <w:tcPr>
            <w:tcW w:w="5753" w:type="dxa"/>
            <w:gridSpan w:val="6"/>
            <w:vAlign w:val="center"/>
          </w:tcPr>
          <w:p w14:paraId="593D9ACB">
            <w:pPr>
              <w:pStyle w:val="766"/>
              <w:rPr>
                <w:color w:val="auto"/>
              </w:rPr>
            </w:pPr>
            <w:r>
              <w:rPr>
                <w:color w:val="auto"/>
              </w:rPr>
              <w:t>/</w:t>
            </w:r>
          </w:p>
        </w:tc>
        <w:tc>
          <w:tcPr>
            <w:tcW w:w="1138" w:type="dxa"/>
            <w:vAlign w:val="center"/>
          </w:tcPr>
          <w:p w14:paraId="3DBDF613">
            <w:pPr>
              <w:pStyle w:val="766"/>
              <w:rPr>
                <w:color w:val="auto"/>
              </w:rPr>
            </w:pPr>
          </w:p>
        </w:tc>
      </w:tr>
      <w:tr w14:paraId="7881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7432B15F">
            <w:pPr>
              <w:pStyle w:val="766"/>
              <w:rPr>
                <w:color w:val="auto"/>
              </w:rPr>
            </w:pPr>
          </w:p>
        </w:tc>
        <w:tc>
          <w:tcPr>
            <w:tcW w:w="1701" w:type="dxa"/>
            <w:vAlign w:val="center"/>
          </w:tcPr>
          <w:p w14:paraId="43AE55C2">
            <w:pPr>
              <w:pStyle w:val="766"/>
              <w:rPr>
                <w:color w:val="auto"/>
              </w:rPr>
            </w:pPr>
            <w:r>
              <w:rPr>
                <w:color w:val="auto"/>
              </w:rPr>
              <w:t>所属土壤环境影响评价项目类别</w:t>
            </w:r>
          </w:p>
        </w:tc>
        <w:tc>
          <w:tcPr>
            <w:tcW w:w="5753" w:type="dxa"/>
            <w:gridSpan w:val="6"/>
            <w:vAlign w:val="center"/>
          </w:tcPr>
          <w:p w14:paraId="79C6A3AD">
            <w:pPr>
              <w:pStyle w:val="766"/>
              <w:rPr>
                <w:color w:val="auto"/>
              </w:rPr>
            </w:pPr>
            <w:r>
              <w:rPr>
                <w:color w:val="auto"/>
              </w:rPr>
              <w:fldChar w:fldCharType="begin"/>
            </w:r>
            <w:r>
              <w:rPr>
                <w:color w:val="auto"/>
              </w:rPr>
              <w:instrText xml:space="preserve"> = 1 \* ROMAN </w:instrText>
            </w:r>
            <w:r>
              <w:rPr>
                <w:color w:val="auto"/>
              </w:rPr>
              <w:fldChar w:fldCharType="separate"/>
            </w:r>
            <w:r>
              <w:rPr>
                <w:color w:val="auto"/>
              </w:rPr>
              <w:t>I</w:t>
            </w:r>
            <w:r>
              <w:rPr>
                <w:color w:val="auto"/>
              </w:rPr>
              <w:fldChar w:fldCharType="end"/>
            </w:r>
            <w:r>
              <w:rPr>
                <w:color w:val="auto"/>
              </w:rPr>
              <w:t>类□；</w:t>
            </w:r>
            <w:r>
              <w:rPr>
                <w:color w:val="auto"/>
              </w:rPr>
              <w:fldChar w:fldCharType="begin"/>
            </w:r>
            <w:r>
              <w:rPr>
                <w:color w:val="auto"/>
              </w:rPr>
              <w:instrText xml:space="preserve"> = 2 \* ROMAN </w:instrText>
            </w:r>
            <w:r>
              <w:rPr>
                <w:color w:val="auto"/>
              </w:rPr>
              <w:fldChar w:fldCharType="separate"/>
            </w:r>
            <w:r>
              <w:rPr>
                <w:color w:val="auto"/>
              </w:rPr>
              <w:t>II</w:t>
            </w:r>
            <w:r>
              <w:rPr>
                <w:color w:val="auto"/>
              </w:rPr>
              <w:fldChar w:fldCharType="end"/>
            </w:r>
            <w:r>
              <w:rPr>
                <w:color w:val="auto"/>
              </w:rPr>
              <w:t>类□；</w:t>
            </w:r>
            <w:r>
              <w:rPr>
                <w:color w:val="auto"/>
              </w:rPr>
              <w:fldChar w:fldCharType="begin"/>
            </w:r>
            <w:r>
              <w:rPr>
                <w:color w:val="auto"/>
              </w:rPr>
              <w:instrText xml:space="preserve"> = 3 \* ROMAN </w:instrText>
            </w:r>
            <w:r>
              <w:rPr>
                <w:color w:val="auto"/>
              </w:rPr>
              <w:fldChar w:fldCharType="separate"/>
            </w:r>
            <w:r>
              <w:rPr>
                <w:color w:val="auto"/>
              </w:rPr>
              <w:t>III</w:t>
            </w:r>
            <w:r>
              <w:rPr>
                <w:color w:val="auto"/>
              </w:rPr>
              <w:fldChar w:fldCharType="end"/>
            </w:r>
            <w:r>
              <w:rPr>
                <w:color w:val="auto"/>
              </w:rPr>
              <w:t>类</w:t>
            </w:r>
            <w:r>
              <w:rPr>
                <w:color w:val="auto"/>
              </w:rPr>
              <w:sym w:font="Wingdings 2" w:char="0052"/>
            </w:r>
            <w:r>
              <w:rPr>
                <w:color w:val="auto"/>
              </w:rPr>
              <w:t>；</w:t>
            </w:r>
            <w:r>
              <w:rPr>
                <w:color w:val="auto"/>
              </w:rPr>
              <w:fldChar w:fldCharType="begin"/>
            </w:r>
            <w:r>
              <w:rPr>
                <w:color w:val="auto"/>
              </w:rPr>
              <w:instrText xml:space="preserve"> = 4 \* ROMAN </w:instrText>
            </w:r>
            <w:r>
              <w:rPr>
                <w:color w:val="auto"/>
              </w:rPr>
              <w:fldChar w:fldCharType="separate"/>
            </w:r>
            <w:r>
              <w:rPr>
                <w:color w:val="auto"/>
              </w:rPr>
              <w:t>IV</w:t>
            </w:r>
            <w:r>
              <w:rPr>
                <w:color w:val="auto"/>
              </w:rPr>
              <w:fldChar w:fldCharType="end"/>
            </w:r>
            <w:r>
              <w:rPr>
                <w:color w:val="auto"/>
              </w:rPr>
              <w:t>类□</w:t>
            </w:r>
          </w:p>
        </w:tc>
        <w:tc>
          <w:tcPr>
            <w:tcW w:w="1138" w:type="dxa"/>
            <w:vAlign w:val="center"/>
          </w:tcPr>
          <w:p w14:paraId="450201A7">
            <w:pPr>
              <w:pStyle w:val="766"/>
              <w:rPr>
                <w:color w:val="auto"/>
              </w:rPr>
            </w:pPr>
          </w:p>
        </w:tc>
      </w:tr>
      <w:tr w14:paraId="483D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7548BD6B">
            <w:pPr>
              <w:pStyle w:val="766"/>
              <w:rPr>
                <w:color w:val="auto"/>
              </w:rPr>
            </w:pPr>
          </w:p>
        </w:tc>
        <w:tc>
          <w:tcPr>
            <w:tcW w:w="1701" w:type="dxa"/>
            <w:vAlign w:val="center"/>
          </w:tcPr>
          <w:p w14:paraId="59354391">
            <w:pPr>
              <w:pStyle w:val="766"/>
              <w:rPr>
                <w:color w:val="auto"/>
              </w:rPr>
            </w:pPr>
            <w:r>
              <w:rPr>
                <w:color w:val="auto"/>
              </w:rPr>
              <w:t>敏感程度</w:t>
            </w:r>
          </w:p>
        </w:tc>
        <w:tc>
          <w:tcPr>
            <w:tcW w:w="5753" w:type="dxa"/>
            <w:gridSpan w:val="6"/>
            <w:vAlign w:val="center"/>
          </w:tcPr>
          <w:p w14:paraId="4B8C46F0">
            <w:pPr>
              <w:pStyle w:val="766"/>
              <w:rPr>
                <w:color w:val="auto"/>
              </w:rPr>
            </w:pPr>
            <w:r>
              <w:rPr>
                <w:color w:val="auto"/>
              </w:rPr>
              <w:t>敏感</w:t>
            </w:r>
            <w:r>
              <w:rPr>
                <w:color w:val="auto"/>
              </w:rPr>
              <w:sym w:font="Wingdings 2" w:char="0052"/>
            </w:r>
            <w:r>
              <w:rPr>
                <w:color w:val="auto"/>
              </w:rPr>
              <w:t>；较敏感□；不敏感□</w:t>
            </w:r>
          </w:p>
        </w:tc>
        <w:tc>
          <w:tcPr>
            <w:tcW w:w="1138" w:type="dxa"/>
            <w:vAlign w:val="center"/>
          </w:tcPr>
          <w:p w14:paraId="635ABD0C">
            <w:pPr>
              <w:pStyle w:val="766"/>
              <w:rPr>
                <w:color w:val="auto"/>
              </w:rPr>
            </w:pPr>
          </w:p>
        </w:tc>
      </w:tr>
      <w:tr w14:paraId="4701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266" w:type="dxa"/>
            <w:gridSpan w:val="2"/>
            <w:vAlign w:val="center"/>
          </w:tcPr>
          <w:p w14:paraId="1FC12785">
            <w:pPr>
              <w:pStyle w:val="766"/>
              <w:rPr>
                <w:color w:val="auto"/>
              </w:rPr>
            </w:pPr>
            <w:r>
              <w:rPr>
                <w:color w:val="auto"/>
              </w:rPr>
              <w:t>评价工作等级</w:t>
            </w:r>
          </w:p>
        </w:tc>
        <w:tc>
          <w:tcPr>
            <w:tcW w:w="5753" w:type="dxa"/>
            <w:gridSpan w:val="6"/>
            <w:vAlign w:val="center"/>
          </w:tcPr>
          <w:p w14:paraId="2CFC68B4">
            <w:pPr>
              <w:pStyle w:val="766"/>
              <w:rPr>
                <w:color w:val="auto"/>
              </w:rPr>
            </w:pPr>
            <w:r>
              <w:rPr>
                <w:color w:val="auto"/>
              </w:rPr>
              <w:t>一级□；二级□；三级</w:t>
            </w:r>
            <w:r>
              <w:rPr>
                <w:color w:val="auto"/>
              </w:rPr>
              <w:sym w:font="Wingdings 2" w:char="0052"/>
            </w:r>
          </w:p>
        </w:tc>
        <w:tc>
          <w:tcPr>
            <w:tcW w:w="1138" w:type="dxa"/>
            <w:vAlign w:val="center"/>
          </w:tcPr>
          <w:p w14:paraId="5FA2950A">
            <w:pPr>
              <w:pStyle w:val="766"/>
              <w:rPr>
                <w:color w:val="auto"/>
              </w:rPr>
            </w:pPr>
          </w:p>
        </w:tc>
      </w:tr>
      <w:tr w14:paraId="6CBA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restart"/>
            <w:vAlign w:val="center"/>
          </w:tcPr>
          <w:p w14:paraId="798C038E">
            <w:pPr>
              <w:pStyle w:val="766"/>
              <w:rPr>
                <w:color w:val="auto"/>
              </w:rPr>
            </w:pPr>
            <w:r>
              <w:rPr>
                <w:color w:val="auto"/>
              </w:rPr>
              <w:t>现</w:t>
            </w:r>
          </w:p>
          <w:p w14:paraId="59663326">
            <w:pPr>
              <w:pStyle w:val="766"/>
              <w:rPr>
                <w:color w:val="auto"/>
              </w:rPr>
            </w:pPr>
            <w:r>
              <w:rPr>
                <w:color w:val="auto"/>
              </w:rPr>
              <w:t>状</w:t>
            </w:r>
          </w:p>
          <w:p w14:paraId="4A70D538">
            <w:pPr>
              <w:pStyle w:val="766"/>
              <w:rPr>
                <w:color w:val="auto"/>
              </w:rPr>
            </w:pPr>
            <w:r>
              <w:rPr>
                <w:color w:val="auto"/>
              </w:rPr>
              <w:t>调</w:t>
            </w:r>
          </w:p>
          <w:p w14:paraId="723BDDF1">
            <w:pPr>
              <w:pStyle w:val="766"/>
              <w:rPr>
                <w:color w:val="auto"/>
              </w:rPr>
            </w:pPr>
            <w:r>
              <w:rPr>
                <w:color w:val="auto"/>
              </w:rPr>
              <w:t>查</w:t>
            </w:r>
          </w:p>
          <w:p w14:paraId="355EA04A">
            <w:pPr>
              <w:pStyle w:val="766"/>
              <w:rPr>
                <w:color w:val="auto"/>
              </w:rPr>
            </w:pPr>
            <w:r>
              <w:rPr>
                <w:color w:val="auto"/>
              </w:rPr>
              <w:t>内</w:t>
            </w:r>
          </w:p>
          <w:p w14:paraId="4D3766C8">
            <w:pPr>
              <w:pStyle w:val="766"/>
              <w:rPr>
                <w:color w:val="auto"/>
              </w:rPr>
            </w:pPr>
            <w:r>
              <w:rPr>
                <w:color w:val="auto"/>
              </w:rPr>
              <w:t>容</w:t>
            </w:r>
          </w:p>
        </w:tc>
        <w:tc>
          <w:tcPr>
            <w:tcW w:w="1701" w:type="dxa"/>
            <w:vAlign w:val="center"/>
          </w:tcPr>
          <w:p w14:paraId="326C7DDF">
            <w:pPr>
              <w:pStyle w:val="766"/>
              <w:rPr>
                <w:color w:val="auto"/>
              </w:rPr>
            </w:pPr>
            <w:r>
              <w:rPr>
                <w:color w:val="auto"/>
              </w:rPr>
              <w:t>资料收集</w:t>
            </w:r>
          </w:p>
        </w:tc>
        <w:tc>
          <w:tcPr>
            <w:tcW w:w="5753" w:type="dxa"/>
            <w:gridSpan w:val="6"/>
            <w:vAlign w:val="center"/>
          </w:tcPr>
          <w:p w14:paraId="6BC7924D">
            <w:pPr>
              <w:pStyle w:val="766"/>
              <w:rPr>
                <w:color w:val="auto"/>
              </w:rPr>
            </w:pPr>
            <w:r>
              <w:rPr>
                <w:color w:val="auto"/>
              </w:rPr>
              <w:t>a)</w:t>
            </w:r>
            <w:r>
              <w:rPr>
                <w:color w:val="auto"/>
              </w:rPr>
              <w:sym w:font="Wingdings 2" w:char="00A3"/>
            </w:r>
            <w:r>
              <w:rPr>
                <w:color w:val="auto"/>
              </w:rPr>
              <w:t xml:space="preserve">；b) </w:t>
            </w:r>
            <w:r>
              <w:rPr>
                <w:color w:val="auto"/>
              </w:rPr>
              <w:sym w:font="Wingdings 2" w:char="0052"/>
            </w:r>
            <w:r>
              <w:rPr>
                <w:color w:val="auto"/>
              </w:rPr>
              <w:t xml:space="preserve">；c) </w:t>
            </w:r>
            <w:r>
              <w:rPr>
                <w:color w:val="auto"/>
              </w:rPr>
              <w:sym w:font="Wingdings 2" w:char="0052"/>
            </w:r>
            <w:r>
              <w:rPr>
                <w:color w:val="auto"/>
              </w:rPr>
              <w:t>；d)</w:t>
            </w:r>
            <w:r>
              <w:rPr>
                <w:color w:val="auto"/>
              </w:rPr>
              <w:sym w:font="Wingdings 2" w:char="00A3"/>
            </w:r>
          </w:p>
        </w:tc>
        <w:tc>
          <w:tcPr>
            <w:tcW w:w="1138" w:type="dxa"/>
            <w:vAlign w:val="center"/>
          </w:tcPr>
          <w:p w14:paraId="58F6C852">
            <w:pPr>
              <w:pStyle w:val="766"/>
              <w:rPr>
                <w:color w:val="auto"/>
              </w:rPr>
            </w:pPr>
          </w:p>
        </w:tc>
      </w:tr>
      <w:tr w14:paraId="4397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2E75B607">
            <w:pPr>
              <w:pStyle w:val="766"/>
              <w:rPr>
                <w:color w:val="auto"/>
              </w:rPr>
            </w:pPr>
          </w:p>
        </w:tc>
        <w:tc>
          <w:tcPr>
            <w:tcW w:w="1701" w:type="dxa"/>
            <w:vAlign w:val="center"/>
          </w:tcPr>
          <w:p w14:paraId="0C60ED67">
            <w:pPr>
              <w:pStyle w:val="766"/>
              <w:rPr>
                <w:color w:val="auto"/>
              </w:rPr>
            </w:pPr>
            <w:r>
              <w:rPr>
                <w:color w:val="auto"/>
              </w:rPr>
              <w:t>理化特性</w:t>
            </w:r>
          </w:p>
        </w:tc>
        <w:tc>
          <w:tcPr>
            <w:tcW w:w="5753" w:type="dxa"/>
            <w:gridSpan w:val="6"/>
            <w:vAlign w:val="center"/>
          </w:tcPr>
          <w:p w14:paraId="40054EE1">
            <w:pPr>
              <w:pStyle w:val="766"/>
              <w:rPr>
                <w:color w:val="auto"/>
              </w:rPr>
            </w:pPr>
            <w:r>
              <w:rPr>
                <w:color w:val="auto"/>
              </w:rPr>
              <w:t>/</w:t>
            </w:r>
          </w:p>
        </w:tc>
        <w:tc>
          <w:tcPr>
            <w:tcW w:w="1138" w:type="dxa"/>
            <w:vAlign w:val="center"/>
          </w:tcPr>
          <w:p w14:paraId="343EC6CE">
            <w:pPr>
              <w:pStyle w:val="766"/>
              <w:rPr>
                <w:color w:val="auto"/>
              </w:rPr>
            </w:pPr>
            <w:r>
              <w:rPr>
                <w:color w:val="auto"/>
              </w:rPr>
              <w:t>同附录C</w:t>
            </w:r>
          </w:p>
        </w:tc>
      </w:tr>
      <w:tr w14:paraId="1BCF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423ABE93">
            <w:pPr>
              <w:pStyle w:val="766"/>
              <w:rPr>
                <w:color w:val="auto"/>
              </w:rPr>
            </w:pPr>
          </w:p>
        </w:tc>
        <w:tc>
          <w:tcPr>
            <w:tcW w:w="1701" w:type="dxa"/>
            <w:vMerge w:val="restart"/>
            <w:vAlign w:val="center"/>
          </w:tcPr>
          <w:p w14:paraId="224F60FA">
            <w:pPr>
              <w:pStyle w:val="766"/>
              <w:rPr>
                <w:color w:val="auto"/>
              </w:rPr>
            </w:pPr>
            <w:r>
              <w:rPr>
                <w:color w:val="auto"/>
              </w:rPr>
              <w:t>现状监测点位</w:t>
            </w:r>
          </w:p>
        </w:tc>
        <w:tc>
          <w:tcPr>
            <w:tcW w:w="1276" w:type="dxa"/>
            <w:vAlign w:val="center"/>
          </w:tcPr>
          <w:p w14:paraId="2DDDC2B6">
            <w:pPr>
              <w:pStyle w:val="766"/>
              <w:rPr>
                <w:color w:val="auto"/>
              </w:rPr>
            </w:pPr>
          </w:p>
        </w:tc>
        <w:tc>
          <w:tcPr>
            <w:tcW w:w="1276" w:type="dxa"/>
            <w:gridSpan w:val="2"/>
            <w:vAlign w:val="center"/>
          </w:tcPr>
          <w:p w14:paraId="0EE1CFB1">
            <w:pPr>
              <w:pStyle w:val="766"/>
              <w:rPr>
                <w:color w:val="auto"/>
              </w:rPr>
            </w:pPr>
            <w:r>
              <w:rPr>
                <w:color w:val="auto"/>
              </w:rPr>
              <w:t>占地范围内</w:t>
            </w:r>
          </w:p>
        </w:tc>
        <w:tc>
          <w:tcPr>
            <w:tcW w:w="1417" w:type="dxa"/>
            <w:gridSpan w:val="2"/>
            <w:vAlign w:val="center"/>
          </w:tcPr>
          <w:p w14:paraId="4C5E4955">
            <w:pPr>
              <w:pStyle w:val="766"/>
              <w:rPr>
                <w:color w:val="auto"/>
              </w:rPr>
            </w:pPr>
            <w:r>
              <w:rPr>
                <w:color w:val="auto"/>
              </w:rPr>
              <w:t>占地范围外</w:t>
            </w:r>
          </w:p>
        </w:tc>
        <w:tc>
          <w:tcPr>
            <w:tcW w:w="1784" w:type="dxa"/>
            <w:vAlign w:val="center"/>
          </w:tcPr>
          <w:p w14:paraId="73715510">
            <w:pPr>
              <w:pStyle w:val="766"/>
              <w:rPr>
                <w:color w:val="auto"/>
              </w:rPr>
            </w:pPr>
            <w:r>
              <w:rPr>
                <w:color w:val="auto"/>
              </w:rPr>
              <w:t>深度</w:t>
            </w:r>
          </w:p>
        </w:tc>
        <w:tc>
          <w:tcPr>
            <w:tcW w:w="1138" w:type="dxa"/>
            <w:vMerge w:val="restart"/>
            <w:vAlign w:val="center"/>
          </w:tcPr>
          <w:p w14:paraId="428A067C">
            <w:pPr>
              <w:pStyle w:val="766"/>
              <w:rPr>
                <w:color w:val="auto"/>
              </w:rPr>
            </w:pPr>
            <w:r>
              <w:rPr>
                <w:color w:val="auto"/>
              </w:rPr>
              <w:t>点位布置图</w:t>
            </w:r>
          </w:p>
        </w:tc>
      </w:tr>
      <w:tr w14:paraId="02B1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40492C71">
            <w:pPr>
              <w:pStyle w:val="766"/>
              <w:rPr>
                <w:color w:val="auto"/>
              </w:rPr>
            </w:pPr>
          </w:p>
        </w:tc>
        <w:tc>
          <w:tcPr>
            <w:tcW w:w="1701" w:type="dxa"/>
            <w:vMerge w:val="continue"/>
            <w:vAlign w:val="center"/>
          </w:tcPr>
          <w:p w14:paraId="079F64AB">
            <w:pPr>
              <w:pStyle w:val="766"/>
              <w:rPr>
                <w:color w:val="auto"/>
              </w:rPr>
            </w:pPr>
          </w:p>
        </w:tc>
        <w:tc>
          <w:tcPr>
            <w:tcW w:w="1276" w:type="dxa"/>
            <w:vAlign w:val="center"/>
          </w:tcPr>
          <w:p w14:paraId="23396647">
            <w:pPr>
              <w:pStyle w:val="766"/>
              <w:rPr>
                <w:color w:val="auto"/>
              </w:rPr>
            </w:pPr>
            <w:r>
              <w:rPr>
                <w:color w:val="auto"/>
              </w:rPr>
              <w:t>表层样点数</w:t>
            </w:r>
          </w:p>
        </w:tc>
        <w:tc>
          <w:tcPr>
            <w:tcW w:w="1276" w:type="dxa"/>
            <w:gridSpan w:val="2"/>
            <w:vAlign w:val="center"/>
          </w:tcPr>
          <w:p w14:paraId="635404DF">
            <w:pPr>
              <w:pStyle w:val="766"/>
              <w:rPr>
                <w:color w:val="auto"/>
              </w:rPr>
            </w:pPr>
            <w:r>
              <w:rPr>
                <w:color w:val="auto"/>
              </w:rPr>
              <w:t>3</w:t>
            </w:r>
          </w:p>
        </w:tc>
        <w:tc>
          <w:tcPr>
            <w:tcW w:w="1417" w:type="dxa"/>
            <w:gridSpan w:val="2"/>
            <w:vAlign w:val="center"/>
          </w:tcPr>
          <w:p w14:paraId="643848E6">
            <w:pPr>
              <w:pStyle w:val="766"/>
              <w:rPr>
                <w:color w:val="auto"/>
              </w:rPr>
            </w:pPr>
            <w:r>
              <w:rPr>
                <w:color w:val="auto"/>
              </w:rPr>
              <w:t>0</w:t>
            </w:r>
          </w:p>
        </w:tc>
        <w:tc>
          <w:tcPr>
            <w:tcW w:w="1784" w:type="dxa"/>
            <w:vAlign w:val="center"/>
          </w:tcPr>
          <w:p w14:paraId="4D99B4DA">
            <w:pPr>
              <w:pStyle w:val="766"/>
              <w:rPr>
                <w:color w:val="auto"/>
              </w:rPr>
            </w:pPr>
            <w:r>
              <w:rPr>
                <w:color w:val="auto"/>
              </w:rPr>
              <w:t>0-20cm</w:t>
            </w:r>
          </w:p>
        </w:tc>
        <w:tc>
          <w:tcPr>
            <w:tcW w:w="1138" w:type="dxa"/>
            <w:vMerge w:val="continue"/>
            <w:vAlign w:val="center"/>
          </w:tcPr>
          <w:p w14:paraId="1942E375">
            <w:pPr>
              <w:pStyle w:val="766"/>
              <w:rPr>
                <w:color w:val="auto"/>
              </w:rPr>
            </w:pPr>
          </w:p>
        </w:tc>
      </w:tr>
      <w:tr w14:paraId="018E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42DA4A64">
            <w:pPr>
              <w:pStyle w:val="766"/>
              <w:rPr>
                <w:color w:val="auto"/>
              </w:rPr>
            </w:pPr>
          </w:p>
        </w:tc>
        <w:tc>
          <w:tcPr>
            <w:tcW w:w="1701" w:type="dxa"/>
            <w:vMerge w:val="continue"/>
            <w:vAlign w:val="center"/>
          </w:tcPr>
          <w:p w14:paraId="29757C1E">
            <w:pPr>
              <w:pStyle w:val="766"/>
              <w:rPr>
                <w:color w:val="auto"/>
              </w:rPr>
            </w:pPr>
          </w:p>
        </w:tc>
        <w:tc>
          <w:tcPr>
            <w:tcW w:w="1276" w:type="dxa"/>
            <w:vAlign w:val="center"/>
          </w:tcPr>
          <w:p w14:paraId="12262BA7">
            <w:pPr>
              <w:pStyle w:val="766"/>
              <w:rPr>
                <w:color w:val="auto"/>
              </w:rPr>
            </w:pPr>
            <w:r>
              <w:rPr>
                <w:color w:val="auto"/>
              </w:rPr>
              <w:t>柱状样点数</w:t>
            </w:r>
          </w:p>
        </w:tc>
        <w:tc>
          <w:tcPr>
            <w:tcW w:w="1276" w:type="dxa"/>
            <w:gridSpan w:val="2"/>
            <w:vAlign w:val="center"/>
          </w:tcPr>
          <w:p w14:paraId="22B003B6">
            <w:pPr>
              <w:pStyle w:val="766"/>
              <w:rPr>
                <w:color w:val="auto"/>
              </w:rPr>
            </w:pPr>
            <w:r>
              <w:rPr>
                <w:color w:val="auto"/>
              </w:rPr>
              <w:t>0</w:t>
            </w:r>
          </w:p>
        </w:tc>
        <w:tc>
          <w:tcPr>
            <w:tcW w:w="1417" w:type="dxa"/>
            <w:gridSpan w:val="2"/>
            <w:vAlign w:val="center"/>
          </w:tcPr>
          <w:p w14:paraId="74EB772C">
            <w:pPr>
              <w:pStyle w:val="766"/>
              <w:rPr>
                <w:color w:val="auto"/>
              </w:rPr>
            </w:pPr>
            <w:r>
              <w:rPr>
                <w:color w:val="auto"/>
              </w:rPr>
              <w:t>0</w:t>
            </w:r>
          </w:p>
        </w:tc>
        <w:tc>
          <w:tcPr>
            <w:tcW w:w="1784" w:type="dxa"/>
            <w:vAlign w:val="center"/>
          </w:tcPr>
          <w:p w14:paraId="488F4AEE">
            <w:pPr>
              <w:pStyle w:val="766"/>
              <w:rPr>
                <w:color w:val="auto"/>
              </w:rPr>
            </w:pPr>
            <w:r>
              <w:rPr>
                <w:color w:val="auto"/>
              </w:rPr>
              <w:t>/</w:t>
            </w:r>
          </w:p>
        </w:tc>
        <w:tc>
          <w:tcPr>
            <w:tcW w:w="1138" w:type="dxa"/>
            <w:vMerge w:val="continue"/>
            <w:vAlign w:val="center"/>
          </w:tcPr>
          <w:p w14:paraId="67A1DE02">
            <w:pPr>
              <w:pStyle w:val="766"/>
              <w:rPr>
                <w:color w:val="auto"/>
              </w:rPr>
            </w:pPr>
          </w:p>
        </w:tc>
      </w:tr>
      <w:tr w14:paraId="13AA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64D38739">
            <w:pPr>
              <w:pStyle w:val="766"/>
              <w:rPr>
                <w:color w:val="auto"/>
              </w:rPr>
            </w:pPr>
          </w:p>
        </w:tc>
        <w:tc>
          <w:tcPr>
            <w:tcW w:w="1701" w:type="dxa"/>
            <w:vAlign w:val="center"/>
          </w:tcPr>
          <w:p w14:paraId="19A0AF0E">
            <w:pPr>
              <w:pStyle w:val="766"/>
              <w:rPr>
                <w:color w:val="auto"/>
              </w:rPr>
            </w:pPr>
            <w:r>
              <w:rPr>
                <w:color w:val="auto"/>
              </w:rPr>
              <w:t>现状监测因子</w:t>
            </w:r>
          </w:p>
        </w:tc>
        <w:tc>
          <w:tcPr>
            <w:tcW w:w="5753" w:type="dxa"/>
            <w:gridSpan w:val="6"/>
            <w:vAlign w:val="center"/>
          </w:tcPr>
          <w:p w14:paraId="1F5B30E8">
            <w:pPr>
              <w:pStyle w:val="766"/>
              <w:rPr>
                <w:color w:val="auto"/>
              </w:rPr>
            </w:pPr>
            <w:r>
              <w:rPr>
                <w:color w:val="auto"/>
              </w:rPr>
              <w:t>pH值、镉、汞、砷、铅、铬、铜、镍、锌</w:t>
            </w:r>
          </w:p>
        </w:tc>
        <w:tc>
          <w:tcPr>
            <w:tcW w:w="1138" w:type="dxa"/>
            <w:vAlign w:val="center"/>
          </w:tcPr>
          <w:p w14:paraId="6D76E69D">
            <w:pPr>
              <w:pStyle w:val="766"/>
              <w:rPr>
                <w:color w:val="auto"/>
              </w:rPr>
            </w:pPr>
          </w:p>
        </w:tc>
      </w:tr>
      <w:tr w14:paraId="7935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restart"/>
            <w:vAlign w:val="center"/>
          </w:tcPr>
          <w:p w14:paraId="2A23C334">
            <w:pPr>
              <w:pStyle w:val="766"/>
              <w:rPr>
                <w:color w:val="auto"/>
              </w:rPr>
            </w:pPr>
            <w:r>
              <w:rPr>
                <w:color w:val="auto"/>
              </w:rPr>
              <w:t>现</w:t>
            </w:r>
          </w:p>
          <w:p w14:paraId="6C3076FE">
            <w:pPr>
              <w:pStyle w:val="766"/>
              <w:rPr>
                <w:color w:val="auto"/>
              </w:rPr>
            </w:pPr>
            <w:r>
              <w:rPr>
                <w:color w:val="auto"/>
              </w:rPr>
              <w:t>状</w:t>
            </w:r>
          </w:p>
          <w:p w14:paraId="4AB7D7B8">
            <w:pPr>
              <w:pStyle w:val="766"/>
              <w:rPr>
                <w:color w:val="auto"/>
              </w:rPr>
            </w:pPr>
            <w:r>
              <w:rPr>
                <w:color w:val="auto"/>
              </w:rPr>
              <w:t>评</w:t>
            </w:r>
          </w:p>
          <w:p w14:paraId="20B13A22">
            <w:pPr>
              <w:pStyle w:val="766"/>
              <w:rPr>
                <w:color w:val="auto"/>
              </w:rPr>
            </w:pPr>
            <w:r>
              <w:rPr>
                <w:color w:val="auto"/>
              </w:rPr>
              <w:t>价</w:t>
            </w:r>
          </w:p>
        </w:tc>
        <w:tc>
          <w:tcPr>
            <w:tcW w:w="1701" w:type="dxa"/>
            <w:vAlign w:val="center"/>
          </w:tcPr>
          <w:p w14:paraId="14028AC0">
            <w:pPr>
              <w:pStyle w:val="766"/>
              <w:rPr>
                <w:color w:val="auto"/>
              </w:rPr>
            </w:pPr>
            <w:r>
              <w:rPr>
                <w:color w:val="auto"/>
              </w:rPr>
              <w:t>评价因子</w:t>
            </w:r>
          </w:p>
        </w:tc>
        <w:tc>
          <w:tcPr>
            <w:tcW w:w="5753" w:type="dxa"/>
            <w:gridSpan w:val="6"/>
            <w:vAlign w:val="center"/>
          </w:tcPr>
          <w:p w14:paraId="25FF69DF">
            <w:pPr>
              <w:pStyle w:val="766"/>
              <w:rPr>
                <w:color w:val="auto"/>
              </w:rPr>
            </w:pPr>
            <w:r>
              <w:rPr>
                <w:color w:val="auto"/>
              </w:rPr>
              <w:t>pH值、镉、汞、砷、铅、铬、铜、镍、锌</w:t>
            </w:r>
          </w:p>
        </w:tc>
        <w:tc>
          <w:tcPr>
            <w:tcW w:w="1138" w:type="dxa"/>
            <w:vAlign w:val="center"/>
          </w:tcPr>
          <w:p w14:paraId="377039BC">
            <w:pPr>
              <w:pStyle w:val="766"/>
              <w:rPr>
                <w:color w:val="auto"/>
              </w:rPr>
            </w:pPr>
          </w:p>
        </w:tc>
      </w:tr>
      <w:tr w14:paraId="53DA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568512DF">
            <w:pPr>
              <w:pStyle w:val="766"/>
              <w:rPr>
                <w:color w:val="auto"/>
              </w:rPr>
            </w:pPr>
          </w:p>
        </w:tc>
        <w:tc>
          <w:tcPr>
            <w:tcW w:w="1701" w:type="dxa"/>
            <w:vAlign w:val="center"/>
          </w:tcPr>
          <w:p w14:paraId="20563B80">
            <w:pPr>
              <w:pStyle w:val="766"/>
              <w:rPr>
                <w:color w:val="auto"/>
              </w:rPr>
            </w:pPr>
            <w:r>
              <w:rPr>
                <w:color w:val="auto"/>
              </w:rPr>
              <w:t>评价标准</w:t>
            </w:r>
          </w:p>
        </w:tc>
        <w:tc>
          <w:tcPr>
            <w:tcW w:w="5753" w:type="dxa"/>
            <w:gridSpan w:val="6"/>
            <w:vAlign w:val="center"/>
          </w:tcPr>
          <w:p w14:paraId="6B494C1C">
            <w:pPr>
              <w:pStyle w:val="766"/>
              <w:rPr>
                <w:color w:val="auto"/>
              </w:rPr>
            </w:pPr>
            <w:r>
              <w:rPr>
                <w:color w:val="auto"/>
              </w:rPr>
              <w:t>GB15618</w:t>
            </w:r>
            <w:r>
              <w:rPr>
                <w:color w:val="auto"/>
              </w:rPr>
              <w:sym w:font="Wingdings 2" w:char="0052"/>
            </w:r>
            <w:r>
              <w:rPr>
                <w:color w:val="auto"/>
              </w:rPr>
              <w:t>；GB36600</w:t>
            </w:r>
            <w:r>
              <w:rPr>
                <w:color w:val="auto"/>
              </w:rPr>
              <w:sym w:font="Wingdings 2" w:char="00A3"/>
            </w:r>
            <w:r>
              <w:rPr>
                <w:color w:val="auto"/>
              </w:rPr>
              <w:t>；表D.2□；其他（）</w:t>
            </w:r>
          </w:p>
        </w:tc>
        <w:tc>
          <w:tcPr>
            <w:tcW w:w="1138" w:type="dxa"/>
            <w:vAlign w:val="center"/>
          </w:tcPr>
          <w:p w14:paraId="1FC36F05">
            <w:pPr>
              <w:pStyle w:val="766"/>
              <w:rPr>
                <w:color w:val="auto"/>
              </w:rPr>
            </w:pPr>
          </w:p>
        </w:tc>
      </w:tr>
      <w:tr w14:paraId="3875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0FFD2BB9">
            <w:pPr>
              <w:pStyle w:val="766"/>
              <w:rPr>
                <w:color w:val="auto"/>
              </w:rPr>
            </w:pPr>
          </w:p>
        </w:tc>
        <w:tc>
          <w:tcPr>
            <w:tcW w:w="1701" w:type="dxa"/>
            <w:vAlign w:val="center"/>
          </w:tcPr>
          <w:p w14:paraId="1F8CFDC5">
            <w:pPr>
              <w:pStyle w:val="766"/>
              <w:rPr>
                <w:color w:val="auto"/>
              </w:rPr>
            </w:pPr>
            <w:r>
              <w:rPr>
                <w:color w:val="auto"/>
              </w:rPr>
              <w:t>现状评价结论</w:t>
            </w:r>
          </w:p>
        </w:tc>
        <w:tc>
          <w:tcPr>
            <w:tcW w:w="5753" w:type="dxa"/>
            <w:gridSpan w:val="6"/>
            <w:vAlign w:val="center"/>
          </w:tcPr>
          <w:p w14:paraId="3564278E">
            <w:pPr>
              <w:pStyle w:val="766"/>
              <w:rPr>
                <w:color w:val="auto"/>
              </w:rPr>
            </w:pPr>
            <w:r>
              <w:rPr>
                <w:color w:val="auto"/>
              </w:rPr>
              <w:t>本项目场区各监测点监测因子均满足标准要求，无超标点。</w:t>
            </w:r>
          </w:p>
        </w:tc>
        <w:tc>
          <w:tcPr>
            <w:tcW w:w="1138" w:type="dxa"/>
            <w:vAlign w:val="center"/>
          </w:tcPr>
          <w:p w14:paraId="61062BF2">
            <w:pPr>
              <w:pStyle w:val="766"/>
              <w:rPr>
                <w:color w:val="auto"/>
              </w:rPr>
            </w:pPr>
          </w:p>
        </w:tc>
      </w:tr>
      <w:tr w14:paraId="2814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restart"/>
            <w:vAlign w:val="center"/>
          </w:tcPr>
          <w:p w14:paraId="5F8520F2">
            <w:pPr>
              <w:pStyle w:val="766"/>
              <w:rPr>
                <w:color w:val="auto"/>
              </w:rPr>
            </w:pPr>
            <w:r>
              <w:rPr>
                <w:color w:val="auto"/>
              </w:rPr>
              <w:t>影</w:t>
            </w:r>
          </w:p>
          <w:p w14:paraId="013B02F6">
            <w:pPr>
              <w:pStyle w:val="766"/>
              <w:rPr>
                <w:color w:val="auto"/>
              </w:rPr>
            </w:pPr>
            <w:r>
              <w:rPr>
                <w:color w:val="auto"/>
              </w:rPr>
              <w:t>响</w:t>
            </w:r>
          </w:p>
          <w:p w14:paraId="70C50B75">
            <w:pPr>
              <w:pStyle w:val="766"/>
              <w:rPr>
                <w:color w:val="auto"/>
              </w:rPr>
            </w:pPr>
            <w:r>
              <w:rPr>
                <w:color w:val="auto"/>
              </w:rPr>
              <w:t>预</w:t>
            </w:r>
          </w:p>
          <w:p w14:paraId="66833E8B">
            <w:pPr>
              <w:pStyle w:val="766"/>
              <w:rPr>
                <w:color w:val="auto"/>
              </w:rPr>
            </w:pPr>
            <w:r>
              <w:rPr>
                <w:color w:val="auto"/>
              </w:rPr>
              <w:t>测</w:t>
            </w:r>
          </w:p>
        </w:tc>
        <w:tc>
          <w:tcPr>
            <w:tcW w:w="1701" w:type="dxa"/>
            <w:vAlign w:val="center"/>
          </w:tcPr>
          <w:p w14:paraId="2841C17B">
            <w:pPr>
              <w:pStyle w:val="766"/>
              <w:rPr>
                <w:color w:val="auto"/>
              </w:rPr>
            </w:pPr>
            <w:r>
              <w:rPr>
                <w:color w:val="auto"/>
              </w:rPr>
              <w:t>预测因子</w:t>
            </w:r>
          </w:p>
        </w:tc>
        <w:tc>
          <w:tcPr>
            <w:tcW w:w="5753" w:type="dxa"/>
            <w:gridSpan w:val="6"/>
            <w:vAlign w:val="center"/>
          </w:tcPr>
          <w:p w14:paraId="5CC54B0E">
            <w:pPr>
              <w:pStyle w:val="766"/>
              <w:rPr>
                <w:color w:val="auto"/>
              </w:rPr>
            </w:pPr>
            <w:r>
              <w:rPr>
                <w:color w:val="auto"/>
              </w:rPr>
              <w:t>粪污渗滤液</w:t>
            </w:r>
            <w:r>
              <w:rPr>
                <w:rFonts w:hint="eastAsia"/>
                <w:color w:val="auto"/>
              </w:rPr>
              <w:t>、污水处理站废水</w:t>
            </w:r>
            <w:r>
              <w:rPr>
                <w:color w:val="auto"/>
              </w:rPr>
              <w:t>（/）</w:t>
            </w:r>
          </w:p>
        </w:tc>
        <w:tc>
          <w:tcPr>
            <w:tcW w:w="1138" w:type="dxa"/>
            <w:vAlign w:val="center"/>
          </w:tcPr>
          <w:p w14:paraId="36F13D32">
            <w:pPr>
              <w:pStyle w:val="766"/>
              <w:rPr>
                <w:color w:val="auto"/>
              </w:rPr>
            </w:pPr>
          </w:p>
        </w:tc>
      </w:tr>
      <w:tr w14:paraId="2CDF5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4B82EB97">
            <w:pPr>
              <w:pStyle w:val="766"/>
              <w:rPr>
                <w:color w:val="auto"/>
              </w:rPr>
            </w:pPr>
          </w:p>
        </w:tc>
        <w:tc>
          <w:tcPr>
            <w:tcW w:w="1701" w:type="dxa"/>
            <w:vAlign w:val="center"/>
          </w:tcPr>
          <w:p w14:paraId="2F4B4BAB">
            <w:pPr>
              <w:pStyle w:val="766"/>
              <w:rPr>
                <w:color w:val="auto"/>
              </w:rPr>
            </w:pPr>
            <w:r>
              <w:rPr>
                <w:color w:val="auto"/>
              </w:rPr>
              <w:t>预测方法</w:t>
            </w:r>
          </w:p>
        </w:tc>
        <w:tc>
          <w:tcPr>
            <w:tcW w:w="5753" w:type="dxa"/>
            <w:gridSpan w:val="6"/>
            <w:vAlign w:val="center"/>
          </w:tcPr>
          <w:p w14:paraId="7CEB6C94">
            <w:pPr>
              <w:pStyle w:val="766"/>
              <w:rPr>
                <w:color w:val="auto"/>
              </w:rPr>
            </w:pPr>
            <w:r>
              <w:rPr>
                <w:color w:val="auto"/>
              </w:rPr>
              <w:t>附录E</w:t>
            </w:r>
            <w:r>
              <w:rPr>
                <w:color w:val="auto"/>
              </w:rPr>
              <w:sym w:font="Wingdings 2" w:char="00A3"/>
            </w:r>
            <w:r>
              <w:rPr>
                <w:color w:val="auto"/>
              </w:rPr>
              <w:t>；附录F□；其他（定性分析）</w:t>
            </w:r>
            <w:r>
              <w:rPr>
                <w:color w:val="auto"/>
              </w:rPr>
              <w:sym w:font="Wingdings 2" w:char="0052"/>
            </w:r>
          </w:p>
        </w:tc>
        <w:tc>
          <w:tcPr>
            <w:tcW w:w="1138" w:type="dxa"/>
            <w:vAlign w:val="center"/>
          </w:tcPr>
          <w:p w14:paraId="287BA555">
            <w:pPr>
              <w:pStyle w:val="766"/>
              <w:rPr>
                <w:color w:val="auto"/>
              </w:rPr>
            </w:pPr>
          </w:p>
        </w:tc>
      </w:tr>
      <w:tr w14:paraId="6483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79946915">
            <w:pPr>
              <w:pStyle w:val="766"/>
              <w:rPr>
                <w:color w:val="auto"/>
              </w:rPr>
            </w:pPr>
          </w:p>
        </w:tc>
        <w:tc>
          <w:tcPr>
            <w:tcW w:w="1701" w:type="dxa"/>
            <w:vAlign w:val="center"/>
          </w:tcPr>
          <w:p w14:paraId="54AA7E5C">
            <w:pPr>
              <w:pStyle w:val="766"/>
              <w:rPr>
                <w:color w:val="auto"/>
              </w:rPr>
            </w:pPr>
            <w:r>
              <w:rPr>
                <w:color w:val="auto"/>
              </w:rPr>
              <w:t>预测分析内容</w:t>
            </w:r>
          </w:p>
        </w:tc>
        <w:tc>
          <w:tcPr>
            <w:tcW w:w="5753" w:type="dxa"/>
            <w:gridSpan w:val="6"/>
            <w:vAlign w:val="center"/>
          </w:tcPr>
          <w:p w14:paraId="29BFC4CE">
            <w:pPr>
              <w:pStyle w:val="766"/>
              <w:rPr>
                <w:color w:val="auto"/>
              </w:rPr>
            </w:pPr>
            <w:r>
              <w:rPr>
                <w:color w:val="auto"/>
              </w:rPr>
              <w:t>影响范围（本场区内）</w:t>
            </w:r>
          </w:p>
          <w:p w14:paraId="7D446B6B">
            <w:pPr>
              <w:pStyle w:val="766"/>
              <w:rPr>
                <w:color w:val="auto"/>
              </w:rPr>
            </w:pPr>
            <w:r>
              <w:rPr>
                <w:color w:val="auto"/>
              </w:rPr>
              <w:t>影响程度（较小）</w:t>
            </w:r>
          </w:p>
        </w:tc>
        <w:tc>
          <w:tcPr>
            <w:tcW w:w="1138" w:type="dxa"/>
            <w:vAlign w:val="center"/>
          </w:tcPr>
          <w:p w14:paraId="6EF45257">
            <w:pPr>
              <w:pStyle w:val="766"/>
              <w:rPr>
                <w:color w:val="auto"/>
              </w:rPr>
            </w:pPr>
          </w:p>
        </w:tc>
      </w:tr>
      <w:tr w14:paraId="0340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3A0CBB4E">
            <w:pPr>
              <w:pStyle w:val="766"/>
              <w:rPr>
                <w:color w:val="auto"/>
              </w:rPr>
            </w:pPr>
          </w:p>
        </w:tc>
        <w:tc>
          <w:tcPr>
            <w:tcW w:w="1701" w:type="dxa"/>
            <w:vAlign w:val="center"/>
          </w:tcPr>
          <w:p w14:paraId="25225B49">
            <w:pPr>
              <w:pStyle w:val="766"/>
              <w:rPr>
                <w:color w:val="auto"/>
              </w:rPr>
            </w:pPr>
            <w:r>
              <w:rPr>
                <w:color w:val="auto"/>
              </w:rPr>
              <w:t>预测结论</w:t>
            </w:r>
          </w:p>
        </w:tc>
        <w:tc>
          <w:tcPr>
            <w:tcW w:w="5753" w:type="dxa"/>
            <w:gridSpan w:val="6"/>
            <w:vAlign w:val="center"/>
          </w:tcPr>
          <w:p w14:paraId="0FFEF83A">
            <w:pPr>
              <w:pStyle w:val="766"/>
              <w:rPr>
                <w:color w:val="auto"/>
              </w:rPr>
            </w:pPr>
            <w:r>
              <w:rPr>
                <w:color w:val="auto"/>
              </w:rPr>
              <w:t xml:space="preserve">达标结论：a) </w:t>
            </w:r>
            <w:r>
              <w:rPr>
                <w:color w:val="auto"/>
              </w:rPr>
              <w:sym w:font="Wingdings 2" w:char="0052"/>
            </w:r>
            <w:r>
              <w:rPr>
                <w:color w:val="auto"/>
              </w:rPr>
              <w:t>；b) □；c) □</w:t>
            </w:r>
          </w:p>
          <w:p w14:paraId="0CF7A575">
            <w:pPr>
              <w:pStyle w:val="766"/>
              <w:rPr>
                <w:color w:val="auto"/>
              </w:rPr>
            </w:pPr>
            <w:r>
              <w:rPr>
                <w:color w:val="auto"/>
              </w:rPr>
              <w:t>不达标结论：a) □；b) □</w:t>
            </w:r>
          </w:p>
        </w:tc>
        <w:tc>
          <w:tcPr>
            <w:tcW w:w="1138" w:type="dxa"/>
            <w:vAlign w:val="center"/>
          </w:tcPr>
          <w:p w14:paraId="7F39C6D0">
            <w:pPr>
              <w:pStyle w:val="766"/>
              <w:rPr>
                <w:color w:val="auto"/>
              </w:rPr>
            </w:pPr>
          </w:p>
        </w:tc>
      </w:tr>
      <w:tr w14:paraId="2E12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restart"/>
            <w:vAlign w:val="center"/>
          </w:tcPr>
          <w:p w14:paraId="5F3C24E3">
            <w:pPr>
              <w:pStyle w:val="766"/>
              <w:rPr>
                <w:color w:val="auto"/>
              </w:rPr>
            </w:pPr>
            <w:r>
              <w:rPr>
                <w:color w:val="auto"/>
              </w:rPr>
              <w:t>防</w:t>
            </w:r>
          </w:p>
          <w:p w14:paraId="25E9F771">
            <w:pPr>
              <w:pStyle w:val="766"/>
              <w:rPr>
                <w:color w:val="auto"/>
              </w:rPr>
            </w:pPr>
            <w:r>
              <w:rPr>
                <w:color w:val="auto"/>
              </w:rPr>
              <w:t>治</w:t>
            </w:r>
          </w:p>
          <w:p w14:paraId="5439E294">
            <w:pPr>
              <w:pStyle w:val="766"/>
              <w:rPr>
                <w:color w:val="auto"/>
              </w:rPr>
            </w:pPr>
            <w:r>
              <w:rPr>
                <w:color w:val="auto"/>
              </w:rPr>
              <w:t>措</w:t>
            </w:r>
          </w:p>
          <w:p w14:paraId="0A6E81DC">
            <w:pPr>
              <w:pStyle w:val="766"/>
              <w:rPr>
                <w:color w:val="auto"/>
              </w:rPr>
            </w:pPr>
            <w:r>
              <w:rPr>
                <w:color w:val="auto"/>
              </w:rPr>
              <w:t>施</w:t>
            </w:r>
          </w:p>
        </w:tc>
        <w:tc>
          <w:tcPr>
            <w:tcW w:w="1701" w:type="dxa"/>
            <w:vAlign w:val="center"/>
          </w:tcPr>
          <w:p w14:paraId="23794662">
            <w:pPr>
              <w:pStyle w:val="766"/>
              <w:rPr>
                <w:color w:val="auto"/>
              </w:rPr>
            </w:pPr>
            <w:r>
              <w:rPr>
                <w:color w:val="auto"/>
              </w:rPr>
              <w:t>防控措施</w:t>
            </w:r>
          </w:p>
        </w:tc>
        <w:tc>
          <w:tcPr>
            <w:tcW w:w="5753" w:type="dxa"/>
            <w:gridSpan w:val="6"/>
            <w:vAlign w:val="center"/>
          </w:tcPr>
          <w:p w14:paraId="3BF91E9C">
            <w:pPr>
              <w:pStyle w:val="766"/>
              <w:rPr>
                <w:color w:val="auto"/>
              </w:rPr>
            </w:pPr>
            <w:r>
              <w:rPr>
                <w:color w:val="auto"/>
              </w:rPr>
              <w:t>土壤环境质量现状保障</w:t>
            </w:r>
            <w:r>
              <w:rPr>
                <w:color w:val="auto"/>
              </w:rPr>
              <w:sym w:font="Wingdings 2" w:char="0052"/>
            </w:r>
            <w:r>
              <w:rPr>
                <w:color w:val="auto"/>
              </w:rPr>
              <w:t>；源头控制</w:t>
            </w:r>
            <w:r>
              <w:rPr>
                <w:color w:val="auto"/>
              </w:rPr>
              <w:sym w:font="Wingdings 2" w:char="0052"/>
            </w:r>
            <w:r>
              <w:rPr>
                <w:color w:val="auto"/>
              </w:rPr>
              <w:t>；过程防控</w:t>
            </w:r>
            <w:r>
              <w:rPr>
                <w:color w:val="auto"/>
              </w:rPr>
              <w:sym w:font="Wingdings 2" w:char="0052"/>
            </w:r>
            <w:r>
              <w:rPr>
                <w:color w:val="auto"/>
              </w:rPr>
              <w:t>；其他（）</w:t>
            </w:r>
          </w:p>
        </w:tc>
        <w:tc>
          <w:tcPr>
            <w:tcW w:w="1138" w:type="dxa"/>
            <w:vAlign w:val="center"/>
          </w:tcPr>
          <w:p w14:paraId="6F8A839F">
            <w:pPr>
              <w:pStyle w:val="766"/>
              <w:rPr>
                <w:color w:val="auto"/>
              </w:rPr>
            </w:pPr>
          </w:p>
        </w:tc>
      </w:tr>
      <w:tr w14:paraId="2C3D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04629E7C">
            <w:pPr>
              <w:pStyle w:val="766"/>
              <w:rPr>
                <w:color w:val="auto"/>
              </w:rPr>
            </w:pPr>
          </w:p>
        </w:tc>
        <w:tc>
          <w:tcPr>
            <w:tcW w:w="1701" w:type="dxa"/>
            <w:vMerge w:val="restart"/>
            <w:vAlign w:val="center"/>
          </w:tcPr>
          <w:p w14:paraId="483019FD">
            <w:pPr>
              <w:pStyle w:val="766"/>
              <w:rPr>
                <w:color w:val="auto"/>
              </w:rPr>
            </w:pPr>
            <w:r>
              <w:rPr>
                <w:color w:val="auto"/>
              </w:rPr>
              <w:t>跟踪监测</w:t>
            </w:r>
          </w:p>
        </w:tc>
        <w:tc>
          <w:tcPr>
            <w:tcW w:w="2065" w:type="dxa"/>
            <w:gridSpan w:val="2"/>
            <w:vAlign w:val="center"/>
          </w:tcPr>
          <w:p w14:paraId="73131D2C">
            <w:pPr>
              <w:pStyle w:val="766"/>
              <w:rPr>
                <w:color w:val="auto"/>
              </w:rPr>
            </w:pPr>
            <w:r>
              <w:rPr>
                <w:color w:val="auto"/>
              </w:rPr>
              <w:t>监测点数</w:t>
            </w:r>
          </w:p>
        </w:tc>
        <w:tc>
          <w:tcPr>
            <w:tcW w:w="1828" w:type="dxa"/>
            <w:gridSpan w:val="2"/>
            <w:vAlign w:val="center"/>
          </w:tcPr>
          <w:p w14:paraId="657F6028">
            <w:pPr>
              <w:pStyle w:val="766"/>
              <w:rPr>
                <w:color w:val="auto"/>
              </w:rPr>
            </w:pPr>
            <w:r>
              <w:rPr>
                <w:color w:val="auto"/>
              </w:rPr>
              <w:t>监测指标</w:t>
            </w:r>
          </w:p>
        </w:tc>
        <w:tc>
          <w:tcPr>
            <w:tcW w:w="1860" w:type="dxa"/>
            <w:gridSpan w:val="2"/>
            <w:vAlign w:val="center"/>
          </w:tcPr>
          <w:p w14:paraId="65109F5B">
            <w:pPr>
              <w:pStyle w:val="766"/>
              <w:rPr>
                <w:color w:val="auto"/>
              </w:rPr>
            </w:pPr>
            <w:r>
              <w:rPr>
                <w:color w:val="auto"/>
              </w:rPr>
              <w:t>监测频次</w:t>
            </w:r>
          </w:p>
        </w:tc>
        <w:tc>
          <w:tcPr>
            <w:tcW w:w="1138" w:type="dxa"/>
            <w:vAlign w:val="center"/>
          </w:tcPr>
          <w:p w14:paraId="1CB06A1D">
            <w:pPr>
              <w:pStyle w:val="766"/>
              <w:rPr>
                <w:color w:val="auto"/>
              </w:rPr>
            </w:pPr>
          </w:p>
        </w:tc>
      </w:tr>
      <w:tr w14:paraId="0BD2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65" w:type="dxa"/>
            <w:vMerge w:val="continue"/>
            <w:vAlign w:val="center"/>
          </w:tcPr>
          <w:p w14:paraId="520D207E">
            <w:pPr>
              <w:pStyle w:val="766"/>
              <w:rPr>
                <w:color w:val="auto"/>
              </w:rPr>
            </w:pPr>
          </w:p>
        </w:tc>
        <w:tc>
          <w:tcPr>
            <w:tcW w:w="1701" w:type="dxa"/>
            <w:vMerge w:val="continue"/>
            <w:vAlign w:val="center"/>
          </w:tcPr>
          <w:p w14:paraId="3388FB3C">
            <w:pPr>
              <w:pStyle w:val="766"/>
              <w:rPr>
                <w:color w:val="auto"/>
              </w:rPr>
            </w:pPr>
          </w:p>
        </w:tc>
        <w:tc>
          <w:tcPr>
            <w:tcW w:w="2065" w:type="dxa"/>
            <w:gridSpan w:val="2"/>
            <w:vAlign w:val="center"/>
          </w:tcPr>
          <w:p w14:paraId="177A42D6">
            <w:pPr>
              <w:pStyle w:val="766"/>
              <w:rPr>
                <w:color w:val="auto"/>
              </w:rPr>
            </w:pPr>
            <w:r>
              <w:rPr>
                <w:color w:val="auto"/>
              </w:rPr>
              <w:t>2个深层采样点</w:t>
            </w:r>
          </w:p>
          <w:p w14:paraId="08F7FEC9">
            <w:pPr>
              <w:pStyle w:val="766"/>
              <w:rPr>
                <w:color w:val="auto"/>
              </w:rPr>
            </w:pPr>
            <w:r>
              <w:rPr>
                <w:color w:val="auto"/>
              </w:rPr>
              <w:t>3个表层采样点</w:t>
            </w:r>
          </w:p>
        </w:tc>
        <w:tc>
          <w:tcPr>
            <w:tcW w:w="1828" w:type="dxa"/>
            <w:gridSpan w:val="2"/>
            <w:vAlign w:val="center"/>
          </w:tcPr>
          <w:p w14:paraId="346FE558">
            <w:pPr>
              <w:pStyle w:val="766"/>
              <w:rPr>
                <w:color w:val="auto"/>
              </w:rPr>
            </w:pPr>
            <w:r>
              <w:rPr>
                <w:color w:val="auto"/>
              </w:rPr>
              <w:t>砷、镉、铜、铅、汞、镍、铬、锌、pH</w:t>
            </w:r>
          </w:p>
        </w:tc>
        <w:tc>
          <w:tcPr>
            <w:tcW w:w="1860" w:type="dxa"/>
            <w:gridSpan w:val="2"/>
            <w:vAlign w:val="center"/>
          </w:tcPr>
          <w:p w14:paraId="6D3E0C17">
            <w:pPr>
              <w:pStyle w:val="766"/>
              <w:rPr>
                <w:color w:val="auto"/>
              </w:rPr>
            </w:pPr>
            <w:r>
              <w:rPr>
                <w:color w:val="auto"/>
              </w:rPr>
              <w:t>表层样:1次/1年深层样:1次/3年</w:t>
            </w:r>
          </w:p>
        </w:tc>
        <w:tc>
          <w:tcPr>
            <w:tcW w:w="1138" w:type="dxa"/>
            <w:vAlign w:val="center"/>
          </w:tcPr>
          <w:p w14:paraId="7C7D9245">
            <w:pPr>
              <w:pStyle w:val="766"/>
              <w:rPr>
                <w:color w:val="auto"/>
              </w:rPr>
            </w:pPr>
          </w:p>
        </w:tc>
      </w:tr>
      <w:tr w14:paraId="617F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5" w:type="dxa"/>
            <w:vMerge w:val="continue"/>
            <w:vAlign w:val="center"/>
          </w:tcPr>
          <w:p w14:paraId="5596C5B7">
            <w:pPr>
              <w:pStyle w:val="766"/>
              <w:rPr>
                <w:color w:val="auto"/>
              </w:rPr>
            </w:pPr>
          </w:p>
        </w:tc>
        <w:tc>
          <w:tcPr>
            <w:tcW w:w="1701" w:type="dxa"/>
            <w:vAlign w:val="center"/>
          </w:tcPr>
          <w:p w14:paraId="0FB30FEB">
            <w:pPr>
              <w:pStyle w:val="766"/>
              <w:rPr>
                <w:color w:val="auto"/>
              </w:rPr>
            </w:pPr>
            <w:r>
              <w:rPr>
                <w:color w:val="auto"/>
              </w:rPr>
              <w:t>信息公开指标</w:t>
            </w:r>
          </w:p>
        </w:tc>
        <w:tc>
          <w:tcPr>
            <w:tcW w:w="5753" w:type="dxa"/>
            <w:gridSpan w:val="6"/>
            <w:vAlign w:val="center"/>
          </w:tcPr>
          <w:p w14:paraId="1684078E">
            <w:pPr>
              <w:pStyle w:val="766"/>
              <w:rPr>
                <w:color w:val="auto"/>
              </w:rPr>
            </w:pPr>
            <w:r>
              <w:rPr>
                <w:color w:val="auto"/>
              </w:rPr>
              <w:t>砷、镉、铜、铅、汞、镍、铬、锌、pH</w:t>
            </w:r>
          </w:p>
        </w:tc>
        <w:tc>
          <w:tcPr>
            <w:tcW w:w="1138" w:type="dxa"/>
            <w:vAlign w:val="center"/>
          </w:tcPr>
          <w:p w14:paraId="6B6DFFF1">
            <w:pPr>
              <w:pStyle w:val="766"/>
              <w:rPr>
                <w:color w:val="auto"/>
              </w:rPr>
            </w:pPr>
          </w:p>
        </w:tc>
      </w:tr>
      <w:tr w14:paraId="0EB2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266" w:type="dxa"/>
            <w:gridSpan w:val="2"/>
            <w:vAlign w:val="center"/>
          </w:tcPr>
          <w:p w14:paraId="2D130963">
            <w:pPr>
              <w:pStyle w:val="766"/>
              <w:rPr>
                <w:color w:val="auto"/>
              </w:rPr>
            </w:pPr>
            <w:r>
              <w:rPr>
                <w:color w:val="auto"/>
              </w:rPr>
              <w:t>评价结论</w:t>
            </w:r>
          </w:p>
        </w:tc>
        <w:tc>
          <w:tcPr>
            <w:tcW w:w="5753" w:type="dxa"/>
            <w:gridSpan w:val="6"/>
            <w:vAlign w:val="center"/>
          </w:tcPr>
          <w:p w14:paraId="24A17F30">
            <w:pPr>
              <w:pStyle w:val="766"/>
              <w:rPr>
                <w:color w:val="auto"/>
              </w:rPr>
            </w:pPr>
            <w:r>
              <w:rPr>
                <w:color w:val="auto"/>
              </w:rPr>
              <w:t>本项目对土壤环境影响较小，在可接受范围内，建设可行</w:t>
            </w:r>
          </w:p>
        </w:tc>
        <w:tc>
          <w:tcPr>
            <w:tcW w:w="1138" w:type="dxa"/>
            <w:vAlign w:val="center"/>
          </w:tcPr>
          <w:p w14:paraId="3D474250">
            <w:pPr>
              <w:pStyle w:val="766"/>
              <w:rPr>
                <w:color w:val="auto"/>
              </w:rPr>
            </w:pPr>
          </w:p>
        </w:tc>
      </w:tr>
      <w:tr w14:paraId="774F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157" w:type="dxa"/>
            <w:gridSpan w:val="9"/>
            <w:vAlign w:val="center"/>
          </w:tcPr>
          <w:p w14:paraId="143918F9">
            <w:pPr>
              <w:pStyle w:val="766"/>
              <w:rPr>
                <w:color w:val="auto"/>
              </w:rPr>
            </w:pPr>
            <w:r>
              <w:rPr>
                <w:color w:val="auto"/>
              </w:rPr>
              <w:t>注：“□”为勾选项，填“√”；“（ ）”为内容填写项</w:t>
            </w:r>
          </w:p>
        </w:tc>
      </w:tr>
    </w:tbl>
    <w:p w14:paraId="1E85AF35">
      <w:pPr>
        <w:pStyle w:val="11"/>
      </w:pPr>
      <w:bookmarkStart w:id="418" w:name="_Toc166572330"/>
      <w:r>
        <w:t>5.2.7固废环境影响分析与评价</w:t>
      </w:r>
      <w:bookmarkEnd w:id="418"/>
    </w:p>
    <w:p w14:paraId="4ADB164E">
      <w:pPr>
        <w:autoSpaceDE w:val="0"/>
        <w:autoSpaceDN w:val="0"/>
        <w:adjustRightInd w:val="0"/>
        <w:ind w:firstLine="530" w:firstLineChars="221"/>
        <w:rPr>
          <w:kern w:val="0"/>
        </w:rPr>
      </w:pPr>
      <w:r>
        <w:t>根据工程分析可知，本项目产生的固废主要有</w:t>
      </w:r>
      <w:r>
        <w:rPr>
          <w:kern w:val="0"/>
        </w:rPr>
        <w:t>医疗废物、</w:t>
      </w:r>
      <w:r>
        <w:t>鸡粪、掉落羽毛、饲料残渣、</w:t>
      </w:r>
      <w:r>
        <w:rPr>
          <w:rFonts w:hint="eastAsia"/>
        </w:rPr>
        <w:t>污泥、</w:t>
      </w:r>
      <w:r>
        <w:t>病死鸡、蛋壳、不合格蛋、废离子交换树脂、除尘灰、生活垃圾</w:t>
      </w:r>
      <w:r>
        <w:rPr>
          <w:kern w:val="0"/>
        </w:rPr>
        <w:t>等。</w:t>
      </w:r>
    </w:p>
    <w:p w14:paraId="4AA4F745">
      <w:pPr>
        <w:pStyle w:val="369"/>
      </w:pPr>
      <w:r>
        <w:t>表5.2-</w:t>
      </w:r>
      <w:r>
        <w:rPr>
          <w:rFonts w:hint="eastAsia"/>
        </w:rPr>
        <w:t>24</w:t>
      </w:r>
      <w:r>
        <w:t xml:space="preserve">  本项目固体废物产生、分类及处置情况一览表</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2"/>
        <w:gridCol w:w="865"/>
        <w:gridCol w:w="865"/>
        <w:gridCol w:w="536"/>
        <w:gridCol w:w="1251"/>
        <w:gridCol w:w="4038"/>
      </w:tblGrid>
      <w:tr w14:paraId="29DB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AF84C75">
            <w:pPr>
              <w:pStyle w:val="766"/>
              <w:rPr>
                <w:color w:val="auto"/>
              </w:rPr>
            </w:pPr>
            <w:r>
              <w:rPr>
                <w:color w:val="auto"/>
              </w:rPr>
              <w:t>名称</w:t>
            </w:r>
          </w:p>
        </w:tc>
        <w:tc>
          <w:tcPr>
            <w:tcW w:w="0" w:type="auto"/>
            <w:vAlign w:val="center"/>
          </w:tcPr>
          <w:p w14:paraId="28CB2E14">
            <w:pPr>
              <w:pStyle w:val="766"/>
              <w:rPr>
                <w:color w:val="auto"/>
              </w:rPr>
            </w:pPr>
            <w:r>
              <w:rPr>
                <w:color w:val="auto"/>
              </w:rPr>
              <w:t>产生环节</w:t>
            </w:r>
          </w:p>
        </w:tc>
        <w:tc>
          <w:tcPr>
            <w:tcW w:w="0" w:type="auto"/>
            <w:vAlign w:val="center"/>
          </w:tcPr>
          <w:p w14:paraId="774A49F2">
            <w:pPr>
              <w:pStyle w:val="766"/>
              <w:rPr>
                <w:color w:val="auto"/>
              </w:rPr>
            </w:pPr>
            <w:r>
              <w:rPr>
                <w:color w:val="auto"/>
              </w:rPr>
              <w:t>性质</w:t>
            </w:r>
          </w:p>
        </w:tc>
        <w:tc>
          <w:tcPr>
            <w:tcW w:w="0" w:type="auto"/>
            <w:vAlign w:val="center"/>
          </w:tcPr>
          <w:p w14:paraId="1DE85769">
            <w:pPr>
              <w:pStyle w:val="766"/>
              <w:rPr>
                <w:color w:val="auto"/>
              </w:rPr>
            </w:pPr>
            <w:r>
              <w:rPr>
                <w:color w:val="auto"/>
              </w:rPr>
              <w:t>形态</w:t>
            </w:r>
          </w:p>
        </w:tc>
        <w:tc>
          <w:tcPr>
            <w:tcW w:w="0" w:type="auto"/>
            <w:vAlign w:val="center"/>
          </w:tcPr>
          <w:p w14:paraId="1624A339">
            <w:pPr>
              <w:pStyle w:val="766"/>
              <w:rPr>
                <w:color w:val="auto"/>
              </w:rPr>
            </w:pPr>
            <w:r>
              <w:rPr>
                <w:color w:val="auto"/>
              </w:rPr>
              <w:t>产生量（t/a）</w:t>
            </w:r>
          </w:p>
        </w:tc>
        <w:tc>
          <w:tcPr>
            <w:tcW w:w="0" w:type="auto"/>
            <w:vAlign w:val="center"/>
          </w:tcPr>
          <w:p w14:paraId="25F56584">
            <w:pPr>
              <w:pStyle w:val="766"/>
              <w:rPr>
                <w:color w:val="auto"/>
              </w:rPr>
            </w:pPr>
            <w:r>
              <w:rPr>
                <w:color w:val="auto"/>
              </w:rPr>
              <w:t>处理处置方法</w:t>
            </w:r>
          </w:p>
        </w:tc>
      </w:tr>
      <w:tr w14:paraId="2848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0" w:type="auto"/>
            <w:vAlign w:val="center"/>
          </w:tcPr>
          <w:p w14:paraId="299C1BE8">
            <w:pPr>
              <w:pStyle w:val="766"/>
              <w:rPr>
                <w:color w:val="auto"/>
              </w:rPr>
            </w:pPr>
            <w:r>
              <w:rPr>
                <w:color w:val="auto"/>
              </w:rPr>
              <w:t>鸡粪、掉落羽毛、饲料残渣</w:t>
            </w:r>
          </w:p>
        </w:tc>
        <w:tc>
          <w:tcPr>
            <w:tcW w:w="0" w:type="auto"/>
            <w:vAlign w:val="center"/>
          </w:tcPr>
          <w:p w14:paraId="6EE7E1DF">
            <w:pPr>
              <w:pStyle w:val="766"/>
              <w:rPr>
                <w:color w:val="auto"/>
              </w:rPr>
            </w:pPr>
            <w:r>
              <w:rPr>
                <w:color w:val="auto"/>
              </w:rPr>
              <w:t>养殖</w:t>
            </w:r>
          </w:p>
        </w:tc>
        <w:tc>
          <w:tcPr>
            <w:tcW w:w="0" w:type="auto"/>
            <w:vMerge w:val="restart"/>
            <w:vAlign w:val="center"/>
          </w:tcPr>
          <w:p w14:paraId="38740519">
            <w:pPr>
              <w:pStyle w:val="766"/>
              <w:rPr>
                <w:color w:val="auto"/>
              </w:rPr>
            </w:pPr>
            <w:r>
              <w:rPr>
                <w:color w:val="auto"/>
              </w:rPr>
              <w:t>一般固废</w:t>
            </w:r>
          </w:p>
        </w:tc>
        <w:tc>
          <w:tcPr>
            <w:tcW w:w="0" w:type="auto"/>
            <w:vAlign w:val="center"/>
          </w:tcPr>
          <w:p w14:paraId="3B0C107A">
            <w:pPr>
              <w:pStyle w:val="766"/>
              <w:rPr>
                <w:color w:val="auto"/>
              </w:rPr>
            </w:pPr>
            <w:r>
              <w:rPr>
                <w:color w:val="auto"/>
              </w:rPr>
              <w:t>固态</w:t>
            </w:r>
          </w:p>
        </w:tc>
        <w:tc>
          <w:tcPr>
            <w:tcW w:w="0" w:type="auto"/>
            <w:vAlign w:val="center"/>
          </w:tcPr>
          <w:p w14:paraId="5AB642F9">
            <w:pPr>
              <w:pStyle w:val="766"/>
              <w:rPr>
                <w:color w:val="auto"/>
              </w:rPr>
            </w:pPr>
            <w:r>
              <w:rPr>
                <w:color w:val="auto"/>
              </w:rPr>
              <w:t>11880.75</w:t>
            </w:r>
          </w:p>
        </w:tc>
        <w:tc>
          <w:tcPr>
            <w:tcW w:w="0" w:type="auto"/>
            <w:vAlign w:val="center"/>
          </w:tcPr>
          <w:p w14:paraId="0D3A66EB">
            <w:pPr>
              <w:pStyle w:val="766"/>
              <w:rPr>
                <w:color w:val="auto"/>
              </w:rPr>
            </w:pPr>
            <w:r>
              <w:rPr>
                <w:rFonts w:hint="eastAsia"/>
                <w:color w:val="auto"/>
              </w:rPr>
              <w:t>有机肥加工车间发酵</w:t>
            </w:r>
            <w:r>
              <w:rPr>
                <w:color w:val="auto"/>
              </w:rPr>
              <w:t>；</w:t>
            </w:r>
          </w:p>
        </w:tc>
      </w:tr>
      <w:tr w14:paraId="6C2A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0" w:type="auto"/>
            <w:vAlign w:val="center"/>
          </w:tcPr>
          <w:p w14:paraId="40336AEB">
            <w:pPr>
              <w:pStyle w:val="766"/>
              <w:rPr>
                <w:color w:val="auto"/>
              </w:rPr>
            </w:pPr>
            <w:r>
              <w:rPr>
                <w:color w:val="auto"/>
              </w:rPr>
              <w:t>病死鸡</w:t>
            </w:r>
            <w:r>
              <w:rPr>
                <w:rFonts w:hint="eastAsia"/>
                <w:color w:val="auto"/>
              </w:rPr>
              <w:t>、解剖鸡</w:t>
            </w:r>
          </w:p>
        </w:tc>
        <w:tc>
          <w:tcPr>
            <w:tcW w:w="0" w:type="auto"/>
            <w:vAlign w:val="center"/>
          </w:tcPr>
          <w:p w14:paraId="4E669360">
            <w:pPr>
              <w:pStyle w:val="766"/>
              <w:rPr>
                <w:color w:val="auto"/>
              </w:rPr>
            </w:pPr>
            <w:r>
              <w:rPr>
                <w:color w:val="auto"/>
              </w:rPr>
              <w:t>养殖</w:t>
            </w:r>
          </w:p>
        </w:tc>
        <w:tc>
          <w:tcPr>
            <w:tcW w:w="0" w:type="auto"/>
            <w:vMerge w:val="continue"/>
            <w:vAlign w:val="center"/>
          </w:tcPr>
          <w:p w14:paraId="72B2E0B2">
            <w:pPr>
              <w:pStyle w:val="766"/>
              <w:rPr>
                <w:color w:val="auto"/>
              </w:rPr>
            </w:pPr>
          </w:p>
        </w:tc>
        <w:tc>
          <w:tcPr>
            <w:tcW w:w="0" w:type="auto"/>
            <w:vAlign w:val="center"/>
          </w:tcPr>
          <w:p w14:paraId="30AA3B3B">
            <w:pPr>
              <w:pStyle w:val="766"/>
              <w:rPr>
                <w:color w:val="auto"/>
              </w:rPr>
            </w:pPr>
            <w:r>
              <w:rPr>
                <w:color w:val="auto"/>
              </w:rPr>
              <w:t>固态</w:t>
            </w:r>
          </w:p>
        </w:tc>
        <w:tc>
          <w:tcPr>
            <w:tcW w:w="0" w:type="auto"/>
            <w:vAlign w:val="center"/>
          </w:tcPr>
          <w:p w14:paraId="1D11A9E8">
            <w:pPr>
              <w:pStyle w:val="766"/>
              <w:rPr>
                <w:color w:val="auto"/>
              </w:rPr>
            </w:pPr>
            <w:r>
              <w:rPr>
                <w:color w:val="auto"/>
              </w:rPr>
              <w:t>3.6</w:t>
            </w:r>
          </w:p>
        </w:tc>
        <w:tc>
          <w:tcPr>
            <w:tcW w:w="0" w:type="auto"/>
            <w:vAlign w:val="center"/>
          </w:tcPr>
          <w:p w14:paraId="6F5DBE3D">
            <w:pPr>
              <w:pStyle w:val="766"/>
              <w:rPr>
                <w:color w:val="auto"/>
              </w:rPr>
            </w:pPr>
            <w:r>
              <w:rPr>
                <w:color w:val="auto"/>
              </w:rPr>
              <w:t>按照医疗废物管理，放置在</w:t>
            </w:r>
            <w:r>
              <w:rPr>
                <w:rFonts w:hint="eastAsia"/>
                <w:color w:val="auto"/>
              </w:rPr>
              <w:t>冷柜</w:t>
            </w:r>
            <w:r>
              <w:rPr>
                <w:color w:val="auto"/>
              </w:rPr>
              <w:t>，委托有资质单位处置；</w:t>
            </w:r>
          </w:p>
        </w:tc>
      </w:tr>
      <w:tr w14:paraId="28AE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15018CF3">
            <w:pPr>
              <w:pStyle w:val="766"/>
              <w:rPr>
                <w:color w:val="auto"/>
              </w:rPr>
            </w:pPr>
            <w:r>
              <w:rPr>
                <w:color w:val="auto"/>
              </w:rPr>
              <w:t>不合格蛋</w:t>
            </w:r>
          </w:p>
        </w:tc>
        <w:tc>
          <w:tcPr>
            <w:tcW w:w="0" w:type="auto"/>
            <w:vAlign w:val="center"/>
          </w:tcPr>
          <w:p w14:paraId="7DDB2F8D">
            <w:pPr>
              <w:pStyle w:val="766"/>
              <w:rPr>
                <w:color w:val="auto"/>
              </w:rPr>
            </w:pPr>
            <w:r>
              <w:rPr>
                <w:color w:val="auto"/>
              </w:rPr>
              <w:t>养殖</w:t>
            </w:r>
          </w:p>
        </w:tc>
        <w:tc>
          <w:tcPr>
            <w:tcW w:w="0" w:type="auto"/>
            <w:vMerge w:val="continue"/>
            <w:vAlign w:val="center"/>
          </w:tcPr>
          <w:p w14:paraId="00D8A960">
            <w:pPr>
              <w:pStyle w:val="766"/>
              <w:rPr>
                <w:color w:val="auto"/>
              </w:rPr>
            </w:pPr>
          </w:p>
        </w:tc>
        <w:tc>
          <w:tcPr>
            <w:tcW w:w="0" w:type="auto"/>
            <w:vAlign w:val="center"/>
          </w:tcPr>
          <w:p w14:paraId="1DD31E10">
            <w:pPr>
              <w:pStyle w:val="766"/>
              <w:rPr>
                <w:color w:val="auto"/>
              </w:rPr>
            </w:pPr>
            <w:r>
              <w:rPr>
                <w:color w:val="auto"/>
              </w:rPr>
              <w:t>固态</w:t>
            </w:r>
          </w:p>
        </w:tc>
        <w:tc>
          <w:tcPr>
            <w:tcW w:w="0" w:type="auto"/>
            <w:vAlign w:val="center"/>
          </w:tcPr>
          <w:p w14:paraId="2BB54F60">
            <w:pPr>
              <w:pStyle w:val="766"/>
              <w:rPr>
                <w:color w:val="auto"/>
              </w:rPr>
            </w:pPr>
            <w:r>
              <w:rPr>
                <w:color w:val="auto"/>
              </w:rPr>
              <w:t>181.8</w:t>
            </w:r>
          </w:p>
        </w:tc>
        <w:tc>
          <w:tcPr>
            <w:tcW w:w="0" w:type="auto"/>
            <w:vAlign w:val="center"/>
          </w:tcPr>
          <w:p w14:paraId="5E43F864">
            <w:pPr>
              <w:pStyle w:val="766"/>
              <w:rPr>
                <w:color w:val="auto"/>
              </w:rPr>
            </w:pPr>
            <w:r>
              <w:rPr>
                <w:color w:val="auto"/>
              </w:rPr>
              <w:t>收集后送入厂区</w:t>
            </w:r>
            <w:r>
              <w:rPr>
                <w:rFonts w:hint="eastAsia"/>
                <w:color w:val="auto"/>
              </w:rPr>
              <w:t>有机肥加工车间发酵</w:t>
            </w:r>
          </w:p>
        </w:tc>
      </w:tr>
      <w:tr w14:paraId="01E9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19003FB">
            <w:pPr>
              <w:pStyle w:val="766"/>
              <w:rPr>
                <w:color w:val="auto"/>
              </w:rPr>
            </w:pPr>
            <w:r>
              <w:rPr>
                <w:color w:val="auto"/>
              </w:rPr>
              <w:t>废离子交换树脂</w:t>
            </w:r>
          </w:p>
        </w:tc>
        <w:tc>
          <w:tcPr>
            <w:tcW w:w="0" w:type="auto"/>
            <w:vAlign w:val="center"/>
          </w:tcPr>
          <w:p w14:paraId="1F71595B">
            <w:pPr>
              <w:pStyle w:val="766"/>
              <w:rPr>
                <w:color w:val="auto"/>
              </w:rPr>
            </w:pPr>
            <w:r>
              <w:rPr>
                <w:rFonts w:hint="eastAsia"/>
                <w:color w:val="auto"/>
              </w:rPr>
              <w:t>软化水</w:t>
            </w:r>
            <w:r>
              <w:rPr>
                <w:color w:val="auto"/>
              </w:rPr>
              <w:t>制备</w:t>
            </w:r>
          </w:p>
        </w:tc>
        <w:tc>
          <w:tcPr>
            <w:tcW w:w="0" w:type="auto"/>
            <w:vMerge w:val="continue"/>
            <w:vAlign w:val="center"/>
          </w:tcPr>
          <w:p w14:paraId="3235B787">
            <w:pPr>
              <w:pStyle w:val="766"/>
              <w:rPr>
                <w:color w:val="auto"/>
              </w:rPr>
            </w:pPr>
          </w:p>
        </w:tc>
        <w:tc>
          <w:tcPr>
            <w:tcW w:w="0" w:type="auto"/>
            <w:vAlign w:val="center"/>
          </w:tcPr>
          <w:p w14:paraId="08CE410C">
            <w:pPr>
              <w:pStyle w:val="766"/>
              <w:rPr>
                <w:color w:val="auto"/>
              </w:rPr>
            </w:pPr>
            <w:r>
              <w:rPr>
                <w:color w:val="auto"/>
              </w:rPr>
              <w:t>固态</w:t>
            </w:r>
          </w:p>
        </w:tc>
        <w:tc>
          <w:tcPr>
            <w:tcW w:w="0" w:type="auto"/>
            <w:vAlign w:val="center"/>
          </w:tcPr>
          <w:p w14:paraId="7A802BA6">
            <w:pPr>
              <w:pStyle w:val="766"/>
              <w:rPr>
                <w:color w:val="auto"/>
              </w:rPr>
            </w:pPr>
            <w:r>
              <w:rPr>
                <w:color w:val="auto"/>
              </w:rPr>
              <w:t>0.092t/5a</w:t>
            </w:r>
          </w:p>
        </w:tc>
        <w:tc>
          <w:tcPr>
            <w:tcW w:w="0" w:type="auto"/>
            <w:vAlign w:val="center"/>
          </w:tcPr>
          <w:p w14:paraId="0A360ED7">
            <w:pPr>
              <w:pStyle w:val="766"/>
              <w:rPr>
                <w:color w:val="auto"/>
              </w:rPr>
            </w:pPr>
            <w:r>
              <w:rPr>
                <w:color w:val="auto"/>
              </w:rPr>
              <w:t>由厂家进行更换处理</w:t>
            </w:r>
          </w:p>
        </w:tc>
      </w:tr>
      <w:tr w14:paraId="6B71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01A761F3">
            <w:pPr>
              <w:pStyle w:val="766"/>
              <w:rPr>
                <w:color w:val="auto"/>
              </w:rPr>
            </w:pPr>
            <w:r>
              <w:rPr>
                <w:color w:val="auto"/>
              </w:rPr>
              <w:t>饲料</w:t>
            </w:r>
            <w:r>
              <w:rPr>
                <w:rFonts w:hint="eastAsia"/>
                <w:color w:val="auto"/>
              </w:rPr>
              <w:t>、有机肥</w:t>
            </w:r>
            <w:r>
              <w:rPr>
                <w:color w:val="auto"/>
              </w:rPr>
              <w:t>加工除尘灰</w:t>
            </w:r>
          </w:p>
        </w:tc>
        <w:tc>
          <w:tcPr>
            <w:tcW w:w="0" w:type="auto"/>
            <w:vAlign w:val="center"/>
          </w:tcPr>
          <w:p w14:paraId="1E0A17CF">
            <w:pPr>
              <w:pStyle w:val="766"/>
              <w:rPr>
                <w:color w:val="auto"/>
              </w:rPr>
            </w:pPr>
            <w:r>
              <w:rPr>
                <w:rFonts w:hint="eastAsia"/>
                <w:color w:val="auto"/>
              </w:rPr>
              <w:t>筛分破碎</w:t>
            </w:r>
          </w:p>
        </w:tc>
        <w:tc>
          <w:tcPr>
            <w:tcW w:w="0" w:type="auto"/>
            <w:vMerge w:val="continue"/>
            <w:vAlign w:val="center"/>
          </w:tcPr>
          <w:p w14:paraId="27284A8E">
            <w:pPr>
              <w:pStyle w:val="766"/>
              <w:rPr>
                <w:color w:val="auto"/>
              </w:rPr>
            </w:pPr>
          </w:p>
        </w:tc>
        <w:tc>
          <w:tcPr>
            <w:tcW w:w="0" w:type="auto"/>
            <w:vAlign w:val="center"/>
          </w:tcPr>
          <w:p w14:paraId="273EFFB1">
            <w:pPr>
              <w:pStyle w:val="766"/>
              <w:rPr>
                <w:color w:val="auto"/>
              </w:rPr>
            </w:pPr>
            <w:r>
              <w:rPr>
                <w:color w:val="auto"/>
              </w:rPr>
              <w:t>固态</w:t>
            </w:r>
          </w:p>
        </w:tc>
        <w:tc>
          <w:tcPr>
            <w:tcW w:w="0" w:type="auto"/>
            <w:vAlign w:val="center"/>
          </w:tcPr>
          <w:p w14:paraId="2BCABCD3">
            <w:pPr>
              <w:pStyle w:val="766"/>
              <w:rPr>
                <w:color w:val="auto"/>
              </w:rPr>
            </w:pPr>
            <w:r>
              <w:rPr>
                <w:rFonts w:hint="eastAsia"/>
                <w:color w:val="auto"/>
              </w:rPr>
              <w:t>7.56</w:t>
            </w:r>
          </w:p>
        </w:tc>
        <w:tc>
          <w:tcPr>
            <w:tcW w:w="0" w:type="auto"/>
            <w:vAlign w:val="center"/>
          </w:tcPr>
          <w:p w14:paraId="03E673CA">
            <w:pPr>
              <w:pStyle w:val="766"/>
              <w:rPr>
                <w:color w:val="auto"/>
              </w:rPr>
            </w:pPr>
            <w:r>
              <w:rPr>
                <w:color w:val="auto"/>
              </w:rPr>
              <w:t>回收利用</w:t>
            </w:r>
          </w:p>
        </w:tc>
      </w:tr>
      <w:tr w14:paraId="08E4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6BAD7305">
            <w:pPr>
              <w:pStyle w:val="766"/>
              <w:rPr>
                <w:color w:val="auto"/>
              </w:rPr>
            </w:pPr>
            <w:r>
              <w:rPr>
                <w:rFonts w:hint="eastAsia"/>
                <w:color w:val="auto"/>
              </w:rPr>
              <w:t>污泥</w:t>
            </w:r>
          </w:p>
        </w:tc>
        <w:tc>
          <w:tcPr>
            <w:tcW w:w="0" w:type="auto"/>
            <w:vAlign w:val="center"/>
          </w:tcPr>
          <w:p w14:paraId="3B14D0D4">
            <w:pPr>
              <w:pStyle w:val="766"/>
              <w:rPr>
                <w:color w:val="auto"/>
              </w:rPr>
            </w:pPr>
            <w:r>
              <w:rPr>
                <w:rFonts w:hint="eastAsia"/>
                <w:color w:val="auto"/>
              </w:rPr>
              <w:t>废水处理</w:t>
            </w:r>
          </w:p>
        </w:tc>
        <w:tc>
          <w:tcPr>
            <w:tcW w:w="0" w:type="auto"/>
            <w:vMerge w:val="continue"/>
            <w:vAlign w:val="center"/>
          </w:tcPr>
          <w:p w14:paraId="2585052D">
            <w:pPr>
              <w:pStyle w:val="766"/>
              <w:rPr>
                <w:color w:val="auto"/>
              </w:rPr>
            </w:pPr>
          </w:p>
        </w:tc>
        <w:tc>
          <w:tcPr>
            <w:tcW w:w="0" w:type="auto"/>
            <w:vAlign w:val="center"/>
          </w:tcPr>
          <w:p w14:paraId="13CFB34A">
            <w:pPr>
              <w:pStyle w:val="766"/>
              <w:rPr>
                <w:color w:val="auto"/>
              </w:rPr>
            </w:pPr>
            <w:r>
              <w:rPr>
                <w:color w:val="auto"/>
              </w:rPr>
              <w:t>固态</w:t>
            </w:r>
          </w:p>
        </w:tc>
        <w:tc>
          <w:tcPr>
            <w:tcW w:w="0" w:type="auto"/>
            <w:vAlign w:val="center"/>
          </w:tcPr>
          <w:p w14:paraId="5A4D2C51">
            <w:pPr>
              <w:pStyle w:val="766"/>
              <w:rPr>
                <w:color w:val="auto"/>
              </w:rPr>
            </w:pPr>
            <w:r>
              <w:rPr>
                <w:rFonts w:hint="eastAsia"/>
                <w:color w:val="auto"/>
              </w:rPr>
              <w:t>5</w:t>
            </w:r>
            <w:r>
              <w:rPr>
                <w:color w:val="auto"/>
              </w:rPr>
              <w:t>00</w:t>
            </w:r>
          </w:p>
        </w:tc>
        <w:tc>
          <w:tcPr>
            <w:tcW w:w="0" w:type="auto"/>
            <w:vAlign w:val="center"/>
          </w:tcPr>
          <w:p w14:paraId="162295BD">
            <w:pPr>
              <w:pStyle w:val="766"/>
              <w:rPr>
                <w:color w:val="auto"/>
              </w:rPr>
            </w:pPr>
            <w:r>
              <w:rPr>
                <w:color w:val="auto"/>
              </w:rPr>
              <w:t>送入厂区</w:t>
            </w:r>
            <w:r>
              <w:rPr>
                <w:rFonts w:hint="eastAsia"/>
                <w:color w:val="auto"/>
              </w:rPr>
              <w:t>有机肥加工车间发酵</w:t>
            </w:r>
          </w:p>
        </w:tc>
      </w:tr>
      <w:tr w14:paraId="267E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53DDBFEE">
            <w:pPr>
              <w:pStyle w:val="766"/>
              <w:rPr>
                <w:color w:val="auto"/>
              </w:rPr>
            </w:pPr>
            <w:r>
              <w:rPr>
                <w:color w:val="auto"/>
              </w:rPr>
              <w:t>生活垃圾</w:t>
            </w:r>
          </w:p>
        </w:tc>
        <w:tc>
          <w:tcPr>
            <w:tcW w:w="0" w:type="auto"/>
            <w:vAlign w:val="center"/>
          </w:tcPr>
          <w:p w14:paraId="3F65F57A">
            <w:pPr>
              <w:pStyle w:val="766"/>
              <w:rPr>
                <w:color w:val="auto"/>
              </w:rPr>
            </w:pPr>
            <w:r>
              <w:rPr>
                <w:color w:val="auto"/>
              </w:rPr>
              <w:t>职工生活</w:t>
            </w:r>
          </w:p>
        </w:tc>
        <w:tc>
          <w:tcPr>
            <w:tcW w:w="0" w:type="auto"/>
            <w:vMerge w:val="continue"/>
            <w:vAlign w:val="center"/>
          </w:tcPr>
          <w:p w14:paraId="25AA6052">
            <w:pPr>
              <w:pStyle w:val="766"/>
              <w:rPr>
                <w:color w:val="auto"/>
              </w:rPr>
            </w:pPr>
          </w:p>
        </w:tc>
        <w:tc>
          <w:tcPr>
            <w:tcW w:w="0" w:type="auto"/>
            <w:vAlign w:val="center"/>
          </w:tcPr>
          <w:p w14:paraId="7A9D88E1">
            <w:pPr>
              <w:pStyle w:val="766"/>
              <w:rPr>
                <w:color w:val="auto"/>
              </w:rPr>
            </w:pPr>
            <w:r>
              <w:rPr>
                <w:color w:val="auto"/>
              </w:rPr>
              <w:t>固态</w:t>
            </w:r>
          </w:p>
        </w:tc>
        <w:tc>
          <w:tcPr>
            <w:tcW w:w="0" w:type="auto"/>
            <w:vAlign w:val="center"/>
          </w:tcPr>
          <w:p w14:paraId="5AB34ECE">
            <w:pPr>
              <w:pStyle w:val="766"/>
              <w:rPr>
                <w:color w:val="auto"/>
              </w:rPr>
            </w:pPr>
            <w:r>
              <w:rPr>
                <w:color w:val="auto"/>
              </w:rPr>
              <w:t>9.125</w:t>
            </w:r>
          </w:p>
        </w:tc>
        <w:tc>
          <w:tcPr>
            <w:tcW w:w="0" w:type="auto"/>
            <w:vAlign w:val="center"/>
          </w:tcPr>
          <w:p w14:paraId="5E099FDD">
            <w:pPr>
              <w:pStyle w:val="766"/>
              <w:rPr>
                <w:color w:val="auto"/>
              </w:rPr>
            </w:pPr>
            <w:r>
              <w:rPr>
                <w:color w:val="auto"/>
              </w:rPr>
              <w:t>收集暂存于垃圾箱内，定期送至附近垃圾点</w:t>
            </w:r>
          </w:p>
        </w:tc>
      </w:tr>
      <w:tr w14:paraId="7785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646E738A">
            <w:pPr>
              <w:pStyle w:val="766"/>
              <w:rPr>
                <w:color w:val="auto"/>
              </w:rPr>
            </w:pPr>
            <w:r>
              <w:rPr>
                <w:color w:val="auto"/>
              </w:rPr>
              <w:t>医疗废物</w:t>
            </w:r>
          </w:p>
        </w:tc>
        <w:tc>
          <w:tcPr>
            <w:tcW w:w="0" w:type="auto"/>
            <w:vAlign w:val="center"/>
          </w:tcPr>
          <w:p w14:paraId="07E6CAA1">
            <w:pPr>
              <w:pStyle w:val="766"/>
              <w:rPr>
                <w:color w:val="auto"/>
              </w:rPr>
            </w:pPr>
            <w:r>
              <w:rPr>
                <w:color w:val="auto"/>
              </w:rPr>
              <w:t>防疫治疗</w:t>
            </w:r>
          </w:p>
        </w:tc>
        <w:tc>
          <w:tcPr>
            <w:tcW w:w="0" w:type="auto"/>
            <w:vAlign w:val="center"/>
          </w:tcPr>
          <w:p w14:paraId="7CB7D655">
            <w:pPr>
              <w:pStyle w:val="766"/>
              <w:rPr>
                <w:color w:val="auto"/>
              </w:rPr>
            </w:pPr>
            <w:r>
              <w:rPr>
                <w:rFonts w:hint="eastAsia"/>
                <w:color w:val="auto"/>
              </w:rPr>
              <w:t>诊疗废弃物</w:t>
            </w:r>
          </w:p>
        </w:tc>
        <w:tc>
          <w:tcPr>
            <w:tcW w:w="0" w:type="auto"/>
            <w:vAlign w:val="center"/>
          </w:tcPr>
          <w:p w14:paraId="23F08BE0">
            <w:pPr>
              <w:pStyle w:val="766"/>
              <w:rPr>
                <w:color w:val="auto"/>
              </w:rPr>
            </w:pPr>
            <w:r>
              <w:rPr>
                <w:color w:val="auto"/>
              </w:rPr>
              <w:t>固态</w:t>
            </w:r>
          </w:p>
        </w:tc>
        <w:tc>
          <w:tcPr>
            <w:tcW w:w="0" w:type="auto"/>
            <w:vAlign w:val="center"/>
          </w:tcPr>
          <w:p w14:paraId="04C17BF8">
            <w:pPr>
              <w:pStyle w:val="766"/>
              <w:rPr>
                <w:color w:val="auto"/>
              </w:rPr>
            </w:pPr>
            <w:r>
              <w:rPr>
                <w:color w:val="auto"/>
              </w:rPr>
              <w:t>0.05</w:t>
            </w:r>
          </w:p>
        </w:tc>
        <w:tc>
          <w:tcPr>
            <w:tcW w:w="0" w:type="auto"/>
            <w:vAlign w:val="center"/>
          </w:tcPr>
          <w:p w14:paraId="71D92ADE">
            <w:pPr>
              <w:pStyle w:val="766"/>
              <w:rPr>
                <w:color w:val="auto"/>
              </w:rPr>
            </w:pPr>
            <w:r>
              <w:rPr>
                <w:color w:val="auto"/>
              </w:rPr>
              <w:t>密封胶袋内，由防疫人带走，不能及时带走的在厂区内医疗废物暂存间暂存</w:t>
            </w:r>
          </w:p>
        </w:tc>
      </w:tr>
    </w:tbl>
    <w:p w14:paraId="2F8123B1">
      <w:pPr>
        <w:pStyle w:val="230"/>
        <w:ind w:firstLine="480"/>
        <w:jc w:val="both"/>
        <w:rPr>
          <w:lang w:eastAsia="zh-CN"/>
        </w:rPr>
      </w:pPr>
      <w:r>
        <w:rPr>
          <w:lang w:eastAsia="zh-CN"/>
        </w:rPr>
        <w:t>根据上表可知，本项目产生的医疗废物装入密封胶袋内，由防疫人带走，不能及时带走的在厂区内医疗废物暂存间暂存；鸡粪、掉落羽毛、饲料残渣送入厂区</w:t>
      </w:r>
      <w:r>
        <w:rPr>
          <w:rFonts w:hint="eastAsia"/>
          <w:lang w:eastAsia="zh-CN"/>
        </w:rPr>
        <w:t>有机肥加工车间制作有机肥</w:t>
      </w:r>
      <w:r>
        <w:rPr>
          <w:lang w:eastAsia="zh-CN"/>
        </w:rPr>
        <w:t>；病死鸡经收集后暂存于</w:t>
      </w:r>
      <w:r>
        <w:rPr>
          <w:rFonts w:hint="eastAsia"/>
          <w:lang w:eastAsia="zh-CN"/>
        </w:rPr>
        <w:t>冷柜</w:t>
      </w:r>
      <w:r>
        <w:rPr>
          <w:lang w:eastAsia="zh-CN"/>
        </w:rPr>
        <w:t>中，委托有资质单位处置；蛋壳、不合格蛋收集后暂存于蛋壳暂存区，外售处置；废离子交换树脂由厂家进行更换处理；饲料加工除尘灰回收利用；生活垃圾收集暂存于垃圾箱内，定期送至附近垃圾转运站。采取以上措施后，可实现项目固体废物减量化、资源化和无害化，对周围环境影响较小。</w:t>
      </w:r>
    </w:p>
    <w:p w14:paraId="60F2A47A">
      <w:pPr>
        <w:ind w:firstLine="480"/>
      </w:pPr>
      <w:r>
        <w:t>为了便于管理，本项目拟在厂区北侧设置设置一间</w:t>
      </w:r>
      <w:r>
        <w:rPr>
          <w:rFonts w:hint="eastAsia"/>
          <w:lang w:val="en-GB"/>
        </w:rPr>
        <w:t>诊疗废弃物暂存间</w:t>
      </w:r>
      <w:r>
        <w:t>（10m</w:t>
      </w:r>
      <w:r>
        <w:rPr>
          <w:vertAlign w:val="superscript"/>
        </w:rPr>
        <w:t>2</w:t>
      </w:r>
      <w:r>
        <w:t>）</w:t>
      </w:r>
      <w:r>
        <w:rPr>
          <w:rFonts w:hint="eastAsia"/>
        </w:rPr>
        <w:t>，</w:t>
      </w:r>
      <w:r>
        <w:t>按照《危险废物贮存污染控制标准》（GB18597-2023）中的要求进行管理</w:t>
      </w:r>
      <w:r>
        <w:rPr>
          <w:rFonts w:hint="eastAsia"/>
        </w:rPr>
        <w:t>建设</w:t>
      </w:r>
      <w:r>
        <w:t>，具体如下：</w:t>
      </w:r>
    </w:p>
    <w:p w14:paraId="1FCB7633">
      <w:pPr>
        <w:ind w:firstLine="480"/>
      </w:pPr>
      <w:bookmarkStart w:id="419" w:name="5.5.3_固体废物环境影响评价结论"/>
      <w:bookmarkEnd w:id="419"/>
      <w:r>
        <w:rPr>
          <w:kern w:val="0"/>
          <w:lang w:bidi="ar"/>
        </w:rPr>
        <w:t>医疗废物的收集、贮存、处置应符合《危险废物贮存污染控制标准》</w:t>
      </w:r>
      <w:r>
        <w:rPr>
          <w:rFonts w:hint="eastAsia"/>
          <w:kern w:val="0"/>
          <w:lang w:bidi="ar"/>
        </w:rPr>
        <w:t>（GB18597-2023）</w:t>
      </w:r>
      <w:r>
        <w:rPr>
          <w:kern w:val="0"/>
          <w:lang w:bidi="ar"/>
        </w:rPr>
        <w:t>中的相关要求。根据《危险废物贮存污染控 制标准》（GB18597-2023）中对危险废物暂存容器的要求，本环评提出，医疗固体废弃物暂存间需按如下要求进行建设：</w:t>
      </w:r>
    </w:p>
    <w:p w14:paraId="15367AAF">
      <w:pPr>
        <w:ind w:firstLine="480"/>
      </w:pPr>
      <w:r>
        <w:rPr>
          <w:rFonts w:hint="eastAsia" w:ascii="宋体" w:hAnsi="宋体" w:cs="宋体"/>
          <w:kern w:val="0"/>
          <w:lang w:bidi="ar"/>
        </w:rPr>
        <w:t>①</w:t>
      </w:r>
      <w:r>
        <w:rPr>
          <w:kern w:val="0"/>
          <w:lang w:bidi="ar"/>
        </w:rPr>
        <w:t>地面与裙脚要用坚固、防渗的材料建造，建筑材料必须与危险废物相容。</w:t>
      </w:r>
    </w:p>
    <w:p w14:paraId="29BBC029">
      <w:pPr>
        <w:ind w:firstLine="480"/>
      </w:pPr>
      <w:r>
        <w:rPr>
          <w:rFonts w:hint="eastAsia" w:ascii="宋体" w:hAnsi="宋体" w:cs="宋体"/>
          <w:kern w:val="0"/>
          <w:lang w:bidi="ar"/>
        </w:rPr>
        <w:t>②</w:t>
      </w:r>
      <w:r>
        <w:rPr>
          <w:kern w:val="0"/>
          <w:lang w:bidi="ar"/>
        </w:rPr>
        <w:t xml:space="preserve">设施内要有安全照明设施和观察窗口。 </w:t>
      </w:r>
    </w:p>
    <w:p w14:paraId="3D107164">
      <w:pPr>
        <w:ind w:firstLine="480"/>
      </w:pPr>
      <w:r>
        <w:rPr>
          <w:rFonts w:hint="eastAsia" w:ascii="宋体" w:hAnsi="宋体" w:cs="宋体"/>
          <w:kern w:val="0"/>
          <w:lang w:bidi="ar"/>
        </w:rPr>
        <w:t>③</w:t>
      </w:r>
      <w:r>
        <w:rPr>
          <w:kern w:val="0"/>
          <w:lang w:bidi="ar"/>
        </w:rPr>
        <w:t>用以存放固体危险废物容器的地方，必须有耐腐蚀的硬化地面，且表面无裂隙。</w:t>
      </w:r>
    </w:p>
    <w:p w14:paraId="44C5740E">
      <w:pPr>
        <w:ind w:firstLine="480"/>
      </w:pPr>
      <w:r>
        <w:rPr>
          <w:rFonts w:hint="eastAsia" w:ascii="宋体" w:hAnsi="宋体" w:cs="宋体"/>
          <w:kern w:val="0"/>
          <w:lang w:bidi="ar"/>
        </w:rPr>
        <w:t>④</w:t>
      </w:r>
      <w:r>
        <w:rPr>
          <w:kern w:val="0"/>
          <w:lang w:bidi="ar"/>
        </w:rPr>
        <w:t>应设计堵截泄漏的裙脚，地面与裙脚所围建的容积不低于堵截最大容器的最大储量或总储量的五分之一。</w:t>
      </w:r>
    </w:p>
    <w:p w14:paraId="5E0CE947">
      <w:pPr>
        <w:ind w:firstLine="480"/>
      </w:pPr>
      <w:r>
        <w:rPr>
          <w:rFonts w:hint="eastAsia" w:ascii="宋体" w:hAnsi="宋体" w:cs="宋体"/>
          <w:kern w:val="0"/>
          <w:lang w:bidi="ar"/>
        </w:rPr>
        <w:t>⑤</w:t>
      </w:r>
      <w:r>
        <w:rPr>
          <w:kern w:val="0"/>
          <w:lang w:bidi="ar"/>
        </w:rPr>
        <w:t>储存按照《危险废物贮存污染控制标准》中的相关要求进行，转移、运输等过程参照《危险废物转移联单管理办法》中的相关要求进行。</w:t>
      </w:r>
    </w:p>
    <w:p w14:paraId="7806AFF4">
      <w:pPr>
        <w:ind w:firstLine="480"/>
      </w:pPr>
      <w:r>
        <w:t>综上所述，本项目产生的一般固废和危险废物均得到了合理可行的处置，不会对外环境造成影响。</w:t>
      </w:r>
    </w:p>
    <w:bookmarkEnd w:id="397"/>
    <w:bookmarkEnd w:id="398"/>
    <w:bookmarkEnd w:id="399"/>
    <w:p w14:paraId="0EAF2472">
      <w:pPr>
        <w:pStyle w:val="104"/>
        <w:sectPr>
          <w:footerReference r:id="rId16" w:type="default"/>
          <w:pgSz w:w="11907" w:h="16840"/>
          <w:pgMar w:top="1418" w:right="1418" w:bottom="1418" w:left="1418" w:header="964" w:footer="964" w:gutter="0"/>
          <w:cols w:space="720" w:num="1"/>
          <w:docGrid w:linePitch="312" w:charSpace="0"/>
        </w:sectPr>
      </w:pPr>
      <w:bookmarkStart w:id="420" w:name="_Toc386096482"/>
      <w:bookmarkStart w:id="421" w:name="_Toc457206637"/>
    </w:p>
    <w:p w14:paraId="694F46A5">
      <w:pPr>
        <w:pStyle w:val="11"/>
      </w:pPr>
      <w:bookmarkStart w:id="422" w:name="_Toc166572331"/>
      <w:r>
        <w:t>5.2.8生态环境影响分析</w:t>
      </w:r>
      <w:bookmarkEnd w:id="422"/>
    </w:p>
    <w:p w14:paraId="41B2131C">
      <w:pPr>
        <w:pStyle w:val="12"/>
      </w:pPr>
      <w:r>
        <w:rPr>
          <w:rFonts w:hint="eastAsia"/>
        </w:rPr>
        <w:t>5.2.</w:t>
      </w:r>
      <w:r>
        <w:t>8</w:t>
      </w:r>
      <w:r>
        <w:rPr>
          <w:rFonts w:hint="eastAsia"/>
        </w:rPr>
        <w:t xml:space="preserve">.1植被影响分析 </w:t>
      </w:r>
    </w:p>
    <w:p w14:paraId="2C900D48">
      <w:pPr>
        <w:ind w:firstLine="480"/>
        <w:jc w:val="both"/>
        <w:rPr>
          <w:rFonts w:ascii="宋体" w:hAnsi="宋体" w:cs="宋体"/>
          <w:kern w:val="0"/>
          <w:szCs w:val="24"/>
          <w:lang w:bidi="ar"/>
        </w:rPr>
      </w:pPr>
      <w:r>
        <w:rPr>
          <w:rFonts w:hint="eastAsia" w:ascii="宋体" w:hAnsi="宋体" w:cs="宋体"/>
          <w:kern w:val="0"/>
          <w:szCs w:val="24"/>
          <w:lang w:bidi="ar"/>
        </w:rPr>
        <w:t>本项目的实施会对项目占地范围内原有植被造成破坏，通过实地调查，项目占地范围内植被类型与项目周边植被类型基本相同，主要为低矮灌木</w:t>
      </w:r>
      <w:r>
        <w:rPr>
          <w:rFonts w:hint="eastAsia"/>
        </w:rPr>
        <w:t>，</w:t>
      </w:r>
      <w:r>
        <w:rPr>
          <w:rFonts w:hint="eastAsia" w:ascii="宋体" w:hAnsi="宋体" w:cs="宋体"/>
          <w:kern w:val="0"/>
          <w:szCs w:val="24"/>
          <w:lang w:bidi="ar"/>
        </w:rPr>
        <w:t>在项目区周边广泛分布。根据现场勘查、访问专家以及查阅资料等手段，项目评价范围内主要植被有四合木、绵刺、沙冬青、霸王、红砂，占地范围内的植被类型主要为绵刺、沙冬青、霸王、红砂等，其中四合木、绵刺、沙冬青均为国家二级重点保护野生植物。</w:t>
      </w:r>
    </w:p>
    <w:p w14:paraId="50D95558">
      <w:pPr>
        <w:ind w:firstLine="480"/>
        <w:jc w:val="both"/>
        <w:rPr>
          <w:rFonts w:ascii="宋体" w:hAnsi="宋体" w:cs="宋体"/>
          <w:kern w:val="0"/>
          <w:szCs w:val="24"/>
          <w:lang w:bidi="ar"/>
        </w:rPr>
      </w:pPr>
      <w:r>
        <w:rPr>
          <w:rFonts w:hint="eastAsia" w:ascii="宋体" w:hAnsi="宋体" w:cs="宋体"/>
          <w:kern w:val="0"/>
          <w:szCs w:val="24"/>
          <w:lang w:bidi="ar"/>
        </w:rPr>
        <w:t>在项目建设过程中，项目占地范围内植被会面临彻底破坏的影响，根据《内蒙古自治区林业和草原局关于同意内蒙古华翔农林牧科技发展有限公司120万只蛋鸡养殖项目采集国家二级重点保护野生植物的行政许可决定》（内林草护许准〔2023〕43号）文要求，本项目在施工前对项目占地范围内绵刺7023株、沙冬青1279株进行移植保护，根据《采集国家二级重点保护野生植物保护实施方案》开展繁育、采集、保护、恢复工作，并严格控制项目规模、地点，不得超范围采集，采集全过程由鄂托克旗政林草局监督进行。</w:t>
      </w:r>
    </w:p>
    <w:p w14:paraId="250D1078">
      <w:pPr>
        <w:ind w:firstLine="480"/>
        <w:rPr>
          <w:szCs w:val="24"/>
        </w:rPr>
      </w:pPr>
      <w:r>
        <w:rPr>
          <w:rFonts w:hint="eastAsia" w:ascii="宋体" w:hAnsi="宋体" w:cs="宋体"/>
          <w:kern w:val="0"/>
          <w:szCs w:val="24"/>
          <w:lang w:bidi="ar"/>
        </w:rPr>
        <w:t>根据现场勘察及生态解译，项目评价范围内主要植被类型为四合木、</w:t>
      </w:r>
      <w:r>
        <w:rPr>
          <w:rFonts w:hint="eastAsia"/>
          <w:lang w:val="pt-BR"/>
        </w:rPr>
        <w:t>红砂、绵刺、</w:t>
      </w:r>
      <w:r>
        <w:rPr>
          <w:rFonts w:hint="eastAsia"/>
        </w:rPr>
        <w:t>沙冬青和</w:t>
      </w:r>
      <w:r>
        <w:rPr>
          <w:rFonts w:hint="eastAsia"/>
          <w:lang w:val="pt-BR"/>
        </w:rPr>
        <w:t>霸王，</w:t>
      </w:r>
      <w:r>
        <w:t>其中</w:t>
      </w:r>
      <w:r>
        <w:rPr>
          <w:rFonts w:hint="eastAsia"/>
        </w:rPr>
        <w:t>四合木+红砂群落</w:t>
      </w:r>
      <w:r>
        <w:t>占评价区面积的</w:t>
      </w:r>
      <w:r>
        <w:rPr>
          <w:rFonts w:hint="eastAsia"/>
        </w:rPr>
        <w:t>52.96</w:t>
      </w:r>
      <w:r>
        <w:t>%，</w:t>
      </w:r>
      <w:r>
        <w:rPr>
          <w:rFonts w:hint="eastAsia"/>
        </w:rPr>
        <w:t>四合木+绵刺群落</w:t>
      </w:r>
      <w:r>
        <w:t>占评价区面积的</w:t>
      </w:r>
      <w:r>
        <w:rPr>
          <w:rFonts w:hint="eastAsia"/>
        </w:rPr>
        <w:t>22.49</w:t>
      </w:r>
      <w:r>
        <w:t>%；</w:t>
      </w:r>
      <w:r>
        <w:rPr>
          <w:rFonts w:hint="eastAsia"/>
        </w:rPr>
        <w:t>绵刺+霸王群落占评价区面积的9.68%。项目占地范围内植被类型在项目区域分布广泛，同时在项目占地范围内通过移植保护措施对国家二级重点保护野生植物进行移植，项目的实施不会造成植被类型或物种灭绝。</w:t>
      </w:r>
    </w:p>
    <w:p w14:paraId="4DF33FD4">
      <w:pPr>
        <w:ind w:firstLine="480"/>
        <w:jc w:val="both"/>
        <w:rPr>
          <w:szCs w:val="24"/>
        </w:rPr>
      </w:pPr>
      <w:r>
        <w:rPr>
          <w:rFonts w:hint="eastAsia"/>
          <w:szCs w:val="24"/>
        </w:rPr>
        <w:t>本项目的建设运行，会使占地范围内原始植被产生不良的影响，随着项目的建设，项目对占地范围内空地进行绿化，绿化面积9hm</w:t>
      </w:r>
      <w:r>
        <w:rPr>
          <w:rFonts w:hint="eastAsia"/>
          <w:szCs w:val="24"/>
          <w:vertAlign w:val="superscript"/>
        </w:rPr>
        <w:t>2</w:t>
      </w:r>
      <w:r>
        <w:rPr>
          <w:rFonts w:hint="eastAsia"/>
          <w:szCs w:val="24"/>
        </w:rPr>
        <w:t>，以及对占地范围内保护植物异地移植保护措施的实施，在一定程度上会减轻项目实施对项目区植被的影响。</w:t>
      </w:r>
    </w:p>
    <w:p w14:paraId="5B6C4A1F">
      <w:pPr>
        <w:pStyle w:val="12"/>
      </w:pPr>
      <w:r>
        <w:rPr>
          <w:rFonts w:hint="eastAsia"/>
        </w:rPr>
        <w:t>5.2.</w:t>
      </w:r>
      <w:r>
        <w:t>8</w:t>
      </w:r>
      <w:r>
        <w:rPr>
          <w:rFonts w:hint="eastAsia"/>
        </w:rPr>
        <w:t xml:space="preserve">.2野生动物影响分析 </w:t>
      </w:r>
    </w:p>
    <w:p w14:paraId="1CF83B07">
      <w:pPr>
        <w:ind w:firstLine="480"/>
        <w:rPr>
          <w:szCs w:val="24"/>
        </w:rPr>
      </w:pPr>
      <w:r>
        <w:rPr>
          <w:rFonts w:hint="eastAsia"/>
          <w:szCs w:val="24"/>
        </w:rPr>
        <w:t>项目</w:t>
      </w:r>
      <w:r>
        <w:rPr>
          <w:szCs w:val="24"/>
        </w:rPr>
        <w:t>评价区内无大型野生动物分布，主要分布有</w:t>
      </w:r>
      <w:r>
        <w:rPr>
          <w:rFonts w:hint="eastAsia"/>
          <w:szCs w:val="24"/>
        </w:rPr>
        <w:t>草</w:t>
      </w:r>
      <w:r>
        <w:rPr>
          <w:szCs w:val="24"/>
        </w:rPr>
        <w:t>兔、跳鼠等兽类，鸟类有喜鹊、乌鸦、家燕、石鸡、雉鸡、麻雀</w:t>
      </w:r>
      <w:r>
        <w:rPr>
          <w:rFonts w:hint="eastAsia"/>
          <w:szCs w:val="24"/>
        </w:rPr>
        <w:t>、</w:t>
      </w:r>
      <w:r>
        <w:rPr>
          <w:rFonts w:hint="eastAsia"/>
        </w:rPr>
        <w:t>角百灵</w:t>
      </w:r>
      <w:r>
        <w:rPr>
          <w:szCs w:val="24"/>
        </w:rPr>
        <w:t>等。</w:t>
      </w:r>
      <w:r>
        <w:t>评价区内</w:t>
      </w:r>
      <w:r>
        <w:rPr>
          <w:rFonts w:hint="eastAsia"/>
        </w:rPr>
        <w:t>无国家重点保护野生动物及被列入世界自然保护联盟濒危物种红色名录（IUCN红色名录）的动物，有1种自治区重点保护野生动物为角百灵（</w:t>
      </w:r>
      <w:r>
        <w:rPr>
          <w:i/>
          <w:sz w:val="21"/>
          <w:szCs w:val="21"/>
        </w:rPr>
        <w:t>Eremophila alpestris</w:t>
      </w:r>
      <w:r>
        <w:rPr>
          <w:rFonts w:hint="eastAsia"/>
        </w:rPr>
        <w:t>）。</w:t>
      </w:r>
    </w:p>
    <w:p w14:paraId="3BBB1427">
      <w:pPr>
        <w:ind w:firstLine="480"/>
        <w:rPr>
          <w:szCs w:val="24"/>
        </w:rPr>
      </w:pPr>
      <w:r>
        <w:rPr>
          <w:rFonts w:hint="eastAsia"/>
          <w:szCs w:val="24"/>
        </w:rPr>
        <w:t>项目施工建设过程会占用和破坏现有原始植被，破坏期周边区域野生动物</w:t>
      </w:r>
      <w:r>
        <w:rPr>
          <w:szCs w:val="24"/>
        </w:rPr>
        <w:t>部分觅食地、栖息场所和活动区域。本项目的作业和机械噪声和人员活动等，将惊吓和驱赶施工区及周围一定范围内的野生动物，影响野生动物的活动和栖息。由于项目区没有固定或必经的动物</w:t>
      </w:r>
      <w:r>
        <w:rPr>
          <w:rFonts w:hint="eastAsia"/>
          <w:szCs w:val="24"/>
          <w:lang w:val="en-US" w:eastAsia="zh-CN"/>
        </w:rPr>
        <w:t>迁徙</w:t>
      </w:r>
      <w:r>
        <w:rPr>
          <w:szCs w:val="24"/>
        </w:rPr>
        <w:t>通道，工程建设和各项设施的布局，不存在阻隔野生动物的</w:t>
      </w:r>
      <w:r>
        <w:rPr>
          <w:rFonts w:hint="eastAsia"/>
          <w:szCs w:val="24"/>
          <w:lang w:val="en-US" w:eastAsia="zh-CN"/>
        </w:rPr>
        <w:t>迁徙</w:t>
      </w:r>
      <w:r>
        <w:rPr>
          <w:szCs w:val="24"/>
        </w:rPr>
        <w:t>通道，不会对野生动物产生较大的影响。</w:t>
      </w:r>
    </w:p>
    <w:p w14:paraId="072A1156">
      <w:pPr>
        <w:pStyle w:val="105"/>
        <w:ind w:firstLine="480"/>
        <w:jc w:val="both"/>
      </w:pPr>
      <w:r>
        <w:rPr>
          <w:szCs w:val="24"/>
        </w:rPr>
        <w:t>通过加强对施工人员的管理，乱捕乱猎行为可以杜绝，项目的施工建设不会使评价区野生动物物种数发生较大变化，种群数量也不会发生明显改变。</w:t>
      </w:r>
    </w:p>
    <w:p w14:paraId="4E91E152">
      <w:pPr>
        <w:pStyle w:val="12"/>
      </w:pPr>
      <w:r>
        <w:rPr>
          <w:rFonts w:hint="eastAsia"/>
        </w:rPr>
        <w:t>5.2.</w:t>
      </w:r>
      <w:r>
        <w:t>8</w:t>
      </w:r>
      <w:r>
        <w:rPr>
          <w:rFonts w:hint="eastAsia"/>
        </w:rPr>
        <w:t>.3土地利用的影响分析</w:t>
      </w:r>
    </w:p>
    <w:p w14:paraId="510A643A">
      <w:pPr>
        <w:ind w:firstLine="480"/>
      </w:pPr>
      <w:r>
        <w:rPr>
          <w:rFonts w:hint="eastAsia"/>
        </w:rPr>
        <w:t>项目区土地利用现状较为简单，主要为灌木林地，占项目区的100%。由于本项目的实施最终会改变项目的土地利用类型，将现有的灌木林地变成农业用地。</w:t>
      </w:r>
    </w:p>
    <w:p w14:paraId="0EFBA6BC">
      <w:pPr>
        <w:ind w:firstLine="480"/>
      </w:pPr>
      <w:r>
        <w:rPr>
          <w:rFonts w:hint="eastAsia"/>
        </w:rPr>
        <w:t>本项目总占地28.02</w:t>
      </w:r>
      <w:r>
        <w:t>hm</w:t>
      </w:r>
      <w:r>
        <w:rPr>
          <w:vertAlign w:val="superscript"/>
        </w:rPr>
        <w:t>2</w:t>
      </w:r>
      <w:r>
        <w:rPr>
          <w:rFonts w:hint="eastAsia"/>
        </w:rPr>
        <w:t>，项目占地面积相对于区域面积较小，不会对区域土地利用现状造成明显的影响。因此本项目的建设对区域土地利用分布格局影响较小。</w:t>
      </w:r>
    </w:p>
    <w:p w14:paraId="63CDE616">
      <w:pPr>
        <w:pStyle w:val="12"/>
      </w:pPr>
      <w:r>
        <w:rPr>
          <w:rFonts w:hint="eastAsia"/>
        </w:rPr>
        <w:t>5.2.</w:t>
      </w:r>
      <w:r>
        <w:t>8</w:t>
      </w:r>
      <w:r>
        <w:rPr>
          <w:rFonts w:hint="eastAsia"/>
        </w:rPr>
        <w:t xml:space="preserve">.4生态系统完整性分析 </w:t>
      </w:r>
    </w:p>
    <w:p w14:paraId="721119CF">
      <w:pPr>
        <w:ind w:firstLine="480"/>
        <w:rPr>
          <w:kern w:val="0"/>
          <w:szCs w:val="24"/>
          <w:lang w:bidi="ar"/>
        </w:rPr>
      </w:pPr>
      <w:r>
        <w:rPr>
          <w:rFonts w:hint="eastAsia"/>
          <w:kern w:val="0"/>
          <w:szCs w:val="24"/>
          <w:lang w:bidi="ar"/>
        </w:rPr>
        <w:t>本项目位于鄂尔多斯市鄂托克旗蒙西镇，项目区域生态系统组成结构较为单一，项目区均为灌丛生态系统。</w:t>
      </w:r>
    </w:p>
    <w:p w14:paraId="1ACDF28D">
      <w:pPr>
        <w:ind w:firstLine="480"/>
        <w:rPr>
          <w:kern w:val="0"/>
          <w:szCs w:val="24"/>
          <w:lang w:bidi="ar"/>
        </w:rPr>
      </w:pPr>
      <w:r>
        <w:rPr>
          <w:rFonts w:hint="eastAsia"/>
          <w:kern w:val="0"/>
          <w:szCs w:val="24"/>
          <w:lang w:bidi="ar"/>
        </w:rPr>
        <w:t>项目建设过程中对占地范围内生态系统影响较大，将现有自然生态系统改变为人工生态系统，是生态系统的组成和结构发生了一定的变化。并且项目实施运行后，项目占地范围内的生态系统将会一直保持人工生态系统，对项目占地范围内生态系统影响较大。</w:t>
      </w:r>
    </w:p>
    <w:p w14:paraId="6D13ED4C">
      <w:pPr>
        <w:ind w:firstLine="480"/>
        <w:jc w:val="both"/>
      </w:pPr>
      <w:r>
        <w:rPr>
          <w:rFonts w:hint="eastAsia"/>
        </w:rPr>
        <w:t>此外，本项目建设运行过程中，通过进行合理的施工规划，严格控制施工作业范围，禁止在项目占地范围外设置临时占地破坏生态系统，项目施工结束后，对项目占地范围内裸地及时进行植被恢复、绿化，可有效降低对区域生态环境的影响。同时本项目占地面积相对于区域面积较小，不会对区域生态系统造成切割影响，且本项目实施运行后不会对项目占地范围外生态系统造成扰动。因此，本项目实施对区域生态环境的影响在可接受水平之内，对评价区生态环境的功能和稳定性影响较小。</w:t>
      </w:r>
    </w:p>
    <w:p w14:paraId="2840BEF4">
      <w:pPr>
        <w:pStyle w:val="12"/>
      </w:pPr>
      <w:r>
        <w:rPr>
          <w:rFonts w:hint="eastAsia"/>
        </w:rPr>
        <w:t>5.2.</w:t>
      </w:r>
      <w:r>
        <w:t>8</w:t>
      </w:r>
      <w:r>
        <w:rPr>
          <w:rFonts w:hint="eastAsia"/>
        </w:rPr>
        <w:t>.5</w:t>
      </w:r>
      <w:r>
        <w:t>景观生态影响分析</w:t>
      </w:r>
    </w:p>
    <w:p w14:paraId="6E1EC3D0">
      <w:pPr>
        <w:ind w:firstLine="480"/>
        <w:jc w:val="both"/>
        <w:rPr>
          <w:rFonts w:ascii="宋体" w:hAnsi="宋体" w:cs="宋体"/>
          <w:kern w:val="0"/>
          <w:szCs w:val="24"/>
          <w:lang w:bidi="ar"/>
        </w:rPr>
      </w:pPr>
      <w:r>
        <w:rPr>
          <w:rFonts w:hint="eastAsia" w:ascii="宋体" w:hAnsi="宋体" w:cs="宋体"/>
          <w:kern w:val="0"/>
          <w:szCs w:val="24"/>
          <w:lang w:bidi="ar"/>
        </w:rPr>
        <w:t>本项目评价区的景观类型主要包括灌丛景观。项目建设将在一定程度上影响厂区内现有的景观格局，改变项目区的景观结构。厂区占地面积为</w:t>
      </w:r>
      <w:r>
        <w:rPr>
          <w:rFonts w:hint="eastAsia"/>
        </w:rPr>
        <w:t>28.02</w:t>
      </w:r>
      <w:r>
        <w:t>hm</w:t>
      </w:r>
      <w:r>
        <w:rPr>
          <w:vertAlign w:val="superscript"/>
        </w:rPr>
        <w:t>2</w:t>
      </w:r>
      <w:r>
        <w:rPr>
          <w:rFonts w:hint="eastAsia"/>
        </w:rPr>
        <w:t>，</w:t>
      </w:r>
      <w:r>
        <w:rPr>
          <w:rFonts w:hint="eastAsia" w:ascii="宋体" w:hAnsi="宋体" w:cs="宋体"/>
          <w:kern w:val="0"/>
          <w:szCs w:val="24"/>
          <w:lang w:bidi="ar"/>
        </w:rPr>
        <w:t>这部分以绵刺+霸王群落为主的灌丛景观将逐渐演变为人工场地景观，导致整个评价区的人工景观斑块数和斑块密度增加。</w:t>
      </w:r>
    </w:p>
    <w:p w14:paraId="2B5449AD">
      <w:pPr>
        <w:ind w:firstLine="480"/>
        <w:jc w:val="both"/>
      </w:pPr>
      <w:r>
        <w:rPr>
          <w:rFonts w:hint="eastAsia" w:ascii="宋体" w:hAnsi="宋体" w:cs="宋体"/>
          <w:kern w:val="0"/>
          <w:szCs w:val="24"/>
          <w:lang w:bidi="ar"/>
        </w:rPr>
        <w:t>在运营期对厂区边界</w:t>
      </w:r>
      <w:r>
        <w:rPr>
          <w:kern w:val="0"/>
          <w:szCs w:val="24"/>
          <w:lang w:bidi="ar"/>
        </w:rPr>
        <w:t>1 km</w:t>
      </w:r>
      <w:r>
        <w:rPr>
          <w:rFonts w:hint="eastAsia" w:ascii="宋体" w:hAnsi="宋体" w:cs="宋体"/>
          <w:kern w:val="0"/>
          <w:szCs w:val="24"/>
          <w:lang w:bidi="ar"/>
        </w:rPr>
        <w:t>范围内景观格局的影响最大，其生产系统所涉及的区域的深度和广度均逐渐达到最大值，景观格局破碎化程度达最大值，景观基质的转化率达最大值，即在原来比较霸王+沙冬青+绵刺群落为主的森林景观，出现道路、人工场地等工业景观。在这个过程中，如不加任何治理，林地的物种会逐渐减少，生产力也会逐年下降。</w:t>
      </w:r>
    </w:p>
    <w:p w14:paraId="4EFCD677">
      <w:pPr>
        <w:pStyle w:val="12"/>
      </w:pPr>
      <w:r>
        <w:rPr>
          <w:rFonts w:hint="eastAsia"/>
        </w:rPr>
        <w:t>5.2.</w:t>
      </w:r>
      <w:r>
        <w:t>8</w:t>
      </w:r>
      <w:r>
        <w:rPr>
          <w:rFonts w:hint="eastAsia"/>
        </w:rPr>
        <w:t>.6</w:t>
      </w:r>
      <w:r>
        <w:t xml:space="preserve">对保护区的影响分析 </w:t>
      </w:r>
    </w:p>
    <w:p w14:paraId="23D818AA">
      <w:pPr>
        <w:ind w:firstLine="480"/>
      </w:pPr>
      <w:r>
        <w:rPr>
          <w:rFonts w:hint="eastAsia" w:ascii="宋体" w:hAnsi="宋体" w:cs="宋体"/>
          <w:kern w:val="0"/>
          <w:szCs w:val="24"/>
          <w:lang w:bidi="ar"/>
        </w:rPr>
        <w:t>本项目与西鄂尔多斯国家级自然保护区实验区的最近距离</w:t>
      </w:r>
      <w:r>
        <w:rPr>
          <w:kern w:val="0"/>
          <w:szCs w:val="24"/>
          <w:lang w:bidi="ar"/>
        </w:rPr>
        <w:t>为0.57km，运</w:t>
      </w:r>
      <w:r>
        <w:rPr>
          <w:rFonts w:hint="eastAsia" w:ascii="宋体" w:hAnsi="宋体" w:cs="宋体"/>
          <w:kern w:val="0"/>
          <w:szCs w:val="24"/>
          <w:lang w:bidi="ar"/>
        </w:rPr>
        <w:t xml:space="preserve">行期对保护区的环境影响有以下几点： </w:t>
      </w:r>
    </w:p>
    <w:p w14:paraId="7873C08F">
      <w:pPr>
        <w:ind w:firstLine="480"/>
      </w:pPr>
      <w:r>
        <w:rPr>
          <w:rFonts w:hint="eastAsia" w:ascii="宋体" w:hAnsi="宋体" w:cs="宋体"/>
          <w:kern w:val="0"/>
          <w:szCs w:val="24"/>
          <w:lang w:bidi="ar"/>
        </w:rPr>
        <w:t xml:space="preserve">①大气污染源 </w:t>
      </w:r>
    </w:p>
    <w:p w14:paraId="707370CB">
      <w:pPr>
        <w:pStyle w:val="105"/>
        <w:ind w:firstLine="480"/>
        <w:jc w:val="both"/>
      </w:pPr>
      <w:r>
        <w:rPr>
          <w:rFonts w:hint="eastAsia" w:ascii="宋体" w:hAnsi="宋体" w:cs="宋体"/>
          <w:kern w:val="0"/>
          <w:szCs w:val="24"/>
          <w:lang w:bidi="ar"/>
        </w:rPr>
        <w:t>项目运营期主要大气污染源为</w:t>
      </w:r>
      <w:r>
        <w:t>包括养殖过程、有机肥生产过程产生的恶臭、饲料、有机肥加工产生粉尘、锅炉燃烧废气及食堂油烟。</w:t>
      </w:r>
    </w:p>
    <w:p w14:paraId="139E2E12">
      <w:pPr>
        <w:ind w:firstLine="480"/>
        <w:jc w:val="both"/>
      </w:pPr>
      <w:r>
        <w:rPr>
          <w:rFonts w:hint="eastAsia" w:ascii="宋体" w:hAnsi="宋体" w:cs="宋体"/>
          <w:kern w:val="0"/>
          <w:szCs w:val="24"/>
          <w:lang w:bidi="ar"/>
        </w:rPr>
        <w:t>保护区位于厂区主导风向上风向，根据大气预测结果，本项目主要大气污染物最大落地浓度达标，且污染物随风向下风向移动，对项目上风向的保护区影响较小。在生产过程中，企业必须严格监控、检测、保修生产及环保设备，定期更换布袋除尘器等，确保各环保设施的处理效率，避免、减少废气的排放，尤其是非正常排放，降低对保护区大气环境的不良影响。</w:t>
      </w:r>
    </w:p>
    <w:p w14:paraId="19293A81">
      <w:pPr>
        <w:ind w:firstLine="480"/>
      </w:pPr>
      <w:r>
        <w:rPr>
          <w:rFonts w:hint="eastAsia" w:ascii="宋体" w:hAnsi="宋体" w:cs="宋体"/>
          <w:kern w:val="0"/>
          <w:szCs w:val="24"/>
          <w:lang w:bidi="ar"/>
        </w:rPr>
        <w:t xml:space="preserve">②噪声 </w:t>
      </w:r>
    </w:p>
    <w:p w14:paraId="3D0576FE">
      <w:pPr>
        <w:ind w:firstLine="480"/>
        <w:jc w:val="both"/>
      </w:pPr>
      <w:r>
        <w:rPr>
          <w:rFonts w:hint="eastAsia" w:ascii="宋体" w:hAnsi="宋体" w:cs="宋体"/>
          <w:kern w:val="0"/>
          <w:szCs w:val="24"/>
          <w:lang w:bidi="ar"/>
        </w:rPr>
        <w:t>运营期噪声主要包括</w:t>
      </w:r>
      <w:r>
        <w:rPr>
          <w:snapToGrid w:val="0"/>
        </w:rPr>
        <w:t>饲料加工机械噪声、各种泵类、鸡舍通风机和运输噪声</w:t>
      </w:r>
      <w:r>
        <w:rPr>
          <w:rFonts w:hint="eastAsia" w:ascii="宋体" w:hAnsi="宋体" w:cs="宋体"/>
          <w:kern w:val="0"/>
          <w:szCs w:val="24"/>
          <w:lang w:bidi="ar"/>
        </w:rPr>
        <w:t>，主要采取选用低噪声设备、建筑隔声和消声、减振、距离衰减等措施降低噪声，采取措施后可以确保厂界环境噪声达到《工业企业厂界环境噪声排放标准》（</w:t>
      </w:r>
      <w:r>
        <w:rPr>
          <w:kern w:val="0"/>
          <w:szCs w:val="24"/>
          <w:lang w:bidi="ar"/>
        </w:rPr>
        <w:t>GB12348-2008</w:t>
      </w:r>
      <w:r>
        <w:rPr>
          <w:rFonts w:hint="eastAsia" w:ascii="宋体" w:hAnsi="宋体" w:cs="宋体"/>
          <w:kern w:val="0"/>
          <w:szCs w:val="24"/>
          <w:lang w:bidi="ar"/>
        </w:rPr>
        <w:t>）</w:t>
      </w:r>
      <w:r>
        <w:rPr>
          <w:rFonts w:hint="eastAsia"/>
          <w:kern w:val="0"/>
          <w:szCs w:val="24"/>
          <w:lang w:bidi="ar"/>
        </w:rPr>
        <w:t>2</w:t>
      </w:r>
      <w:r>
        <w:rPr>
          <w:rFonts w:hint="eastAsia" w:ascii="宋体" w:hAnsi="宋体" w:cs="宋体"/>
          <w:kern w:val="0"/>
          <w:szCs w:val="24"/>
          <w:lang w:bidi="ar"/>
        </w:rPr>
        <w:t>类标准的要求。因此，对保护区内的野生动物的影响较小。</w:t>
      </w:r>
    </w:p>
    <w:p w14:paraId="3879BE37">
      <w:pPr>
        <w:ind w:firstLine="480"/>
      </w:pPr>
      <w:r>
        <w:rPr>
          <w:rFonts w:hint="eastAsia" w:ascii="宋体" w:hAnsi="宋体" w:cs="宋体"/>
          <w:kern w:val="0"/>
          <w:szCs w:val="24"/>
          <w:lang w:bidi="ar"/>
        </w:rPr>
        <w:t xml:space="preserve">③水污染源 </w:t>
      </w:r>
    </w:p>
    <w:p w14:paraId="771E8016">
      <w:pPr>
        <w:pStyle w:val="105"/>
        <w:ind w:firstLine="480"/>
        <w:jc w:val="both"/>
      </w:pPr>
      <w:r>
        <w:t>本项目营运期鸡只饮用水全部进入粪便中，无废水产生；水帘用水、绿化用水和不可预见用水经蒸发损耗后，无废水产生。本项目营运期废水主要为鸡舍冲洗废水、制水设备制水过程中同步产生废水、</w:t>
      </w:r>
      <w:r>
        <w:rPr>
          <w:rFonts w:hint="eastAsia"/>
        </w:rPr>
        <w:t>有机肥发酵渗滤液和</w:t>
      </w:r>
      <w:r>
        <w:t>生活污水。</w:t>
      </w:r>
    </w:p>
    <w:p w14:paraId="1002F5FA">
      <w:pPr>
        <w:ind w:firstLine="480"/>
        <w:jc w:val="both"/>
      </w:pPr>
      <w:r>
        <w:t>鸡舍冲洗废水、锅炉</w:t>
      </w:r>
      <w:r>
        <w:rPr>
          <w:rFonts w:hint="eastAsia"/>
        </w:rPr>
        <w:t>软化水</w:t>
      </w:r>
      <w:r>
        <w:t>设备产生废水</w:t>
      </w:r>
      <w:r>
        <w:rPr>
          <w:rFonts w:hint="eastAsia"/>
        </w:rPr>
        <w:t>、有机肥发酵渗滤液和</w:t>
      </w:r>
      <w:r>
        <w:t>生活污水经</w:t>
      </w:r>
      <w:r>
        <w:rPr>
          <w:rFonts w:hint="eastAsia"/>
        </w:rPr>
        <w:t>污水站</w:t>
      </w:r>
      <w:r>
        <w:t>处理后</w:t>
      </w:r>
      <w:r>
        <w:rPr>
          <w:rFonts w:hint="eastAsia"/>
          <w:szCs w:val="22"/>
        </w:rPr>
        <w:t>用于厂区</w:t>
      </w:r>
      <w:r>
        <w:t>绿化</w:t>
      </w:r>
      <w:r>
        <w:rPr>
          <w:rFonts w:hint="eastAsia"/>
        </w:rPr>
        <w:t>、鸡舍冲洗、湿帘降温</w:t>
      </w:r>
      <w:r>
        <w:t>及</w:t>
      </w:r>
      <w:r>
        <w:rPr>
          <w:rFonts w:hint="eastAsia"/>
        </w:rPr>
        <w:t>洒水抑尘</w:t>
      </w:r>
      <w:r>
        <w:rPr>
          <w:rFonts w:hint="eastAsia"/>
          <w:szCs w:val="24"/>
          <w:lang w:bidi="ar"/>
        </w:rPr>
        <w:t>。</w:t>
      </w:r>
    </w:p>
    <w:p w14:paraId="4F695F4A">
      <w:pPr>
        <w:ind w:firstLine="480"/>
        <w:jc w:val="both"/>
        <w:rPr>
          <w:rFonts w:ascii="宋体" w:hAnsi="宋体" w:cs="宋体"/>
          <w:kern w:val="0"/>
          <w:szCs w:val="24"/>
          <w:lang w:bidi="ar"/>
        </w:rPr>
      </w:pPr>
      <w:r>
        <w:rPr>
          <w:szCs w:val="24"/>
        </w:rPr>
        <w:t>本项目采用</w:t>
      </w:r>
      <w:r>
        <w:t>雨污分流制，雨水经养殖场内雨水沟渠收集</w:t>
      </w:r>
      <w:r>
        <w:rPr>
          <w:rFonts w:hint="eastAsia"/>
        </w:rPr>
        <w:t>汇入雨水收集池后用于厂区绿化或洒水抑尘</w:t>
      </w:r>
      <w:r>
        <w:t>。</w:t>
      </w:r>
    </w:p>
    <w:p w14:paraId="0598AAE1">
      <w:pPr>
        <w:ind w:firstLine="480"/>
        <w:jc w:val="both"/>
        <w:rPr>
          <w:rFonts w:ascii="宋体" w:hAnsi="宋体" w:cs="宋体"/>
          <w:kern w:val="0"/>
          <w:szCs w:val="24"/>
          <w:lang w:bidi="ar"/>
        </w:rPr>
      </w:pPr>
      <w:r>
        <w:rPr>
          <w:rFonts w:hint="eastAsia" w:ascii="宋体" w:hAnsi="宋体" w:cs="宋体"/>
          <w:kern w:val="0"/>
          <w:szCs w:val="24"/>
          <w:lang w:bidi="ar"/>
        </w:rPr>
        <w:t>另外，本项目还设计了完善的生产废水收集系统，加强了厂区内的防渗处理措施，对废水收集管道等作了硬化防渗处理，对跑、冒、滴、漏等现象也采取了措施。</w:t>
      </w:r>
    </w:p>
    <w:p w14:paraId="6A0C9F17">
      <w:pPr>
        <w:ind w:firstLine="480"/>
        <w:jc w:val="both"/>
      </w:pPr>
      <w:r>
        <w:rPr>
          <w:rFonts w:hint="eastAsia" w:ascii="宋体" w:hAnsi="宋体" w:cs="宋体"/>
          <w:kern w:val="0"/>
          <w:szCs w:val="24"/>
          <w:lang w:bidi="ar"/>
        </w:rPr>
        <w:t>在正常生产状况下采取各项治理措施后无外排废水。因此本项目的生产过程中废水对保护区的影响较小。</w:t>
      </w:r>
    </w:p>
    <w:p w14:paraId="56D80AA5">
      <w:pPr>
        <w:ind w:firstLine="480"/>
      </w:pPr>
      <w:r>
        <w:rPr>
          <w:rFonts w:hint="eastAsia" w:ascii="宋体" w:hAnsi="宋体" w:cs="宋体"/>
          <w:kern w:val="0"/>
          <w:szCs w:val="24"/>
          <w:lang w:bidi="ar"/>
        </w:rPr>
        <w:t xml:space="preserve">④固体废物 </w:t>
      </w:r>
    </w:p>
    <w:p w14:paraId="658F201B">
      <w:pPr>
        <w:pStyle w:val="105"/>
        <w:ind w:firstLine="480"/>
        <w:jc w:val="both"/>
      </w:pPr>
      <w:r>
        <w:t>项目固体废物主要为鸡舍粪便与饲料残渣及散落毛羽、</w:t>
      </w:r>
      <w:r>
        <w:rPr>
          <w:rFonts w:hint="eastAsia"/>
        </w:rPr>
        <w:t>诊疗</w:t>
      </w:r>
      <w:r>
        <w:t>废物、病死鸡、职工生活垃圾等，饲料残渣</w:t>
      </w:r>
      <w:r>
        <w:rPr>
          <w:rFonts w:hint="eastAsia"/>
        </w:rPr>
        <w:t>、</w:t>
      </w:r>
      <w:r>
        <w:t>残次品蛋</w:t>
      </w:r>
      <w:r>
        <w:rPr>
          <w:rFonts w:hint="eastAsia"/>
        </w:rPr>
        <w:t>、污泥、</w:t>
      </w:r>
      <w:r>
        <w:t>散落毛羽及鸡粪，进入有机肥生产区生产有机肥，死鸡在鸡舍内装入密封袋</w:t>
      </w:r>
      <w:r>
        <w:rPr>
          <w:rFonts w:hint="eastAsia"/>
        </w:rPr>
        <w:t>在冷柜内暂存</w:t>
      </w:r>
      <w:r>
        <w:t>，</w:t>
      </w:r>
      <w:r>
        <w:rPr>
          <w:rFonts w:hint="eastAsia"/>
        </w:rPr>
        <w:t>由资质单位处置</w:t>
      </w:r>
      <w:r>
        <w:t>，职工生活垃圾定期由环卫部门清运处理。废弃药品、废弃兽药包装袋、过期兽药、废医疗器械等防疫废物，暂存于</w:t>
      </w:r>
      <w:r>
        <w:rPr>
          <w:rFonts w:hint="eastAsia"/>
          <w:lang w:val="en-GB"/>
        </w:rPr>
        <w:t>诊疗废弃物暂存间</w:t>
      </w:r>
      <w:r>
        <w:t>，定期交由有资质单位处置。</w:t>
      </w:r>
    </w:p>
    <w:p w14:paraId="18476F95">
      <w:pPr>
        <w:pStyle w:val="105"/>
        <w:ind w:firstLine="480"/>
        <w:jc w:val="both"/>
      </w:pPr>
      <w:r>
        <w:t>符合《畜禽养殖业污染物排放标准》（GB18596-2001）中表6、《畜禽养殖业污染治理工程技术规范》（HJ497-2009）及《危险废物贮存污染控制标准》</w:t>
      </w:r>
      <w:r>
        <w:rPr>
          <w:rFonts w:hint="eastAsia"/>
        </w:rPr>
        <w:t>（GB18597-2023）</w:t>
      </w:r>
      <w:r>
        <w:t>中相关要求。</w:t>
      </w:r>
    </w:p>
    <w:p w14:paraId="4E21A785">
      <w:pPr>
        <w:pStyle w:val="105"/>
        <w:ind w:firstLine="480"/>
        <w:jc w:val="both"/>
      </w:pPr>
      <w:r>
        <w:t>综上所述，本项目固体废物去向明确，均能得到妥善处置，</w:t>
      </w:r>
      <w:r>
        <w:rPr>
          <w:rFonts w:hint="eastAsia" w:ascii="宋体" w:hAnsi="宋体" w:cs="宋体"/>
          <w:kern w:val="0"/>
          <w:szCs w:val="24"/>
          <w:lang w:bidi="ar"/>
        </w:rPr>
        <w:t>因此对保护区产生的影响较小。</w:t>
      </w:r>
    </w:p>
    <w:p w14:paraId="662EA672">
      <w:pPr>
        <w:pStyle w:val="105"/>
        <w:ind w:firstLine="480"/>
        <w:rPr>
          <w:lang w:bidi="ar"/>
        </w:rPr>
      </w:pPr>
      <w:r>
        <w:rPr>
          <w:rFonts w:hint="eastAsia"/>
          <w:lang w:bidi="ar"/>
        </w:rPr>
        <w:t xml:space="preserve"> </w:t>
      </w:r>
    </w:p>
    <w:p w14:paraId="46C7222F">
      <w:pPr>
        <w:pStyle w:val="105"/>
        <w:ind w:firstLine="480"/>
        <w:rPr>
          <w:lang w:bidi="ar"/>
        </w:rPr>
      </w:pPr>
    </w:p>
    <w:p w14:paraId="77469B01">
      <w:pPr>
        <w:ind w:firstLine="480"/>
        <w:sectPr>
          <w:pgSz w:w="11907" w:h="16840"/>
          <w:pgMar w:top="1418" w:right="1418" w:bottom="1418" w:left="1418" w:header="964" w:footer="964" w:gutter="0"/>
          <w:cols w:space="720" w:num="1"/>
          <w:docGrid w:linePitch="312" w:charSpace="0"/>
        </w:sectPr>
      </w:pPr>
    </w:p>
    <w:p w14:paraId="146C4340">
      <w:pPr>
        <w:pStyle w:val="103"/>
      </w:pPr>
      <w:bookmarkStart w:id="423" w:name="_Toc305323674"/>
      <w:bookmarkStart w:id="424" w:name="_Toc11832818"/>
      <w:bookmarkStart w:id="425" w:name="_Toc303002877"/>
      <w:bookmarkStart w:id="426" w:name="_Toc271744159"/>
      <w:bookmarkStart w:id="427" w:name="_Toc275694986"/>
      <w:bookmarkStart w:id="428" w:name="_Toc304736455"/>
      <w:bookmarkStart w:id="429" w:name="_Toc166572332"/>
      <w:bookmarkStart w:id="430" w:name="_Toc26593"/>
      <w:bookmarkStart w:id="431" w:name="_Toc275694736"/>
      <w:bookmarkStart w:id="432" w:name="_Toc273131192"/>
      <w:bookmarkStart w:id="433" w:name="_Toc307561370"/>
      <w:bookmarkStart w:id="434" w:name="_Toc271297790"/>
      <w:bookmarkStart w:id="435" w:name="_Toc347090010"/>
      <w:bookmarkStart w:id="436" w:name="_Toc273131381"/>
      <w:bookmarkStart w:id="437" w:name="_Toc275769079"/>
      <w:bookmarkStart w:id="438" w:name="_Toc305308466"/>
      <w:bookmarkStart w:id="439" w:name="_Toc304537943"/>
      <w:bookmarkStart w:id="440" w:name="_Toc271620087"/>
      <w:bookmarkStart w:id="441" w:name="_Toc273171718"/>
      <w:bookmarkStart w:id="442" w:name="_Toc29522"/>
      <w:bookmarkStart w:id="443" w:name="_Toc307566489"/>
      <w:bookmarkStart w:id="444" w:name="_Toc36234659"/>
      <w:r>
        <w:t>6环境风险评价</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7D1E555B">
      <w:pPr>
        <w:pStyle w:val="230"/>
        <w:ind w:firstLine="480"/>
        <w:rPr>
          <w:lang w:eastAsia="zh-CN"/>
        </w:rPr>
      </w:pPr>
      <w:r>
        <w:rPr>
          <w:lang w:eastAsia="zh-CN"/>
        </w:rPr>
        <w:t>环境风险评价的原则是以突发性事故（不包括认为破坏及自然灾害引发的事故）导致的危险物质环境急性损害防控为目标，对建设项目的环境风险进行分析、预测和评估，提出环境风险预防、控制、减缓措施，明确环境风险监控及应急建议要求，为建设项目环境风险防控提供科学依据。</w:t>
      </w:r>
    </w:p>
    <w:p w14:paraId="20449B8F">
      <w:pPr>
        <w:pStyle w:val="230"/>
        <w:ind w:firstLine="480"/>
        <w:rPr>
          <w:lang w:eastAsia="zh-CN"/>
        </w:rPr>
      </w:pPr>
      <w:r>
        <w:rPr>
          <w:lang w:eastAsia="zh-CN"/>
        </w:rPr>
        <w:t>根据生态环境部2018年10月14日发布的《建设项目环境风险评价技术导则》(HJ 169-2018)要求，对于涉及有毒有害和易燃易爆物质的生产、使用、贮运等新建、改建和技术改造项目进行环境风险评价。本次环境风险评价的目的在于分析、识别本项目装置运行过程中及物料储存的风险因素及可能诱发的环境问题，并针对潜在的环境风险，提出相应的预防措施，力求将潜在的风险危害程度降至低。</w:t>
      </w:r>
    </w:p>
    <w:p w14:paraId="281315DF">
      <w:pPr>
        <w:pStyle w:val="230"/>
        <w:ind w:firstLine="480"/>
        <w:rPr>
          <w:lang w:eastAsia="zh-CN"/>
        </w:rPr>
      </w:pPr>
      <w:r>
        <w:rPr>
          <w:lang w:eastAsia="zh-CN"/>
        </w:rPr>
        <w:t>遵照国家环保总局环发[2012]77号《关于防范环境风险加强环境影响评价管理的通知》的精神，本次环境风险评价按照上述文件及《建设项目环境风险评价技术导则》(HJ 169-2018)的相关要求，采用风险调查、环境风险潜势力初判、风险识别、风险事故情形分析、风险预测与评价、环境风险管理等方面对本项目进行环境风险评价，了解其环境风险的可接受程度，提出减少风险的对策、事故应急措施及应急预案，为环境管理提供资料和依据。</w:t>
      </w:r>
    </w:p>
    <w:p w14:paraId="3FBC7BD2">
      <w:pPr>
        <w:pStyle w:val="230"/>
        <w:ind w:firstLine="480"/>
        <w:rPr>
          <w:lang w:eastAsia="zh-CN"/>
        </w:rPr>
      </w:pPr>
      <w:r>
        <w:rPr>
          <w:lang w:eastAsia="zh-CN"/>
        </w:rPr>
        <w:t>《建设项目环境风险评价技术导则》(HJ 169-2018)确定的风险评价程序见图6.1-1。</w:t>
      </w:r>
    </w:p>
    <w:p w14:paraId="0AAC04F0">
      <w:pPr>
        <w:pStyle w:val="766"/>
        <w:rPr>
          <w:color w:val="auto"/>
        </w:rPr>
      </w:pPr>
      <w:r>
        <w:rPr>
          <w:color w:val="auto"/>
        </w:rPr>
        <w:drawing>
          <wp:inline distT="0" distB="0" distL="0" distR="0">
            <wp:extent cx="5271770" cy="5136515"/>
            <wp:effectExtent l="0" t="0" r="5080" b="6985"/>
            <wp:docPr id="18" name="图片 18" descr="QQ截图2019041812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QQ截图2019041812110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a:xfrm>
                      <a:off x="0" y="0"/>
                      <a:ext cx="5271770" cy="5136515"/>
                    </a:xfrm>
                    <a:prstGeom prst="rect">
                      <a:avLst/>
                    </a:prstGeom>
                    <a:noFill/>
                    <a:ln>
                      <a:noFill/>
                    </a:ln>
                    <a:effectLst/>
                  </pic:spPr>
                </pic:pic>
              </a:graphicData>
            </a:graphic>
          </wp:inline>
        </w:drawing>
      </w:r>
    </w:p>
    <w:p w14:paraId="52F82223">
      <w:pPr>
        <w:pStyle w:val="369"/>
      </w:pPr>
      <w:r>
        <w:t>图6.1-1  建设项目环境风险评价工作程序</w:t>
      </w:r>
    </w:p>
    <w:p w14:paraId="6D6F97A1">
      <w:pPr>
        <w:pStyle w:val="10"/>
      </w:pPr>
      <w:bookmarkStart w:id="445" w:name="_Toc27377"/>
      <w:bookmarkStart w:id="446" w:name="_Toc166572333"/>
      <w:r>
        <w:t>6.1风险识别</w:t>
      </w:r>
      <w:bookmarkEnd w:id="445"/>
      <w:bookmarkEnd w:id="446"/>
    </w:p>
    <w:p w14:paraId="3B1B8350">
      <w:pPr>
        <w:pStyle w:val="230"/>
        <w:ind w:firstLine="480"/>
        <w:rPr>
          <w:lang w:eastAsia="zh-CN"/>
        </w:rPr>
      </w:pPr>
      <w:r>
        <w:rPr>
          <w:lang w:eastAsia="zh-CN"/>
        </w:rPr>
        <w:t>依据《建设项目环境风险评价技术导则》（HJ169-2018）附录 A 及《危险化学品名录》（2015年版）和《危险化学品重大危险源辨识》（GB18218-2018）等国家标准中规定的危险物质分类原则，对该项目使用的原料和产品的危险物质进行分类、确认，并按照标准对危险场所和装置、设备进行重大危险源识别。</w:t>
      </w:r>
    </w:p>
    <w:p w14:paraId="5BC81066">
      <w:pPr>
        <w:pStyle w:val="230"/>
        <w:ind w:firstLine="480"/>
        <w:rPr>
          <w:lang w:eastAsia="zh-CN"/>
        </w:rPr>
      </w:pPr>
      <w:r>
        <w:rPr>
          <w:lang w:eastAsia="zh-CN"/>
        </w:rPr>
        <w:t>（1）风险调查</w:t>
      </w:r>
    </w:p>
    <w:p w14:paraId="5F01FCB8">
      <w:pPr>
        <w:pStyle w:val="230"/>
        <w:ind w:firstLine="480"/>
        <w:rPr>
          <w:lang w:eastAsia="zh-CN"/>
        </w:rPr>
      </w:pPr>
      <w:r>
        <w:rPr>
          <w:lang w:eastAsia="zh-CN"/>
        </w:rPr>
        <w:t>本次环境风险识别范围包括养殖设施风险识别和养殖过程所涉及的物质风险识别。</w:t>
      </w:r>
    </w:p>
    <w:p w14:paraId="72696C42">
      <w:pPr>
        <w:pStyle w:val="230"/>
        <w:ind w:firstLine="480"/>
        <w:rPr>
          <w:lang w:eastAsia="zh-CN"/>
        </w:rPr>
      </w:pPr>
      <w:r>
        <w:rPr>
          <w:lang w:eastAsia="zh-CN"/>
        </w:rPr>
        <w:t>本项目生产设施风险识别范围指本项目的主体工程、辅助工程、公用工程、环保工程，主要有：鸡舍、污水处理设施、锅炉等。</w:t>
      </w:r>
    </w:p>
    <w:p w14:paraId="5A6275A5">
      <w:pPr>
        <w:pStyle w:val="230"/>
        <w:ind w:firstLine="480"/>
        <w:rPr>
          <w:lang w:eastAsia="zh-CN"/>
        </w:rPr>
      </w:pPr>
      <w:r>
        <w:rPr>
          <w:lang w:eastAsia="zh-CN"/>
        </w:rPr>
        <w:t>根据本项目所使用的主要原辅料、中间产品、最终产品以及生产过程排放的“三废”污染物情况，确定生产过程中所涉及的风险物质包括：鸡舍产生的NH</w:t>
      </w:r>
      <w:r>
        <w:rPr>
          <w:vertAlign w:val="subscript"/>
          <w:lang w:eastAsia="zh-CN"/>
        </w:rPr>
        <w:t>3</w:t>
      </w:r>
      <w:r>
        <w:rPr>
          <w:lang w:eastAsia="zh-CN"/>
        </w:rPr>
        <w:t>、H</w:t>
      </w:r>
      <w:r>
        <w:rPr>
          <w:vertAlign w:val="subscript"/>
          <w:lang w:eastAsia="zh-CN"/>
        </w:rPr>
        <w:t>2</w:t>
      </w:r>
      <w:r>
        <w:rPr>
          <w:lang w:eastAsia="zh-CN"/>
        </w:rPr>
        <w:t>S及养殖单元产生的疾病风险。</w:t>
      </w:r>
    </w:p>
    <w:p w14:paraId="0C438F57">
      <w:pPr>
        <w:ind w:firstLine="480"/>
      </w:pPr>
      <w:r>
        <w:t xml:space="preserve">（2）风险潜势初判 </w:t>
      </w:r>
    </w:p>
    <w:p w14:paraId="1442346B">
      <w:pPr>
        <w:ind w:firstLine="480"/>
      </w:pPr>
      <w:r>
        <w:t>计算所涉及的每种危险物质在厂界内的最大存在总量与其在附录B中对应临界量的比值Q。在不同厂区的同一种物质，按其在厂界内的最大存在总量计算。当只涉及一种危险物质时，计算该物质的总量与其临界值比值，即为Q；</w:t>
      </w:r>
    </w:p>
    <w:p w14:paraId="7BA461B7">
      <w:pPr>
        <w:ind w:firstLine="480"/>
      </w:pPr>
      <w:r>
        <w:t>当存在多种危险物质时，则按下式计算物质总量与其临界值比值 Q；</w:t>
      </w:r>
    </w:p>
    <w:p w14:paraId="34FEB9DA">
      <w:pPr>
        <w:ind w:firstLine="480"/>
      </w:pPr>
      <w:r>
        <w:t xml:space="preserve">         </w:t>
      </w:r>
      <w:r>
        <w:drawing>
          <wp:inline distT="0" distB="0" distL="0" distR="0">
            <wp:extent cx="1476375" cy="390525"/>
            <wp:effectExtent l="0" t="0"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a:xfrm>
                      <a:off x="0" y="0"/>
                      <a:ext cx="1476375" cy="390525"/>
                    </a:xfrm>
                    <a:prstGeom prst="rect">
                      <a:avLst/>
                    </a:prstGeom>
                    <a:noFill/>
                    <a:ln>
                      <a:noFill/>
                    </a:ln>
                  </pic:spPr>
                </pic:pic>
              </a:graphicData>
            </a:graphic>
          </wp:inline>
        </w:drawing>
      </w:r>
    </w:p>
    <w:p w14:paraId="762C79C5">
      <w:pPr>
        <w:ind w:firstLine="480"/>
      </w:pPr>
      <w:r>
        <w:t>式中：q</w:t>
      </w:r>
      <w:r>
        <w:rPr>
          <w:vertAlign w:val="subscript"/>
        </w:rPr>
        <w:t>1</w:t>
      </w:r>
      <w:r>
        <w:t>，q</w:t>
      </w:r>
      <w:r>
        <w:rPr>
          <w:vertAlign w:val="subscript"/>
        </w:rPr>
        <w:t>2</w:t>
      </w:r>
      <w:r>
        <w:t>，…，qn——每种危险物质的最大存在总量，t；</w:t>
      </w:r>
    </w:p>
    <w:p w14:paraId="39A3CA84">
      <w:pPr>
        <w:ind w:firstLine="1200" w:firstLineChars="500"/>
      </w:pPr>
      <w:r>
        <w:t>Q</w:t>
      </w:r>
      <w:r>
        <w:rPr>
          <w:vertAlign w:val="subscript"/>
        </w:rPr>
        <w:t>1</w:t>
      </w:r>
      <w:r>
        <w:t>，Q</w:t>
      </w:r>
      <w:r>
        <w:rPr>
          <w:vertAlign w:val="subscript"/>
        </w:rPr>
        <w:t>2</w:t>
      </w:r>
      <w:r>
        <w:t>，…，Qn——每种危险物质的临界量，t；</w:t>
      </w:r>
    </w:p>
    <w:p w14:paraId="7C0A45FD">
      <w:pPr>
        <w:ind w:firstLine="1200" w:firstLineChars="500"/>
      </w:pPr>
      <w:r>
        <w:t>当 Q&lt;1 时，该项目环境风险潜势为Ⅰ。</w:t>
      </w:r>
    </w:p>
    <w:p w14:paraId="20B9E401">
      <w:pPr>
        <w:ind w:firstLine="1200" w:firstLineChars="500"/>
      </w:pPr>
      <w:r>
        <w:t>当Q≥1时，将Q值划分为：（1）1≤Q&lt;10；（2）10≤Q&lt;100；（3）Q≥100；</w:t>
      </w:r>
    </w:p>
    <w:p w14:paraId="4962B1D3">
      <w:pPr>
        <w:ind w:firstLine="480"/>
      </w:pPr>
      <w:r>
        <w:t>本项目的危险物质为鸡舍、</w:t>
      </w:r>
      <w:r>
        <w:rPr>
          <w:rFonts w:hint="eastAsia"/>
        </w:rPr>
        <w:t>有机肥加工车间</w:t>
      </w:r>
      <w:r>
        <w:t>产生氨气、硫化氢、医疗废物</w:t>
      </w:r>
      <w:r>
        <w:rPr>
          <w:rFonts w:hint="eastAsia"/>
        </w:rPr>
        <w:t>，其中氨气和硫化氢无贮存设施，不参与计算；天然气由管道输送入厂，管道内天然气约0.1；</w:t>
      </w:r>
      <w:r>
        <w:t>其中本项目车辆不在厂内进行维修，故不产生废机油、润滑油等；具体详见表6.1-1项目Q值确定表。</w:t>
      </w:r>
    </w:p>
    <w:p w14:paraId="339365F6">
      <w:pPr>
        <w:pStyle w:val="369"/>
      </w:pPr>
      <w:r>
        <w:t>表6.1-1       项目Q值确定表</w:t>
      </w:r>
    </w:p>
    <w:tbl>
      <w:tblPr>
        <w:tblStyle w:val="82"/>
        <w:tblW w:w="88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681"/>
        <w:gridCol w:w="1569"/>
        <w:gridCol w:w="1380"/>
        <w:gridCol w:w="1789"/>
        <w:gridCol w:w="1376"/>
        <w:gridCol w:w="2055"/>
      </w:tblGrid>
      <w:tr w14:paraId="3A313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681" w:type="dxa"/>
            <w:tcBorders>
              <w:tl2br w:val="nil"/>
              <w:tr2bl w:val="nil"/>
            </w:tcBorders>
            <w:shd w:val="clear" w:color="auto" w:fill="auto"/>
            <w:vAlign w:val="center"/>
          </w:tcPr>
          <w:p w14:paraId="1D19F2DB">
            <w:pPr>
              <w:pStyle w:val="766"/>
              <w:rPr>
                <w:color w:val="auto"/>
              </w:rPr>
            </w:pPr>
            <w:r>
              <w:rPr>
                <w:color w:val="auto"/>
              </w:rPr>
              <w:t>序号</w:t>
            </w:r>
          </w:p>
        </w:tc>
        <w:tc>
          <w:tcPr>
            <w:tcW w:w="1569" w:type="dxa"/>
            <w:tcBorders>
              <w:tl2br w:val="nil"/>
              <w:tr2bl w:val="nil"/>
            </w:tcBorders>
            <w:shd w:val="clear" w:color="auto" w:fill="auto"/>
            <w:vAlign w:val="center"/>
          </w:tcPr>
          <w:p w14:paraId="19AEE623">
            <w:pPr>
              <w:pStyle w:val="766"/>
              <w:rPr>
                <w:color w:val="auto"/>
              </w:rPr>
            </w:pPr>
            <w:r>
              <w:rPr>
                <w:color w:val="auto"/>
              </w:rPr>
              <w:t>危险物质名称</w:t>
            </w:r>
          </w:p>
        </w:tc>
        <w:tc>
          <w:tcPr>
            <w:tcW w:w="1380" w:type="dxa"/>
            <w:tcBorders>
              <w:tl2br w:val="nil"/>
              <w:tr2bl w:val="nil"/>
            </w:tcBorders>
            <w:shd w:val="clear" w:color="auto" w:fill="auto"/>
            <w:vAlign w:val="center"/>
          </w:tcPr>
          <w:p w14:paraId="79C8BF3E">
            <w:pPr>
              <w:pStyle w:val="766"/>
              <w:rPr>
                <w:color w:val="auto"/>
              </w:rPr>
            </w:pPr>
            <w:r>
              <w:rPr>
                <w:color w:val="auto"/>
              </w:rPr>
              <w:t>CAS号</w:t>
            </w:r>
          </w:p>
        </w:tc>
        <w:tc>
          <w:tcPr>
            <w:tcW w:w="1789" w:type="dxa"/>
            <w:tcBorders>
              <w:tl2br w:val="nil"/>
              <w:tr2bl w:val="nil"/>
            </w:tcBorders>
            <w:shd w:val="clear" w:color="auto" w:fill="auto"/>
            <w:vAlign w:val="center"/>
          </w:tcPr>
          <w:p w14:paraId="23C7EBE1">
            <w:pPr>
              <w:pStyle w:val="766"/>
              <w:rPr>
                <w:color w:val="auto"/>
              </w:rPr>
            </w:pPr>
            <w:r>
              <w:rPr>
                <w:color w:val="auto"/>
              </w:rPr>
              <w:t>最大存在总量q</w:t>
            </w:r>
            <w:r>
              <w:rPr>
                <w:color w:val="auto"/>
                <w:vertAlign w:val="subscript"/>
              </w:rPr>
              <w:t>n</w:t>
            </w:r>
            <w:r>
              <w:rPr>
                <w:color w:val="auto"/>
              </w:rPr>
              <w:t>/t</w:t>
            </w:r>
          </w:p>
        </w:tc>
        <w:tc>
          <w:tcPr>
            <w:tcW w:w="1376" w:type="dxa"/>
            <w:tcBorders>
              <w:tl2br w:val="nil"/>
              <w:tr2bl w:val="nil"/>
            </w:tcBorders>
            <w:shd w:val="clear" w:color="auto" w:fill="auto"/>
            <w:vAlign w:val="center"/>
          </w:tcPr>
          <w:p w14:paraId="5DB873CC">
            <w:pPr>
              <w:pStyle w:val="766"/>
              <w:rPr>
                <w:color w:val="auto"/>
              </w:rPr>
            </w:pPr>
            <w:r>
              <w:rPr>
                <w:color w:val="auto"/>
              </w:rPr>
              <w:t>临界量Q</w:t>
            </w:r>
            <w:r>
              <w:rPr>
                <w:color w:val="auto"/>
                <w:vertAlign w:val="subscript"/>
              </w:rPr>
              <w:t>n</w:t>
            </w:r>
            <w:r>
              <w:rPr>
                <w:color w:val="auto"/>
              </w:rPr>
              <w:t>/t</w:t>
            </w:r>
          </w:p>
        </w:tc>
        <w:tc>
          <w:tcPr>
            <w:tcW w:w="2055" w:type="dxa"/>
            <w:tcBorders>
              <w:tl2br w:val="nil"/>
              <w:tr2bl w:val="nil"/>
            </w:tcBorders>
            <w:shd w:val="clear" w:color="auto" w:fill="auto"/>
            <w:vAlign w:val="center"/>
          </w:tcPr>
          <w:p w14:paraId="1F4506D0">
            <w:pPr>
              <w:pStyle w:val="766"/>
              <w:rPr>
                <w:color w:val="auto"/>
              </w:rPr>
            </w:pPr>
            <w:r>
              <w:rPr>
                <w:color w:val="auto"/>
              </w:rPr>
              <w:t>该种危险物质Q值</w:t>
            </w:r>
          </w:p>
        </w:tc>
      </w:tr>
      <w:tr w14:paraId="778EAE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681" w:type="dxa"/>
            <w:tcBorders>
              <w:tl2br w:val="nil"/>
              <w:tr2bl w:val="nil"/>
            </w:tcBorders>
            <w:shd w:val="clear" w:color="auto" w:fill="auto"/>
            <w:vAlign w:val="center"/>
          </w:tcPr>
          <w:p w14:paraId="04405774">
            <w:pPr>
              <w:pStyle w:val="766"/>
              <w:rPr>
                <w:color w:val="auto"/>
              </w:rPr>
            </w:pPr>
            <w:r>
              <w:rPr>
                <w:color w:val="auto"/>
              </w:rPr>
              <w:t>1</w:t>
            </w:r>
          </w:p>
        </w:tc>
        <w:tc>
          <w:tcPr>
            <w:tcW w:w="1569" w:type="dxa"/>
            <w:tcBorders>
              <w:tl2br w:val="nil"/>
              <w:tr2bl w:val="nil"/>
            </w:tcBorders>
            <w:shd w:val="clear" w:color="auto" w:fill="auto"/>
            <w:vAlign w:val="center"/>
          </w:tcPr>
          <w:p w14:paraId="606D1A3A">
            <w:pPr>
              <w:pStyle w:val="766"/>
              <w:rPr>
                <w:color w:val="auto"/>
              </w:rPr>
            </w:pPr>
            <w:r>
              <w:rPr>
                <w:color w:val="auto"/>
              </w:rPr>
              <w:t>天然气</w:t>
            </w:r>
          </w:p>
        </w:tc>
        <w:tc>
          <w:tcPr>
            <w:tcW w:w="1380" w:type="dxa"/>
            <w:tcBorders>
              <w:tl2br w:val="nil"/>
              <w:tr2bl w:val="nil"/>
            </w:tcBorders>
            <w:shd w:val="clear" w:color="auto" w:fill="auto"/>
            <w:vAlign w:val="center"/>
          </w:tcPr>
          <w:p w14:paraId="209B321B">
            <w:pPr>
              <w:pStyle w:val="766"/>
              <w:rPr>
                <w:color w:val="auto"/>
              </w:rPr>
            </w:pPr>
            <w:r>
              <w:rPr>
                <w:color w:val="auto"/>
              </w:rPr>
              <w:t>74-82-8</w:t>
            </w:r>
          </w:p>
        </w:tc>
        <w:tc>
          <w:tcPr>
            <w:tcW w:w="1789" w:type="dxa"/>
            <w:tcBorders>
              <w:tl2br w:val="nil"/>
              <w:tr2bl w:val="nil"/>
            </w:tcBorders>
            <w:shd w:val="clear" w:color="auto" w:fill="auto"/>
            <w:vAlign w:val="center"/>
          </w:tcPr>
          <w:p w14:paraId="6E0A03A0">
            <w:pPr>
              <w:pStyle w:val="766"/>
              <w:rPr>
                <w:color w:val="auto"/>
              </w:rPr>
            </w:pPr>
            <w:r>
              <w:rPr>
                <w:rFonts w:hint="eastAsia"/>
                <w:color w:val="auto"/>
              </w:rPr>
              <w:t>0.</w:t>
            </w:r>
            <w:r>
              <w:rPr>
                <w:color w:val="auto"/>
              </w:rPr>
              <w:t>1</w:t>
            </w:r>
          </w:p>
        </w:tc>
        <w:tc>
          <w:tcPr>
            <w:tcW w:w="1376" w:type="dxa"/>
            <w:tcBorders>
              <w:tl2br w:val="nil"/>
              <w:tr2bl w:val="nil"/>
            </w:tcBorders>
            <w:shd w:val="clear" w:color="auto" w:fill="auto"/>
            <w:vAlign w:val="center"/>
          </w:tcPr>
          <w:p w14:paraId="1DD82E78">
            <w:pPr>
              <w:pStyle w:val="766"/>
              <w:rPr>
                <w:color w:val="auto"/>
              </w:rPr>
            </w:pPr>
            <w:r>
              <w:rPr>
                <w:color w:val="auto"/>
              </w:rPr>
              <w:t>10</w:t>
            </w:r>
          </w:p>
        </w:tc>
        <w:tc>
          <w:tcPr>
            <w:tcW w:w="2055" w:type="dxa"/>
            <w:tcBorders>
              <w:tl2br w:val="nil"/>
              <w:tr2bl w:val="nil"/>
            </w:tcBorders>
            <w:shd w:val="clear" w:color="auto" w:fill="auto"/>
            <w:vAlign w:val="center"/>
          </w:tcPr>
          <w:p w14:paraId="44386638">
            <w:pPr>
              <w:pStyle w:val="766"/>
              <w:rPr>
                <w:color w:val="auto"/>
              </w:rPr>
            </w:pPr>
            <w:r>
              <w:rPr>
                <w:color w:val="auto"/>
                <w:sz w:val="22"/>
                <w:szCs w:val="22"/>
              </w:rPr>
              <w:t>0.</w:t>
            </w:r>
            <w:r>
              <w:rPr>
                <w:rFonts w:hint="eastAsia"/>
                <w:color w:val="auto"/>
                <w:sz w:val="22"/>
                <w:szCs w:val="22"/>
              </w:rPr>
              <w:t>0</w:t>
            </w:r>
            <w:r>
              <w:rPr>
                <w:color w:val="auto"/>
                <w:sz w:val="22"/>
                <w:szCs w:val="22"/>
              </w:rPr>
              <w:t>1</w:t>
            </w:r>
          </w:p>
        </w:tc>
      </w:tr>
      <w:tr w14:paraId="499A20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1" w:type="dxa"/>
            <w:tcBorders>
              <w:tl2br w:val="nil"/>
              <w:tr2bl w:val="nil"/>
            </w:tcBorders>
            <w:shd w:val="clear" w:color="auto" w:fill="auto"/>
            <w:vAlign w:val="center"/>
          </w:tcPr>
          <w:p w14:paraId="1B38D0BD">
            <w:pPr>
              <w:pStyle w:val="766"/>
              <w:rPr>
                <w:color w:val="auto"/>
              </w:rPr>
            </w:pPr>
            <w:r>
              <w:rPr>
                <w:color w:val="auto"/>
              </w:rPr>
              <w:t>2</w:t>
            </w:r>
          </w:p>
        </w:tc>
        <w:tc>
          <w:tcPr>
            <w:tcW w:w="1569" w:type="dxa"/>
            <w:tcBorders>
              <w:tl2br w:val="nil"/>
              <w:tr2bl w:val="nil"/>
            </w:tcBorders>
            <w:shd w:val="clear" w:color="auto" w:fill="auto"/>
            <w:vAlign w:val="center"/>
          </w:tcPr>
          <w:p w14:paraId="5CA5206C">
            <w:pPr>
              <w:pStyle w:val="766"/>
              <w:rPr>
                <w:color w:val="auto"/>
              </w:rPr>
            </w:pPr>
            <w:r>
              <w:rPr>
                <w:color w:val="auto"/>
              </w:rPr>
              <w:t>医疗废物</w:t>
            </w:r>
          </w:p>
        </w:tc>
        <w:tc>
          <w:tcPr>
            <w:tcW w:w="1380" w:type="dxa"/>
            <w:tcBorders>
              <w:tl2br w:val="nil"/>
              <w:tr2bl w:val="nil"/>
            </w:tcBorders>
            <w:shd w:val="clear" w:color="auto" w:fill="auto"/>
            <w:vAlign w:val="center"/>
          </w:tcPr>
          <w:p w14:paraId="6DAC950A">
            <w:pPr>
              <w:pStyle w:val="766"/>
              <w:rPr>
                <w:color w:val="auto"/>
              </w:rPr>
            </w:pPr>
            <w:r>
              <w:rPr>
                <w:color w:val="auto"/>
              </w:rPr>
              <w:t>/</w:t>
            </w:r>
          </w:p>
        </w:tc>
        <w:tc>
          <w:tcPr>
            <w:tcW w:w="1789" w:type="dxa"/>
            <w:tcBorders>
              <w:tl2br w:val="nil"/>
              <w:tr2bl w:val="nil"/>
            </w:tcBorders>
            <w:shd w:val="clear" w:color="auto" w:fill="auto"/>
            <w:vAlign w:val="center"/>
          </w:tcPr>
          <w:p w14:paraId="0150EF66">
            <w:pPr>
              <w:pStyle w:val="766"/>
              <w:rPr>
                <w:color w:val="auto"/>
              </w:rPr>
            </w:pPr>
            <w:r>
              <w:rPr>
                <w:color w:val="auto"/>
              </w:rPr>
              <w:t>0.05</w:t>
            </w:r>
          </w:p>
        </w:tc>
        <w:tc>
          <w:tcPr>
            <w:tcW w:w="1376" w:type="dxa"/>
            <w:tcBorders>
              <w:tl2br w:val="nil"/>
              <w:tr2bl w:val="nil"/>
            </w:tcBorders>
            <w:shd w:val="clear" w:color="auto" w:fill="auto"/>
            <w:vAlign w:val="center"/>
          </w:tcPr>
          <w:p w14:paraId="611EF4D5">
            <w:pPr>
              <w:pStyle w:val="766"/>
              <w:rPr>
                <w:color w:val="auto"/>
              </w:rPr>
            </w:pPr>
            <w:r>
              <w:rPr>
                <w:color w:val="auto"/>
              </w:rPr>
              <w:t>50</w:t>
            </w:r>
          </w:p>
        </w:tc>
        <w:tc>
          <w:tcPr>
            <w:tcW w:w="2055" w:type="dxa"/>
            <w:tcBorders>
              <w:tl2br w:val="nil"/>
              <w:tr2bl w:val="nil"/>
            </w:tcBorders>
            <w:shd w:val="clear" w:color="auto" w:fill="auto"/>
            <w:vAlign w:val="center"/>
          </w:tcPr>
          <w:p w14:paraId="64EB1596">
            <w:pPr>
              <w:pStyle w:val="766"/>
              <w:rPr>
                <w:color w:val="auto"/>
              </w:rPr>
            </w:pPr>
            <w:r>
              <w:rPr>
                <w:color w:val="auto"/>
              </w:rPr>
              <w:t>0.001</w:t>
            </w:r>
          </w:p>
        </w:tc>
      </w:tr>
      <w:tr w14:paraId="0DCB55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6795" w:type="dxa"/>
            <w:gridSpan w:val="5"/>
            <w:tcBorders>
              <w:tl2br w:val="nil"/>
              <w:tr2bl w:val="nil"/>
            </w:tcBorders>
            <w:shd w:val="clear" w:color="auto" w:fill="auto"/>
            <w:vAlign w:val="center"/>
          </w:tcPr>
          <w:p w14:paraId="17B85A42">
            <w:pPr>
              <w:pStyle w:val="766"/>
              <w:rPr>
                <w:color w:val="auto"/>
              </w:rPr>
            </w:pPr>
            <w:r>
              <w:rPr>
                <w:color w:val="auto"/>
              </w:rPr>
              <w:t>项目Q值Σ</w:t>
            </w:r>
          </w:p>
        </w:tc>
        <w:tc>
          <w:tcPr>
            <w:tcW w:w="2055" w:type="dxa"/>
            <w:tcBorders>
              <w:tl2br w:val="nil"/>
              <w:tr2bl w:val="nil"/>
            </w:tcBorders>
            <w:shd w:val="clear" w:color="auto" w:fill="auto"/>
            <w:vAlign w:val="center"/>
          </w:tcPr>
          <w:p w14:paraId="324105C2">
            <w:pPr>
              <w:pStyle w:val="766"/>
              <w:rPr>
                <w:color w:val="auto"/>
              </w:rPr>
            </w:pPr>
            <w:r>
              <w:rPr>
                <w:color w:val="auto"/>
              </w:rPr>
              <w:t>0.</w:t>
            </w:r>
            <w:r>
              <w:rPr>
                <w:rFonts w:hint="eastAsia"/>
                <w:color w:val="auto"/>
              </w:rPr>
              <w:t>011</w:t>
            </w:r>
          </w:p>
        </w:tc>
      </w:tr>
    </w:tbl>
    <w:p w14:paraId="79B5BF27">
      <w:pPr>
        <w:ind w:firstLine="480"/>
      </w:pPr>
      <w:r>
        <w:t>本项目1≤Q&lt;10。</w:t>
      </w:r>
    </w:p>
    <w:p w14:paraId="1FB8F711">
      <w:pPr>
        <w:pStyle w:val="10"/>
      </w:pPr>
      <w:bookmarkStart w:id="447" w:name="_Toc166572334"/>
      <w:bookmarkStart w:id="448" w:name="_Toc25584"/>
      <w:r>
        <w:t>6.2环境敏感目标</w:t>
      </w:r>
      <w:bookmarkEnd w:id="447"/>
      <w:bookmarkEnd w:id="448"/>
    </w:p>
    <w:p w14:paraId="61C5714A">
      <w:pPr>
        <w:ind w:firstLine="480"/>
      </w:pPr>
      <w:r>
        <w:t>按照《建设项目环境风险评价技术导则》（HJ169-2018）中大气环境敏感程度分级，本次大气环境敏感目标调查范围为厂区周边2.5km范围内居住区、医疗卫生、文化教育、科研、行政办公等机构；本项目产生的生产废水、生活污水均排入污水处理设施处理后冬储夏灌；地下水环境敏感目标调查范围为</w:t>
      </w:r>
      <w:r>
        <w:rPr>
          <w:rFonts w:hint="eastAsia"/>
        </w:rPr>
        <w:t>项目区上游L/2（613.5m），项目区两侧L（1227m），项目区下游L（1227m）围成的矩形区域.</w:t>
      </w:r>
      <w:r>
        <w:t>。</w:t>
      </w:r>
    </w:p>
    <w:p w14:paraId="30ED4C0B">
      <w:pPr>
        <w:adjustRightInd w:val="0"/>
        <w:snapToGrid w:val="0"/>
        <w:ind w:firstLine="480"/>
      </w:pPr>
      <w:r>
        <w:t>本项目环境敏感特征情况见表2.7-1。</w:t>
      </w:r>
    </w:p>
    <w:p w14:paraId="58A9DEB3">
      <w:pPr>
        <w:pStyle w:val="10"/>
      </w:pPr>
      <w:bookmarkStart w:id="449" w:name="_Toc27982"/>
      <w:bookmarkStart w:id="450" w:name="_Toc166572335"/>
      <w:r>
        <w:t>6.3风险评价等级与范围</w:t>
      </w:r>
      <w:bookmarkEnd w:id="449"/>
      <w:bookmarkEnd w:id="450"/>
    </w:p>
    <w:p w14:paraId="56A69A63">
      <w:pPr>
        <w:pStyle w:val="230"/>
        <w:ind w:firstLine="480"/>
        <w:rPr>
          <w:lang w:eastAsia="zh-CN"/>
        </w:rPr>
      </w:pPr>
      <w:r>
        <w:rPr>
          <w:lang w:eastAsia="zh-CN"/>
        </w:rPr>
        <w:t>（1）危险物质及工艺系统危险性（P）的确定</w:t>
      </w:r>
    </w:p>
    <w:p w14:paraId="61F7CE78">
      <w:pPr>
        <w:pStyle w:val="230"/>
        <w:ind w:firstLine="480"/>
        <w:rPr>
          <w:lang w:val="zh-CN" w:eastAsia="zh-CN"/>
        </w:rPr>
      </w:pPr>
      <w:r>
        <w:rPr>
          <w:lang w:eastAsia="zh-CN"/>
        </w:rPr>
        <w:t>根据《建设项目环境风险评价技术导则》（HJ 169-2018），评价工作等级划分见表6.3-1。</w:t>
      </w:r>
    </w:p>
    <w:p w14:paraId="33F64B04">
      <w:pPr>
        <w:pStyle w:val="369"/>
      </w:pPr>
      <w:r>
        <w:t xml:space="preserve">表6.3-1  </w:t>
      </w:r>
      <w:r>
        <w:rPr>
          <w:lang w:val="zh-CN"/>
        </w:rPr>
        <w:t>评价工作等级划分</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79"/>
        <w:gridCol w:w="1740"/>
        <w:gridCol w:w="1648"/>
        <w:gridCol w:w="1694"/>
        <w:gridCol w:w="1920"/>
      </w:tblGrid>
      <w:tr w14:paraId="68EC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018" w:type="dxa"/>
            <w:vAlign w:val="center"/>
          </w:tcPr>
          <w:p w14:paraId="53D90040">
            <w:pPr>
              <w:pStyle w:val="766"/>
              <w:rPr>
                <w:color w:val="auto"/>
              </w:rPr>
            </w:pPr>
            <w:r>
              <w:rPr>
                <w:color w:val="auto"/>
              </w:rPr>
              <w:t>环境风险潜势</w:t>
            </w:r>
          </w:p>
        </w:tc>
        <w:tc>
          <w:tcPr>
            <w:tcW w:w="1689" w:type="dxa"/>
            <w:vAlign w:val="center"/>
          </w:tcPr>
          <w:p w14:paraId="37ED333E">
            <w:pPr>
              <w:pStyle w:val="766"/>
              <w:rPr>
                <w:color w:val="auto"/>
                <w:lang w:val="zh-CN"/>
              </w:rPr>
            </w:pPr>
            <w:r>
              <w:rPr>
                <w:color w:val="auto"/>
                <w:lang w:val="zh-CN"/>
              </w:rPr>
              <w:t>Ⅳ、Ⅳ+</w:t>
            </w:r>
          </w:p>
        </w:tc>
        <w:tc>
          <w:tcPr>
            <w:tcW w:w="1599" w:type="dxa"/>
            <w:vAlign w:val="center"/>
          </w:tcPr>
          <w:p w14:paraId="3AC145AE">
            <w:pPr>
              <w:pStyle w:val="766"/>
              <w:rPr>
                <w:color w:val="auto"/>
                <w:lang w:val="zh-CN"/>
              </w:rPr>
            </w:pPr>
            <w:r>
              <w:rPr>
                <w:color w:val="auto"/>
                <w:lang w:val="zh-CN"/>
              </w:rPr>
              <w:t>Ⅲ</w:t>
            </w:r>
          </w:p>
        </w:tc>
        <w:tc>
          <w:tcPr>
            <w:tcW w:w="1644" w:type="dxa"/>
            <w:vAlign w:val="center"/>
          </w:tcPr>
          <w:p w14:paraId="57C2F696">
            <w:pPr>
              <w:pStyle w:val="766"/>
              <w:rPr>
                <w:color w:val="auto"/>
                <w:lang w:val="zh-CN"/>
              </w:rPr>
            </w:pPr>
            <w:r>
              <w:rPr>
                <w:color w:val="auto"/>
                <w:lang w:val="zh-CN"/>
              </w:rPr>
              <w:t>Ⅱ</w:t>
            </w:r>
          </w:p>
        </w:tc>
        <w:tc>
          <w:tcPr>
            <w:tcW w:w="1863" w:type="dxa"/>
            <w:vAlign w:val="center"/>
          </w:tcPr>
          <w:p w14:paraId="5B62EB9B">
            <w:pPr>
              <w:pStyle w:val="766"/>
              <w:rPr>
                <w:color w:val="auto"/>
                <w:lang w:val="zh-CN"/>
              </w:rPr>
            </w:pPr>
            <w:r>
              <w:rPr>
                <w:color w:val="auto"/>
                <w:lang w:val="zh-CN"/>
              </w:rPr>
              <w:t>Ⅰ</w:t>
            </w:r>
          </w:p>
        </w:tc>
      </w:tr>
      <w:tr w14:paraId="315F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018" w:type="dxa"/>
            <w:vAlign w:val="center"/>
          </w:tcPr>
          <w:p w14:paraId="2F510E3E">
            <w:pPr>
              <w:pStyle w:val="766"/>
              <w:rPr>
                <w:color w:val="auto"/>
              </w:rPr>
            </w:pPr>
            <w:r>
              <w:rPr>
                <w:color w:val="auto"/>
              </w:rPr>
              <w:t>评价工作等级</w:t>
            </w:r>
          </w:p>
        </w:tc>
        <w:tc>
          <w:tcPr>
            <w:tcW w:w="1689" w:type="dxa"/>
            <w:vAlign w:val="center"/>
          </w:tcPr>
          <w:p w14:paraId="52B3F1EE">
            <w:pPr>
              <w:pStyle w:val="766"/>
              <w:rPr>
                <w:color w:val="auto"/>
                <w:lang w:val="zh-CN"/>
              </w:rPr>
            </w:pPr>
            <w:r>
              <w:rPr>
                <w:color w:val="auto"/>
                <w:lang w:val="zh-CN"/>
              </w:rPr>
              <w:t>一</w:t>
            </w:r>
          </w:p>
        </w:tc>
        <w:tc>
          <w:tcPr>
            <w:tcW w:w="1599" w:type="dxa"/>
            <w:vAlign w:val="center"/>
          </w:tcPr>
          <w:p w14:paraId="0C44F9CC">
            <w:pPr>
              <w:pStyle w:val="766"/>
              <w:rPr>
                <w:color w:val="auto"/>
                <w:lang w:val="zh-CN"/>
              </w:rPr>
            </w:pPr>
            <w:r>
              <w:rPr>
                <w:color w:val="auto"/>
                <w:lang w:val="zh-CN"/>
              </w:rPr>
              <w:t>二</w:t>
            </w:r>
          </w:p>
        </w:tc>
        <w:tc>
          <w:tcPr>
            <w:tcW w:w="1644" w:type="dxa"/>
            <w:vAlign w:val="center"/>
          </w:tcPr>
          <w:p w14:paraId="646CEE8E">
            <w:pPr>
              <w:pStyle w:val="766"/>
              <w:rPr>
                <w:color w:val="auto"/>
                <w:lang w:val="zh-CN"/>
              </w:rPr>
            </w:pPr>
            <w:r>
              <w:rPr>
                <w:color w:val="auto"/>
                <w:lang w:val="zh-CN"/>
              </w:rPr>
              <w:t>三</w:t>
            </w:r>
          </w:p>
        </w:tc>
        <w:tc>
          <w:tcPr>
            <w:tcW w:w="1863" w:type="dxa"/>
            <w:vAlign w:val="center"/>
          </w:tcPr>
          <w:p w14:paraId="4BC05867">
            <w:pPr>
              <w:pStyle w:val="766"/>
              <w:rPr>
                <w:color w:val="auto"/>
                <w:lang w:val="zh-CN"/>
              </w:rPr>
            </w:pPr>
            <w:r>
              <w:rPr>
                <w:color w:val="auto"/>
                <w:lang w:val="zh-CN"/>
              </w:rPr>
              <w:t xml:space="preserve">简单分析 </w:t>
            </w:r>
            <w:r>
              <w:rPr>
                <w:color w:val="auto"/>
                <w:vertAlign w:val="superscript"/>
                <w:lang w:val="zh-CN"/>
              </w:rPr>
              <w:t>a</w:t>
            </w:r>
          </w:p>
        </w:tc>
      </w:tr>
      <w:tr w14:paraId="48E0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jc w:val="center"/>
        </w:trPr>
        <w:tc>
          <w:tcPr>
            <w:tcW w:w="8813" w:type="dxa"/>
            <w:gridSpan w:val="5"/>
            <w:vAlign w:val="center"/>
          </w:tcPr>
          <w:p w14:paraId="57F427F1">
            <w:pPr>
              <w:pStyle w:val="766"/>
              <w:rPr>
                <w:color w:val="auto"/>
                <w:lang w:val="zh-CN"/>
              </w:rPr>
            </w:pPr>
            <w:r>
              <w:rPr>
                <w:color w:val="auto"/>
                <w:lang w:val="zh-CN"/>
              </w:rPr>
              <w:t>a 是相对于详细评价工作内容而言，在描述危险物质、环境影响途径、环境危害后果、风险防范措施等方面给出定性的说明。</w:t>
            </w:r>
          </w:p>
        </w:tc>
      </w:tr>
    </w:tbl>
    <w:p w14:paraId="2A8EE282">
      <w:pPr>
        <w:pStyle w:val="230"/>
        <w:ind w:firstLine="480"/>
        <w:rPr>
          <w:b/>
          <w:bCs/>
          <w:lang w:eastAsia="zh-CN"/>
        </w:rPr>
      </w:pPr>
      <w:r>
        <w:rPr>
          <w:lang w:eastAsia="zh-CN"/>
        </w:rPr>
        <w:t>因为本项目环境风险潜势为Ⅰ，根据导则判定，本项目风险评价工作可进行简单分析。</w:t>
      </w:r>
    </w:p>
    <w:p w14:paraId="3D86F77F">
      <w:pPr>
        <w:pStyle w:val="230"/>
        <w:ind w:firstLine="480"/>
        <w:rPr>
          <w:lang w:eastAsia="zh-CN"/>
        </w:rPr>
      </w:pPr>
      <w:r>
        <w:rPr>
          <w:lang w:eastAsia="zh-CN"/>
        </w:rPr>
        <w:t>（2）评价等级和评价范围</w:t>
      </w:r>
    </w:p>
    <w:p w14:paraId="19A0A477">
      <w:pPr>
        <w:pStyle w:val="230"/>
        <w:ind w:firstLine="480"/>
        <w:rPr>
          <w:lang w:eastAsia="zh-CN"/>
        </w:rPr>
      </w:pPr>
      <w:r>
        <w:rPr>
          <w:lang w:eastAsia="zh-CN"/>
        </w:rPr>
        <w:t>本项目危险物质在事故情形下的环境影响途径包括大气、地表水、地下水，本项目大气环境风险潜势为Ⅰ、地表水环境风险潜势为Ⅰ、地下水环境风险潜势为Ⅰ。根据《建设项目环境风险评价技术导则》（HJ169-2018）评价工作等级划分要求，确定本项目环境风险评价等级为大气环境、地表水、地下水均为简单分析。</w:t>
      </w:r>
    </w:p>
    <w:p w14:paraId="5D4FF3FB">
      <w:pPr>
        <w:pStyle w:val="369"/>
      </w:pPr>
      <w:r>
        <w:t>表6.3-2    风险评价工作级别划分</w:t>
      </w:r>
    </w:p>
    <w:tbl>
      <w:tblPr>
        <w:tblStyle w:val="82"/>
        <w:tblW w:w="5000"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369"/>
        <w:gridCol w:w="1524"/>
        <w:gridCol w:w="1516"/>
        <w:gridCol w:w="1544"/>
        <w:gridCol w:w="1525"/>
        <w:gridCol w:w="1623"/>
      </w:tblGrid>
      <w:tr w14:paraId="0B89B9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37" w:hRule="atLeast"/>
        </w:trPr>
        <w:tc>
          <w:tcPr>
            <w:tcW w:w="2893" w:type="dxa"/>
            <w:gridSpan w:val="2"/>
            <w:tcBorders>
              <w:tl2br w:val="nil"/>
              <w:tr2bl w:val="nil"/>
            </w:tcBorders>
            <w:shd w:val="clear" w:color="auto" w:fill="auto"/>
            <w:vAlign w:val="center"/>
          </w:tcPr>
          <w:p w14:paraId="010B02A5">
            <w:pPr>
              <w:pStyle w:val="766"/>
              <w:rPr>
                <w:color w:val="auto"/>
              </w:rPr>
            </w:pPr>
            <w:r>
              <w:rPr>
                <w:color w:val="auto"/>
              </w:rPr>
              <w:t>环境风险潜势</w:t>
            </w:r>
          </w:p>
        </w:tc>
        <w:tc>
          <w:tcPr>
            <w:tcW w:w="1516" w:type="dxa"/>
            <w:tcBorders>
              <w:tl2br w:val="nil"/>
              <w:tr2bl w:val="nil"/>
            </w:tcBorders>
            <w:shd w:val="clear" w:color="auto" w:fill="auto"/>
            <w:vAlign w:val="center"/>
          </w:tcPr>
          <w:p w14:paraId="6065D5C8">
            <w:pPr>
              <w:pStyle w:val="766"/>
              <w:rPr>
                <w:color w:val="auto"/>
              </w:rPr>
            </w:pPr>
            <w:r>
              <w:rPr>
                <w:color w:val="auto"/>
              </w:rPr>
              <w:t>IV+、IV</w:t>
            </w:r>
          </w:p>
        </w:tc>
        <w:tc>
          <w:tcPr>
            <w:tcW w:w="1544" w:type="dxa"/>
            <w:tcBorders>
              <w:tl2br w:val="nil"/>
              <w:tr2bl w:val="nil"/>
            </w:tcBorders>
            <w:shd w:val="clear" w:color="auto" w:fill="auto"/>
            <w:vAlign w:val="center"/>
          </w:tcPr>
          <w:p w14:paraId="3D2059D9">
            <w:pPr>
              <w:pStyle w:val="766"/>
              <w:rPr>
                <w:color w:val="auto"/>
              </w:rPr>
            </w:pPr>
            <w:r>
              <w:rPr>
                <w:color w:val="auto"/>
              </w:rPr>
              <w:t>III</w:t>
            </w:r>
          </w:p>
        </w:tc>
        <w:tc>
          <w:tcPr>
            <w:tcW w:w="1525" w:type="dxa"/>
            <w:tcBorders>
              <w:tl2br w:val="nil"/>
              <w:tr2bl w:val="nil"/>
            </w:tcBorders>
            <w:shd w:val="clear" w:color="auto" w:fill="auto"/>
            <w:vAlign w:val="center"/>
          </w:tcPr>
          <w:p w14:paraId="4DF036B1">
            <w:pPr>
              <w:pStyle w:val="766"/>
              <w:rPr>
                <w:color w:val="auto"/>
              </w:rPr>
            </w:pPr>
            <w:r>
              <w:rPr>
                <w:color w:val="auto"/>
              </w:rPr>
              <w:t>II</w:t>
            </w:r>
          </w:p>
        </w:tc>
        <w:tc>
          <w:tcPr>
            <w:tcW w:w="1623" w:type="dxa"/>
            <w:tcBorders>
              <w:tl2br w:val="nil"/>
              <w:tr2bl w:val="nil"/>
            </w:tcBorders>
            <w:shd w:val="clear" w:color="auto" w:fill="auto"/>
            <w:vAlign w:val="center"/>
          </w:tcPr>
          <w:p w14:paraId="04262B10">
            <w:pPr>
              <w:pStyle w:val="766"/>
              <w:rPr>
                <w:color w:val="auto"/>
              </w:rPr>
            </w:pPr>
            <w:r>
              <w:rPr>
                <w:color w:val="auto"/>
              </w:rPr>
              <w:t>I</w:t>
            </w:r>
          </w:p>
        </w:tc>
      </w:tr>
      <w:tr w14:paraId="257AA0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893" w:type="dxa"/>
            <w:gridSpan w:val="2"/>
            <w:tcBorders>
              <w:tl2br w:val="nil"/>
              <w:tr2bl w:val="nil"/>
            </w:tcBorders>
            <w:shd w:val="clear" w:color="auto" w:fill="auto"/>
            <w:vAlign w:val="center"/>
          </w:tcPr>
          <w:p w14:paraId="5B910532">
            <w:pPr>
              <w:pStyle w:val="766"/>
              <w:rPr>
                <w:color w:val="auto"/>
              </w:rPr>
            </w:pPr>
            <w:r>
              <w:rPr>
                <w:color w:val="auto"/>
              </w:rPr>
              <w:t>评价工作等级</w:t>
            </w:r>
          </w:p>
        </w:tc>
        <w:tc>
          <w:tcPr>
            <w:tcW w:w="1516" w:type="dxa"/>
            <w:tcBorders>
              <w:tl2br w:val="nil"/>
              <w:tr2bl w:val="nil"/>
            </w:tcBorders>
            <w:shd w:val="clear" w:color="auto" w:fill="auto"/>
            <w:vAlign w:val="center"/>
          </w:tcPr>
          <w:p w14:paraId="7FD70CD9">
            <w:pPr>
              <w:pStyle w:val="766"/>
              <w:rPr>
                <w:color w:val="auto"/>
              </w:rPr>
            </w:pPr>
            <w:r>
              <w:rPr>
                <w:color w:val="auto"/>
              </w:rPr>
              <w:t>一</w:t>
            </w:r>
          </w:p>
        </w:tc>
        <w:tc>
          <w:tcPr>
            <w:tcW w:w="1544" w:type="dxa"/>
            <w:tcBorders>
              <w:tl2br w:val="nil"/>
              <w:tr2bl w:val="nil"/>
            </w:tcBorders>
            <w:shd w:val="clear" w:color="auto" w:fill="auto"/>
            <w:vAlign w:val="center"/>
          </w:tcPr>
          <w:p w14:paraId="7719B58E">
            <w:pPr>
              <w:pStyle w:val="766"/>
              <w:rPr>
                <w:color w:val="auto"/>
              </w:rPr>
            </w:pPr>
            <w:r>
              <w:rPr>
                <w:color w:val="auto"/>
              </w:rPr>
              <w:t>二</w:t>
            </w:r>
          </w:p>
        </w:tc>
        <w:tc>
          <w:tcPr>
            <w:tcW w:w="1525" w:type="dxa"/>
            <w:tcBorders>
              <w:tl2br w:val="nil"/>
              <w:tr2bl w:val="nil"/>
            </w:tcBorders>
            <w:shd w:val="clear" w:color="auto" w:fill="auto"/>
            <w:vAlign w:val="center"/>
          </w:tcPr>
          <w:p w14:paraId="628B355C">
            <w:pPr>
              <w:pStyle w:val="766"/>
              <w:rPr>
                <w:color w:val="auto"/>
              </w:rPr>
            </w:pPr>
            <w:r>
              <w:rPr>
                <w:color w:val="auto"/>
              </w:rPr>
              <w:t>三</w:t>
            </w:r>
          </w:p>
        </w:tc>
        <w:tc>
          <w:tcPr>
            <w:tcW w:w="1623" w:type="dxa"/>
            <w:tcBorders>
              <w:tl2br w:val="nil"/>
              <w:tr2bl w:val="nil"/>
            </w:tcBorders>
            <w:shd w:val="clear" w:color="auto" w:fill="auto"/>
            <w:vAlign w:val="center"/>
          </w:tcPr>
          <w:p w14:paraId="04C809A9">
            <w:pPr>
              <w:pStyle w:val="766"/>
              <w:rPr>
                <w:color w:val="auto"/>
              </w:rPr>
            </w:pPr>
            <w:r>
              <w:rPr>
                <w:color w:val="auto"/>
              </w:rPr>
              <w:t>简单分析a</w:t>
            </w:r>
          </w:p>
        </w:tc>
      </w:tr>
      <w:tr w14:paraId="6D447F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69" w:type="dxa"/>
            <w:vMerge w:val="restart"/>
            <w:tcBorders>
              <w:tl2br w:val="nil"/>
              <w:tr2bl w:val="nil"/>
            </w:tcBorders>
            <w:shd w:val="clear" w:color="auto" w:fill="auto"/>
            <w:vAlign w:val="center"/>
          </w:tcPr>
          <w:p w14:paraId="5977B383">
            <w:pPr>
              <w:pStyle w:val="766"/>
              <w:rPr>
                <w:color w:val="auto"/>
              </w:rPr>
            </w:pPr>
            <w:r>
              <w:rPr>
                <w:color w:val="auto"/>
              </w:rPr>
              <w:t>本项目</w:t>
            </w:r>
          </w:p>
        </w:tc>
        <w:tc>
          <w:tcPr>
            <w:tcW w:w="1524" w:type="dxa"/>
            <w:tcBorders>
              <w:tl2br w:val="nil"/>
              <w:tr2bl w:val="nil"/>
            </w:tcBorders>
            <w:shd w:val="clear" w:color="auto" w:fill="auto"/>
            <w:vAlign w:val="center"/>
          </w:tcPr>
          <w:p w14:paraId="0D6CAE83">
            <w:pPr>
              <w:pStyle w:val="766"/>
              <w:rPr>
                <w:color w:val="auto"/>
              </w:rPr>
            </w:pPr>
            <w:r>
              <w:rPr>
                <w:color w:val="auto"/>
              </w:rPr>
              <w:t>大气环境</w:t>
            </w:r>
          </w:p>
        </w:tc>
        <w:tc>
          <w:tcPr>
            <w:tcW w:w="1516" w:type="dxa"/>
            <w:tcBorders>
              <w:tl2br w:val="nil"/>
              <w:tr2bl w:val="nil"/>
            </w:tcBorders>
            <w:shd w:val="clear" w:color="auto" w:fill="auto"/>
            <w:vAlign w:val="center"/>
          </w:tcPr>
          <w:p w14:paraId="25C24360">
            <w:pPr>
              <w:pStyle w:val="766"/>
              <w:rPr>
                <w:color w:val="auto"/>
              </w:rPr>
            </w:pPr>
          </w:p>
        </w:tc>
        <w:tc>
          <w:tcPr>
            <w:tcW w:w="1544" w:type="dxa"/>
            <w:tcBorders>
              <w:tl2br w:val="nil"/>
              <w:tr2bl w:val="nil"/>
            </w:tcBorders>
            <w:shd w:val="clear" w:color="auto" w:fill="auto"/>
            <w:vAlign w:val="center"/>
          </w:tcPr>
          <w:p w14:paraId="3DFE609E">
            <w:pPr>
              <w:pStyle w:val="766"/>
              <w:rPr>
                <w:color w:val="auto"/>
              </w:rPr>
            </w:pPr>
          </w:p>
        </w:tc>
        <w:tc>
          <w:tcPr>
            <w:tcW w:w="1525" w:type="dxa"/>
            <w:tcBorders>
              <w:tl2br w:val="nil"/>
              <w:tr2bl w:val="nil"/>
            </w:tcBorders>
            <w:shd w:val="clear" w:color="auto" w:fill="auto"/>
            <w:vAlign w:val="center"/>
          </w:tcPr>
          <w:p w14:paraId="1B141C1D">
            <w:pPr>
              <w:pStyle w:val="766"/>
              <w:rPr>
                <w:color w:val="auto"/>
              </w:rPr>
            </w:pPr>
          </w:p>
        </w:tc>
        <w:tc>
          <w:tcPr>
            <w:tcW w:w="1623" w:type="dxa"/>
            <w:tcBorders>
              <w:tl2br w:val="nil"/>
              <w:tr2bl w:val="nil"/>
            </w:tcBorders>
            <w:shd w:val="clear" w:color="auto" w:fill="auto"/>
            <w:vAlign w:val="center"/>
          </w:tcPr>
          <w:p w14:paraId="08B0F2FD">
            <w:pPr>
              <w:pStyle w:val="766"/>
              <w:rPr>
                <w:color w:val="auto"/>
              </w:rPr>
            </w:pPr>
            <w:r>
              <w:rPr>
                <w:color w:val="auto"/>
              </w:rPr>
              <w:t>√</w:t>
            </w:r>
          </w:p>
        </w:tc>
      </w:tr>
      <w:tr w14:paraId="138FC3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69" w:type="dxa"/>
            <w:vMerge w:val="continue"/>
            <w:tcBorders>
              <w:tl2br w:val="nil"/>
              <w:tr2bl w:val="nil"/>
            </w:tcBorders>
            <w:shd w:val="clear" w:color="auto" w:fill="auto"/>
            <w:vAlign w:val="center"/>
          </w:tcPr>
          <w:p w14:paraId="48C36C43">
            <w:pPr>
              <w:pStyle w:val="766"/>
              <w:rPr>
                <w:color w:val="auto"/>
              </w:rPr>
            </w:pPr>
          </w:p>
        </w:tc>
        <w:tc>
          <w:tcPr>
            <w:tcW w:w="1524" w:type="dxa"/>
            <w:tcBorders>
              <w:tl2br w:val="nil"/>
              <w:tr2bl w:val="nil"/>
            </w:tcBorders>
            <w:shd w:val="clear" w:color="auto" w:fill="auto"/>
            <w:vAlign w:val="center"/>
          </w:tcPr>
          <w:p w14:paraId="130D69A2">
            <w:pPr>
              <w:pStyle w:val="766"/>
              <w:rPr>
                <w:color w:val="auto"/>
              </w:rPr>
            </w:pPr>
            <w:r>
              <w:rPr>
                <w:color w:val="auto"/>
              </w:rPr>
              <w:t>地表水环境</w:t>
            </w:r>
          </w:p>
        </w:tc>
        <w:tc>
          <w:tcPr>
            <w:tcW w:w="1516" w:type="dxa"/>
            <w:tcBorders>
              <w:tl2br w:val="nil"/>
              <w:tr2bl w:val="nil"/>
            </w:tcBorders>
            <w:shd w:val="clear" w:color="auto" w:fill="auto"/>
            <w:vAlign w:val="center"/>
          </w:tcPr>
          <w:p w14:paraId="58AA557A">
            <w:pPr>
              <w:pStyle w:val="766"/>
              <w:rPr>
                <w:color w:val="auto"/>
              </w:rPr>
            </w:pPr>
          </w:p>
        </w:tc>
        <w:tc>
          <w:tcPr>
            <w:tcW w:w="1544" w:type="dxa"/>
            <w:tcBorders>
              <w:tl2br w:val="nil"/>
              <w:tr2bl w:val="nil"/>
            </w:tcBorders>
            <w:shd w:val="clear" w:color="auto" w:fill="auto"/>
            <w:vAlign w:val="center"/>
          </w:tcPr>
          <w:p w14:paraId="35FA83C7">
            <w:pPr>
              <w:pStyle w:val="766"/>
              <w:rPr>
                <w:color w:val="auto"/>
              </w:rPr>
            </w:pPr>
          </w:p>
        </w:tc>
        <w:tc>
          <w:tcPr>
            <w:tcW w:w="1525" w:type="dxa"/>
            <w:tcBorders>
              <w:tl2br w:val="nil"/>
              <w:tr2bl w:val="nil"/>
            </w:tcBorders>
            <w:shd w:val="clear" w:color="auto" w:fill="auto"/>
            <w:vAlign w:val="center"/>
          </w:tcPr>
          <w:p w14:paraId="217542B0">
            <w:pPr>
              <w:pStyle w:val="766"/>
              <w:rPr>
                <w:color w:val="auto"/>
              </w:rPr>
            </w:pPr>
          </w:p>
        </w:tc>
        <w:tc>
          <w:tcPr>
            <w:tcW w:w="1623" w:type="dxa"/>
            <w:tcBorders>
              <w:tl2br w:val="nil"/>
              <w:tr2bl w:val="nil"/>
            </w:tcBorders>
            <w:shd w:val="clear" w:color="auto" w:fill="auto"/>
            <w:vAlign w:val="center"/>
          </w:tcPr>
          <w:p w14:paraId="28360E0F">
            <w:pPr>
              <w:pStyle w:val="766"/>
              <w:rPr>
                <w:color w:val="auto"/>
              </w:rPr>
            </w:pPr>
            <w:r>
              <w:rPr>
                <w:color w:val="auto"/>
              </w:rPr>
              <w:t>√</w:t>
            </w:r>
          </w:p>
        </w:tc>
      </w:tr>
      <w:tr w14:paraId="13F8AC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69" w:type="dxa"/>
            <w:vMerge w:val="continue"/>
            <w:tcBorders>
              <w:tl2br w:val="nil"/>
              <w:tr2bl w:val="nil"/>
            </w:tcBorders>
            <w:shd w:val="clear" w:color="auto" w:fill="auto"/>
            <w:vAlign w:val="center"/>
          </w:tcPr>
          <w:p w14:paraId="675AEB07">
            <w:pPr>
              <w:pStyle w:val="766"/>
              <w:rPr>
                <w:color w:val="auto"/>
              </w:rPr>
            </w:pPr>
          </w:p>
        </w:tc>
        <w:tc>
          <w:tcPr>
            <w:tcW w:w="1524" w:type="dxa"/>
            <w:tcBorders>
              <w:tl2br w:val="nil"/>
              <w:tr2bl w:val="nil"/>
            </w:tcBorders>
            <w:shd w:val="clear" w:color="auto" w:fill="auto"/>
            <w:vAlign w:val="center"/>
          </w:tcPr>
          <w:p w14:paraId="157B37A4">
            <w:pPr>
              <w:pStyle w:val="766"/>
              <w:rPr>
                <w:color w:val="auto"/>
              </w:rPr>
            </w:pPr>
            <w:r>
              <w:rPr>
                <w:color w:val="auto"/>
              </w:rPr>
              <w:t>地下水环境</w:t>
            </w:r>
          </w:p>
        </w:tc>
        <w:tc>
          <w:tcPr>
            <w:tcW w:w="1516" w:type="dxa"/>
            <w:tcBorders>
              <w:tl2br w:val="nil"/>
              <w:tr2bl w:val="nil"/>
            </w:tcBorders>
            <w:shd w:val="clear" w:color="auto" w:fill="auto"/>
            <w:vAlign w:val="center"/>
          </w:tcPr>
          <w:p w14:paraId="7AFEE3BB">
            <w:pPr>
              <w:pStyle w:val="766"/>
              <w:rPr>
                <w:color w:val="auto"/>
              </w:rPr>
            </w:pPr>
          </w:p>
        </w:tc>
        <w:tc>
          <w:tcPr>
            <w:tcW w:w="1544" w:type="dxa"/>
            <w:tcBorders>
              <w:tl2br w:val="nil"/>
              <w:tr2bl w:val="nil"/>
            </w:tcBorders>
            <w:shd w:val="clear" w:color="auto" w:fill="auto"/>
            <w:vAlign w:val="center"/>
          </w:tcPr>
          <w:p w14:paraId="7EF378A1">
            <w:pPr>
              <w:pStyle w:val="766"/>
              <w:rPr>
                <w:color w:val="auto"/>
              </w:rPr>
            </w:pPr>
          </w:p>
        </w:tc>
        <w:tc>
          <w:tcPr>
            <w:tcW w:w="1525" w:type="dxa"/>
            <w:tcBorders>
              <w:tl2br w:val="nil"/>
              <w:tr2bl w:val="nil"/>
            </w:tcBorders>
            <w:shd w:val="clear" w:color="auto" w:fill="auto"/>
            <w:vAlign w:val="center"/>
          </w:tcPr>
          <w:p w14:paraId="3E5AF7B5">
            <w:pPr>
              <w:pStyle w:val="766"/>
              <w:rPr>
                <w:color w:val="auto"/>
              </w:rPr>
            </w:pPr>
          </w:p>
        </w:tc>
        <w:tc>
          <w:tcPr>
            <w:tcW w:w="1623" w:type="dxa"/>
            <w:tcBorders>
              <w:tl2br w:val="nil"/>
              <w:tr2bl w:val="nil"/>
            </w:tcBorders>
            <w:shd w:val="clear" w:color="auto" w:fill="auto"/>
            <w:vAlign w:val="center"/>
          </w:tcPr>
          <w:p w14:paraId="1BDEFB73">
            <w:pPr>
              <w:pStyle w:val="766"/>
              <w:rPr>
                <w:color w:val="auto"/>
              </w:rPr>
            </w:pPr>
            <w:r>
              <w:rPr>
                <w:color w:val="auto"/>
              </w:rPr>
              <w:t>√</w:t>
            </w:r>
          </w:p>
        </w:tc>
      </w:tr>
      <w:tr w14:paraId="32D2B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9101" w:type="dxa"/>
            <w:gridSpan w:val="6"/>
            <w:tcBorders>
              <w:tl2br w:val="nil"/>
              <w:tr2bl w:val="nil"/>
            </w:tcBorders>
            <w:shd w:val="clear" w:color="auto" w:fill="auto"/>
            <w:vAlign w:val="center"/>
          </w:tcPr>
          <w:p w14:paraId="22046EBE">
            <w:pPr>
              <w:pStyle w:val="766"/>
              <w:rPr>
                <w:color w:val="auto"/>
              </w:rPr>
            </w:pPr>
            <w:r>
              <w:rPr>
                <w:color w:val="auto"/>
              </w:rPr>
              <w:t>a是相对于详细评价工作内容而言，在描述危险物质、环境影响途径、环境危害后果、风险防范措施等方面给出定性说明。见附录 A。</w:t>
            </w:r>
          </w:p>
        </w:tc>
      </w:tr>
    </w:tbl>
    <w:p w14:paraId="1D10C71A">
      <w:pPr>
        <w:pStyle w:val="10"/>
      </w:pPr>
      <w:bookmarkStart w:id="451" w:name="_Toc15571"/>
      <w:bookmarkStart w:id="452" w:name="_Toc20434"/>
      <w:bookmarkStart w:id="453" w:name="_Toc166572336"/>
      <w:r>
        <w:rPr>
          <w:sz w:val="24"/>
        </w:rPr>
        <w:t>6.4</w:t>
      </w:r>
      <w:r>
        <w:t>环境风险识别</w:t>
      </w:r>
      <w:bookmarkEnd w:id="451"/>
      <w:bookmarkEnd w:id="452"/>
      <w:bookmarkEnd w:id="453"/>
    </w:p>
    <w:p w14:paraId="49B3B551">
      <w:pPr>
        <w:pStyle w:val="230"/>
        <w:ind w:firstLine="480"/>
        <w:rPr>
          <w:lang w:eastAsia="zh-CN"/>
        </w:rPr>
      </w:pPr>
      <w:r>
        <w:rPr>
          <w:lang w:eastAsia="zh-CN"/>
        </w:rPr>
        <w:t>根据《建设项目环境风险评价技术导则》（HJ 169-2018）附录B，本项目涉及的危险物质主要为NH</w:t>
      </w:r>
      <w:r>
        <w:rPr>
          <w:vertAlign w:val="subscript"/>
          <w:lang w:eastAsia="zh-CN"/>
        </w:rPr>
        <w:t>3</w:t>
      </w:r>
      <w:r>
        <w:rPr>
          <w:lang w:eastAsia="zh-CN"/>
        </w:rPr>
        <w:t>、H</w:t>
      </w:r>
      <w:r>
        <w:rPr>
          <w:vertAlign w:val="subscript"/>
          <w:lang w:eastAsia="zh-CN"/>
        </w:rPr>
        <w:t>2</w:t>
      </w:r>
      <w:r>
        <w:rPr>
          <w:lang w:eastAsia="zh-CN"/>
        </w:rPr>
        <w:t>S，各危险物质危险性特性见表6.4-1。</w:t>
      </w:r>
    </w:p>
    <w:p w14:paraId="2DA19236">
      <w:pPr>
        <w:pStyle w:val="369"/>
      </w:pPr>
      <w:r>
        <w:t>表6.4-1   本项目危险物质特性一览表</w:t>
      </w:r>
    </w:p>
    <w:tbl>
      <w:tblPr>
        <w:tblStyle w:val="82"/>
        <w:tblW w:w="500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84"/>
        <w:gridCol w:w="714"/>
        <w:gridCol w:w="1301"/>
        <w:gridCol w:w="6502"/>
      </w:tblGrid>
      <w:tr w14:paraId="32248A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1" w:type="pct"/>
            <w:tcBorders>
              <w:tl2br w:val="nil"/>
              <w:tr2bl w:val="nil"/>
            </w:tcBorders>
            <w:vAlign w:val="center"/>
          </w:tcPr>
          <w:p w14:paraId="110B4A66">
            <w:pPr>
              <w:pStyle w:val="766"/>
              <w:rPr>
                <w:color w:val="auto"/>
              </w:rPr>
            </w:pPr>
            <w:r>
              <w:rPr>
                <w:color w:val="auto"/>
              </w:rPr>
              <w:t>序</w:t>
            </w:r>
          </w:p>
          <w:p w14:paraId="280AE34C">
            <w:pPr>
              <w:pStyle w:val="766"/>
              <w:rPr>
                <w:color w:val="auto"/>
              </w:rPr>
            </w:pPr>
            <w:r>
              <w:rPr>
                <w:color w:val="auto"/>
              </w:rPr>
              <w:t>号</w:t>
            </w:r>
          </w:p>
        </w:tc>
        <w:tc>
          <w:tcPr>
            <w:tcW w:w="392" w:type="pct"/>
            <w:tcBorders>
              <w:tl2br w:val="nil"/>
              <w:tr2bl w:val="nil"/>
            </w:tcBorders>
            <w:vAlign w:val="center"/>
          </w:tcPr>
          <w:p w14:paraId="560B0F78">
            <w:pPr>
              <w:pStyle w:val="766"/>
              <w:rPr>
                <w:color w:val="auto"/>
              </w:rPr>
            </w:pPr>
            <w:r>
              <w:rPr>
                <w:color w:val="auto"/>
              </w:rPr>
              <w:t>名称</w:t>
            </w:r>
          </w:p>
        </w:tc>
        <w:tc>
          <w:tcPr>
            <w:tcW w:w="715" w:type="pct"/>
            <w:tcBorders>
              <w:tl2br w:val="nil"/>
              <w:tr2bl w:val="nil"/>
            </w:tcBorders>
            <w:vAlign w:val="center"/>
          </w:tcPr>
          <w:p w14:paraId="16FD3B15">
            <w:pPr>
              <w:pStyle w:val="766"/>
              <w:rPr>
                <w:color w:val="auto"/>
              </w:rPr>
            </w:pPr>
            <w:r>
              <w:rPr>
                <w:color w:val="auto"/>
              </w:rPr>
              <w:t>主（次）危</w:t>
            </w:r>
          </w:p>
          <w:p w14:paraId="1EC0BFD5">
            <w:pPr>
              <w:pStyle w:val="766"/>
              <w:rPr>
                <w:color w:val="auto"/>
              </w:rPr>
            </w:pPr>
            <w:r>
              <w:rPr>
                <w:color w:val="auto"/>
              </w:rPr>
              <w:t>险性类别</w:t>
            </w:r>
          </w:p>
        </w:tc>
        <w:tc>
          <w:tcPr>
            <w:tcW w:w="3572" w:type="pct"/>
            <w:tcBorders>
              <w:tl2br w:val="nil"/>
              <w:tr2bl w:val="nil"/>
            </w:tcBorders>
            <w:vAlign w:val="center"/>
          </w:tcPr>
          <w:p w14:paraId="01FB00A0">
            <w:pPr>
              <w:pStyle w:val="766"/>
              <w:rPr>
                <w:color w:val="auto"/>
              </w:rPr>
            </w:pPr>
            <w:r>
              <w:rPr>
                <w:color w:val="auto"/>
              </w:rPr>
              <w:t>危险特性</w:t>
            </w:r>
          </w:p>
        </w:tc>
      </w:tr>
      <w:tr w14:paraId="386FF1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1" w:type="pct"/>
            <w:tcBorders>
              <w:tl2br w:val="nil"/>
              <w:tr2bl w:val="nil"/>
            </w:tcBorders>
            <w:vAlign w:val="center"/>
          </w:tcPr>
          <w:p w14:paraId="2D785EE1">
            <w:pPr>
              <w:pStyle w:val="766"/>
              <w:rPr>
                <w:color w:val="auto"/>
              </w:rPr>
            </w:pPr>
            <w:r>
              <w:rPr>
                <w:color w:val="auto"/>
              </w:rPr>
              <w:t>1</w:t>
            </w:r>
          </w:p>
        </w:tc>
        <w:tc>
          <w:tcPr>
            <w:tcW w:w="392" w:type="pct"/>
            <w:tcBorders>
              <w:tl2br w:val="nil"/>
              <w:tr2bl w:val="nil"/>
            </w:tcBorders>
            <w:vAlign w:val="center"/>
          </w:tcPr>
          <w:p w14:paraId="5083A6C7">
            <w:pPr>
              <w:pStyle w:val="766"/>
              <w:rPr>
                <w:color w:val="auto"/>
              </w:rPr>
            </w:pPr>
            <w:r>
              <w:rPr>
                <w:color w:val="auto"/>
              </w:rPr>
              <w:t>H</w:t>
            </w:r>
            <w:r>
              <w:rPr>
                <w:color w:val="auto"/>
                <w:vertAlign w:val="subscript"/>
              </w:rPr>
              <w:t>2</w:t>
            </w:r>
            <w:r>
              <w:rPr>
                <w:color w:val="auto"/>
              </w:rPr>
              <w:t>S</w:t>
            </w:r>
          </w:p>
        </w:tc>
        <w:tc>
          <w:tcPr>
            <w:tcW w:w="715" w:type="pct"/>
            <w:tcBorders>
              <w:tl2br w:val="nil"/>
              <w:tr2bl w:val="nil"/>
            </w:tcBorders>
            <w:vAlign w:val="center"/>
          </w:tcPr>
          <w:p w14:paraId="7DE7EEB9">
            <w:pPr>
              <w:pStyle w:val="766"/>
              <w:rPr>
                <w:color w:val="auto"/>
              </w:rPr>
            </w:pPr>
            <w:r>
              <w:rPr>
                <w:color w:val="auto"/>
              </w:rPr>
              <w:t>易燃气体</w:t>
            </w:r>
          </w:p>
          <w:p w14:paraId="794A1A25">
            <w:pPr>
              <w:pStyle w:val="766"/>
              <w:rPr>
                <w:color w:val="auto"/>
              </w:rPr>
            </w:pPr>
            <w:r>
              <w:rPr>
                <w:color w:val="auto"/>
              </w:rPr>
              <w:t>（有毒）</w:t>
            </w:r>
          </w:p>
        </w:tc>
        <w:tc>
          <w:tcPr>
            <w:tcW w:w="3572" w:type="pct"/>
            <w:tcBorders>
              <w:tl2br w:val="nil"/>
              <w:tr2bl w:val="nil"/>
            </w:tcBorders>
            <w:vAlign w:val="center"/>
          </w:tcPr>
          <w:p w14:paraId="5D7BB971">
            <w:pPr>
              <w:pStyle w:val="766"/>
              <w:rPr>
                <w:color w:val="auto"/>
              </w:rPr>
            </w:pPr>
            <w:r>
              <w:rPr>
                <w:color w:val="auto"/>
              </w:rPr>
              <w:t>具有臭鸡蛋气味，其毒作用的主要靶器是中枢神经系统和呼吸系统，亦可伴有心脏等多器官损害，对毒作用最敏感的组织是脑和粘膜接触部 位。人吸入 LC10：600ppm/30M，800ppm/5M。人（男性）吸入 LC50： 5700μg/kg。大鼠吸入 LC50：444pp。小鼠吸入 LC50：634ppm/1H。接触高浓度硫化氢后以脑病表现为显著，出现头痛、头晕、易激动、步态蹒跚、烦躁、意识模糊、谵妄、癫痫样抽搐可呈全身性强直一阵挛发作等；可突然发生昏迷；也可发生呼吸困难或呼吸停止后心跳停止。眼底检查可见个别病例有视神经乳头水肿。部分病例可同时伴有肺水肿。脑病症状常较呼吸道症状的出现为早。可能因发生粘膜刺激作用需要一定  时间。</w:t>
            </w:r>
          </w:p>
        </w:tc>
      </w:tr>
      <w:tr w14:paraId="7A1240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1" w:type="pct"/>
            <w:tcBorders>
              <w:tl2br w:val="nil"/>
              <w:tr2bl w:val="nil"/>
            </w:tcBorders>
            <w:vAlign w:val="center"/>
          </w:tcPr>
          <w:p w14:paraId="1027602F">
            <w:pPr>
              <w:pStyle w:val="766"/>
              <w:rPr>
                <w:color w:val="auto"/>
              </w:rPr>
            </w:pPr>
            <w:r>
              <w:rPr>
                <w:color w:val="auto"/>
              </w:rPr>
              <w:t>2</w:t>
            </w:r>
          </w:p>
        </w:tc>
        <w:tc>
          <w:tcPr>
            <w:tcW w:w="392" w:type="pct"/>
            <w:tcBorders>
              <w:tl2br w:val="nil"/>
              <w:tr2bl w:val="nil"/>
            </w:tcBorders>
            <w:vAlign w:val="center"/>
          </w:tcPr>
          <w:p w14:paraId="27DFFBCB">
            <w:pPr>
              <w:pStyle w:val="766"/>
              <w:rPr>
                <w:color w:val="auto"/>
              </w:rPr>
            </w:pPr>
            <w:r>
              <w:rPr>
                <w:color w:val="auto"/>
              </w:rPr>
              <w:t>NH</w:t>
            </w:r>
            <w:r>
              <w:rPr>
                <w:color w:val="auto"/>
                <w:vertAlign w:val="subscript"/>
              </w:rPr>
              <w:t>3</w:t>
            </w:r>
          </w:p>
        </w:tc>
        <w:tc>
          <w:tcPr>
            <w:tcW w:w="715" w:type="pct"/>
            <w:tcBorders>
              <w:tl2br w:val="nil"/>
              <w:tr2bl w:val="nil"/>
            </w:tcBorders>
            <w:vAlign w:val="center"/>
          </w:tcPr>
          <w:p w14:paraId="130948C5">
            <w:pPr>
              <w:pStyle w:val="766"/>
              <w:rPr>
                <w:color w:val="auto"/>
              </w:rPr>
            </w:pPr>
            <w:r>
              <w:rPr>
                <w:color w:val="auto"/>
              </w:rPr>
              <w:t>有毒气体</w:t>
            </w:r>
          </w:p>
        </w:tc>
        <w:tc>
          <w:tcPr>
            <w:tcW w:w="3572" w:type="pct"/>
            <w:tcBorders>
              <w:tl2br w:val="nil"/>
              <w:tr2bl w:val="nil"/>
            </w:tcBorders>
            <w:vAlign w:val="center"/>
          </w:tcPr>
          <w:p w14:paraId="43C42D7B">
            <w:pPr>
              <w:pStyle w:val="766"/>
              <w:rPr>
                <w:color w:val="auto"/>
              </w:rPr>
            </w:pPr>
            <w:r>
              <w:rPr>
                <w:color w:val="auto"/>
              </w:rPr>
              <w:t>对粘膜和皮肤有碱性刺激及腐蚀作用，可造成组织溶解性坏死。高浓度时可引起反射性呼吸停止和心脏停搏。人吸入 LC10：5000ppm/5M。大鼠吸入 LC50：2000ppm/4H。小鼠吸入 LC50：4230ppm/1H。人接触553mg/m3 可发生强烈的刺激症状，可耐受 1.25 分钟；3500～7000mg/m3 浓度下可立即死亡。短期内吸入大量氨气后可出现流泪、咽痛、声音嘶哑、咳嗽、痰可带血丝、胸闷、呼吸困难，可伴有头晕、头痛、恶心、呕吐、乏力等，可出现紫绀、眼结膜及咽部充血及水肿、呼吸率快、肺部罗音等。严重者可发生肺水肿、急性呼吸窘迫综合征，喉水肿痉挛或支气管粘膜坏死脱落致窒息，还可并发气胸、纵膈气肿。胸部X线检查呈支气管炎、支气管周围炎、肺炎或肺水肿表现。血气分析示动脉血氧分压降低。</w:t>
            </w:r>
          </w:p>
        </w:tc>
      </w:tr>
      <w:tr w14:paraId="383D93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1" w:type="pct"/>
            <w:tcBorders>
              <w:tl2br w:val="nil"/>
              <w:tr2bl w:val="nil"/>
            </w:tcBorders>
            <w:vAlign w:val="center"/>
          </w:tcPr>
          <w:p w14:paraId="6884139D">
            <w:pPr>
              <w:pStyle w:val="766"/>
              <w:rPr>
                <w:color w:val="auto"/>
              </w:rPr>
            </w:pPr>
            <w:r>
              <w:rPr>
                <w:color w:val="auto"/>
              </w:rPr>
              <w:t>3</w:t>
            </w:r>
          </w:p>
        </w:tc>
        <w:tc>
          <w:tcPr>
            <w:tcW w:w="392" w:type="pct"/>
            <w:tcBorders>
              <w:tl2br w:val="nil"/>
              <w:tr2bl w:val="nil"/>
            </w:tcBorders>
            <w:vAlign w:val="center"/>
          </w:tcPr>
          <w:p w14:paraId="2251CB73">
            <w:pPr>
              <w:pStyle w:val="766"/>
              <w:rPr>
                <w:color w:val="auto"/>
              </w:rPr>
            </w:pPr>
            <w:r>
              <w:rPr>
                <w:color w:val="auto"/>
              </w:rPr>
              <w:t>天然气</w:t>
            </w:r>
          </w:p>
        </w:tc>
        <w:tc>
          <w:tcPr>
            <w:tcW w:w="715" w:type="pct"/>
            <w:tcBorders>
              <w:tl2br w:val="nil"/>
              <w:tr2bl w:val="nil"/>
            </w:tcBorders>
            <w:vAlign w:val="center"/>
          </w:tcPr>
          <w:p w14:paraId="457D6630">
            <w:pPr>
              <w:pStyle w:val="766"/>
              <w:rPr>
                <w:color w:val="auto"/>
              </w:rPr>
            </w:pPr>
            <w:r>
              <w:rPr>
                <w:color w:val="auto"/>
              </w:rPr>
              <w:t>易燃气体</w:t>
            </w:r>
          </w:p>
        </w:tc>
        <w:tc>
          <w:tcPr>
            <w:tcW w:w="3572" w:type="pct"/>
            <w:tcBorders>
              <w:tl2br w:val="nil"/>
              <w:tr2bl w:val="nil"/>
            </w:tcBorders>
            <w:vAlign w:val="center"/>
          </w:tcPr>
          <w:p w14:paraId="244C1069">
            <w:pPr>
              <w:pStyle w:val="751"/>
              <w:rPr>
                <w:color w:val="auto"/>
              </w:rPr>
            </w:pPr>
            <w:r>
              <w:rPr>
                <w:color w:val="auto"/>
              </w:rPr>
              <w:t>易燃，与空气混合可形成爆炸性混合物。遇明火、热源有燃烧爆炸危险。与五氧化溴、氯气、次氯酸及其他强氧化剂接触剧烈反应。</w:t>
            </w:r>
          </w:p>
          <w:p w14:paraId="227F4241">
            <w:pPr>
              <w:pStyle w:val="751"/>
              <w:rPr>
                <w:color w:val="auto"/>
              </w:rPr>
            </w:pPr>
            <w:r>
              <w:rPr>
                <w:color w:val="auto"/>
              </w:rPr>
              <w:t>甲烷对人基本无毒，但浓度过高时，使空气中氧含量明显降低，使人窒息。当空气中甲烷达25%-30%时，可引起头痛、头晕、乏力、注意力不集中、呼吸和心跳加速、共济失调。若不及时远离，可致窒息死亡。皮肤接触液化的甲烷，可致冻伤。属微毒类。允许气体安全地扩散到大气中或当作燃料使用。有单纯性窒息的作用，在高浓度时因缺氧窒息而引起中毒。空气中达到25～30%出现头昏、呼吸加速、运动失调。</w:t>
            </w:r>
          </w:p>
          <w:p w14:paraId="26EB42F3">
            <w:pPr>
              <w:pStyle w:val="751"/>
              <w:rPr>
                <w:color w:val="auto"/>
              </w:rPr>
            </w:pPr>
            <w:r>
              <w:rPr>
                <w:color w:val="auto"/>
              </w:rPr>
              <w:t>急性毒性：小鼠吸入42%浓度×60分钟，麻醉作用；兔吸入42%浓度×60分钟，麻醉作用。</w:t>
            </w:r>
          </w:p>
        </w:tc>
      </w:tr>
    </w:tbl>
    <w:p w14:paraId="1B254716">
      <w:pPr>
        <w:pStyle w:val="10"/>
      </w:pPr>
      <w:bookmarkStart w:id="454" w:name="_Toc16136"/>
      <w:bookmarkStart w:id="455" w:name="_Toc24725"/>
      <w:bookmarkStart w:id="456" w:name="_Toc166572337"/>
      <w:bookmarkStart w:id="457" w:name="_Toc29010"/>
      <w:r>
        <w:t>6.5环境风险影响分析</w:t>
      </w:r>
      <w:bookmarkEnd w:id="454"/>
      <w:bookmarkEnd w:id="455"/>
      <w:bookmarkEnd w:id="456"/>
      <w:bookmarkEnd w:id="457"/>
    </w:p>
    <w:p w14:paraId="489D7567">
      <w:pPr>
        <w:pStyle w:val="230"/>
        <w:ind w:firstLine="480"/>
        <w:rPr>
          <w:lang w:eastAsia="zh-CN"/>
        </w:rPr>
      </w:pPr>
      <w:r>
        <w:rPr>
          <w:lang w:eastAsia="zh-CN"/>
        </w:rPr>
        <w:t>本项目环境污染风险主要是本项目恶臭气体非正常排放对大气环境的影响分析；养殖废水非正常排放对土壤和地下水环境的影响分析；危险废物泄漏环境影响分析。</w:t>
      </w:r>
    </w:p>
    <w:p w14:paraId="1C3D0E6F">
      <w:pPr>
        <w:pStyle w:val="230"/>
        <w:ind w:firstLine="480"/>
        <w:rPr>
          <w:bCs/>
          <w:lang w:eastAsia="zh-CN"/>
        </w:rPr>
      </w:pPr>
      <w:r>
        <w:rPr>
          <w:bCs/>
          <w:lang w:eastAsia="zh-CN"/>
        </w:rPr>
        <w:t>（1）氨气、硫化氢非正常排放影响分析</w:t>
      </w:r>
    </w:p>
    <w:p w14:paraId="3ACF012C">
      <w:pPr>
        <w:pStyle w:val="230"/>
        <w:ind w:firstLine="480"/>
        <w:rPr>
          <w:lang w:eastAsia="zh-CN"/>
        </w:rPr>
      </w:pPr>
      <w:r>
        <w:rPr>
          <w:lang w:eastAsia="zh-CN"/>
        </w:rPr>
        <w:t>本项目鸡舍、</w:t>
      </w:r>
      <w:r>
        <w:rPr>
          <w:rFonts w:hint="eastAsia"/>
          <w:lang w:eastAsia="zh-CN"/>
        </w:rPr>
        <w:t>有机肥加工车间、污水站</w:t>
      </w:r>
      <w:r>
        <w:rPr>
          <w:lang w:eastAsia="zh-CN"/>
        </w:rPr>
        <w:t>产生的氨气、硫化氢可能因通风设备故障等原因无法及时排放出去，造成大量气体聚集在车间中，而后高浓度气体泄漏影响周边大气环境和人身健康；</w:t>
      </w:r>
    </w:p>
    <w:p w14:paraId="154B622C">
      <w:pPr>
        <w:pStyle w:val="230"/>
        <w:ind w:firstLine="480"/>
        <w:rPr>
          <w:bCs/>
          <w:lang w:eastAsia="zh-CN"/>
        </w:rPr>
      </w:pPr>
      <w:r>
        <w:rPr>
          <w:bCs/>
          <w:lang w:eastAsia="zh-CN"/>
        </w:rPr>
        <w:t>（2）土壤和地下水环境风险分析</w:t>
      </w:r>
    </w:p>
    <w:p w14:paraId="3372A244">
      <w:pPr>
        <w:pStyle w:val="230"/>
        <w:ind w:firstLine="480"/>
        <w:rPr>
          <w:lang w:eastAsia="zh-CN"/>
        </w:rPr>
      </w:pPr>
      <w:r>
        <w:rPr>
          <w:lang w:eastAsia="zh-CN"/>
        </w:rPr>
        <w:t>如果污水处理设施、</w:t>
      </w:r>
      <w:r>
        <w:rPr>
          <w:rFonts w:hint="eastAsia"/>
          <w:lang w:eastAsia="zh-CN"/>
        </w:rPr>
        <w:t>有机肥加工车间</w:t>
      </w:r>
      <w:r>
        <w:rPr>
          <w:lang w:eastAsia="zh-CN"/>
        </w:rPr>
        <w:t>、鸡舍、废水管道、阀门等未采取很好的防渗措施，一旦发生渗漏将会导致废水、</w:t>
      </w:r>
      <w:r>
        <w:rPr>
          <w:rFonts w:hint="eastAsia"/>
          <w:lang w:eastAsia="zh-CN"/>
        </w:rPr>
        <w:t>鸡</w:t>
      </w:r>
      <w:r>
        <w:rPr>
          <w:lang w:eastAsia="zh-CN"/>
        </w:rPr>
        <w:t>粪等中高浓度有机污染物和氮磷等渗入地下污染土壤，进而通过土壤入渗污染地下水。粪污未经无害化处理直接进入土壤，粪污中的蛋白质、脂肪、糖等有机质将可能会出现降解不完全和厌氧腐解，产生恶臭物质和亚硝酸盐等有害物质，引起土壤的组成和性状发生改变；导致土壤孔隙堵塞，造成土壤透气、透水性下降及板结，严重影响土壤和地下水质量。</w:t>
      </w:r>
    </w:p>
    <w:p w14:paraId="19BA3849">
      <w:pPr>
        <w:pStyle w:val="230"/>
        <w:ind w:firstLine="480"/>
        <w:rPr>
          <w:lang w:eastAsia="zh-CN"/>
        </w:rPr>
      </w:pPr>
      <w:r>
        <w:rPr>
          <w:lang w:eastAsia="zh-CN"/>
        </w:rPr>
        <w:t>（3）危险废物泄漏环境影响分析</w:t>
      </w:r>
    </w:p>
    <w:p w14:paraId="5DCCEDB6">
      <w:pPr>
        <w:autoSpaceDE w:val="0"/>
        <w:autoSpaceDN w:val="0"/>
        <w:ind w:firstLine="480"/>
      </w:pPr>
      <w:r>
        <w:t>本项目危险废物主要来源医疗废物，主要存在形式为固态。正常状态医疗废物存放于</w:t>
      </w:r>
      <w:r>
        <w:rPr>
          <w:rFonts w:hint="eastAsia"/>
          <w:lang w:val="en-GB"/>
        </w:rPr>
        <w:t>诊疗废弃物暂存间</w:t>
      </w:r>
      <w:r>
        <w:t>内，若由于容器破损、倾倒、人为操作失误导致泄漏事故或</w:t>
      </w:r>
      <w:r>
        <w:rPr>
          <w:rFonts w:hint="eastAsia"/>
          <w:lang w:val="en-GB"/>
        </w:rPr>
        <w:t>诊疗废弃物暂存间</w:t>
      </w:r>
      <w:r>
        <w:t>的防渗层破裂，泄漏物料将渗入地下污染土壤和地下水环境。</w:t>
      </w:r>
    </w:p>
    <w:p w14:paraId="519D180E">
      <w:pPr>
        <w:pStyle w:val="10"/>
      </w:pPr>
      <w:bookmarkStart w:id="458" w:name="_Toc30940"/>
      <w:bookmarkStart w:id="459" w:name="_Toc166572338"/>
      <w:r>
        <w:t>6.6环境风险防范措施及应急要求</w:t>
      </w:r>
      <w:bookmarkEnd w:id="458"/>
      <w:bookmarkEnd w:id="459"/>
    </w:p>
    <w:p w14:paraId="69A53742">
      <w:pPr>
        <w:pStyle w:val="11"/>
      </w:pPr>
      <w:bookmarkStart w:id="460" w:name="_Toc8697"/>
      <w:bookmarkStart w:id="461" w:name="_Toc2203"/>
      <w:bookmarkStart w:id="462" w:name="_Toc166572339"/>
      <w:r>
        <w:t>6.6.1应急措施</w:t>
      </w:r>
      <w:bookmarkEnd w:id="460"/>
      <w:bookmarkEnd w:id="461"/>
      <w:bookmarkEnd w:id="462"/>
      <w:r>
        <w:t xml:space="preserve"> </w:t>
      </w:r>
    </w:p>
    <w:p w14:paraId="1B6934C5">
      <w:pPr>
        <w:pStyle w:val="230"/>
        <w:ind w:firstLine="480"/>
        <w:rPr>
          <w:lang w:eastAsia="zh-CN"/>
        </w:rPr>
      </w:pPr>
      <w:r>
        <w:rPr>
          <w:lang w:eastAsia="zh-CN"/>
        </w:rPr>
        <w:t>（1）氨气、硫化氢非正常排放风险防范措施</w:t>
      </w:r>
    </w:p>
    <w:p w14:paraId="3304E4C1">
      <w:pPr>
        <w:pStyle w:val="230"/>
        <w:ind w:firstLine="480"/>
        <w:rPr>
          <w:lang w:eastAsia="zh-CN"/>
        </w:rPr>
      </w:pPr>
      <w:r>
        <w:rPr>
          <w:lang w:eastAsia="zh-CN"/>
        </w:rPr>
        <w:t>迅速撤离泄漏污染区人员至上风处，并立即隔离150m，严格限制出入。合理通风，加速扩散。高浓度泄漏区，喷含盐酸的雾状水中和、稀释、溶解，构筑围堤或挖坑收容产生的大量废水。</w:t>
      </w:r>
    </w:p>
    <w:p w14:paraId="7B41AF2F">
      <w:pPr>
        <w:pStyle w:val="230"/>
        <w:ind w:firstLine="480"/>
        <w:rPr>
          <w:lang w:eastAsia="zh-CN"/>
        </w:rPr>
      </w:pPr>
      <w:r>
        <w:rPr>
          <w:lang w:eastAsia="zh-CN"/>
        </w:rPr>
        <w:t>建议企业建立安全与环保科，并由企业领导直接领导，全权负责检查和监督全场的安全生产和废气处理设施的正常运转情况。对安全和环保应建立严格的防范措施，制定严格的管理规章制度，列出潜在危险的过程、设备等清单，严格执行设备检验和报废制度。</w:t>
      </w:r>
    </w:p>
    <w:p w14:paraId="678A992A">
      <w:pPr>
        <w:pStyle w:val="230"/>
        <w:ind w:firstLine="480"/>
        <w:rPr>
          <w:lang w:eastAsia="zh-CN"/>
        </w:rPr>
      </w:pPr>
      <w:r>
        <w:rPr>
          <w:lang w:eastAsia="zh-CN"/>
        </w:rPr>
        <w:t>加强技术培训，提高职工安全意识职工安全生产的经验不足，一定程度上会增加事故发生的概率，因此企业对生产操作工人必须进行上岗前专业技术培训，严格管理，提高职工安全环保意识。</w:t>
      </w:r>
    </w:p>
    <w:p w14:paraId="42EB0781">
      <w:pPr>
        <w:pStyle w:val="230"/>
        <w:ind w:firstLine="480"/>
        <w:rPr>
          <w:lang w:eastAsia="zh-CN"/>
        </w:rPr>
      </w:pPr>
      <w:r>
        <w:rPr>
          <w:lang w:eastAsia="zh-CN"/>
        </w:rPr>
        <w:t>（2）冲洗废水事故性排放风险防范措施</w:t>
      </w:r>
    </w:p>
    <w:p w14:paraId="22BF1FCF">
      <w:pPr>
        <w:pStyle w:val="230"/>
        <w:ind w:firstLine="480"/>
        <w:rPr>
          <w:lang w:eastAsia="zh-CN"/>
        </w:rPr>
      </w:pPr>
      <w:r>
        <w:rPr>
          <w:lang w:eastAsia="zh-CN"/>
        </w:rPr>
        <w:t>根据一般经验参数可知，养鸡场在降雨量较大、设备故障的情况下出现废水事故性排放的可能性最大。本项目污水有机物浓度高，当发生事故时，将对外界环境产生一定程度的影响，畜禽养殖场废水排放进入地表水体极易造成水体的富营养化，使水质恶化。污水渗入地下还可造成地下水中的硝酸盐含量过高，污染地下水。故本项目污水的出水应采取严格的措施进行控制管理，以避免事故性排放。</w:t>
      </w:r>
    </w:p>
    <w:p w14:paraId="0FB03CA0">
      <w:pPr>
        <w:pStyle w:val="230"/>
        <w:ind w:firstLine="480"/>
        <w:rPr>
          <w:lang w:eastAsia="zh-CN"/>
        </w:rPr>
      </w:pPr>
      <w:r>
        <w:rPr>
          <w:lang w:eastAsia="zh-CN"/>
        </w:rPr>
        <w:t>企业领导应该提高对突发性事故的警觉和认识，作到警钟</w:t>
      </w:r>
      <w:r>
        <w:rPr>
          <w:rFonts w:hint="eastAsia"/>
          <w:lang w:val="en-US" w:eastAsia="zh-CN"/>
        </w:rPr>
        <w:t>长</w:t>
      </w:r>
      <w:r>
        <w:rPr>
          <w:lang w:eastAsia="zh-CN"/>
        </w:rPr>
        <w:t>鸣。建议企业建立安全与环保科，并由企业领导直接领导，全权负责检查和监督全场的安全生产和环保设施的正常运转情况。对安全和环保应建立严格的防范措施，制定严格的管理规章制度，列出潜在危险的过程、设备等清单，严格执行设备检验和报废制度。</w:t>
      </w:r>
    </w:p>
    <w:p w14:paraId="69F39CB1">
      <w:pPr>
        <w:pStyle w:val="230"/>
        <w:ind w:firstLine="480"/>
        <w:rPr>
          <w:lang w:eastAsia="zh-CN"/>
        </w:rPr>
      </w:pPr>
      <w:r>
        <w:rPr>
          <w:lang w:eastAsia="zh-CN"/>
        </w:rPr>
        <w:t>加强技术培训，提高职工安全意识职工安全生产的经验不足，一定程度上会增加事故发生的概率，因此企业对生产操作工人必须进行上岗前专业技术培训，严格管理，提高职工安全环保意识。</w:t>
      </w:r>
    </w:p>
    <w:p w14:paraId="0651D1FF">
      <w:pPr>
        <w:pStyle w:val="230"/>
        <w:ind w:firstLine="480"/>
        <w:rPr>
          <w:lang w:eastAsia="zh-CN"/>
        </w:rPr>
      </w:pPr>
      <w:r>
        <w:rPr>
          <w:lang w:eastAsia="zh-CN"/>
        </w:rPr>
        <w:t>养殖场的排水系统应实行雨水和污水收集输送系统分离，避免雨水进入污水池。</w:t>
      </w:r>
    </w:p>
    <w:p w14:paraId="5B251606">
      <w:pPr>
        <w:pStyle w:val="230"/>
        <w:ind w:firstLine="480"/>
        <w:rPr>
          <w:lang w:eastAsia="zh-CN"/>
        </w:rPr>
      </w:pPr>
      <w:r>
        <w:rPr>
          <w:lang w:eastAsia="zh-CN"/>
        </w:rPr>
        <w:t>定期检修设备，发现问题应立即排除。若污水池防渗层破裂</w:t>
      </w:r>
      <w:r>
        <w:rPr>
          <w:rFonts w:hint="eastAsia"/>
          <w:lang w:eastAsia="zh-CN"/>
        </w:rPr>
        <w:t>或污水处理设施事故状态下</w:t>
      </w:r>
      <w:r>
        <w:rPr>
          <w:lang w:eastAsia="zh-CN"/>
        </w:rPr>
        <w:t>，导致污水发生泄漏，应先将废水切换至应急池，</w:t>
      </w:r>
      <w:r>
        <w:rPr>
          <w:rFonts w:hint="eastAsia"/>
          <w:lang w:eastAsia="zh-CN"/>
        </w:rPr>
        <w:t>应急池1200m</w:t>
      </w:r>
      <w:r>
        <w:rPr>
          <w:rFonts w:hint="eastAsia"/>
          <w:vertAlign w:val="superscript"/>
          <w:lang w:eastAsia="zh-CN"/>
        </w:rPr>
        <w:t>3</w:t>
      </w:r>
      <w:r>
        <w:rPr>
          <w:rFonts w:hint="eastAsia"/>
          <w:lang w:eastAsia="zh-CN"/>
        </w:rPr>
        <w:t>，</w:t>
      </w:r>
      <w:r>
        <w:rPr>
          <w:lang w:eastAsia="zh-CN"/>
        </w:rPr>
        <w:t>待废水处理设施抢修完毕后，再将应急池内废水逐步纳入</w:t>
      </w:r>
      <w:r>
        <w:rPr>
          <w:rFonts w:hint="eastAsia"/>
          <w:lang w:eastAsia="zh-CN"/>
        </w:rPr>
        <w:t>污水处理系统处理</w:t>
      </w:r>
      <w:r>
        <w:rPr>
          <w:lang w:eastAsia="zh-CN"/>
        </w:rPr>
        <w:t>。在采取相应措施后，该类风险是可以接受的</w:t>
      </w:r>
      <w:r>
        <w:rPr>
          <w:rFonts w:hint="eastAsia"/>
          <w:lang w:eastAsia="zh-CN"/>
        </w:rPr>
        <w:t>。</w:t>
      </w:r>
    </w:p>
    <w:p w14:paraId="7C9542F1">
      <w:pPr>
        <w:pStyle w:val="230"/>
        <w:ind w:firstLine="480"/>
        <w:rPr>
          <w:lang w:eastAsia="zh-CN"/>
        </w:rPr>
      </w:pPr>
      <w:r>
        <w:rPr>
          <w:lang w:eastAsia="zh-CN"/>
        </w:rPr>
        <w:t>（3）危废泄漏事故防范措施</w:t>
      </w:r>
    </w:p>
    <w:p w14:paraId="4434CAB5">
      <w:pPr>
        <w:pStyle w:val="230"/>
        <w:ind w:firstLine="480"/>
        <w:rPr>
          <w:lang w:eastAsia="zh-CN"/>
        </w:rPr>
      </w:pPr>
      <w:r>
        <w:rPr>
          <w:lang w:eastAsia="zh-CN"/>
        </w:rPr>
        <w:t>1）危险废物应放置在固定容器中，放置时务必小心轻放，禁止将相互反应的危险废物在同一容器内混装，暂存期间容器须全程保持密闭；</w:t>
      </w:r>
    </w:p>
    <w:p w14:paraId="51096D62">
      <w:pPr>
        <w:pStyle w:val="230"/>
        <w:ind w:firstLine="480"/>
        <w:rPr>
          <w:lang w:eastAsia="zh-CN"/>
        </w:rPr>
      </w:pPr>
      <w:r>
        <w:rPr>
          <w:lang w:eastAsia="zh-CN"/>
        </w:rPr>
        <w:t>2）应当使用符合标准的容器盛装危险废物，其材质强度应满足贮存要求，同时选用的材质须不能与危险废物产生化学反应。</w:t>
      </w:r>
    </w:p>
    <w:p w14:paraId="63CED796">
      <w:pPr>
        <w:pStyle w:val="230"/>
        <w:ind w:firstLine="480"/>
        <w:rPr>
          <w:lang w:eastAsia="zh-CN"/>
        </w:rPr>
      </w:pPr>
      <w:r>
        <w:rPr>
          <w:lang w:eastAsia="zh-CN"/>
        </w:rPr>
        <w:t>3）</w:t>
      </w:r>
      <w:r>
        <w:rPr>
          <w:rFonts w:hint="eastAsia"/>
          <w:lang w:val="en-GB" w:eastAsia="zh-CN"/>
        </w:rPr>
        <w:t>诊疗废弃物暂存间</w:t>
      </w:r>
      <w:r>
        <w:rPr>
          <w:lang w:eastAsia="zh-CN"/>
        </w:rPr>
        <w:t>的建设和维护须严格按照《环境影响评价技术导则 地下水环境》（HJ 610-2016）、《危险废物贮存污染控制标准》（GB18597-2023）要求执行，地面进行防渗防漏处理。</w:t>
      </w:r>
      <w:r>
        <w:rPr>
          <w:rFonts w:hint="eastAsia"/>
          <w:lang w:val="en-GB" w:eastAsia="zh-CN"/>
        </w:rPr>
        <w:t>诊疗废弃物暂存间</w:t>
      </w:r>
      <w:r>
        <w:rPr>
          <w:lang w:eastAsia="zh-CN"/>
        </w:rPr>
        <w:t>上方应设有排气系统，以保证</w:t>
      </w:r>
      <w:r>
        <w:rPr>
          <w:rFonts w:hint="eastAsia"/>
          <w:lang w:val="en-GB" w:eastAsia="zh-CN"/>
        </w:rPr>
        <w:t>诊疗废弃物暂存间</w:t>
      </w:r>
      <w:r>
        <w:rPr>
          <w:lang w:eastAsia="zh-CN"/>
        </w:rPr>
        <w:t>内的空气质量。</w:t>
      </w:r>
    </w:p>
    <w:p w14:paraId="77346AB1">
      <w:pPr>
        <w:pStyle w:val="230"/>
        <w:ind w:firstLine="480"/>
        <w:rPr>
          <w:lang w:eastAsia="zh-CN"/>
        </w:rPr>
      </w:pPr>
      <w:r>
        <w:rPr>
          <w:lang w:eastAsia="zh-CN"/>
        </w:rPr>
        <w:t>4）应加强危险废物贮存设施的运行管理，</w:t>
      </w:r>
      <w:r>
        <w:rPr>
          <w:rFonts w:hint="eastAsia"/>
          <w:lang w:val="en-US" w:eastAsia="zh-CN"/>
        </w:rPr>
        <w:t>做</w:t>
      </w:r>
      <w:r>
        <w:rPr>
          <w:lang w:eastAsia="zh-CN"/>
        </w:rPr>
        <w:t>好危险废物的出入库管理记录和标识，定期检查危险废物包装容器的完好性，发现破损，应及时采取措施。</w:t>
      </w:r>
    </w:p>
    <w:p w14:paraId="5DC959F5">
      <w:pPr>
        <w:pStyle w:val="230"/>
        <w:ind w:firstLine="480"/>
        <w:rPr>
          <w:lang w:eastAsia="zh-CN"/>
        </w:rPr>
      </w:pPr>
      <w:r>
        <w:rPr>
          <w:lang w:eastAsia="zh-CN"/>
        </w:rPr>
        <w:t>5）由专人负责危险废物贮存设施的运行和管理，做好危废产生及贮存记录，并正确粘贴标签，定期对危废贮存设施进行检查，非</w:t>
      </w:r>
      <w:r>
        <w:rPr>
          <w:rFonts w:hint="eastAsia"/>
          <w:lang w:val="en-GB" w:eastAsia="zh-CN"/>
        </w:rPr>
        <w:t>诊疗废弃物暂存间</w:t>
      </w:r>
      <w:r>
        <w:rPr>
          <w:lang w:eastAsia="zh-CN"/>
        </w:rPr>
        <w:t>管理人员禁止随意出入</w:t>
      </w:r>
      <w:r>
        <w:rPr>
          <w:rFonts w:hint="eastAsia"/>
          <w:lang w:val="en-GB" w:eastAsia="zh-CN"/>
        </w:rPr>
        <w:t>诊疗废弃物暂存间</w:t>
      </w:r>
      <w:r>
        <w:rPr>
          <w:lang w:eastAsia="zh-CN"/>
        </w:rPr>
        <w:t>；</w:t>
      </w:r>
    </w:p>
    <w:p w14:paraId="765A57A8">
      <w:pPr>
        <w:pStyle w:val="230"/>
        <w:ind w:firstLine="480"/>
        <w:rPr>
          <w:lang w:eastAsia="zh-CN"/>
        </w:rPr>
      </w:pPr>
      <w:r>
        <w:rPr>
          <w:lang w:eastAsia="zh-CN"/>
        </w:rPr>
        <w:t>6）贮存满一段时间后，须委托具有专业资质的危废处理单位及时进行清运和处理；</w:t>
      </w:r>
    </w:p>
    <w:p w14:paraId="49F5C3C9">
      <w:pPr>
        <w:pStyle w:val="230"/>
        <w:ind w:firstLine="480"/>
        <w:rPr>
          <w:lang w:eastAsia="zh-CN"/>
        </w:rPr>
      </w:pPr>
      <w:r>
        <w:rPr>
          <w:lang w:eastAsia="zh-CN"/>
        </w:rPr>
        <w:t>7）危险废物转移必须符合《危险废物转移管理办法》中的规定；</w:t>
      </w:r>
    </w:p>
    <w:p w14:paraId="338F3667">
      <w:pPr>
        <w:pStyle w:val="230"/>
        <w:ind w:firstLine="480"/>
        <w:rPr>
          <w:lang w:eastAsia="zh-CN"/>
        </w:rPr>
      </w:pPr>
      <w:r>
        <w:rPr>
          <w:lang w:eastAsia="zh-CN"/>
        </w:rPr>
        <w:t>8）配置适当的空容器、工具，以及吸附材料如木屑、沙土等，以便发生泄漏时可及时收集、吸附泄漏的物料。</w:t>
      </w:r>
    </w:p>
    <w:p w14:paraId="6ABBEFF9">
      <w:pPr>
        <w:ind w:firstLine="480"/>
        <w:rPr>
          <w:bCs/>
        </w:rPr>
      </w:pPr>
      <w:r>
        <w:rPr>
          <w:bCs/>
        </w:rPr>
        <w:t>（4）动物疫病预防措施</w:t>
      </w:r>
    </w:p>
    <w:p w14:paraId="07E8D5FF">
      <w:pPr>
        <w:ind w:firstLine="480"/>
      </w:pPr>
      <w:r>
        <w:t>建立严格的卫生防疫制度是工厂化养鸡场正常生产的保证，要认真贯彻“防重于治”的方针，必须建立严格的卫生防疫制度、健全卫生防疫设施，以确保鸡场安全生产。主要采取的措施有：</w:t>
      </w:r>
    </w:p>
    <w:p w14:paraId="767246AB">
      <w:pPr>
        <w:ind w:firstLine="480"/>
      </w:pPr>
      <w:r>
        <w:t>设计中考虑鸡场布局合理，采取分离的布置方法，按鸡的不同饲养阶段设置鸡舍，并按一定规模进行分区饲养。非生产人员不得随意进入生产区。生产区封闭隔离，工程设计和工艺流程符合动物防疫要求；生产区周围应有防护设施，进入生产区必须消毒。</w:t>
      </w:r>
    </w:p>
    <w:p w14:paraId="5EEDBFD7">
      <w:pPr>
        <w:ind w:firstLine="480"/>
      </w:pPr>
      <w:r>
        <w:t>建立正常的卫生防疫制度，按计划对猪舍进行清扫、消毒按计划对猪群实施免疫程序，建立免疫档案。</w:t>
      </w:r>
    </w:p>
    <w:p w14:paraId="4351B925">
      <w:pPr>
        <w:ind w:firstLine="480"/>
      </w:pPr>
      <w:r>
        <w:t>健全检验、检疫制度，强化检验、检疫手段，场部设技术科、实验室，配备兽医，加强对疾病的预防和医治。出售市场的产品不允许有病，病死</w:t>
      </w:r>
      <w:r>
        <w:rPr>
          <w:rFonts w:hint="eastAsia"/>
        </w:rPr>
        <w:t>鸡</w:t>
      </w:r>
      <w:r>
        <w:t>必须投入无害化处理区，严格消毒现场。不得乱扔污染环境。</w:t>
      </w:r>
    </w:p>
    <w:p w14:paraId="4FE80CF6">
      <w:pPr>
        <w:pStyle w:val="11"/>
      </w:pPr>
      <w:bookmarkStart w:id="463" w:name="_Toc166572340"/>
      <w:bookmarkStart w:id="464" w:name="_Toc26105"/>
      <w:r>
        <w:t>6.6.2应急计划区</w:t>
      </w:r>
      <w:bookmarkEnd w:id="463"/>
      <w:bookmarkEnd w:id="464"/>
    </w:p>
    <w:p w14:paraId="66CBE704">
      <w:pPr>
        <w:ind w:firstLine="480"/>
      </w:pPr>
      <w:r>
        <w:t>危险目标为污水处理池、</w:t>
      </w:r>
      <w:r>
        <w:rPr>
          <w:rFonts w:hint="eastAsia"/>
          <w:lang w:val="en-GB"/>
        </w:rPr>
        <w:t>诊疗废弃物暂存间</w:t>
      </w:r>
      <w:r>
        <w:t>等区域；保护目标为项目周围的环境敏感目标。</w:t>
      </w:r>
    </w:p>
    <w:p w14:paraId="43F47840">
      <w:pPr>
        <w:pStyle w:val="11"/>
      </w:pPr>
      <w:bookmarkStart w:id="465" w:name="_Toc166572341"/>
      <w:bookmarkStart w:id="466" w:name="_Toc26876"/>
      <w:r>
        <w:rPr>
          <w:rStyle w:val="507"/>
          <w:b w:val="0"/>
          <w:bCs w:val="0"/>
        </w:rPr>
        <w:t>6</w:t>
      </w:r>
      <w:r>
        <w:t>.6.3应急组织机构</w:t>
      </w:r>
      <w:bookmarkEnd w:id="465"/>
      <w:bookmarkEnd w:id="466"/>
    </w:p>
    <w:p w14:paraId="139AD698">
      <w:pPr>
        <w:ind w:firstLine="480"/>
      </w:pPr>
      <w:r>
        <w:t xml:space="preserve">设立事故应急机构，人员由企业主要领导、安全负责人、环保负责人、各车间主任以及安全科、环保科主要人员组成。 </w:t>
      </w:r>
    </w:p>
    <w:p w14:paraId="49B34F81">
      <w:pPr>
        <w:pStyle w:val="11"/>
      </w:pPr>
      <w:bookmarkStart w:id="467" w:name="_Toc3019"/>
      <w:bookmarkStart w:id="468" w:name="_Toc166572342"/>
      <w:r>
        <w:t>6.6.4应急联动机制</w:t>
      </w:r>
      <w:bookmarkEnd w:id="467"/>
      <w:bookmarkEnd w:id="468"/>
    </w:p>
    <w:p w14:paraId="69122EA4">
      <w:pPr>
        <w:ind w:firstLine="480"/>
      </w:pPr>
      <w:r>
        <w:t>发生事故时，要保证现场的事故处理设施和全厂的应急处理系统能够紧急启动，并对事故产生的污染物进行有效地控制，同时启动当地的环境应急监测系统。</w:t>
      </w:r>
    </w:p>
    <w:p w14:paraId="0FB27699">
      <w:pPr>
        <w:pStyle w:val="11"/>
      </w:pPr>
      <w:bookmarkStart w:id="469" w:name="_Toc166572343"/>
      <w:bookmarkStart w:id="470" w:name="_Toc26697"/>
      <w:r>
        <w:t>6.6.5应急防护</w:t>
      </w:r>
      <w:bookmarkEnd w:id="469"/>
      <w:bookmarkEnd w:id="470"/>
    </w:p>
    <w:p w14:paraId="12001417">
      <w:pPr>
        <w:ind w:firstLine="480"/>
      </w:pPr>
      <w:r>
        <w:t xml:space="preserve">事故发生时，应在第一时间通知下风向居民和企事业单位，以便于在人群紧急疏散，减小污染物对周围人群人体健康的影响。及时通知公安、交通、消防等有关部门及时封闭受污染区域，减小事故影响的范围。发生重大事故时，要通知周围居民和企业及时疏散。 </w:t>
      </w:r>
    </w:p>
    <w:p w14:paraId="5C889C1B">
      <w:pPr>
        <w:pStyle w:val="11"/>
      </w:pPr>
      <w:bookmarkStart w:id="471" w:name="_Toc27328"/>
      <w:bookmarkStart w:id="472" w:name="_Toc166572344"/>
      <w:r>
        <w:t>6.6.6事故应急救援关闭程序与恢复措施</w:t>
      </w:r>
      <w:bookmarkEnd w:id="471"/>
      <w:bookmarkEnd w:id="472"/>
    </w:p>
    <w:p w14:paraId="356236B9">
      <w:pPr>
        <w:ind w:firstLine="480"/>
      </w:pPr>
      <w:r>
        <w:t xml:space="preserve">事故发生后，采取相应的应急处理，在环境监测部门对周围环境进行监测合格后，方可关闭应急程序，同时做好善后工作。 </w:t>
      </w:r>
    </w:p>
    <w:p w14:paraId="2625BFCD">
      <w:pPr>
        <w:pStyle w:val="11"/>
      </w:pPr>
      <w:bookmarkStart w:id="473" w:name="_Toc166572345"/>
      <w:bookmarkStart w:id="474" w:name="_Toc10101"/>
      <w:r>
        <w:t>6.6.7应急培训与演练</w:t>
      </w:r>
      <w:bookmarkEnd w:id="473"/>
      <w:bookmarkEnd w:id="474"/>
    </w:p>
    <w:p w14:paraId="5DDA3C7D">
      <w:pPr>
        <w:ind w:firstLine="480"/>
      </w:pPr>
      <w:r>
        <w:t>企业要注意日常工作中对事故应急处理的培训，做到定期演练，以提高职工的安全防范意识。</w:t>
      </w:r>
    </w:p>
    <w:p w14:paraId="3E9BF4E9">
      <w:pPr>
        <w:pStyle w:val="10"/>
      </w:pPr>
      <w:bookmarkStart w:id="475" w:name="_Toc16698"/>
      <w:bookmarkStart w:id="476" w:name="_Toc25818"/>
      <w:bookmarkStart w:id="477" w:name="_Toc29225"/>
      <w:bookmarkStart w:id="478" w:name="_Toc166572346"/>
      <w:r>
        <w:rPr>
          <w:sz w:val="24"/>
          <w:szCs w:val="24"/>
        </w:rPr>
        <w:t>6.7</w:t>
      </w:r>
      <w:r>
        <w:t>环境风险评价结论</w:t>
      </w:r>
      <w:bookmarkEnd w:id="475"/>
      <w:bookmarkEnd w:id="476"/>
      <w:bookmarkEnd w:id="477"/>
      <w:bookmarkEnd w:id="478"/>
      <w:r>
        <w:t xml:space="preserve"> </w:t>
      </w:r>
    </w:p>
    <w:p w14:paraId="4F76B241">
      <w:pPr>
        <w:pStyle w:val="230"/>
        <w:ind w:firstLine="480"/>
        <w:rPr>
          <w:lang w:eastAsia="zh-CN"/>
        </w:rPr>
      </w:pPr>
      <w:r>
        <w:rPr>
          <w:lang w:eastAsia="zh-CN"/>
        </w:rPr>
        <w:t>项目涉及的风险物质是氨气、硫化氢、天然气、危险废物，项目涉及的风险物质量较小，环境风险潜势为Ⅰ，环境风险事故影响较小。</w:t>
      </w:r>
    </w:p>
    <w:p w14:paraId="4DF044C9">
      <w:pPr>
        <w:pStyle w:val="230"/>
        <w:ind w:firstLine="480"/>
        <w:rPr>
          <w:lang w:eastAsia="zh-CN"/>
        </w:rPr>
      </w:pPr>
      <w:r>
        <w:rPr>
          <w:lang w:eastAsia="zh-CN"/>
        </w:rPr>
        <w:t>项目通过加强管理和检查，项目通过加强管理和检查，从源头上降低风险物质泄露的概率，加强鸡舍、</w:t>
      </w:r>
      <w:r>
        <w:rPr>
          <w:rFonts w:hint="eastAsia"/>
          <w:lang w:eastAsia="zh-CN"/>
        </w:rPr>
        <w:t>饲料车间、有机肥车间、污水处理站</w:t>
      </w:r>
      <w:r>
        <w:rPr>
          <w:lang w:eastAsia="zh-CN"/>
        </w:rPr>
        <w:t>废气处理设施的日常管理和检修工作，做好</w:t>
      </w:r>
      <w:r>
        <w:rPr>
          <w:rFonts w:hint="eastAsia"/>
          <w:lang w:val="en-GB" w:eastAsia="zh-CN"/>
        </w:rPr>
        <w:t>诊疗废弃物暂存间</w:t>
      </w:r>
      <w:r>
        <w:rPr>
          <w:lang w:eastAsia="zh-CN"/>
        </w:rPr>
        <w:t>和</w:t>
      </w:r>
      <w:r>
        <w:rPr>
          <w:rFonts w:hint="eastAsia"/>
          <w:lang w:eastAsia="zh-CN"/>
        </w:rPr>
        <w:t>有机肥加工车间</w:t>
      </w:r>
      <w:r>
        <w:rPr>
          <w:lang w:eastAsia="zh-CN"/>
        </w:rPr>
        <w:t>的防渗措施；同时，加强鸡场管理，防止疫情发生。评价提出了一系列风险防范措施，并要求企业制定相应的应急预案。在落实上述各项环境风险防控措施的基础上，本项目的环境风险是可防控的。</w:t>
      </w:r>
    </w:p>
    <w:p w14:paraId="0A1E664A">
      <w:pPr>
        <w:pStyle w:val="369"/>
      </w:pPr>
      <w:r>
        <w:t>表6.7-1  建设项目环境风险简单分析内容表</w:t>
      </w:r>
    </w:p>
    <w:tbl>
      <w:tblPr>
        <w:tblStyle w:val="82"/>
        <w:tblW w:w="485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1496"/>
        <w:gridCol w:w="1036"/>
        <w:gridCol w:w="1774"/>
        <w:gridCol w:w="121"/>
        <w:gridCol w:w="974"/>
        <w:gridCol w:w="2227"/>
      </w:tblGrid>
      <w:tr w14:paraId="79731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86" w:type="dxa"/>
            <w:tcBorders>
              <w:tl2br w:val="nil"/>
              <w:tr2bl w:val="nil"/>
            </w:tcBorders>
            <w:vAlign w:val="center"/>
          </w:tcPr>
          <w:p w14:paraId="5535FF92">
            <w:pPr>
              <w:pStyle w:val="766"/>
              <w:rPr>
                <w:color w:val="auto"/>
              </w:rPr>
            </w:pPr>
            <w:r>
              <w:rPr>
                <w:color w:val="auto"/>
              </w:rPr>
              <w:t>建设项目名称</w:t>
            </w:r>
          </w:p>
        </w:tc>
        <w:tc>
          <w:tcPr>
            <w:tcW w:w="7628" w:type="dxa"/>
            <w:gridSpan w:val="6"/>
            <w:tcBorders>
              <w:tl2br w:val="nil"/>
              <w:tr2bl w:val="nil"/>
            </w:tcBorders>
            <w:vAlign w:val="center"/>
          </w:tcPr>
          <w:p w14:paraId="6A264291">
            <w:pPr>
              <w:pStyle w:val="766"/>
              <w:rPr>
                <w:color w:val="auto"/>
              </w:rPr>
            </w:pPr>
            <w:r>
              <w:rPr>
                <w:color w:val="auto"/>
              </w:rPr>
              <w:t>内蒙古华翔农林牧科技发展有限公司120万只蛋鸡养殖项目</w:t>
            </w:r>
          </w:p>
        </w:tc>
      </w:tr>
      <w:tr w14:paraId="576C4B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86" w:type="dxa"/>
            <w:tcBorders>
              <w:tl2br w:val="nil"/>
              <w:tr2bl w:val="nil"/>
            </w:tcBorders>
            <w:vAlign w:val="center"/>
          </w:tcPr>
          <w:p w14:paraId="6D92EFE1">
            <w:pPr>
              <w:pStyle w:val="766"/>
              <w:rPr>
                <w:color w:val="auto"/>
              </w:rPr>
            </w:pPr>
            <w:r>
              <w:rPr>
                <w:color w:val="auto"/>
              </w:rPr>
              <w:t>建设地点</w:t>
            </w:r>
          </w:p>
        </w:tc>
        <w:tc>
          <w:tcPr>
            <w:tcW w:w="2532" w:type="dxa"/>
            <w:gridSpan w:val="2"/>
            <w:tcBorders>
              <w:tl2br w:val="nil"/>
              <w:tr2bl w:val="nil"/>
            </w:tcBorders>
            <w:vAlign w:val="center"/>
          </w:tcPr>
          <w:p w14:paraId="1F31E5E6">
            <w:pPr>
              <w:pStyle w:val="766"/>
              <w:rPr>
                <w:color w:val="auto"/>
              </w:rPr>
            </w:pPr>
            <w:r>
              <w:rPr>
                <w:color w:val="auto"/>
              </w:rPr>
              <w:t>内蒙古</w:t>
            </w:r>
          </w:p>
        </w:tc>
        <w:tc>
          <w:tcPr>
            <w:tcW w:w="1895" w:type="dxa"/>
            <w:gridSpan w:val="2"/>
            <w:tcBorders>
              <w:tl2br w:val="nil"/>
              <w:tr2bl w:val="nil"/>
            </w:tcBorders>
            <w:vAlign w:val="center"/>
          </w:tcPr>
          <w:p w14:paraId="1B0B3024">
            <w:pPr>
              <w:pStyle w:val="766"/>
              <w:rPr>
                <w:color w:val="auto"/>
              </w:rPr>
            </w:pPr>
            <w:r>
              <w:rPr>
                <w:color w:val="auto"/>
                <w:shd w:val="clear" w:color="auto" w:fill="FFFFFF"/>
              </w:rPr>
              <w:t>鄂尔多斯市</w:t>
            </w:r>
          </w:p>
        </w:tc>
        <w:tc>
          <w:tcPr>
            <w:tcW w:w="3201" w:type="dxa"/>
            <w:gridSpan w:val="2"/>
            <w:tcBorders>
              <w:tl2br w:val="nil"/>
              <w:tr2bl w:val="nil"/>
            </w:tcBorders>
            <w:vAlign w:val="center"/>
          </w:tcPr>
          <w:p w14:paraId="3B9476D2">
            <w:pPr>
              <w:pStyle w:val="766"/>
              <w:rPr>
                <w:color w:val="auto"/>
              </w:rPr>
            </w:pPr>
            <w:r>
              <w:rPr>
                <w:color w:val="auto"/>
                <w:shd w:val="clear" w:color="auto" w:fill="FFFFFF"/>
              </w:rPr>
              <w:t>鄂托克旗蒙西镇</w:t>
            </w:r>
          </w:p>
        </w:tc>
      </w:tr>
      <w:tr w14:paraId="2E49E2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86" w:type="dxa"/>
            <w:tcBorders>
              <w:tl2br w:val="nil"/>
              <w:tr2bl w:val="nil"/>
            </w:tcBorders>
            <w:vAlign w:val="center"/>
          </w:tcPr>
          <w:p w14:paraId="73DBEED0">
            <w:pPr>
              <w:pStyle w:val="766"/>
              <w:rPr>
                <w:color w:val="auto"/>
              </w:rPr>
            </w:pPr>
            <w:r>
              <w:rPr>
                <w:color w:val="auto"/>
              </w:rPr>
              <w:t>地理坐标</w:t>
            </w:r>
          </w:p>
        </w:tc>
        <w:tc>
          <w:tcPr>
            <w:tcW w:w="2532" w:type="dxa"/>
            <w:gridSpan w:val="2"/>
            <w:tcBorders>
              <w:tl2br w:val="nil"/>
              <w:tr2bl w:val="nil"/>
            </w:tcBorders>
            <w:vAlign w:val="center"/>
          </w:tcPr>
          <w:p w14:paraId="135B0453">
            <w:pPr>
              <w:pStyle w:val="766"/>
              <w:rPr>
                <w:color w:val="auto"/>
              </w:rPr>
            </w:pPr>
            <w:r>
              <w:rPr>
                <w:color w:val="auto"/>
              </w:rPr>
              <w:t>经度</w:t>
            </w:r>
          </w:p>
        </w:tc>
        <w:tc>
          <w:tcPr>
            <w:tcW w:w="1895" w:type="dxa"/>
            <w:gridSpan w:val="2"/>
            <w:tcBorders>
              <w:tl2br w:val="nil"/>
              <w:tr2bl w:val="nil"/>
            </w:tcBorders>
            <w:vAlign w:val="center"/>
          </w:tcPr>
          <w:p w14:paraId="2A1D53B7">
            <w:pPr>
              <w:pStyle w:val="766"/>
              <w:rPr>
                <w:color w:val="auto"/>
              </w:rPr>
            </w:pPr>
            <w:r>
              <w:rPr>
                <w:color w:val="auto"/>
                <w:kern w:val="2"/>
                <w:szCs w:val="24"/>
                <w:lang w:val="zh-CN" w:bidi="zh-CN"/>
              </w:rPr>
              <w:t>106°48′8.958″</w:t>
            </w:r>
          </w:p>
        </w:tc>
        <w:tc>
          <w:tcPr>
            <w:tcW w:w="974" w:type="dxa"/>
            <w:tcBorders>
              <w:tl2br w:val="nil"/>
              <w:tr2bl w:val="nil"/>
            </w:tcBorders>
            <w:vAlign w:val="center"/>
          </w:tcPr>
          <w:p w14:paraId="001B3692">
            <w:pPr>
              <w:pStyle w:val="766"/>
              <w:rPr>
                <w:color w:val="auto"/>
              </w:rPr>
            </w:pPr>
            <w:r>
              <w:rPr>
                <w:color w:val="auto"/>
              </w:rPr>
              <w:t>纬度</w:t>
            </w:r>
          </w:p>
        </w:tc>
        <w:tc>
          <w:tcPr>
            <w:tcW w:w="2227" w:type="dxa"/>
            <w:tcBorders>
              <w:tl2br w:val="nil"/>
              <w:tr2bl w:val="nil"/>
            </w:tcBorders>
            <w:vAlign w:val="center"/>
          </w:tcPr>
          <w:p w14:paraId="3D29BD29">
            <w:pPr>
              <w:pStyle w:val="766"/>
              <w:rPr>
                <w:color w:val="auto"/>
              </w:rPr>
            </w:pPr>
            <w:r>
              <w:rPr>
                <w:color w:val="auto"/>
                <w:kern w:val="2"/>
                <w:szCs w:val="24"/>
                <w:lang w:val="zh-CN" w:bidi="zh-CN"/>
              </w:rPr>
              <w:t>40°1′9.600″</w:t>
            </w:r>
          </w:p>
        </w:tc>
      </w:tr>
      <w:tr w14:paraId="490748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386" w:type="dxa"/>
            <w:vMerge w:val="restart"/>
            <w:tcBorders>
              <w:tl2br w:val="nil"/>
              <w:tr2bl w:val="nil"/>
            </w:tcBorders>
            <w:vAlign w:val="center"/>
          </w:tcPr>
          <w:p w14:paraId="3A8840EC">
            <w:pPr>
              <w:pStyle w:val="766"/>
              <w:rPr>
                <w:color w:val="auto"/>
              </w:rPr>
            </w:pPr>
            <w:r>
              <w:rPr>
                <w:color w:val="auto"/>
              </w:rPr>
              <w:t>主要风险物质及分布</w:t>
            </w:r>
          </w:p>
        </w:tc>
        <w:tc>
          <w:tcPr>
            <w:tcW w:w="1496" w:type="dxa"/>
            <w:tcBorders>
              <w:tl2br w:val="nil"/>
              <w:tr2bl w:val="nil"/>
            </w:tcBorders>
            <w:vAlign w:val="center"/>
          </w:tcPr>
          <w:p w14:paraId="1BA2E7BC">
            <w:pPr>
              <w:pStyle w:val="766"/>
              <w:rPr>
                <w:color w:val="auto"/>
              </w:rPr>
            </w:pPr>
            <w:r>
              <w:rPr>
                <w:color w:val="auto"/>
              </w:rPr>
              <w:t>名称</w:t>
            </w:r>
          </w:p>
        </w:tc>
        <w:tc>
          <w:tcPr>
            <w:tcW w:w="2810" w:type="dxa"/>
            <w:gridSpan w:val="2"/>
            <w:tcBorders>
              <w:tl2br w:val="nil"/>
              <w:tr2bl w:val="nil"/>
            </w:tcBorders>
            <w:vAlign w:val="center"/>
          </w:tcPr>
          <w:p w14:paraId="0EC679DE">
            <w:pPr>
              <w:pStyle w:val="766"/>
              <w:rPr>
                <w:color w:val="auto"/>
              </w:rPr>
            </w:pPr>
            <w:r>
              <w:rPr>
                <w:color w:val="auto"/>
              </w:rPr>
              <w:t>天然气</w:t>
            </w:r>
          </w:p>
        </w:tc>
        <w:tc>
          <w:tcPr>
            <w:tcW w:w="3322" w:type="dxa"/>
            <w:gridSpan w:val="3"/>
            <w:tcBorders>
              <w:tl2br w:val="nil"/>
              <w:tr2bl w:val="nil"/>
            </w:tcBorders>
            <w:vAlign w:val="center"/>
          </w:tcPr>
          <w:p w14:paraId="7644ED78">
            <w:pPr>
              <w:pStyle w:val="766"/>
              <w:rPr>
                <w:color w:val="auto"/>
              </w:rPr>
            </w:pPr>
            <w:r>
              <w:rPr>
                <w:color w:val="auto"/>
              </w:rPr>
              <w:t>医疗废物</w:t>
            </w:r>
          </w:p>
        </w:tc>
      </w:tr>
      <w:tr w14:paraId="0DC965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386" w:type="dxa"/>
            <w:vMerge w:val="continue"/>
            <w:tcBorders>
              <w:tl2br w:val="nil"/>
              <w:tr2bl w:val="nil"/>
            </w:tcBorders>
            <w:vAlign w:val="center"/>
          </w:tcPr>
          <w:p w14:paraId="1E4C94AA">
            <w:pPr>
              <w:pStyle w:val="766"/>
              <w:rPr>
                <w:color w:val="auto"/>
              </w:rPr>
            </w:pPr>
          </w:p>
        </w:tc>
        <w:tc>
          <w:tcPr>
            <w:tcW w:w="1496" w:type="dxa"/>
            <w:tcBorders>
              <w:tl2br w:val="nil"/>
              <w:tr2bl w:val="nil"/>
            </w:tcBorders>
            <w:vAlign w:val="center"/>
          </w:tcPr>
          <w:p w14:paraId="15524712">
            <w:pPr>
              <w:pStyle w:val="766"/>
              <w:rPr>
                <w:color w:val="auto"/>
              </w:rPr>
            </w:pPr>
            <w:r>
              <w:rPr>
                <w:color w:val="auto"/>
              </w:rPr>
              <w:t>存在总量</w:t>
            </w:r>
          </w:p>
        </w:tc>
        <w:tc>
          <w:tcPr>
            <w:tcW w:w="2810" w:type="dxa"/>
            <w:gridSpan w:val="2"/>
            <w:tcBorders>
              <w:tl2br w:val="nil"/>
              <w:tr2bl w:val="nil"/>
            </w:tcBorders>
            <w:vAlign w:val="center"/>
          </w:tcPr>
          <w:p w14:paraId="59B48DBF">
            <w:pPr>
              <w:pStyle w:val="766"/>
              <w:rPr>
                <w:color w:val="auto"/>
              </w:rPr>
            </w:pPr>
            <w:r>
              <w:rPr>
                <w:rFonts w:hint="eastAsia"/>
                <w:color w:val="auto"/>
              </w:rPr>
              <w:t>0.1</w:t>
            </w:r>
          </w:p>
        </w:tc>
        <w:tc>
          <w:tcPr>
            <w:tcW w:w="3322" w:type="dxa"/>
            <w:gridSpan w:val="3"/>
            <w:tcBorders>
              <w:tl2br w:val="nil"/>
              <w:tr2bl w:val="nil"/>
            </w:tcBorders>
            <w:vAlign w:val="center"/>
          </w:tcPr>
          <w:p w14:paraId="5EB987E0">
            <w:pPr>
              <w:pStyle w:val="766"/>
              <w:rPr>
                <w:color w:val="auto"/>
              </w:rPr>
            </w:pPr>
            <w:r>
              <w:rPr>
                <w:color w:val="auto"/>
              </w:rPr>
              <w:t>0.05</w:t>
            </w:r>
          </w:p>
        </w:tc>
      </w:tr>
      <w:tr w14:paraId="5B37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86" w:type="dxa"/>
            <w:tcBorders>
              <w:tl2br w:val="nil"/>
              <w:tr2bl w:val="nil"/>
            </w:tcBorders>
            <w:vAlign w:val="center"/>
          </w:tcPr>
          <w:p w14:paraId="0C4BFBAE">
            <w:pPr>
              <w:pStyle w:val="766"/>
              <w:rPr>
                <w:color w:val="auto"/>
              </w:rPr>
            </w:pPr>
            <w:r>
              <w:rPr>
                <w:color w:val="auto"/>
              </w:rPr>
              <w:t>环境影响途径及危害后果（大气、地表水、地下水等）</w:t>
            </w:r>
          </w:p>
        </w:tc>
        <w:tc>
          <w:tcPr>
            <w:tcW w:w="7628" w:type="dxa"/>
            <w:gridSpan w:val="6"/>
            <w:tcBorders>
              <w:tl2br w:val="nil"/>
              <w:tr2bl w:val="nil"/>
            </w:tcBorders>
            <w:vAlign w:val="center"/>
          </w:tcPr>
          <w:p w14:paraId="16526772">
            <w:pPr>
              <w:pStyle w:val="766"/>
              <w:jc w:val="left"/>
              <w:rPr>
                <w:color w:val="auto"/>
              </w:rPr>
            </w:pPr>
            <w:r>
              <w:rPr>
                <w:color w:val="auto"/>
              </w:rPr>
              <w:t>1、氨气、硫化氢非正常排放的影响分析</w:t>
            </w:r>
          </w:p>
          <w:p w14:paraId="521B0D60">
            <w:pPr>
              <w:pStyle w:val="766"/>
              <w:jc w:val="left"/>
              <w:rPr>
                <w:color w:val="auto"/>
              </w:rPr>
            </w:pPr>
            <w:r>
              <w:rPr>
                <w:color w:val="auto"/>
              </w:rPr>
              <w:t>造成大量气体聚集在有机肥加工车间中，而后高浓度气体泄漏影响周边大气环境和人身健康；</w:t>
            </w:r>
          </w:p>
          <w:p w14:paraId="585680F6">
            <w:pPr>
              <w:pStyle w:val="766"/>
              <w:jc w:val="left"/>
              <w:rPr>
                <w:color w:val="auto"/>
              </w:rPr>
            </w:pPr>
            <w:r>
              <w:rPr>
                <w:color w:val="auto"/>
              </w:rPr>
              <w:t>2、对土壤和地下水环境的影响</w:t>
            </w:r>
          </w:p>
          <w:p w14:paraId="69064C4F">
            <w:pPr>
              <w:pStyle w:val="766"/>
              <w:jc w:val="left"/>
              <w:rPr>
                <w:color w:val="auto"/>
              </w:rPr>
            </w:pPr>
            <w:r>
              <w:rPr>
                <w:color w:val="auto"/>
              </w:rPr>
              <w:t>粪污中的蛋白质、脂肪、糖等有机质将可能会出现降解不完全和厌氧腐解，产生恶臭物质和亚硝酸盐等有害物质，引起土壤的组成和性状发生改变；导致土壤孔隙堵塞，造成土壤透气、透水性下降及板结，严重影响土壤和地下水质量。</w:t>
            </w:r>
          </w:p>
          <w:p w14:paraId="767E2813">
            <w:pPr>
              <w:pStyle w:val="766"/>
              <w:jc w:val="left"/>
              <w:rPr>
                <w:color w:val="auto"/>
              </w:rPr>
            </w:pPr>
            <w:r>
              <w:rPr>
                <w:color w:val="auto"/>
              </w:rPr>
              <w:t>3、危险废物泄漏环境影响分析</w:t>
            </w:r>
          </w:p>
          <w:p w14:paraId="32544415">
            <w:pPr>
              <w:pStyle w:val="766"/>
              <w:jc w:val="left"/>
              <w:rPr>
                <w:color w:val="auto"/>
              </w:rPr>
            </w:pPr>
            <w:r>
              <w:rPr>
                <w:color w:val="auto"/>
              </w:rPr>
              <w:t>容器破损、倾倒、人为操作失误导致泄漏事故或</w:t>
            </w:r>
            <w:r>
              <w:rPr>
                <w:rFonts w:hint="eastAsia"/>
                <w:color w:val="auto"/>
                <w:lang w:val="en-GB"/>
              </w:rPr>
              <w:t>诊疗废弃物暂存间</w:t>
            </w:r>
            <w:r>
              <w:rPr>
                <w:color w:val="auto"/>
              </w:rPr>
              <w:t>的防渗层破裂，泄漏物料将渗入地下污染土壤和地下水环境。</w:t>
            </w:r>
          </w:p>
          <w:p w14:paraId="4E532835">
            <w:pPr>
              <w:pStyle w:val="766"/>
              <w:jc w:val="left"/>
              <w:rPr>
                <w:color w:val="auto"/>
              </w:rPr>
            </w:pPr>
            <w:r>
              <w:rPr>
                <w:color w:val="auto"/>
              </w:rPr>
              <w:t>4、动物疫病的影响</w:t>
            </w:r>
          </w:p>
          <w:p w14:paraId="2A33399A">
            <w:pPr>
              <w:pStyle w:val="766"/>
              <w:jc w:val="left"/>
              <w:rPr>
                <w:color w:val="auto"/>
              </w:rPr>
            </w:pPr>
            <w:r>
              <w:rPr>
                <w:color w:val="auto"/>
              </w:rPr>
              <w:t xml:space="preserve">物疫病还会造成动物生产性能和畜产品品质的下降，并增加动物饲料消耗、人工费用、防治费用等养殖成本，使养殖企业利润受损。同时，随着病毒的发展演化，产生了许多人畜共患病，给人类健康带来严重威胁。 </w:t>
            </w:r>
          </w:p>
          <w:p w14:paraId="7CDD7BCE">
            <w:pPr>
              <w:pStyle w:val="766"/>
              <w:jc w:val="left"/>
              <w:rPr>
                <w:color w:val="auto"/>
              </w:rPr>
            </w:pPr>
            <w:r>
              <w:rPr>
                <w:color w:val="auto"/>
              </w:rPr>
              <w:t>5、病死鸡的影响</w:t>
            </w:r>
          </w:p>
          <w:p w14:paraId="6E38BA48">
            <w:pPr>
              <w:pStyle w:val="766"/>
              <w:jc w:val="left"/>
              <w:rPr>
                <w:color w:val="auto"/>
              </w:rPr>
            </w:pPr>
            <w:r>
              <w:rPr>
                <w:color w:val="auto"/>
              </w:rPr>
              <w:t>如果对这些病死猪处理不当， 没有采取有效的预防和控制措施，或使病死猪流入市场，则各种带有病菌、病毒和寄生虫虫卵的畜禽、皮毛、血液、粪便、骨骼、肉尸、污水等会使环境中病源种类增多、菌量增大，出现病原菌和寄生虫的大量繁殖，造成人、畜传染病的蔓延，会对人畜健康产生极大的威胁，严重影响了公众卫生安全，给人类健康和生命带来灾难性危害。</w:t>
            </w:r>
          </w:p>
        </w:tc>
      </w:tr>
      <w:tr w14:paraId="03FAE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86" w:type="dxa"/>
            <w:tcBorders>
              <w:tl2br w:val="nil"/>
              <w:tr2bl w:val="nil"/>
            </w:tcBorders>
            <w:vAlign w:val="center"/>
          </w:tcPr>
          <w:p w14:paraId="18B66E67">
            <w:pPr>
              <w:pStyle w:val="766"/>
              <w:rPr>
                <w:color w:val="auto"/>
              </w:rPr>
            </w:pPr>
            <w:r>
              <w:rPr>
                <w:color w:val="auto"/>
              </w:rPr>
              <w:t>风险防范措施要求</w:t>
            </w:r>
          </w:p>
        </w:tc>
        <w:tc>
          <w:tcPr>
            <w:tcW w:w="7628" w:type="dxa"/>
            <w:gridSpan w:val="6"/>
            <w:tcBorders>
              <w:tl2br w:val="nil"/>
              <w:tr2bl w:val="nil"/>
            </w:tcBorders>
            <w:vAlign w:val="center"/>
          </w:tcPr>
          <w:p w14:paraId="79E4FFD1">
            <w:pPr>
              <w:pStyle w:val="766"/>
              <w:jc w:val="left"/>
              <w:rPr>
                <w:color w:val="auto"/>
              </w:rPr>
            </w:pPr>
            <w:r>
              <w:rPr>
                <w:color w:val="auto"/>
              </w:rPr>
              <w:t>氨气、硫化氢非正常排放风险防范措施：</w:t>
            </w:r>
            <w:r>
              <w:rPr>
                <w:rFonts w:hint="eastAsia" w:ascii="宋体" w:hAnsi="宋体" w:cs="宋体"/>
                <w:color w:val="auto"/>
              </w:rPr>
              <w:t>①</w:t>
            </w:r>
            <w:r>
              <w:rPr>
                <w:color w:val="auto"/>
              </w:rPr>
              <w:t>迅速撤离泄漏污染区人员至上风处，并立即隔离150m，严格限制出入。合理通风，加速扩散。高浓度泄漏区，喷含盐酸的雾状水中和、稀释、溶解，构筑围堤或挖坑收容产生的大量废水。</w:t>
            </w:r>
          </w:p>
          <w:p w14:paraId="6A4FB96C">
            <w:pPr>
              <w:pStyle w:val="766"/>
              <w:jc w:val="left"/>
              <w:rPr>
                <w:color w:val="auto"/>
              </w:rPr>
            </w:pPr>
            <w:r>
              <w:rPr>
                <w:color w:val="auto"/>
              </w:rPr>
              <w:t>冲洗废水事故性排放风险防范措施：</w:t>
            </w:r>
            <w:r>
              <w:rPr>
                <w:rFonts w:hint="eastAsia" w:ascii="宋体" w:hAnsi="宋体" w:cs="宋体"/>
                <w:color w:val="auto"/>
              </w:rPr>
              <w:t>①</w:t>
            </w:r>
            <w:r>
              <w:rPr>
                <w:color w:val="auto"/>
              </w:rPr>
              <w:t>企业领导应该提高对突发性事故的警觉和认识，作到警钟</w:t>
            </w:r>
            <w:r>
              <w:rPr>
                <w:rFonts w:hint="eastAsia"/>
                <w:color w:val="auto"/>
                <w:lang w:val="en-US" w:eastAsia="zh-CN"/>
              </w:rPr>
              <w:t>长</w:t>
            </w:r>
            <w:r>
              <w:rPr>
                <w:color w:val="auto"/>
              </w:rPr>
              <w:t>鸣。建议企业建立安全与环保科，并由企业领导直接领导，全权负责检查和监督全场的安全生产和环保设施的正常运转情况。对安全和环保应建立严格的防范措施，制定严格的管理规章制度，列出潜在危险的过程、设备等清单，严格执行设备检验和报废制度。</w:t>
            </w:r>
            <w:r>
              <w:rPr>
                <w:rFonts w:hint="eastAsia" w:ascii="宋体" w:hAnsi="宋体" w:cs="宋体"/>
                <w:color w:val="auto"/>
              </w:rPr>
              <w:t>②</w:t>
            </w:r>
            <w:r>
              <w:rPr>
                <w:color w:val="auto"/>
              </w:rPr>
              <w:t>养殖场的排水系统应实行雨水和污水收集输送系统分离，避免雨水进入污水处理设施。</w:t>
            </w:r>
            <w:r>
              <w:rPr>
                <w:rFonts w:hint="eastAsia" w:ascii="宋体" w:hAnsi="宋体" w:cs="宋体"/>
                <w:color w:val="auto"/>
              </w:rPr>
              <w:t>③</w:t>
            </w:r>
            <w:r>
              <w:rPr>
                <w:color w:val="auto"/>
              </w:rPr>
              <w:t>定期检修设备，发现问题应立即排除。若污水池防渗层破裂，导致污水发生泄漏，应先将废水切换至应急池。</w:t>
            </w:r>
          </w:p>
          <w:p w14:paraId="48A3EBA2">
            <w:pPr>
              <w:pStyle w:val="766"/>
              <w:jc w:val="left"/>
              <w:rPr>
                <w:color w:val="auto"/>
              </w:rPr>
            </w:pPr>
            <w:r>
              <w:rPr>
                <w:color w:val="auto"/>
              </w:rPr>
              <w:t>危废泄漏事故防范措施：</w:t>
            </w:r>
            <w:r>
              <w:rPr>
                <w:rFonts w:hint="eastAsia" w:ascii="宋体" w:hAnsi="宋体" w:cs="宋体"/>
                <w:color w:val="auto"/>
              </w:rPr>
              <w:t>①</w:t>
            </w:r>
            <w:r>
              <w:rPr>
                <w:color w:val="auto"/>
              </w:rPr>
              <w:t>危险废物应放置在固定容器中，放置时务必小心轻放，禁止将相互反应的危险废物在同一容器内混装，暂存期间容器须全程保持密闭；</w:t>
            </w:r>
            <w:r>
              <w:rPr>
                <w:rFonts w:hint="eastAsia" w:ascii="宋体" w:hAnsi="宋体" w:cs="宋体"/>
                <w:color w:val="auto"/>
              </w:rPr>
              <w:t>②</w:t>
            </w:r>
            <w:r>
              <w:rPr>
                <w:color w:val="auto"/>
              </w:rPr>
              <w:t>加强危废的日常管理工作。</w:t>
            </w:r>
          </w:p>
          <w:p w14:paraId="58F6D50F">
            <w:pPr>
              <w:pStyle w:val="766"/>
              <w:jc w:val="left"/>
              <w:rPr>
                <w:color w:val="auto"/>
              </w:rPr>
            </w:pPr>
            <w:r>
              <w:rPr>
                <w:color w:val="auto"/>
              </w:rPr>
              <w:t>动物疫病的预防措施：</w:t>
            </w:r>
            <w:r>
              <w:rPr>
                <w:rFonts w:hint="eastAsia" w:ascii="宋体" w:hAnsi="宋体" w:cs="宋体"/>
                <w:color w:val="auto"/>
              </w:rPr>
              <w:t>①</w:t>
            </w:r>
            <w:r>
              <w:rPr>
                <w:color w:val="auto"/>
              </w:rPr>
              <w:t>合理布局猪舍，加强饲养人员的管理。</w:t>
            </w:r>
            <w:r>
              <w:rPr>
                <w:rFonts w:hint="eastAsia" w:ascii="宋体" w:hAnsi="宋体" w:cs="宋体"/>
                <w:color w:val="auto"/>
              </w:rPr>
              <w:t>②</w:t>
            </w:r>
            <w:r>
              <w:rPr>
                <w:color w:val="auto"/>
              </w:rPr>
              <w:t>建立正常的卫生防疫制度，按计划对猪舍进行清扫、消毒按计划对猪群实施免疫程序，建立免疫档案</w:t>
            </w:r>
          </w:p>
          <w:p w14:paraId="425A2602">
            <w:pPr>
              <w:pStyle w:val="766"/>
              <w:jc w:val="left"/>
              <w:rPr>
                <w:color w:val="auto"/>
              </w:rPr>
            </w:pPr>
            <w:r>
              <w:rPr>
                <w:color w:val="auto"/>
              </w:rPr>
              <w:t>编制突发环境事件应急预案并定期演练。</w:t>
            </w:r>
          </w:p>
        </w:tc>
      </w:tr>
      <w:tr w14:paraId="03D89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86" w:type="dxa"/>
            <w:tcBorders>
              <w:tl2br w:val="nil"/>
              <w:tr2bl w:val="nil"/>
            </w:tcBorders>
            <w:vAlign w:val="center"/>
          </w:tcPr>
          <w:p w14:paraId="5FA2FA0D">
            <w:pPr>
              <w:pStyle w:val="766"/>
              <w:rPr>
                <w:color w:val="auto"/>
                <w:kern w:val="2"/>
              </w:rPr>
            </w:pPr>
            <w:r>
              <w:rPr>
                <w:color w:val="auto"/>
                <w:kern w:val="2"/>
              </w:rPr>
              <w:t>评价结论</w:t>
            </w:r>
          </w:p>
        </w:tc>
        <w:tc>
          <w:tcPr>
            <w:tcW w:w="7628" w:type="dxa"/>
            <w:gridSpan w:val="6"/>
            <w:tcBorders>
              <w:tl2br w:val="nil"/>
              <w:tr2bl w:val="nil"/>
            </w:tcBorders>
            <w:vAlign w:val="center"/>
          </w:tcPr>
          <w:p w14:paraId="3A0478AE">
            <w:pPr>
              <w:pStyle w:val="766"/>
              <w:rPr>
                <w:color w:val="auto"/>
                <w:kern w:val="2"/>
              </w:rPr>
            </w:pPr>
            <w:r>
              <w:rPr>
                <w:color w:val="auto"/>
                <w:kern w:val="2"/>
              </w:rPr>
              <w:t>在落实风险防范对策措施、</w:t>
            </w:r>
            <w:r>
              <w:rPr>
                <w:rFonts w:hint="eastAsia"/>
                <w:color w:val="auto"/>
                <w:kern w:val="2"/>
                <w:lang w:val="en-US" w:eastAsia="zh-CN"/>
              </w:rPr>
              <w:t>做</w:t>
            </w:r>
            <w:r>
              <w:rPr>
                <w:color w:val="auto"/>
                <w:kern w:val="2"/>
              </w:rPr>
              <w:t>好应急预案后，本项目的风险处于可接受水平。</w:t>
            </w:r>
          </w:p>
        </w:tc>
      </w:tr>
    </w:tbl>
    <w:p w14:paraId="4B967CFE">
      <w:pPr>
        <w:pStyle w:val="105"/>
        <w:ind w:firstLine="480"/>
        <w:sectPr>
          <w:pgSz w:w="11907" w:h="16840"/>
          <w:pgMar w:top="1418" w:right="1418" w:bottom="1418" w:left="1418" w:header="964" w:footer="964" w:gutter="0"/>
          <w:cols w:space="720" w:num="1"/>
          <w:docGrid w:linePitch="326" w:charSpace="0"/>
        </w:sectPr>
      </w:pPr>
    </w:p>
    <w:p w14:paraId="06734B20">
      <w:pPr>
        <w:pStyle w:val="103"/>
      </w:pPr>
      <w:bookmarkStart w:id="479" w:name="_Toc166572347"/>
      <w:r>
        <w:t>7</w:t>
      </w:r>
      <w:bookmarkEnd w:id="420"/>
      <w:bookmarkEnd w:id="421"/>
      <w:r>
        <w:t>环境保护措施及其可行性论证</w:t>
      </w:r>
      <w:bookmarkEnd w:id="444"/>
      <w:bookmarkEnd w:id="479"/>
    </w:p>
    <w:p w14:paraId="1CB2733C">
      <w:pPr>
        <w:pStyle w:val="10"/>
        <w:keepNext w:val="0"/>
        <w:keepLines w:val="0"/>
        <w:tabs>
          <w:tab w:val="left" w:pos="567"/>
        </w:tabs>
      </w:pPr>
      <w:bookmarkStart w:id="480" w:name="_Toc22381"/>
      <w:bookmarkStart w:id="481" w:name="_Toc2095312"/>
      <w:bookmarkStart w:id="482" w:name="_Toc28341"/>
      <w:bookmarkStart w:id="483" w:name="_Toc441671754"/>
      <w:bookmarkStart w:id="484" w:name="_Toc2785"/>
      <w:bookmarkStart w:id="485" w:name="_Toc22649"/>
      <w:bookmarkStart w:id="486" w:name="_Toc16683"/>
      <w:bookmarkStart w:id="487" w:name="_Toc19911"/>
      <w:bookmarkStart w:id="488" w:name="_Toc19770"/>
      <w:bookmarkStart w:id="489" w:name="_Toc20078"/>
      <w:bookmarkStart w:id="490" w:name="_Toc26919"/>
      <w:bookmarkStart w:id="491" w:name="_Toc13069622"/>
      <w:bookmarkStart w:id="492" w:name="_Toc166572348"/>
      <w:bookmarkStart w:id="493" w:name="_Toc47"/>
      <w:bookmarkStart w:id="494" w:name="_Toc9441_WPSOffice_Level3"/>
      <w:bookmarkStart w:id="495" w:name="_Toc36234661"/>
      <w:bookmarkStart w:id="496" w:name="_Toc340564665"/>
      <w:bookmarkStart w:id="497" w:name="_Toc14570"/>
      <w:bookmarkStart w:id="498" w:name="_Toc19455"/>
      <w:bookmarkStart w:id="499" w:name="_Toc436664408"/>
      <w:bookmarkStart w:id="500" w:name="_Toc370338797"/>
      <w:r>
        <w:t>7.1 施工期污染防治措施</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59E49230">
      <w:pPr>
        <w:pStyle w:val="230"/>
        <w:ind w:firstLine="480"/>
        <w:rPr>
          <w:lang w:eastAsia="zh-CN"/>
        </w:rPr>
      </w:pPr>
      <w:r>
        <w:rPr>
          <w:lang w:eastAsia="zh-CN"/>
        </w:rPr>
        <w:t>为减轻本项目施工期间对环境产生的不利影响，建设单位和施工单位必须采取如下防治措施。</w:t>
      </w:r>
    </w:p>
    <w:p w14:paraId="4F116825">
      <w:pPr>
        <w:pStyle w:val="11"/>
        <w:rPr>
          <w:szCs w:val="36"/>
        </w:rPr>
      </w:pPr>
      <w:bookmarkStart w:id="501" w:name="_Toc2482"/>
      <w:bookmarkStart w:id="502" w:name="_Toc12694"/>
      <w:bookmarkStart w:id="503" w:name="_Toc13069623"/>
      <w:bookmarkStart w:id="504" w:name="_Toc2095313"/>
      <w:bookmarkStart w:id="505" w:name="_Toc171"/>
      <w:bookmarkStart w:id="506" w:name="_Toc166572349"/>
      <w:bookmarkStart w:id="507" w:name="_Toc6500"/>
      <w:bookmarkStart w:id="508" w:name="_Toc14602"/>
      <w:bookmarkStart w:id="509" w:name="_Toc17077"/>
      <w:bookmarkStart w:id="510" w:name="_Toc8724"/>
      <w:bookmarkStart w:id="511" w:name="_Toc10001"/>
      <w:bookmarkStart w:id="512" w:name="_Toc380053302"/>
      <w:bookmarkStart w:id="513" w:name="_Toc29463"/>
      <w:r>
        <w:rPr>
          <w:szCs w:val="36"/>
        </w:rPr>
        <w:t>7.1.1大气污染防治措施</w:t>
      </w:r>
      <w:bookmarkEnd w:id="501"/>
      <w:bookmarkEnd w:id="502"/>
      <w:bookmarkEnd w:id="503"/>
      <w:bookmarkEnd w:id="504"/>
      <w:bookmarkEnd w:id="505"/>
      <w:bookmarkEnd w:id="506"/>
      <w:bookmarkEnd w:id="507"/>
      <w:bookmarkEnd w:id="508"/>
      <w:bookmarkEnd w:id="509"/>
      <w:bookmarkEnd w:id="510"/>
      <w:bookmarkEnd w:id="511"/>
      <w:bookmarkEnd w:id="512"/>
      <w:bookmarkEnd w:id="513"/>
    </w:p>
    <w:p w14:paraId="4F0FB66A">
      <w:pPr>
        <w:pStyle w:val="230"/>
        <w:ind w:firstLine="480"/>
        <w:rPr>
          <w:lang w:eastAsia="zh-CN"/>
        </w:rPr>
      </w:pPr>
      <w:r>
        <w:rPr>
          <w:lang w:eastAsia="zh-CN"/>
        </w:rPr>
        <w:t>（1）施工扬尘</w:t>
      </w:r>
    </w:p>
    <w:p w14:paraId="785075A0">
      <w:pPr>
        <w:pStyle w:val="230"/>
        <w:ind w:firstLine="480"/>
        <w:rPr>
          <w:lang w:eastAsia="zh-CN"/>
        </w:rPr>
      </w:pPr>
      <w:r>
        <w:rPr>
          <w:lang w:eastAsia="zh-CN"/>
        </w:rPr>
        <w:t>本项目施工期大气污染物主要是扬尘，为控制扬尘污染，施工单位应严格按要求，对施工期扬尘提出如下的控制及防治措施：</w:t>
      </w:r>
    </w:p>
    <w:p w14:paraId="62C9DD31">
      <w:pPr>
        <w:pStyle w:val="230"/>
        <w:ind w:firstLine="480"/>
        <w:rPr>
          <w:lang w:eastAsia="zh-CN"/>
        </w:rPr>
      </w:pPr>
      <w:r>
        <w:rPr>
          <w:rFonts w:hint="eastAsia" w:ascii="宋体" w:hAnsi="宋体" w:cs="宋体"/>
          <w:lang w:eastAsia="zh-CN"/>
        </w:rPr>
        <w:t>①</w:t>
      </w:r>
      <w:r>
        <w:rPr>
          <w:lang w:eastAsia="zh-CN"/>
        </w:rPr>
        <w:t>建筑施工场地设置硬质围挡，不高空抛撒建筑垃圾，防止施工过程中易产生扬尘物料、渣土的外逸。对工地裸露地面采取软硬覆盖及洒水抑尘等措施。</w:t>
      </w:r>
    </w:p>
    <w:p w14:paraId="567C63A4">
      <w:pPr>
        <w:pStyle w:val="230"/>
        <w:ind w:firstLine="480"/>
        <w:rPr>
          <w:lang w:eastAsia="zh-CN"/>
        </w:rPr>
      </w:pPr>
      <w:r>
        <w:rPr>
          <w:rFonts w:hint="eastAsia" w:ascii="宋体" w:hAnsi="宋体" w:cs="宋体"/>
          <w:lang w:eastAsia="zh-CN"/>
        </w:rPr>
        <w:t>②</w:t>
      </w:r>
      <w:r>
        <w:rPr>
          <w:lang w:eastAsia="zh-CN"/>
        </w:rPr>
        <w:t>施工场地主要干道采取硬化措施，避免施工道路产生扬尘。施工车辆出入现场采取冲洗车轮等措施，防止车辆带泥沙驶出工地。</w:t>
      </w:r>
    </w:p>
    <w:p w14:paraId="16EE52AE">
      <w:pPr>
        <w:pStyle w:val="230"/>
        <w:ind w:firstLine="480"/>
        <w:rPr>
          <w:lang w:eastAsia="zh-CN"/>
        </w:rPr>
      </w:pPr>
      <w:r>
        <w:rPr>
          <w:rFonts w:hint="eastAsia" w:ascii="宋体" w:hAnsi="宋体" w:cs="宋体"/>
          <w:lang w:eastAsia="zh-CN"/>
        </w:rPr>
        <w:t>③</w:t>
      </w:r>
      <w:r>
        <w:rPr>
          <w:lang w:eastAsia="zh-CN"/>
        </w:rPr>
        <w:t>施工现场残土、沙料等易产生扬尘物料采取覆盖防尘网（布）等有效措施，并要经常进行洒水保湿，避免扬尘污染。</w:t>
      </w:r>
    </w:p>
    <w:p w14:paraId="51860616">
      <w:pPr>
        <w:pStyle w:val="230"/>
        <w:ind w:firstLine="480"/>
        <w:rPr>
          <w:lang w:eastAsia="zh-CN"/>
        </w:rPr>
      </w:pPr>
      <w:r>
        <w:rPr>
          <w:rFonts w:hint="eastAsia" w:ascii="宋体" w:hAnsi="宋体" w:cs="宋体"/>
          <w:lang w:eastAsia="zh-CN"/>
        </w:rPr>
        <w:t>④</w:t>
      </w:r>
      <w:r>
        <w:rPr>
          <w:lang w:eastAsia="zh-CN"/>
        </w:rPr>
        <w:t>在施工场地使用混凝土应设置在封闭房间内，水泥、白灰放在库内储存或严密遮盖。</w:t>
      </w:r>
    </w:p>
    <w:p w14:paraId="33565EEF">
      <w:pPr>
        <w:pStyle w:val="230"/>
        <w:ind w:firstLine="480"/>
        <w:rPr>
          <w:lang w:eastAsia="zh-CN"/>
        </w:rPr>
      </w:pPr>
      <w:r>
        <w:rPr>
          <w:rFonts w:hint="eastAsia" w:ascii="宋体" w:hAnsi="宋体" w:cs="宋体"/>
          <w:lang w:eastAsia="zh-CN"/>
        </w:rPr>
        <w:t>⑤</w:t>
      </w:r>
      <w:r>
        <w:rPr>
          <w:lang w:eastAsia="zh-CN"/>
        </w:rPr>
        <w:t>在施工工地不使用原煤、木柴散烧炉灶，施工现场暂设炉灶使用液化石油气、电等清洁燃料。</w:t>
      </w:r>
    </w:p>
    <w:p w14:paraId="254D2841">
      <w:pPr>
        <w:pStyle w:val="230"/>
        <w:ind w:firstLine="480"/>
        <w:rPr>
          <w:lang w:eastAsia="zh-CN"/>
        </w:rPr>
      </w:pPr>
      <w:r>
        <w:rPr>
          <w:rFonts w:hint="eastAsia" w:ascii="宋体" w:hAnsi="宋体" w:cs="宋体"/>
          <w:lang w:eastAsia="zh-CN"/>
        </w:rPr>
        <w:t>⑥</w:t>
      </w:r>
      <w:r>
        <w:rPr>
          <w:lang w:eastAsia="zh-CN"/>
        </w:rPr>
        <w:t>清运残土、沙土及垃圾等的装载高度不得超过车辆护栏，并采取全覆盖措施，以防止遗撒。</w:t>
      </w:r>
    </w:p>
    <w:p w14:paraId="7DE20676">
      <w:pPr>
        <w:pStyle w:val="230"/>
        <w:ind w:firstLine="480"/>
        <w:rPr>
          <w:lang w:eastAsia="zh-CN"/>
        </w:rPr>
      </w:pPr>
      <w:r>
        <w:rPr>
          <w:rFonts w:hint="eastAsia" w:ascii="宋体" w:hAnsi="宋体" w:cs="宋体"/>
          <w:lang w:eastAsia="zh-CN"/>
        </w:rPr>
        <w:t>⑦</w:t>
      </w:r>
      <w:r>
        <w:rPr>
          <w:lang w:eastAsia="zh-CN"/>
        </w:rPr>
        <w:t>施工结束后及时清理和平整现场、清运残土和垃圾，并进行软硬覆盖。</w:t>
      </w:r>
    </w:p>
    <w:p w14:paraId="49054F95">
      <w:pPr>
        <w:pStyle w:val="230"/>
        <w:ind w:firstLine="480"/>
        <w:rPr>
          <w:lang w:eastAsia="zh-CN"/>
        </w:rPr>
      </w:pPr>
      <w:r>
        <w:rPr>
          <w:lang w:eastAsia="zh-CN"/>
        </w:rPr>
        <w:t>（2）施工设备废气</w:t>
      </w:r>
    </w:p>
    <w:p w14:paraId="78894D5E">
      <w:pPr>
        <w:pStyle w:val="230"/>
        <w:ind w:firstLine="480"/>
        <w:rPr>
          <w:lang w:eastAsia="zh-CN"/>
        </w:rPr>
      </w:pPr>
      <w:r>
        <w:fldChar w:fldCharType="begin"/>
      </w:r>
      <w:r>
        <w:rPr>
          <w:lang w:eastAsia="zh-CN"/>
        </w:rPr>
        <w:instrText xml:space="preserve"> = 1 \* GB3 </w:instrText>
      </w:r>
      <w:r>
        <w:fldChar w:fldCharType="separate"/>
      </w:r>
      <w:r>
        <w:rPr>
          <w:rFonts w:hint="eastAsia" w:ascii="宋体" w:hAnsi="宋体" w:cs="宋体"/>
          <w:lang w:eastAsia="zh-CN"/>
        </w:rPr>
        <w:t>①</w:t>
      </w:r>
      <w:r>
        <w:fldChar w:fldCharType="end"/>
      </w:r>
      <w:r>
        <w:rPr>
          <w:lang w:eastAsia="zh-CN"/>
        </w:rPr>
        <w:t>加强对施工车辆的检修和维护，严禁使用超期服役和尾气超标的车辆。</w:t>
      </w:r>
    </w:p>
    <w:p w14:paraId="3F6EE726">
      <w:pPr>
        <w:pStyle w:val="230"/>
        <w:ind w:firstLine="480"/>
        <w:rPr>
          <w:lang w:eastAsia="zh-CN"/>
        </w:rPr>
      </w:pPr>
      <w:r>
        <w:fldChar w:fldCharType="begin"/>
      </w:r>
      <w:r>
        <w:rPr>
          <w:lang w:eastAsia="zh-CN"/>
        </w:rPr>
        <w:instrText xml:space="preserve"> = 2 \* GB3 </w:instrText>
      </w:r>
      <w:r>
        <w:fldChar w:fldCharType="separate"/>
      </w:r>
      <w:r>
        <w:rPr>
          <w:rFonts w:hint="eastAsia" w:ascii="宋体" w:hAnsi="宋体" w:cs="宋体"/>
          <w:lang w:eastAsia="zh-CN"/>
        </w:rPr>
        <w:t>②</w:t>
      </w:r>
      <w:r>
        <w:fldChar w:fldCharType="end"/>
      </w:r>
      <w:r>
        <w:rPr>
          <w:lang w:eastAsia="zh-CN"/>
        </w:rPr>
        <w:t>尽可能使用气动和电动设备和机械，或使用优质燃油，以减少机械和车辆有害气体排放。</w:t>
      </w:r>
    </w:p>
    <w:p w14:paraId="4A9EE7F4">
      <w:pPr>
        <w:pStyle w:val="230"/>
        <w:ind w:firstLine="480"/>
        <w:rPr>
          <w:lang w:eastAsia="zh-CN"/>
        </w:rPr>
      </w:pPr>
      <w:r>
        <w:rPr>
          <w:rFonts w:hint="eastAsia"/>
          <w:lang w:eastAsia="zh-CN"/>
        </w:rPr>
        <w:t>综上所述，本项目施工期废气主要为施工期扬尘、施工机械及汽车尾气。对于施工扬尘，采取</w:t>
      </w:r>
      <w:r>
        <w:rPr>
          <w:lang w:eastAsia="zh-CN"/>
        </w:rPr>
        <w:t>设置硬质围挡</w:t>
      </w:r>
      <w:r>
        <w:rPr>
          <w:rFonts w:hint="eastAsia"/>
          <w:lang w:eastAsia="zh-CN"/>
        </w:rPr>
        <w:t>、</w:t>
      </w:r>
      <w:r>
        <w:rPr>
          <w:lang w:eastAsia="zh-CN"/>
        </w:rPr>
        <w:t>车辆出入现场采取冲洗车轮</w:t>
      </w:r>
      <w:r>
        <w:rPr>
          <w:rFonts w:hint="eastAsia"/>
          <w:lang w:eastAsia="zh-CN"/>
        </w:rPr>
        <w:t>、</w:t>
      </w:r>
      <w:r>
        <w:rPr>
          <w:lang w:eastAsia="zh-CN"/>
        </w:rPr>
        <w:t>覆盖防尘网（布）</w:t>
      </w:r>
      <w:r>
        <w:rPr>
          <w:rFonts w:hint="eastAsia"/>
          <w:lang w:eastAsia="zh-CN"/>
        </w:rPr>
        <w:t>、</w:t>
      </w:r>
      <w:r>
        <w:rPr>
          <w:lang w:eastAsia="zh-CN"/>
        </w:rPr>
        <w:t>洒水保湿等措施</w:t>
      </w:r>
      <w:r>
        <w:rPr>
          <w:rFonts w:hint="eastAsia"/>
          <w:lang w:eastAsia="zh-CN"/>
        </w:rPr>
        <w:t>，项目周边能够达到</w:t>
      </w:r>
      <w:r>
        <w:rPr>
          <w:lang w:eastAsia="zh-CN"/>
        </w:rPr>
        <w:t>《环境空气质量标准》（GB3095-2012）二级标准</w:t>
      </w:r>
      <w:r>
        <w:rPr>
          <w:rFonts w:hint="eastAsia"/>
          <w:lang w:eastAsia="zh-CN"/>
        </w:rPr>
        <w:t>。</w:t>
      </w:r>
    </w:p>
    <w:p w14:paraId="66F3AB37">
      <w:pPr>
        <w:pStyle w:val="11"/>
      </w:pPr>
      <w:bookmarkStart w:id="514" w:name="_Toc166572350"/>
      <w:r>
        <w:t>7.1.2水污染防治措施</w:t>
      </w:r>
      <w:bookmarkEnd w:id="514"/>
    </w:p>
    <w:p w14:paraId="26E99330">
      <w:pPr>
        <w:pStyle w:val="230"/>
        <w:ind w:firstLine="480"/>
        <w:rPr>
          <w:lang w:eastAsia="zh-CN"/>
        </w:rPr>
      </w:pPr>
      <w:r>
        <w:rPr>
          <w:lang w:eastAsia="zh-CN"/>
        </w:rPr>
        <w:t>施工废水主要来自于</w:t>
      </w:r>
      <w:r>
        <w:rPr>
          <w:rFonts w:hint="eastAsia"/>
          <w:lang w:eastAsia="zh-CN"/>
        </w:rPr>
        <w:t>混凝土养护</w:t>
      </w:r>
      <w:r>
        <w:rPr>
          <w:lang w:eastAsia="zh-CN"/>
        </w:rPr>
        <w:t>、车辆冲洗</w:t>
      </w:r>
      <w:r>
        <w:rPr>
          <w:rFonts w:hint="eastAsia"/>
          <w:lang w:eastAsia="zh-CN"/>
        </w:rPr>
        <w:t>废水</w:t>
      </w:r>
      <w:r>
        <w:rPr>
          <w:lang w:eastAsia="zh-CN"/>
        </w:rPr>
        <w:t>以及施工人员的生活污水。针对以上废水的特点，提出以下防治措施：</w:t>
      </w:r>
    </w:p>
    <w:p w14:paraId="50D7B043">
      <w:pPr>
        <w:pStyle w:val="230"/>
        <w:ind w:firstLine="480"/>
        <w:rPr>
          <w:lang w:eastAsia="zh-CN"/>
        </w:rPr>
      </w:pPr>
      <w:r>
        <w:rPr>
          <w:lang w:eastAsia="zh-CN"/>
        </w:rPr>
        <w:t>（1）清洗物料、机械设备等产生的污水经沉淀后进行场地洒水抑尘，以减少新鲜水的用量。</w:t>
      </w:r>
    </w:p>
    <w:p w14:paraId="776A9F41">
      <w:pPr>
        <w:pStyle w:val="230"/>
        <w:ind w:firstLine="480"/>
        <w:rPr>
          <w:lang w:eastAsia="zh-CN"/>
        </w:rPr>
      </w:pPr>
      <w:r>
        <w:rPr>
          <w:lang w:eastAsia="zh-CN"/>
        </w:rPr>
        <w:t>（2）含大量泥浆等悬浮物的污水，应将其经过沉淀池澄清后回用。</w:t>
      </w:r>
    </w:p>
    <w:p w14:paraId="58BFB275">
      <w:pPr>
        <w:pStyle w:val="230"/>
        <w:ind w:firstLine="480"/>
        <w:rPr>
          <w:lang w:eastAsia="zh-CN"/>
        </w:rPr>
      </w:pPr>
      <w:r>
        <w:rPr>
          <w:lang w:eastAsia="zh-CN"/>
        </w:rPr>
        <w:t>（3）工地生活污水，排入施工期厂区现有旱厕进行处理。</w:t>
      </w:r>
    </w:p>
    <w:p w14:paraId="35F163CA">
      <w:pPr>
        <w:pStyle w:val="230"/>
        <w:ind w:firstLine="480"/>
        <w:rPr>
          <w:lang w:eastAsia="zh-CN"/>
        </w:rPr>
      </w:pPr>
      <w:r>
        <w:rPr>
          <w:rFonts w:hint="eastAsia"/>
          <w:lang w:eastAsia="zh-CN"/>
        </w:rPr>
        <w:t>综上所述，施工期废水主要为施工生活污水以及施工生产废水。施工生活污水排入工地自建的旱厕内。施工生产废水经简易沉淀池沉淀后</w:t>
      </w:r>
      <w:r>
        <w:rPr>
          <w:lang w:eastAsia="zh-CN"/>
        </w:rPr>
        <w:t>达到《城市污水再生利用  城市杂用水水质》(GB/T18920-2002)后全部用于施工现场的洒水降尘。</w:t>
      </w:r>
    </w:p>
    <w:p w14:paraId="77F02EBF">
      <w:pPr>
        <w:pStyle w:val="11"/>
      </w:pPr>
      <w:bookmarkStart w:id="515" w:name="_Toc166572351"/>
      <w:r>
        <w:t>7.1.3噪声污染防治措施</w:t>
      </w:r>
      <w:bookmarkEnd w:id="515"/>
    </w:p>
    <w:p w14:paraId="22A9C782">
      <w:pPr>
        <w:pStyle w:val="230"/>
        <w:ind w:firstLine="480"/>
        <w:rPr>
          <w:lang w:eastAsia="zh-CN"/>
        </w:rPr>
      </w:pPr>
      <w:r>
        <w:rPr>
          <w:lang w:eastAsia="zh-CN"/>
        </w:rPr>
        <w:t>建设项目各阶段噪声对环境都会造成不同程度的影响，以基础施工阶段噪声最大，危害最为严重。</w:t>
      </w:r>
      <w:r>
        <w:rPr>
          <w:rFonts w:hint="eastAsia"/>
          <w:lang w:eastAsia="zh-CN"/>
        </w:rPr>
        <w:t>主要产噪设备为施工车辆、施工机械如推土机、挖掘机、起重机等设备，</w:t>
      </w:r>
      <w:r>
        <w:rPr>
          <w:lang w:eastAsia="zh-CN"/>
        </w:rPr>
        <w:t>应严格执行《中华人民共和国噪声污染防治法》中的有关规定，在施工中严格控制使用高噪声机械设备，并采取以下措施，以减少噪声的污染。</w:t>
      </w:r>
    </w:p>
    <w:p w14:paraId="29F22E42">
      <w:pPr>
        <w:pStyle w:val="230"/>
        <w:ind w:firstLine="480"/>
        <w:rPr>
          <w:lang w:eastAsia="zh-CN"/>
        </w:rPr>
      </w:pPr>
      <w:r>
        <w:rPr>
          <w:lang w:eastAsia="zh-CN"/>
        </w:rPr>
        <w:t>（1）选用低噪声施工设备施工作</w:t>
      </w:r>
      <w:bookmarkStart w:id="667" w:name="_GoBack"/>
      <w:bookmarkEnd w:id="667"/>
      <w:r>
        <w:rPr>
          <w:lang w:eastAsia="zh-CN"/>
        </w:rPr>
        <w:t>业。</w:t>
      </w:r>
    </w:p>
    <w:p w14:paraId="4787A31F">
      <w:pPr>
        <w:pStyle w:val="230"/>
        <w:ind w:firstLine="480"/>
        <w:rPr>
          <w:lang w:eastAsia="zh-CN"/>
        </w:rPr>
      </w:pPr>
      <w:r>
        <w:rPr>
          <w:lang w:eastAsia="zh-CN"/>
        </w:rPr>
        <w:t>（2）将产生高噪声影响的施工阶段安排在日间进行。</w:t>
      </w:r>
    </w:p>
    <w:p w14:paraId="2D86CA36">
      <w:pPr>
        <w:pStyle w:val="230"/>
        <w:ind w:firstLine="480"/>
        <w:rPr>
          <w:lang w:eastAsia="zh-CN"/>
        </w:rPr>
      </w:pPr>
      <w:r>
        <w:rPr>
          <w:lang w:eastAsia="zh-CN"/>
        </w:rPr>
        <w:t>（3）不在22：00～6：00期间施工。</w:t>
      </w:r>
    </w:p>
    <w:p w14:paraId="6C63A108">
      <w:pPr>
        <w:pStyle w:val="230"/>
        <w:ind w:firstLine="480"/>
        <w:rPr>
          <w:lang w:eastAsia="zh-CN"/>
        </w:rPr>
      </w:pPr>
      <w:r>
        <w:rPr>
          <w:lang w:eastAsia="zh-CN"/>
        </w:rPr>
        <w:t>（4）合理布局施工场地，尽可能使噪声较大的设备远离厂界。</w:t>
      </w:r>
    </w:p>
    <w:p w14:paraId="3EB1C20E">
      <w:pPr>
        <w:pStyle w:val="230"/>
        <w:ind w:firstLine="480"/>
        <w:rPr>
          <w:lang w:eastAsia="zh-CN"/>
        </w:rPr>
      </w:pPr>
      <w:r>
        <w:rPr>
          <w:lang w:eastAsia="zh-CN"/>
        </w:rPr>
        <w:t>（5）在施工机械设备与基础或连接部位之间采用弹簧减振、橡胶减振、管道减振、阻尼减振技术，可减少振动，降低噪声。</w:t>
      </w:r>
    </w:p>
    <w:p w14:paraId="2B18CE5D">
      <w:pPr>
        <w:pStyle w:val="230"/>
        <w:ind w:firstLine="480"/>
        <w:rPr>
          <w:lang w:eastAsia="zh-CN"/>
        </w:rPr>
      </w:pPr>
      <w:r>
        <w:rPr>
          <w:lang w:eastAsia="zh-CN"/>
        </w:rPr>
        <w:t>（6）浇混凝土用的振捣棒，采用低频低噪型。由专业人员操作，不得在振捣作业中撬动钢筋或模板，以防止噪声污染环境。</w:t>
      </w:r>
    </w:p>
    <w:p w14:paraId="05E527D2">
      <w:pPr>
        <w:pStyle w:val="230"/>
        <w:ind w:firstLine="480"/>
        <w:rPr>
          <w:lang w:eastAsia="zh-CN"/>
        </w:rPr>
      </w:pPr>
      <w:r>
        <w:rPr>
          <w:lang w:eastAsia="zh-CN"/>
        </w:rPr>
        <w:t>（7）施工单位应设专人对施工机械定期进行保养和维护，并制定切实可行的规章制度，定期对现场施工人员进行培训，每个工人都要严格按照规范使用机械，避免因故障产生突发噪声。</w:t>
      </w:r>
    </w:p>
    <w:p w14:paraId="4F5C6923">
      <w:pPr>
        <w:pStyle w:val="230"/>
        <w:ind w:firstLine="480"/>
        <w:rPr>
          <w:lang w:eastAsia="zh-CN"/>
        </w:rPr>
      </w:pPr>
      <w:r>
        <w:rPr>
          <w:lang w:eastAsia="zh-CN"/>
        </w:rPr>
        <w:t>（8）运载建筑材料、建筑垃圾的车辆要选择合适的时间、路线进行运输，运输路线应尽量避开居民点和环境敏感点。</w:t>
      </w:r>
    </w:p>
    <w:p w14:paraId="5CCF8EBA">
      <w:pPr>
        <w:pStyle w:val="230"/>
        <w:ind w:firstLine="480"/>
        <w:rPr>
          <w:lang w:eastAsia="zh-CN"/>
        </w:rPr>
      </w:pPr>
      <w:r>
        <w:rPr>
          <w:lang w:eastAsia="zh-CN"/>
        </w:rPr>
        <w:t>以上措施均在建筑施工单位的工程实际中广泛采用，实践表明，以上措施切实可行，采用后能较好地减轻建筑施工噪声对周围环境的影响。</w:t>
      </w:r>
    </w:p>
    <w:p w14:paraId="239696F5">
      <w:pPr>
        <w:pStyle w:val="11"/>
      </w:pPr>
      <w:bookmarkStart w:id="516" w:name="_Toc166572352"/>
      <w:r>
        <w:t>7.1.4固体废物污染防治措施</w:t>
      </w:r>
      <w:bookmarkEnd w:id="516"/>
    </w:p>
    <w:p w14:paraId="55BC3F8E">
      <w:pPr>
        <w:pStyle w:val="230"/>
        <w:ind w:firstLine="480"/>
        <w:rPr>
          <w:lang w:eastAsia="zh-CN"/>
        </w:rPr>
      </w:pPr>
      <w:r>
        <w:rPr>
          <w:lang w:eastAsia="zh-CN"/>
        </w:rPr>
        <w:t>（1）建设单位应完善施工管理，做到文明施工，加强对建筑垃圾的管理，装运土石方要适量，确保沿途不洒漏、不扬尘，不得野蛮装运和乱倒乱卸</w:t>
      </w:r>
      <w:r>
        <w:rPr>
          <w:rFonts w:eastAsia="MS Mincho"/>
          <w:lang w:eastAsia="zh-CN"/>
        </w:rPr>
        <w:t>｡</w:t>
      </w:r>
    </w:p>
    <w:p w14:paraId="76FA9ED8">
      <w:pPr>
        <w:pStyle w:val="230"/>
        <w:ind w:firstLine="480"/>
        <w:rPr>
          <w:lang w:eastAsia="zh-CN"/>
        </w:rPr>
      </w:pPr>
      <w:r>
        <w:rPr>
          <w:lang w:eastAsia="zh-CN"/>
        </w:rPr>
        <w:t>（2）对可再利用的废料应进行回收利用，以节省资源。</w:t>
      </w:r>
    </w:p>
    <w:p w14:paraId="0B42E4FD">
      <w:pPr>
        <w:pStyle w:val="230"/>
        <w:ind w:firstLine="480"/>
        <w:rPr>
          <w:lang w:eastAsia="zh-CN"/>
        </w:rPr>
      </w:pPr>
      <w:r>
        <w:rPr>
          <w:lang w:eastAsia="zh-CN"/>
        </w:rPr>
        <w:t>（3）对于施工期施工人员产生的生活垃圾，由于其含有较多的易腐烂成分，应集中收集，送至乡镇集中堆放点由环卫部门处理，以防止在雨天被雨水浸泡而产生对环境危害严重的渗滤液。</w:t>
      </w:r>
    </w:p>
    <w:p w14:paraId="1CCE257C">
      <w:pPr>
        <w:pStyle w:val="230"/>
        <w:ind w:firstLine="480"/>
        <w:rPr>
          <w:lang w:eastAsia="zh-CN"/>
        </w:rPr>
      </w:pPr>
      <w:r>
        <w:rPr>
          <w:rFonts w:hint="eastAsia"/>
          <w:lang w:eastAsia="zh-CN"/>
        </w:rPr>
        <w:t>综上所述，施工期固体废物主要为</w:t>
      </w:r>
      <w:r>
        <w:rPr>
          <w:lang w:eastAsia="zh-CN"/>
        </w:rPr>
        <w:t>建筑垃圾，施工生活垃圾，施工弃土。建筑垃圾</w:t>
      </w:r>
      <w:r>
        <w:rPr>
          <w:rFonts w:hint="eastAsia"/>
          <w:lang w:eastAsia="zh-CN"/>
        </w:rPr>
        <w:t>固定的建筑垃圾收集存放点，</w:t>
      </w:r>
      <w:r>
        <w:rPr>
          <w:lang w:eastAsia="zh-CN"/>
        </w:rPr>
        <w:t>可回收利用的回收利用，不可回收利用的拉运至当地建筑垃圾填埋场处理；施工弃土用于周边土地平整</w:t>
      </w:r>
      <w:r>
        <w:rPr>
          <w:rFonts w:hint="eastAsia"/>
          <w:lang w:eastAsia="zh-CN"/>
        </w:rPr>
        <w:t>；施工生活垃圾由环卫清运至填埋场。</w:t>
      </w:r>
    </w:p>
    <w:p w14:paraId="14F9A2D9">
      <w:pPr>
        <w:pStyle w:val="11"/>
      </w:pPr>
      <w:bookmarkStart w:id="517" w:name="_Toc166572353"/>
      <w:r>
        <w:t>7.1.5施工期生态环境防治措施</w:t>
      </w:r>
      <w:bookmarkEnd w:id="517"/>
    </w:p>
    <w:p w14:paraId="1C491F3D">
      <w:pPr>
        <w:adjustRightInd w:val="0"/>
        <w:snapToGrid w:val="0"/>
        <w:ind w:firstLine="480"/>
        <w:rPr>
          <w:kern w:val="0"/>
        </w:rPr>
      </w:pPr>
      <w:r>
        <w:rPr>
          <w:kern w:val="0"/>
        </w:rPr>
        <w:t>施工期对当地生态环境的破坏主要表现在地面建构筑物建设时对土地扰动作用，造成地貌的改变、植被的破坏、短期内使水土流失加剧，对局部生态环境有不利影响。环评提出的防治措施：</w:t>
      </w:r>
    </w:p>
    <w:p w14:paraId="36DEB916">
      <w:pPr>
        <w:adjustRightInd w:val="0"/>
        <w:snapToGrid w:val="0"/>
        <w:ind w:firstLine="480"/>
        <w:rPr>
          <w:rFonts w:ascii="宋体" w:hAnsi="宋体" w:cs="宋体"/>
          <w:kern w:val="0"/>
        </w:rPr>
      </w:pPr>
      <w:r>
        <w:rPr>
          <w:rFonts w:hint="eastAsia" w:ascii="宋体" w:hAnsi="宋体" w:cs="宋体"/>
          <w:kern w:val="0"/>
        </w:rPr>
        <w:t>①对项目占地范围内保护植物按照《采集国家二级重点保护野生植物保护实施方案》进行移植保护；在项目厂区靠近自然保护区一侧设置警示标识，加强施工人员宣传教育，禁止随意进入保护区范围内对保护区造成破坏，安排专人在靠近保护区一侧进行定时巡查。</w:t>
      </w:r>
    </w:p>
    <w:p w14:paraId="407FAF54">
      <w:pPr>
        <w:ind w:firstLine="480"/>
        <w:jc w:val="both"/>
      </w:pPr>
      <w:r>
        <w:rPr>
          <w:rFonts w:hint="eastAsia" w:ascii="宋体" w:hAnsi="宋体" w:cs="宋体"/>
          <w:kern w:val="0"/>
        </w:rPr>
        <w:t>②施工期划定施工范围，减少对植物的破坏，针对保护植物首先采取避让措施，无法避让的应进行移植保护。</w:t>
      </w:r>
      <w:r>
        <w:rPr>
          <w:rFonts w:hint="eastAsia" w:ascii="宋体" w:hAnsi="宋体" w:cs="宋体"/>
          <w:kern w:val="0"/>
          <w:szCs w:val="24"/>
          <w:lang w:bidi="ar"/>
        </w:rPr>
        <w:t>给工人发放保护植物图片，如发现绵刺、沙冬青等保护植物，采取异地移栽保护，移栽到保护区内或厂区外，使工程建设最大限度的减少对保护植物的影响及破坏，保护植物迁地保护实施方案如下：</w:t>
      </w:r>
    </w:p>
    <w:p w14:paraId="641795B0">
      <w:pPr>
        <w:ind w:firstLine="480"/>
        <w:jc w:val="both"/>
      </w:pPr>
      <w:r>
        <w:rPr>
          <w:rFonts w:hint="eastAsia" w:ascii="宋体" w:hAnsi="宋体" w:cs="宋体"/>
          <w:kern w:val="0"/>
          <w:szCs w:val="24"/>
          <w:lang w:bidi="ar"/>
        </w:rPr>
        <w:t>（</w:t>
      </w:r>
      <w:r>
        <w:rPr>
          <w:rFonts w:hint="eastAsia"/>
          <w:kern w:val="0"/>
          <w:szCs w:val="24"/>
          <w:lang w:bidi="ar"/>
        </w:rPr>
        <w:t>a</w:t>
      </w:r>
      <w:r>
        <w:rPr>
          <w:rFonts w:hint="eastAsia" w:ascii="宋体" w:hAnsi="宋体" w:cs="宋体"/>
          <w:kern w:val="0"/>
          <w:szCs w:val="24"/>
          <w:lang w:bidi="ar"/>
        </w:rPr>
        <w:t xml:space="preserve">）首先采取避让措施，根据项目区域需要避让的重要物种分布，通过优化选址方案及局部布局方案避让项目区域重点保护植物，尽量减少对重点保护植物影响。 </w:t>
      </w:r>
    </w:p>
    <w:p w14:paraId="71A6610E">
      <w:pPr>
        <w:ind w:firstLine="480"/>
        <w:jc w:val="both"/>
      </w:pPr>
      <w:r>
        <w:rPr>
          <w:rFonts w:hint="eastAsia" w:ascii="宋体" w:hAnsi="宋体" w:cs="宋体"/>
          <w:kern w:val="0"/>
          <w:szCs w:val="24"/>
          <w:lang w:bidi="ar"/>
        </w:rPr>
        <w:t xml:space="preserve">（b）无法采取避让措施的应进行迁地保护措施：①移栽前，保证移栽植物土壤湿润，植株状态良好，适当剪枝，移栽过程要小心，保护植物组织不受伤。在 </w:t>
      </w:r>
      <w:r>
        <w:rPr>
          <w:kern w:val="0"/>
          <w:szCs w:val="24"/>
          <w:lang w:bidi="ar"/>
        </w:rPr>
        <w:t>2</w:t>
      </w:r>
      <w:r>
        <w:rPr>
          <w:rFonts w:hint="eastAsia" w:ascii="宋体" w:hAnsi="宋体" w:cs="宋体"/>
          <w:kern w:val="0"/>
          <w:szCs w:val="24"/>
          <w:lang w:bidi="ar"/>
        </w:rPr>
        <w:t>、</w:t>
      </w:r>
      <w:r>
        <w:rPr>
          <w:kern w:val="0"/>
          <w:szCs w:val="24"/>
          <w:lang w:bidi="ar"/>
        </w:rPr>
        <w:t xml:space="preserve">3 </w:t>
      </w:r>
      <w:r>
        <w:rPr>
          <w:rFonts w:hint="eastAsia" w:ascii="宋体" w:hAnsi="宋体" w:cs="宋体"/>
          <w:kern w:val="0"/>
          <w:szCs w:val="24"/>
          <w:lang w:bidi="ar"/>
        </w:rPr>
        <w:t xml:space="preserve">月份选择阴天或傍晚进行，减少植物蒸腾作用失水。②移栽时连根带土挖出，尽量带上更多的原土，保护好植物根系，减少对植物根毛的损坏。立即放入大花盆中，浇水后冻实，然后运至迁地保护地点栽种。 </w:t>
      </w:r>
    </w:p>
    <w:p w14:paraId="349BB0D4">
      <w:pPr>
        <w:ind w:firstLine="480"/>
        <w:jc w:val="both"/>
      </w:pPr>
      <w:r>
        <w:rPr>
          <w:rFonts w:hint="eastAsia" w:ascii="宋体" w:hAnsi="宋体" w:cs="宋体"/>
          <w:kern w:val="0"/>
          <w:szCs w:val="24"/>
          <w:lang w:bidi="ar"/>
        </w:rPr>
        <w:t xml:space="preserve">（c）移栽后保证土壤有充足的水分，植株需要一定时间进行缓苗，移栽后的几天应该避免高温以及过强的光照。 </w:t>
      </w:r>
    </w:p>
    <w:p w14:paraId="065FAFE2">
      <w:pPr>
        <w:adjustRightInd w:val="0"/>
        <w:snapToGrid w:val="0"/>
        <w:ind w:firstLine="480"/>
        <w:rPr>
          <w:kern w:val="0"/>
        </w:rPr>
      </w:pPr>
      <w:r>
        <w:rPr>
          <w:rFonts w:hint="eastAsia" w:ascii="宋体" w:hAnsi="宋体" w:cs="宋体"/>
          <w:kern w:val="0"/>
          <w:szCs w:val="24"/>
          <w:lang w:bidi="ar"/>
        </w:rPr>
        <w:t>（d）为了保护国家重点保护植物，减少在工程建设中受到的损失，使保护植物在迁地保护后达到相等的异地补偿，要求在秋季采集保护植物的种子，结合移栽后的株丛，在永久占地外进行补种，补偿相应面积或数量的保护植物，使保护植物异地补偿率达到</w:t>
      </w:r>
      <w:r>
        <w:rPr>
          <w:kern w:val="0"/>
          <w:szCs w:val="24"/>
          <w:lang w:bidi="ar"/>
        </w:rPr>
        <w:t>100%</w:t>
      </w:r>
      <w:r>
        <w:rPr>
          <w:rFonts w:hint="eastAsia"/>
          <w:kern w:val="0"/>
          <w:szCs w:val="24"/>
          <w:lang w:bidi="ar"/>
        </w:rPr>
        <w:t>。</w:t>
      </w:r>
    </w:p>
    <w:p w14:paraId="67E6F16A">
      <w:pPr>
        <w:adjustRightInd w:val="0"/>
        <w:snapToGrid w:val="0"/>
        <w:ind w:firstLine="480"/>
        <w:rPr>
          <w:kern w:val="0"/>
        </w:rPr>
      </w:pPr>
      <w:r>
        <w:rPr>
          <w:rFonts w:hint="eastAsia" w:ascii="宋体" w:hAnsi="宋体" w:cs="宋体"/>
          <w:kern w:val="0"/>
        </w:rPr>
        <w:t>③</w:t>
      </w:r>
      <w:r>
        <w:rPr>
          <w:kern w:val="0"/>
        </w:rPr>
        <w:t>优化施工组织和制定严格的施工作业制度。缩短土石方的堆置时间，开挖的土石方必须严格限制在征地范围内堆置，严禁</w:t>
      </w:r>
      <w:r>
        <w:rPr>
          <w:rFonts w:hint="eastAsia"/>
          <w:kern w:val="0"/>
        </w:rPr>
        <w:t>超出占地范围</w:t>
      </w:r>
      <w:r>
        <w:rPr>
          <w:kern w:val="0"/>
        </w:rPr>
        <w:t>，并采取草包填土维护、开挖截排水沟等临时性防护措施。</w:t>
      </w:r>
    </w:p>
    <w:p w14:paraId="3828500D">
      <w:pPr>
        <w:adjustRightInd w:val="0"/>
        <w:snapToGrid w:val="0"/>
        <w:ind w:firstLine="480"/>
        <w:rPr>
          <w:kern w:val="0"/>
        </w:rPr>
      </w:pPr>
      <w:r>
        <w:rPr>
          <w:rFonts w:hint="eastAsia" w:ascii="宋体" w:hAnsi="宋体" w:cs="宋体"/>
          <w:kern w:val="0"/>
        </w:rPr>
        <w:t>④</w:t>
      </w:r>
      <w:r>
        <w:rPr>
          <w:kern w:val="0"/>
        </w:rPr>
        <w:t>采取强化管理，防止施工现场水土流失。合理安排施工排序，</w:t>
      </w:r>
      <w:r>
        <w:rPr>
          <w:rFonts w:hint="eastAsia"/>
          <w:kern w:val="0"/>
        </w:rPr>
        <w:t>开挖过程分层开挖，表土单独存放，做好防护，回填时分层回填，表土用于表层覆土。</w:t>
      </w:r>
      <w:r>
        <w:rPr>
          <w:kern w:val="0"/>
        </w:rPr>
        <w:t>土料场各个地块开挖结束后，及时采取植被恢复措施对坡面进行绿化防护，植被恢复采取植草形式。</w:t>
      </w:r>
    </w:p>
    <w:p w14:paraId="5CE9A5A1">
      <w:pPr>
        <w:adjustRightInd w:val="0"/>
        <w:snapToGrid w:val="0"/>
        <w:ind w:firstLine="480"/>
        <w:rPr>
          <w:kern w:val="0"/>
        </w:rPr>
      </w:pPr>
      <w:r>
        <w:rPr>
          <w:rFonts w:hint="eastAsia" w:ascii="宋体" w:hAnsi="宋体" w:cs="宋体"/>
          <w:kern w:val="0"/>
        </w:rPr>
        <w:t>⑤</w:t>
      </w:r>
      <w:r>
        <w:rPr>
          <w:kern w:val="0"/>
        </w:rPr>
        <w:t>施工结束后，项目区内所有施工场地拆除临时建筑物，清除建筑垃圾，尽可能的恢复原有土地的功能。</w:t>
      </w:r>
    </w:p>
    <w:p w14:paraId="706A5BF7">
      <w:pPr>
        <w:pStyle w:val="2"/>
      </w:pPr>
      <w:r>
        <w:rPr>
          <w:rFonts w:hint="eastAsia" w:ascii="宋体" w:hAnsi="宋体" w:cs="宋体"/>
        </w:rPr>
        <w:t>⑥</w:t>
      </w:r>
      <w:r>
        <w:t>厂区应按相关标准进行绿化，建筑物四周、进出口两侧、道路两侧及其它预留地块作全面规划，采用草坪、绿篱、花灌木及观赏小乔木等进行绿化组合配置。绿化应尽量选择对恶臭气体吸附性较强的植物。</w:t>
      </w:r>
    </w:p>
    <w:p w14:paraId="7D080C59">
      <w:pPr>
        <w:adjustRightInd w:val="0"/>
        <w:snapToGrid w:val="0"/>
        <w:ind w:firstLine="480"/>
        <w:rPr>
          <w:kern w:val="0"/>
        </w:rPr>
      </w:pPr>
      <w:r>
        <w:rPr>
          <w:kern w:val="0"/>
        </w:rPr>
        <w:t>采取上述措施后可显著减轻施工期对生态环境的影响，措施可行。</w:t>
      </w:r>
    </w:p>
    <w:p w14:paraId="316CCFA3">
      <w:pPr>
        <w:pStyle w:val="10"/>
      </w:pPr>
      <w:bookmarkStart w:id="518" w:name="_Toc166572354"/>
      <w:r>
        <w:t>7.2 运营期污染防治措施及其可行性分析</w:t>
      </w:r>
      <w:bookmarkEnd w:id="518"/>
    </w:p>
    <w:p w14:paraId="37D14A90">
      <w:pPr>
        <w:pStyle w:val="230"/>
        <w:ind w:firstLine="480"/>
        <w:rPr>
          <w:lang w:eastAsia="zh-CN"/>
        </w:rPr>
      </w:pPr>
      <w:r>
        <w:rPr>
          <w:lang w:eastAsia="zh-CN"/>
        </w:rPr>
        <w:t>根据《排污许可证申请与核发技术规范 畜禽养殖行业》（HJ 1029—2019）中的“6污染防治可行技术要求”中关于废气、废水可行技术要求的相关规定，对本项目运营期污染防治措施及其可行性分析如下。</w:t>
      </w:r>
    </w:p>
    <w:p w14:paraId="46642114">
      <w:pPr>
        <w:pStyle w:val="11"/>
      </w:pPr>
      <w:bookmarkStart w:id="519" w:name="_Toc3926"/>
      <w:bookmarkStart w:id="520" w:name="_Toc30342"/>
      <w:bookmarkStart w:id="521" w:name="_Toc166572355"/>
      <w:r>
        <w:t>7.2.1 废气污染防治措施及其可行性分析</w:t>
      </w:r>
      <w:bookmarkEnd w:id="519"/>
      <w:bookmarkEnd w:id="520"/>
      <w:bookmarkEnd w:id="521"/>
    </w:p>
    <w:p w14:paraId="033E8F7A">
      <w:pPr>
        <w:pStyle w:val="230"/>
        <w:ind w:firstLine="480"/>
        <w:rPr>
          <w:lang w:eastAsia="zh-CN"/>
        </w:rPr>
      </w:pPr>
      <w:r>
        <w:rPr>
          <w:lang w:eastAsia="zh-CN"/>
        </w:rPr>
        <w:t>本项目大气污染物防治措施如下：</w:t>
      </w:r>
    </w:p>
    <w:p w14:paraId="222933F6">
      <w:pPr>
        <w:pStyle w:val="749"/>
        <w:rPr>
          <w:color w:val="auto"/>
        </w:rPr>
      </w:pPr>
      <w:r>
        <w:rPr>
          <w:color w:val="auto"/>
        </w:rPr>
        <w:t>表7</w:t>
      </w:r>
      <w:r>
        <w:rPr>
          <w:rFonts w:hint="eastAsia"/>
          <w:color w:val="auto"/>
        </w:rPr>
        <w:t>.2</w:t>
      </w:r>
      <w:r>
        <w:rPr>
          <w:color w:val="auto"/>
        </w:rPr>
        <w:t>-1    本项目大气污染防治措施</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63"/>
        <w:gridCol w:w="1170"/>
        <w:gridCol w:w="5748"/>
      </w:tblGrid>
      <w:tr w14:paraId="499B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191" w:type="pct"/>
            <w:vAlign w:val="center"/>
          </w:tcPr>
          <w:p w14:paraId="035303F5">
            <w:pPr>
              <w:pStyle w:val="766"/>
              <w:rPr>
                <w:color w:val="auto"/>
              </w:rPr>
            </w:pPr>
            <w:r>
              <w:rPr>
                <w:color w:val="auto"/>
              </w:rPr>
              <w:t>污染源</w:t>
            </w:r>
          </w:p>
        </w:tc>
        <w:tc>
          <w:tcPr>
            <w:tcW w:w="644" w:type="pct"/>
            <w:vAlign w:val="center"/>
          </w:tcPr>
          <w:p w14:paraId="7E46BBA2">
            <w:pPr>
              <w:pStyle w:val="766"/>
              <w:rPr>
                <w:color w:val="auto"/>
              </w:rPr>
            </w:pPr>
            <w:r>
              <w:rPr>
                <w:color w:val="auto"/>
              </w:rPr>
              <w:t>污染物名称</w:t>
            </w:r>
          </w:p>
        </w:tc>
        <w:tc>
          <w:tcPr>
            <w:tcW w:w="3165" w:type="pct"/>
            <w:vAlign w:val="center"/>
          </w:tcPr>
          <w:p w14:paraId="108D6F7B">
            <w:pPr>
              <w:pStyle w:val="766"/>
              <w:rPr>
                <w:color w:val="auto"/>
              </w:rPr>
            </w:pPr>
            <w:r>
              <w:rPr>
                <w:color w:val="auto"/>
              </w:rPr>
              <w:t>措施</w:t>
            </w:r>
          </w:p>
        </w:tc>
      </w:tr>
      <w:tr w14:paraId="07B3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191" w:type="pct"/>
            <w:vAlign w:val="center"/>
          </w:tcPr>
          <w:p w14:paraId="687B05A3">
            <w:pPr>
              <w:pStyle w:val="766"/>
              <w:rPr>
                <w:color w:val="auto"/>
              </w:rPr>
            </w:pPr>
            <w:r>
              <w:rPr>
                <w:rFonts w:hint="eastAsia"/>
                <w:color w:val="auto"/>
              </w:rPr>
              <w:t>青年鸡舍</w:t>
            </w:r>
          </w:p>
          <w:p w14:paraId="482783C5">
            <w:pPr>
              <w:pStyle w:val="766"/>
              <w:rPr>
                <w:color w:val="auto"/>
              </w:rPr>
            </w:pPr>
            <w:r>
              <w:rPr>
                <w:rFonts w:hint="eastAsia"/>
                <w:color w:val="auto"/>
              </w:rPr>
              <w:t>蛋鸡舍</w:t>
            </w:r>
          </w:p>
        </w:tc>
        <w:tc>
          <w:tcPr>
            <w:tcW w:w="1170" w:type="dxa"/>
            <w:vAlign w:val="center"/>
          </w:tcPr>
          <w:p w14:paraId="35E1EC9F">
            <w:pPr>
              <w:pStyle w:val="766"/>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5748" w:type="dxa"/>
            <w:vAlign w:val="center"/>
          </w:tcPr>
          <w:p w14:paraId="3B8F7BE8">
            <w:pPr>
              <w:pStyle w:val="766"/>
              <w:jc w:val="left"/>
              <w:rPr>
                <w:color w:val="auto"/>
              </w:rPr>
            </w:pPr>
            <w:r>
              <w:rPr>
                <w:rFonts w:hint="eastAsia" w:ascii="宋体" w:hAnsi="宋体" w:cs="宋体"/>
                <w:color w:val="auto"/>
              </w:rPr>
              <w:t>①</w:t>
            </w:r>
            <w:r>
              <w:rPr>
                <w:color w:val="auto"/>
              </w:rPr>
              <w:t>选用益生菌配方饲料；</w:t>
            </w:r>
          </w:p>
          <w:p w14:paraId="36AE4A0E">
            <w:pPr>
              <w:pStyle w:val="766"/>
              <w:jc w:val="left"/>
              <w:rPr>
                <w:color w:val="auto"/>
              </w:rPr>
            </w:pPr>
            <w:r>
              <w:rPr>
                <w:rFonts w:hint="eastAsia" w:ascii="宋体" w:hAnsi="宋体" w:cs="宋体"/>
                <w:color w:val="auto"/>
              </w:rPr>
              <w:t>②</w:t>
            </w:r>
            <w:r>
              <w:rPr>
                <w:color w:val="auto"/>
              </w:rPr>
              <w:t>及时清运粪污；</w:t>
            </w:r>
          </w:p>
          <w:p w14:paraId="035F0790">
            <w:pPr>
              <w:pStyle w:val="766"/>
              <w:jc w:val="left"/>
              <w:rPr>
                <w:color w:val="auto"/>
              </w:rPr>
            </w:pPr>
            <w:r>
              <w:rPr>
                <w:rFonts w:hint="eastAsia" w:ascii="宋体" w:hAnsi="宋体" w:cs="宋体"/>
                <w:color w:val="auto"/>
              </w:rPr>
              <w:t>③</w:t>
            </w:r>
            <w:r>
              <w:rPr>
                <w:color w:val="auto"/>
              </w:rPr>
              <w:t>向舍内定期投入除臭剂；</w:t>
            </w:r>
          </w:p>
          <w:p w14:paraId="76F70574">
            <w:pPr>
              <w:pStyle w:val="766"/>
              <w:jc w:val="left"/>
              <w:rPr>
                <w:color w:val="auto"/>
              </w:rPr>
            </w:pPr>
            <w:r>
              <w:rPr>
                <w:rFonts w:hint="eastAsia" w:ascii="宋体" w:hAnsi="宋体" w:cs="宋体"/>
                <w:color w:val="auto"/>
              </w:rPr>
              <w:t>④</w:t>
            </w:r>
            <w:r>
              <w:rPr>
                <w:color w:val="auto"/>
              </w:rPr>
              <w:t>周边加强绿化</w:t>
            </w:r>
          </w:p>
          <w:p w14:paraId="511207C3">
            <w:pPr>
              <w:pStyle w:val="766"/>
              <w:jc w:val="left"/>
              <w:rPr>
                <w:color w:val="auto"/>
              </w:rPr>
            </w:pPr>
            <w:r>
              <w:rPr>
                <w:rFonts w:hint="eastAsia"/>
                <w:color w:val="auto"/>
              </w:rPr>
              <w:t>⑤水雾吸附</w:t>
            </w:r>
          </w:p>
        </w:tc>
      </w:tr>
      <w:tr w14:paraId="5B55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191" w:type="pct"/>
            <w:vAlign w:val="center"/>
          </w:tcPr>
          <w:p w14:paraId="7D3E4DB5">
            <w:pPr>
              <w:pStyle w:val="766"/>
              <w:rPr>
                <w:color w:val="auto"/>
              </w:rPr>
            </w:pPr>
            <w:r>
              <w:rPr>
                <w:rFonts w:hint="eastAsia"/>
                <w:color w:val="auto"/>
              </w:rPr>
              <w:t>有机肥加工车间</w:t>
            </w:r>
          </w:p>
        </w:tc>
        <w:tc>
          <w:tcPr>
            <w:tcW w:w="1170" w:type="dxa"/>
            <w:vAlign w:val="center"/>
          </w:tcPr>
          <w:p w14:paraId="7ACE05C4">
            <w:pPr>
              <w:pStyle w:val="766"/>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r>
              <w:rPr>
                <w:rFonts w:hint="eastAsia"/>
                <w:color w:val="auto"/>
              </w:rPr>
              <w:t>、颗粒物</w:t>
            </w:r>
          </w:p>
        </w:tc>
        <w:tc>
          <w:tcPr>
            <w:tcW w:w="5748" w:type="dxa"/>
            <w:vAlign w:val="center"/>
          </w:tcPr>
          <w:p w14:paraId="50B5CFE8">
            <w:pPr>
              <w:pStyle w:val="766"/>
              <w:jc w:val="left"/>
              <w:rPr>
                <w:color w:val="auto"/>
              </w:rPr>
            </w:pPr>
            <w:r>
              <w:rPr>
                <w:rFonts w:hint="eastAsia"/>
                <w:color w:val="auto"/>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tc>
      </w:tr>
      <w:tr w14:paraId="1A51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191" w:type="pct"/>
            <w:vAlign w:val="center"/>
          </w:tcPr>
          <w:p w14:paraId="740A0AA1">
            <w:pPr>
              <w:pStyle w:val="766"/>
              <w:rPr>
                <w:color w:val="auto"/>
              </w:rPr>
            </w:pPr>
            <w:r>
              <w:rPr>
                <w:color w:val="auto"/>
              </w:rPr>
              <w:t>污水处理设施</w:t>
            </w:r>
          </w:p>
        </w:tc>
        <w:tc>
          <w:tcPr>
            <w:tcW w:w="1170" w:type="dxa"/>
            <w:vAlign w:val="center"/>
          </w:tcPr>
          <w:p w14:paraId="761195D8">
            <w:pPr>
              <w:pStyle w:val="766"/>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5748" w:type="dxa"/>
            <w:vAlign w:val="center"/>
          </w:tcPr>
          <w:p w14:paraId="4BCCB3F9">
            <w:pPr>
              <w:pStyle w:val="766"/>
              <w:jc w:val="left"/>
              <w:rPr>
                <w:color w:val="auto"/>
              </w:rPr>
            </w:pPr>
            <w:r>
              <w:rPr>
                <w:rFonts w:hint="eastAsia"/>
                <w:color w:val="auto"/>
              </w:rPr>
              <w:t>密闭负压收集+活性离子氧(AOE)+</w:t>
            </w:r>
            <w:r>
              <w:rPr>
                <w:color w:val="auto"/>
              </w:rPr>
              <w:t>15</w:t>
            </w:r>
            <w:r>
              <w:rPr>
                <w:rFonts w:hint="eastAsia"/>
                <w:color w:val="auto"/>
              </w:rPr>
              <w:t>m排气筒排放</w:t>
            </w:r>
          </w:p>
        </w:tc>
      </w:tr>
      <w:tr w14:paraId="0837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191" w:type="pct"/>
            <w:vAlign w:val="center"/>
          </w:tcPr>
          <w:p w14:paraId="4F548F77">
            <w:pPr>
              <w:pStyle w:val="766"/>
              <w:rPr>
                <w:color w:val="auto"/>
              </w:rPr>
            </w:pPr>
            <w:r>
              <w:rPr>
                <w:color w:val="auto"/>
              </w:rPr>
              <w:t>食堂</w:t>
            </w:r>
          </w:p>
        </w:tc>
        <w:tc>
          <w:tcPr>
            <w:tcW w:w="1170" w:type="dxa"/>
            <w:vAlign w:val="center"/>
          </w:tcPr>
          <w:p w14:paraId="755A0612">
            <w:pPr>
              <w:pStyle w:val="766"/>
              <w:rPr>
                <w:color w:val="auto"/>
              </w:rPr>
            </w:pPr>
            <w:r>
              <w:rPr>
                <w:color w:val="auto"/>
              </w:rPr>
              <w:t>油烟</w:t>
            </w:r>
          </w:p>
        </w:tc>
        <w:tc>
          <w:tcPr>
            <w:tcW w:w="5748" w:type="dxa"/>
            <w:vAlign w:val="center"/>
          </w:tcPr>
          <w:p w14:paraId="3B798AA7">
            <w:pPr>
              <w:pStyle w:val="766"/>
              <w:jc w:val="left"/>
              <w:rPr>
                <w:color w:val="auto"/>
              </w:rPr>
            </w:pPr>
            <w:r>
              <w:rPr>
                <w:color w:val="auto"/>
              </w:rPr>
              <w:t>设1套油烟净化器，由专用排气道排出</w:t>
            </w:r>
          </w:p>
        </w:tc>
      </w:tr>
      <w:tr w14:paraId="7324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191" w:type="pct"/>
            <w:vAlign w:val="center"/>
          </w:tcPr>
          <w:p w14:paraId="2579570E">
            <w:pPr>
              <w:pStyle w:val="766"/>
              <w:rPr>
                <w:color w:val="auto"/>
              </w:rPr>
            </w:pPr>
            <w:r>
              <w:rPr>
                <w:color w:val="auto"/>
                <w:spacing w:val="4"/>
              </w:rPr>
              <w:t>供热锅炉</w:t>
            </w:r>
          </w:p>
        </w:tc>
        <w:tc>
          <w:tcPr>
            <w:tcW w:w="1170" w:type="dxa"/>
            <w:vAlign w:val="center"/>
          </w:tcPr>
          <w:p w14:paraId="16363716">
            <w:pPr>
              <w:pStyle w:val="766"/>
              <w:rPr>
                <w:color w:val="auto"/>
              </w:rPr>
            </w:pPr>
            <w:r>
              <w:rPr>
                <w:color w:val="auto"/>
              </w:rPr>
              <w:t>SO</w:t>
            </w:r>
            <w:r>
              <w:rPr>
                <w:color w:val="auto"/>
                <w:vertAlign w:val="subscript"/>
              </w:rPr>
              <w:t>2</w:t>
            </w:r>
            <w:r>
              <w:rPr>
                <w:color w:val="auto"/>
              </w:rPr>
              <w:t>、NOx、</w:t>
            </w:r>
          </w:p>
        </w:tc>
        <w:tc>
          <w:tcPr>
            <w:tcW w:w="5748" w:type="dxa"/>
            <w:vAlign w:val="center"/>
          </w:tcPr>
          <w:p w14:paraId="2152D6AA">
            <w:pPr>
              <w:pStyle w:val="766"/>
              <w:jc w:val="left"/>
              <w:rPr>
                <w:color w:val="auto"/>
              </w:rPr>
            </w:pPr>
            <w:r>
              <w:rPr>
                <w:color w:val="auto"/>
              </w:rPr>
              <w:t>低氮燃烧+</w:t>
            </w:r>
            <w:r>
              <w:rPr>
                <w:rFonts w:hint="eastAsia"/>
                <w:color w:val="auto"/>
              </w:rPr>
              <w:t>8</w:t>
            </w:r>
            <w:r>
              <w:rPr>
                <w:color w:val="auto"/>
              </w:rPr>
              <w:t>m高排气筒</w:t>
            </w:r>
          </w:p>
        </w:tc>
      </w:tr>
      <w:tr w14:paraId="1B56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191" w:type="pct"/>
            <w:vAlign w:val="center"/>
          </w:tcPr>
          <w:p w14:paraId="10779B0D">
            <w:pPr>
              <w:pStyle w:val="766"/>
              <w:rPr>
                <w:color w:val="auto"/>
              </w:rPr>
            </w:pPr>
            <w:r>
              <w:rPr>
                <w:color w:val="auto"/>
                <w:spacing w:val="4"/>
              </w:rPr>
              <w:t>饲料加工车间</w:t>
            </w:r>
          </w:p>
        </w:tc>
        <w:tc>
          <w:tcPr>
            <w:tcW w:w="1170" w:type="dxa"/>
            <w:vAlign w:val="center"/>
          </w:tcPr>
          <w:p w14:paraId="0FB1E6E7">
            <w:pPr>
              <w:pStyle w:val="766"/>
              <w:rPr>
                <w:color w:val="auto"/>
              </w:rPr>
            </w:pPr>
            <w:r>
              <w:rPr>
                <w:color w:val="auto"/>
              </w:rPr>
              <w:t>颗粒物</w:t>
            </w:r>
          </w:p>
        </w:tc>
        <w:tc>
          <w:tcPr>
            <w:tcW w:w="5748" w:type="dxa"/>
            <w:vAlign w:val="center"/>
          </w:tcPr>
          <w:p w14:paraId="76FE4E27">
            <w:pPr>
              <w:pStyle w:val="766"/>
              <w:jc w:val="left"/>
              <w:rPr>
                <w:b/>
                <w:bCs/>
                <w:color w:val="auto"/>
              </w:rPr>
            </w:pPr>
            <w:r>
              <w:rPr>
                <w:color w:val="auto"/>
              </w:rPr>
              <w:t>集气罩+布袋除尘+15m高排气筒</w:t>
            </w:r>
          </w:p>
        </w:tc>
      </w:tr>
    </w:tbl>
    <w:p w14:paraId="50AB3851">
      <w:pPr>
        <w:ind w:firstLine="480"/>
      </w:pPr>
      <w:r>
        <w:t>1、恶臭气体</w:t>
      </w:r>
    </w:p>
    <w:p w14:paraId="75B645D1">
      <w:pPr>
        <w:ind w:firstLine="480"/>
      </w:pPr>
      <w:r>
        <w:t>本项目采用自动化鸡粪清理系统，是一种传送带式清粪工艺，通过鸡笼下方漏缝网板使鸡粪产生即依靠重力落到鸡笼下方的传粪带上，传粪带为电力驱动，各栋鸡舍产生的鸡粪先经纵向传粪带运至鸡舍一端，被端部设置的刮粪板刮移到横向传粪带上，再由横向传粪带输送到鸡舍外运输车中，完成鸡舍内日常清粪（即日产日清），饲养期间鸡笼无需再用水清洗。每淘汰一批鸡进行一次空栏清洗、消毒。本项目采用带通风粪便干燥功能的层架式鸡笼（使用电作为能源），通过专门的空气管道快速高效地干燥粪便，在较为寒冷的气候条件下，用热交换器对空气预热，然后再导向粪便上方，为全年四季保证稳定理想的粪便干燥条件。</w:t>
      </w:r>
    </w:p>
    <w:p w14:paraId="0F5FAC6C">
      <w:pPr>
        <w:ind w:firstLine="480"/>
      </w:pPr>
      <w:r>
        <w:t>为了进一步减轻臭气的产生及对周围环境的影响，建设单位拟通过以下措施减少鸡舍废气的产生：</w:t>
      </w:r>
    </w:p>
    <w:p w14:paraId="6834ECC1">
      <w:pPr>
        <w:ind w:firstLine="480"/>
      </w:pPr>
      <w:r>
        <w:t>（1）提高饲料利用率：鸡未消化和吸收的营养物质是鸡场恶臭味的主要来源。鸡粪中不仅含有大量的有机物，而且还含有未被吸收利用的矿物质，这些物质的排出，既浪费，又造成污染。因此，提高饲料利用率，尤其是提高饲料中氮、磷利用率，降低粪便中氮、磷含量，是减少恶臭和有害气体的最佳途径。保证饲料氨基酸平衡，也可利用氨基酸作为氨基酸利用情况指标来配制氨基酸平衡日粮，通过添加合成氨基酸，在满足有效氨基酸需要基础上适当降低饲料中粗蛋白质含量，既可节省蛋白质饲料资源，又可使氨的排出量减少。利用酶制剂，饲料中添加酶制剂可以清除相应的抗营养因子，补充动物的内源性酶提高饲料利用率，减少排泄量。植物中植酸与磷可以生成难以吸收的植酸磷，必须另外补充无机磷，造成粪便中排出过多磷，在饲料中添加植酸酶后，可以消除植酸盐抗营养作用，提高磷、矿物质元素利用率，减少无机磷添加量和磷的排出量；添加蛋白酶，可以提高蛋白质消化率，减少氮的排出量；添加水溶性非淀粉多糖（NSP）酶，可以降低食糜粘度和食糜在肠道的滞留时间；增加食糜消化酶和底物养分作用时间，促进脂肪、淀粉和蛋白质利用率。合理加工饲粮 日粮配方除配制科学外，饲料应搅拌均匀，保证鸡采食的饲料所含的养分均衡，满足最佳需要，减少营养浪费；饲料粒度适宜，保证较好的消化吸收率。科学饲养管理根据不同饲养阶段和生产水平给以不同营养水平的日粮，提高饲料报酬，减少营养排泄；充分利用限制饲养技术，在不影响生产和生长的前提下减少饲料消耗量和排泄物排泄量；定期饲喂砂砾，增强消化机能，提高饲料利用率；提供适宜环境，加强疫病防治，充分发挥鸡群生产性能，减少单位畜产品的粪便排泄量；</w:t>
      </w:r>
    </w:p>
    <w:p w14:paraId="491AFA60">
      <w:pPr>
        <w:ind w:firstLine="480"/>
      </w:pPr>
      <w:r>
        <w:t>（2）加强鸡舍的管理：首先要保证自动清理设备能及时将鸡粪清出鸡舍，同时应加强通风，加速粪便干燥，可减少臭气的产生。鸡舍使用复方酚、碘伏交替喷雾消毒，不仅可杀灭各种病原体，净化鸡群的内、外环境，而且可使鸡舍的臭味变小；另外可将沸石将其装入盒中，悬在鸡舍内，沸石具有强力吸附作用，可有效吸附恶臭；还在鸡舍与鸡粪处理间内设有超声波除臭设备与EM（有效微生物群）原液稀释液，通过超声除臭设备定期将EM（有效微生物群）原液稀释液雾化喷至鸡舍内除臭，具有关实际应用可知，EM原液可有效消除臭味，改善舍内环境，减少畜禽呼吸道等疾病的发生，增进畜禽健康。尤其是冬季时，通风和保温容易造成顾此失彼，使用沸石和EM原液除臭可以取得良好的效果，也可避免通风和保温的兼顾问题；</w:t>
      </w:r>
    </w:p>
    <w:p w14:paraId="1F188B39">
      <w:pPr>
        <w:ind w:firstLine="480"/>
      </w:pPr>
      <w:r>
        <w:t>（3）确保清粪频率：每天至少自动清粪一次，减少粪便在空气中的暴露时间，若周边大气扩散条件恶劣应采取进一步增加清粪次数、在集粪带上撒</w:t>
      </w:r>
      <w:r>
        <w:rPr>
          <w:rFonts w:hint="eastAsia"/>
        </w:rPr>
        <w:t>秸秆</w:t>
      </w:r>
      <w:r>
        <w:t>末等措施；</w:t>
      </w:r>
    </w:p>
    <w:p w14:paraId="351E398D">
      <w:pPr>
        <w:ind w:firstLine="480"/>
      </w:pPr>
      <w:r>
        <w:t>（4）加强鸡舍通风：本项目每栋鸡舍配置风机用于鸡舍通风，保证鸡舍内臭气不会累积；</w:t>
      </w:r>
    </w:p>
    <w:p w14:paraId="45B2AF19">
      <w:pPr>
        <w:pStyle w:val="2"/>
      </w:pPr>
      <w:r>
        <w:rPr>
          <w:rFonts w:hint="eastAsia"/>
        </w:rPr>
        <w:t>（5）水雾喷淋：鸡舍配套建设水雾除臭设施，对鸡舍内臭气进行吸收，可有效降低臭气浓度。</w:t>
      </w:r>
    </w:p>
    <w:p w14:paraId="656959A0">
      <w:pPr>
        <w:ind w:firstLine="480"/>
      </w:pPr>
      <w:r>
        <w:t>（</w:t>
      </w:r>
      <w:r>
        <w:rPr>
          <w:rFonts w:hint="eastAsia"/>
        </w:rPr>
        <w:t>6</w:t>
      </w:r>
      <w:r>
        <w:t>）绿化吸收：在厂区及鸡舍周围种植绿色植物是为了防止气味扩散，降低场区温度和噪音、提高环境质量最有效的手段。种植绿色植物首先可以降低风速，防止气味传播到更远的距离，减少气味的污染范围。同时绿色植物还可通过控制温度改善局部环境。树叶还可以直接吸收、过滤含有气味的气体和尘粒，从而减少空气中的气味，有害气体经过绿化带后，至少有25%被吸收，恶臭可减少。树木通过光合作用吸收空气中的二氧化碳、释放氧气，可使动物呼出的二氧化碳减少60%，改善空气质量。在场区及其周围种植高大树木，还能净化。澄清大气中的粉尘，据测定可减少35～67%；与此同时，减少了空气中的微生物，细菌总数可减少22～79%，甚至某些树木的额花、叶能分泌杀菌物质，可杀死细菌、真菌等。</w:t>
      </w:r>
    </w:p>
    <w:p w14:paraId="40F7B630">
      <w:pPr>
        <w:ind w:firstLine="480"/>
      </w:pPr>
      <w:r>
        <w:t>2、锅炉废气</w:t>
      </w:r>
    </w:p>
    <w:p w14:paraId="4D2C668B">
      <w:pPr>
        <w:pStyle w:val="230"/>
        <w:ind w:firstLine="480"/>
        <w:rPr>
          <w:lang w:eastAsia="zh-CN"/>
        </w:rPr>
      </w:pPr>
      <w:r>
        <w:rPr>
          <w:lang w:eastAsia="zh-CN"/>
        </w:rPr>
        <w:t>根据《排污许可证申请与核发技术规范 锅炉》（HJ953-2018），核算结果为</w:t>
      </w:r>
      <w:r>
        <w:rPr>
          <w:rFonts w:hint="eastAsia"/>
          <w:lang w:eastAsia="zh-CN"/>
        </w:rPr>
        <w:t>颗粒物排放浓度10.14</w:t>
      </w:r>
      <w:r>
        <w:rPr>
          <w:lang w:eastAsia="zh-CN"/>
        </w:rPr>
        <w:t>mg/m</w:t>
      </w:r>
      <w:r>
        <w:rPr>
          <w:vertAlign w:val="superscript"/>
          <w:lang w:eastAsia="zh-CN"/>
        </w:rPr>
        <w:t>3</w:t>
      </w:r>
      <w:r>
        <w:rPr>
          <w:lang w:eastAsia="zh-CN"/>
        </w:rPr>
        <w:t>，NO</w:t>
      </w:r>
      <w:r>
        <w:rPr>
          <w:vertAlign w:val="subscript"/>
          <w:lang w:eastAsia="zh-CN"/>
        </w:rPr>
        <w:t>x</w:t>
      </w:r>
      <w:r>
        <w:rPr>
          <w:lang w:eastAsia="zh-CN"/>
        </w:rPr>
        <w:t>排放浓度为</w:t>
      </w:r>
      <w:r>
        <w:rPr>
          <w:rFonts w:hint="eastAsia"/>
          <w:lang w:eastAsia="zh-CN"/>
        </w:rPr>
        <w:t>100</w:t>
      </w:r>
      <w:r>
        <w:rPr>
          <w:lang w:eastAsia="zh-CN"/>
        </w:rPr>
        <w:t>mg/m</w:t>
      </w:r>
      <w:r>
        <w:rPr>
          <w:vertAlign w:val="superscript"/>
          <w:lang w:eastAsia="zh-CN"/>
        </w:rPr>
        <w:t>3</w:t>
      </w:r>
      <w:r>
        <w:rPr>
          <w:lang w:eastAsia="zh-CN"/>
        </w:rPr>
        <w:t>，</w:t>
      </w:r>
      <w:r>
        <w:rPr>
          <w:rFonts w:hint="eastAsia"/>
          <w:lang w:eastAsia="zh-CN"/>
        </w:rPr>
        <w:t>本项目锅炉采用天然气作为燃料，物颗粒物产生排放，根据天然气组分化验报告，天然气中不含硫化物，燃烧过程无SO</w:t>
      </w:r>
      <w:r>
        <w:rPr>
          <w:rFonts w:hint="eastAsia"/>
          <w:vertAlign w:val="subscript"/>
          <w:lang w:eastAsia="zh-CN"/>
        </w:rPr>
        <w:t>2</w:t>
      </w:r>
      <w:r>
        <w:rPr>
          <w:rFonts w:hint="eastAsia"/>
          <w:lang w:eastAsia="zh-CN"/>
        </w:rPr>
        <w:t>产生排放</w:t>
      </w:r>
      <w:r>
        <w:rPr>
          <w:lang w:eastAsia="zh-CN"/>
        </w:rPr>
        <w:t>。锅炉采用低氮燃烧器后燃烧废气通过</w:t>
      </w:r>
      <w:r>
        <w:rPr>
          <w:rFonts w:hint="eastAsia"/>
          <w:lang w:eastAsia="zh-CN"/>
        </w:rPr>
        <w:t>8</w:t>
      </w:r>
      <w:r>
        <w:rPr>
          <w:lang w:eastAsia="zh-CN"/>
        </w:rPr>
        <w:t>m高排气筒排放，天然气锅炉</w:t>
      </w:r>
      <w:r>
        <w:rPr>
          <w:rFonts w:hint="eastAsia"/>
          <w:lang w:eastAsia="zh-CN"/>
        </w:rPr>
        <w:t>燃烧</w:t>
      </w:r>
      <w:r>
        <w:rPr>
          <w:lang w:eastAsia="zh-CN"/>
        </w:rPr>
        <w:t>废气排放均满足《锅炉大气污染物排放标准》（GB 13271-2014）中表3新建锅炉大气污染物</w:t>
      </w:r>
      <w:r>
        <w:rPr>
          <w:rFonts w:hint="eastAsia"/>
          <w:lang w:eastAsia="zh-CN"/>
        </w:rPr>
        <w:t>特别</w:t>
      </w:r>
      <w:r>
        <w:rPr>
          <w:lang w:eastAsia="zh-CN"/>
        </w:rPr>
        <w:t>排放浓度限值要求。</w:t>
      </w:r>
    </w:p>
    <w:p w14:paraId="3258B3DB">
      <w:pPr>
        <w:ind w:firstLine="480"/>
      </w:pPr>
      <w:r>
        <w:t>3、食堂油烟</w:t>
      </w:r>
    </w:p>
    <w:p w14:paraId="61B6B698">
      <w:pPr>
        <w:ind w:firstLine="480"/>
      </w:pPr>
      <w:r>
        <w:t>项目食堂产生的油烟废气经集气装置收集后，引至油烟净化设施进行处理。本项目设置的油烟净化设施效率不低于75%。经处理后的油烟废气最终由引风机引至食堂屋顶专用排烟道排放，满足《饮食业环境保护技术规范》（HJ554-2010）中对排放设施要求。排放的油烟排放浓度为0.53mg/m</w:t>
      </w:r>
      <w:r>
        <w:rPr>
          <w:vertAlign w:val="superscript"/>
        </w:rPr>
        <w:t>3</w:t>
      </w:r>
      <w:r>
        <w:t>，满足《饮食业油烟排放标准（试行）》（GB18483-2001）中最高允许排放浓度标准限值要求。</w:t>
      </w:r>
    </w:p>
    <w:p w14:paraId="696CFE5C">
      <w:pPr>
        <w:ind w:firstLine="480"/>
      </w:pPr>
      <w:r>
        <w:t>4、饲料加工车间废气</w:t>
      </w:r>
    </w:p>
    <w:p w14:paraId="6D028597">
      <w:pPr>
        <w:ind w:firstLine="480"/>
        <w:jc w:val="both"/>
      </w:pPr>
      <w:r>
        <w:t>项目饲料加工车间产生的粉尘颗粒物经集气罩收集后经布袋除尘处理，除尘效率99%。经处理后通过15m高排气筒排放，满足《大气污染物综合排放标准》（GB16297-1996）要求。</w:t>
      </w:r>
    </w:p>
    <w:p w14:paraId="764F3467">
      <w:pPr>
        <w:pStyle w:val="770"/>
        <w:spacing w:line="360" w:lineRule="auto"/>
        <w:ind w:firstLine="480" w:firstLineChars="200"/>
        <w:rPr>
          <w:rFonts w:ascii="Times New Roman" w:hAnsi="Times New Roman" w:eastAsia="宋体"/>
        </w:rPr>
      </w:pPr>
      <w:r>
        <w:rPr>
          <w:rFonts w:ascii="Times New Roman" w:hAnsi="Times New Roman" w:eastAsia="宋体"/>
        </w:rPr>
        <w:t>5、</w:t>
      </w:r>
      <w:r>
        <w:rPr>
          <w:rFonts w:hint="eastAsia" w:ascii="Times New Roman" w:hAnsi="Times New Roman" w:eastAsia="宋体"/>
        </w:rPr>
        <w:t>有机肥加工车间废气</w:t>
      </w:r>
    </w:p>
    <w:p w14:paraId="225580BB">
      <w:pPr>
        <w:pStyle w:val="770"/>
        <w:spacing w:line="360" w:lineRule="auto"/>
        <w:ind w:firstLine="480" w:firstLineChars="200"/>
        <w:rPr>
          <w:rFonts w:ascii="Times New Roman" w:hAnsi="Times New Roman" w:eastAsia="宋体"/>
        </w:rPr>
      </w:pPr>
      <w:r>
        <w:rPr>
          <w:rFonts w:hint="eastAsia" w:ascii="Times New Roman" w:hAnsi="Times New Roman" w:eastAsia="宋体"/>
        </w:rPr>
        <w:t>有机肥加工车间产生的粉尘颗粒物、臭气通过集气罩收集后经布袋除尘器去除颗粒物然后进入生物除臭箱进行出后处理后通过15m排气筒排放。</w:t>
      </w:r>
    </w:p>
    <w:p w14:paraId="404E5698">
      <w:pPr>
        <w:pStyle w:val="105"/>
        <w:ind w:firstLine="480"/>
        <w:rPr>
          <w:bCs/>
        </w:rPr>
      </w:pPr>
      <w:r>
        <w:rPr>
          <w:rFonts w:hint="eastAsia"/>
        </w:rPr>
        <w:t>6、</w:t>
      </w:r>
      <w:r>
        <w:rPr>
          <w:rFonts w:hint="eastAsia"/>
          <w:bCs/>
        </w:rPr>
        <w:t>活性离子氧除臭设备可行性分析</w:t>
      </w:r>
    </w:p>
    <w:p w14:paraId="0CD892A1">
      <w:pPr>
        <w:pStyle w:val="105"/>
        <w:ind w:firstLine="480"/>
        <w:rPr>
          <w:bCs/>
        </w:rPr>
      </w:pPr>
      <w:r>
        <w:rPr>
          <w:rFonts w:hint="eastAsia"/>
          <w:bCs/>
        </w:rPr>
        <w:t>本项目污水处理站臭气采用活性离子氧设备去除，活性离子氧除臭的工作原理式离子发生器发射出高能正、负离子，它可以与废气中的氨、硫化氢气体进行分解，从而达到除臭的效果。活性离子氧设备除臭相对于生物除臭更加的稳定、高效，可以接受臭气浓度的突然变化。目前国内较多污水处理厂已使用活性离子氧除臭设备，且除臭效率均高于90%，根据《活性离子氧除臭技术在黄石市慈湖污水处理厂中的应用》（中国土木工程学会2010 李国洪、张定昌），污水处理厂使用活性离子氧除臭设备除臭后排放的气体可满足《恶臭污染物排放标准》（GB14554-93）要求。因此本项目污水处理站使用活性离子氧除臭可行。</w:t>
      </w:r>
    </w:p>
    <w:p w14:paraId="17EC2DB4">
      <w:pPr>
        <w:pStyle w:val="770"/>
        <w:spacing w:line="360" w:lineRule="auto"/>
        <w:ind w:firstLine="480" w:firstLineChars="200"/>
        <w:rPr>
          <w:rFonts w:ascii="Times New Roman" w:hAnsi="Times New Roman" w:eastAsia="宋体"/>
        </w:rPr>
      </w:pPr>
      <w:r>
        <w:rPr>
          <w:rFonts w:hint="eastAsia" w:ascii="Times New Roman" w:hAnsi="Times New Roman" w:eastAsia="宋体"/>
        </w:rPr>
        <w:t>7、</w:t>
      </w:r>
      <w:r>
        <w:rPr>
          <w:rFonts w:ascii="Times New Roman" w:hAnsi="Times New Roman" w:eastAsia="宋体"/>
        </w:rPr>
        <w:t>治理措施可行性结论</w:t>
      </w:r>
    </w:p>
    <w:p w14:paraId="741C9B77">
      <w:pPr>
        <w:ind w:firstLine="480"/>
      </w:pPr>
      <w:r>
        <w:t>根据《排污许可证申请与核发技术规范 畜禽养殖业》（HJ1029-2019）“表7畜禽养殖业排污单位恶臭无组织排放控制要求”、</w:t>
      </w:r>
      <w:r>
        <w:rPr>
          <w:szCs w:val="22"/>
        </w:rPr>
        <w:t>《饮食业油烟排放标准》（GB18483-2001）要求、</w:t>
      </w:r>
      <w:r>
        <w:t>《排污许可证申请与核发技术规范 锅炉》（HJ953-2018）要求、《大气污染物综合排放标准》（GB16297-1996）要求，本项目大气污染放在措施可行。</w:t>
      </w:r>
    </w:p>
    <w:p w14:paraId="685EE168">
      <w:pPr>
        <w:pStyle w:val="369"/>
      </w:pPr>
      <w:r>
        <w:t>表7</w:t>
      </w:r>
      <w:r>
        <w:rPr>
          <w:rFonts w:hint="eastAsia"/>
        </w:rPr>
        <w:t>.2-2</w:t>
      </w:r>
      <w:r>
        <w:t xml:space="preserve">    本项目大气污染控制可行技术一览表</w:t>
      </w:r>
    </w:p>
    <w:tbl>
      <w:tblPr>
        <w:tblStyle w:val="82"/>
        <w:tblW w:w="50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5"/>
        <w:gridCol w:w="1565"/>
        <w:gridCol w:w="3235"/>
        <w:gridCol w:w="2918"/>
        <w:gridCol w:w="559"/>
      </w:tblGrid>
      <w:tr w14:paraId="7807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458" w:type="pct"/>
            <w:vAlign w:val="center"/>
          </w:tcPr>
          <w:p w14:paraId="03B794DB">
            <w:pPr>
              <w:pStyle w:val="766"/>
              <w:rPr>
                <w:color w:val="auto"/>
              </w:rPr>
            </w:pPr>
            <w:r>
              <w:rPr>
                <w:color w:val="auto"/>
              </w:rPr>
              <w:t>污染源</w:t>
            </w:r>
          </w:p>
        </w:tc>
        <w:tc>
          <w:tcPr>
            <w:tcW w:w="859" w:type="pct"/>
            <w:vAlign w:val="center"/>
          </w:tcPr>
          <w:p w14:paraId="1D13DC91">
            <w:pPr>
              <w:pStyle w:val="766"/>
              <w:rPr>
                <w:color w:val="auto"/>
              </w:rPr>
            </w:pPr>
            <w:r>
              <w:rPr>
                <w:color w:val="auto"/>
              </w:rPr>
              <w:t>文件</w:t>
            </w:r>
          </w:p>
        </w:tc>
        <w:tc>
          <w:tcPr>
            <w:tcW w:w="1774" w:type="pct"/>
            <w:vAlign w:val="center"/>
          </w:tcPr>
          <w:p w14:paraId="09D16638">
            <w:pPr>
              <w:pStyle w:val="766"/>
              <w:rPr>
                <w:color w:val="auto"/>
              </w:rPr>
            </w:pPr>
            <w:r>
              <w:rPr>
                <w:color w:val="auto"/>
              </w:rPr>
              <w:t>可行技术</w:t>
            </w:r>
          </w:p>
        </w:tc>
        <w:tc>
          <w:tcPr>
            <w:tcW w:w="1600" w:type="pct"/>
            <w:vAlign w:val="center"/>
          </w:tcPr>
          <w:p w14:paraId="754F73BF">
            <w:pPr>
              <w:pStyle w:val="766"/>
              <w:rPr>
                <w:color w:val="auto"/>
              </w:rPr>
            </w:pPr>
            <w:r>
              <w:rPr>
                <w:color w:val="auto"/>
              </w:rPr>
              <w:t>本项目</w:t>
            </w:r>
          </w:p>
        </w:tc>
        <w:tc>
          <w:tcPr>
            <w:tcW w:w="307" w:type="pct"/>
            <w:vAlign w:val="center"/>
          </w:tcPr>
          <w:p w14:paraId="63EDD930">
            <w:pPr>
              <w:pStyle w:val="766"/>
              <w:rPr>
                <w:color w:val="auto"/>
              </w:rPr>
            </w:pPr>
            <w:r>
              <w:rPr>
                <w:color w:val="auto"/>
              </w:rPr>
              <w:t>是否可行</w:t>
            </w:r>
          </w:p>
        </w:tc>
      </w:tr>
      <w:tr w14:paraId="1C7C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458" w:type="pct"/>
            <w:vAlign w:val="center"/>
          </w:tcPr>
          <w:p w14:paraId="508355BE">
            <w:pPr>
              <w:pStyle w:val="766"/>
              <w:rPr>
                <w:color w:val="auto"/>
              </w:rPr>
            </w:pPr>
            <w:r>
              <w:rPr>
                <w:rFonts w:hint="eastAsia"/>
                <w:color w:val="auto"/>
              </w:rPr>
              <w:t>青年</w:t>
            </w:r>
            <w:r>
              <w:rPr>
                <w:color w:val="auto"/>
              </w:rPr>
              <w:t>鸡舍</w:t>
            </w:r>
          </w:p>
          <w:p w14:paraId="0589827C">
            <w:pPr>
              <w:pStyle w:val="766"/>
              <w:rPr>
                <w:color w:val="auto"/>
              </w:rPr>
            </w:pPr>
            <w:r>
              <w:rPr>
                <w:rFonts w:hint="eastAsia"/>
                <w:color w:val="auto"/>
              </w:rPr>
              <w:t>蛋鸡舍</w:t>
            </w:r>
          </w:p>
        </w:tc>
        <w:tc>
          <w:tcPr>
            <w:tcW w:w="859" w:type="pct"/>
            <w:vMerge w:val="restart"/>
            <w:vAlign w:val="center"/>
          </w:tcPr>
          <w:p w14:paraId="3E9D360D">
            <w:pPr>
              <w:pStyle w:val="766"/>
              <w:rPr>
                <w:color w:val="auto"/>
              </w:rPr>
            </w:pPr>
            <w:r>
              <w:rPr>
                <w:color w:val="auto"/>
              </w:rPr>
              <w:t>《排污许可证申请与核发技术规范 畜禽养殖行业》（HJ1029-2019）</w:t>
            </w:r>
          </w:p>
        </w:tc>
        <w:tc>
          <w:tcPr>
            <w:tcW w:w="1774" w:type="pct"/>
            <w:vAlign w:val="center"/>
          </w:tcPr>
          <w:p w14:paraId="5C3979CA">
            <w:pPr>
              <w:pStyle w:val="766"/>
              <w:jc w:val="left"/>
              <w:rPr>
                <w:color w:val="auto"/>
              </w:rPr>
            </w:pPr>
            <w:r>
              <w:rPr>
                <w:color w:val="auto"/>
              </w:rPr>
              <w:t>（1）选用益生菌配方饲料；</w:t>
            </w:r>
          </w:p>
          <w:p w14:paraId="40EDBC37">
            <w:pPr>
              <w:pStyle w:val="766"/>
              <w:jc w:val="left"/>
              <w:rPr>
                <w:color w:val="auto"/>
              </w:rPr>
            </w:pPr>
            <w:r>
              <w:rPr>
                <w:color w:val="auto"/>
              </w:rPr>
              <w:t>（2）及时清运粪污；</w:t>
            </w:r>
          </w:p>
          <w:p w14:paraId="28E9CDA8">
            <w:pPr>
              <w:pStyle w:val="766"/>
              <w:jc w:val="left"/>
              <w:rPr>
                <w:color w:val="auto"/>
              </w:rPr>
            </w:pPr>
            <w:r>
              <w:rPr>
                <w:color w:val="auto"/>
              </w:rPr>
              <w:t>（3）向粪便或舍内投（铺）放吸附剂减少臭气的散发；</w:t>
            </w:r>
          </w:p>
          <w:p w14:paraId="1DB622B1">
            <w:pPr>
              <w:pStyle w:val="766"/>
              <w:jc w:val="left"/>
              <w:rPr>
                <w:color w:val="auto"/>
              </w:rPr>
            </w:pPr>
            <w:r>
              <w:rPr>
                <w:color w:val="auto"/>
                <w:sz w:val="20"/>
                <w:szCs w:val="20"/>
              </w:rPr>
              <w:t>（</w:t>
            </w:r>
            <w:r>
              <w:rPr>
                <w:color w:val="auto"/>
              </w:rPr>
              <w:t>4）投加或喷洒除臭剂；</w:t>
            </w:r>
          </w:p>
          <w:p w14:paraId="5CC7FD90">
            <w:pPr>
              <w:pStyle w:val="766"/>
              <w:jc w:val="left"/>
              <w:rPr>
                <w:color w:val="auto"/>
              </w:rPr>
            </w:pPr>
            <w:r>
              <w:rPr>
                <w:color w:val="auto"/>
              </w:rPr>
              <w:t>（5）集中通风排气经处理（喷淋法、生物洗涤法、吸收法等）后排放；</w:t>
            </w:r>
          </w:p>
          <w:p w14:paraId="72CA9BC2">
            <w:pPr>
              <w:pStyle w:val="766"/>
              <w:jc w:val="left"/>
              <w:rPr>
                <w:color w:val="auto"/>
              </w:rPr>
            </w:pPr>
            <w:r>
              <w:rPr>
                <w:color w:val="auto"/>
              </w:rPr>
              <w:t>（6）集中收集气体经处理（生物过滤法、生物洗涤法、吸收法等）后由排气筒排放</w:t>
            </w:r>
          </w:p>
        </w:tc>
        <w:tc>
          <w:tcPr>
            <w:tcW w:w="1600" w:type="pct"/>
            <w:vAlign w:val="center"/>
          </w:tcPr>
          <w:p w14:paraId="42C243CF">
            <w:pPr>
              <w:pStyle w:val="766"/>
              <w:jc w:val="left"/>
              <w:rPr>
                <w:color w:val="auto"/>
              </w:rPr>
            </w:pPr>
            <w:r>
              <w:rPr>
                <w:rFonts w:hint="eastAsia" w:ascii="宋体" w:hAnsi="宋体" w:cs="宋体"/>
                <w:color w:val="auto"/>
              </w:rPr>
              <w:t>①</w:t>
            </w:r>
            <w:r>
              <w:rPr>
                <w:color w:val="auto"/>
              </w:rPr>
              <w:t>选用益生菌配方饲料；</w:t>
            </w:r>
          </w:p>
          <w:p w14:paraId="6DBA045A">
            <w:pPr>
              <w:pStyle w:val="766"/>
              <w:jc w:val="left"/>
              <w:rPr>
                <w:color w:val="auto"/>
              </w:rPr>
            </w:pPr>
            <w:r>
              <w:rPr>
                <w:rFonts w:hint="eastAsia" w:ascii="宋体" w:hAnsi="宋体" w:cs="宋体"/>
                <w:color w:val="auto"/>
              </w:rPr>
              <w:t>②</w:t>
            </w:r>
            <w:r>
              <w:rPr>
                <w:color w:val="auto"/>
              </w:rPr>
              <w:t>及时清运粪污；</w:t>
            </w:r>
          </w:p>
          <w:p w14:paraId="13113429">
            <w:pPr>
              <w:pStyle w:val="766"/>
              <w:jc w:val="left"/>
              <w:rPr>
                <w:color w:val="auto"/>
              </w:rPr>
            </w:pPr>
            <w:r>
              <w:rPr>
                <w:rFonts w:hint="eastAsia" w:ascii="宋体" w:hAnsi="宋体" w:cs="宋体"/>
                <w:color w:val="auto"/>
              </w:rPr>
              <w:t>③</w:t>
            </w:r>
            <w:r>
              <w:rPr>
                <w:color w:val="auto"/>
              </w:rPr>
              <w:t>向舍内定期投入除臭剂；</w:t>
            </w:r>
          </w:p>
          <w:p w14:paraId="28A2FEAA">
            <w:pPr>
              <w:pStyle w:val="766"/>
              <w:jc w:val="left"/>
              <w:rPr>
                <w:color w:val="auto"/>
              </w:rPr>
            </w:pPr>
            <w:r>
              <w:rPr>
                <w:rFonts w:hint="eastAsia" w:ascii="宋体" w:hAnsi="宋体" w:cs="宋体"/>
                <w:color w:val="auto"/>
              </w:rPr>
              <w:t>④</w:t>
            </w:r>
            <w:r>
              <w:rPr>
                <w:color w:val="auto"/>
              </w:rPr>
              <w:t>周边加强绿化</w:t>
            </w:r>
          </w:p>
          <w:p w14:paraId="492252B9">
            <w:pPr>
              <w:pStyle w:val="766"/>
              <w:jc w:val="left"/>
              <w:rPr>
                <w:color w:val="auto"/>
              </w:rPr>
            </w:pPr>
            <w:r>
              <w:rPr>
                <w:rFonts w:hint="eastAsia" w:ascii="宋体" w:hAnsi="宋体" w:cs="宋体"/>
                <w:color w:val="auto"/>
              </w:rPr>
              <w:t>⑤</w:t>
            </w:r>
            <w:r>
              <w:rPr>
                <w:rFonts w:hint="eastAsia"/>
                <w:color w:val="auto"/>
              </w:rPr>
              <w:t>水雾吸附</w:t>
            </w:r>
          </w:p>
        </w:tc>
        <w:tc>
          <w:tcPr>
            <w:tcW w:w="307" w:type="pct"/>
            <w:vAlign w:val="center"/>
          </w:tcPr>
          <w:p w14:paraId="5C340B69">
            <w:pPr>
              <w:pStyle w:val="766"/>
              <w:rPr>
                <w:color w:val="auto"/>
              </w:rPr>
            </w:pPr>
            <w:r>
              <w:rPr>
                <w:color w:val="auto"/>
              </w:rPr>
              <w:t>是</w:t>
            </w:r>
          </w:p>
        </w:tc>
      </w:tr>
      <w:tr w14:paraId="4D76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458" w:type="pct"/>
            <w:vAlign w:val="center"/>
          </w:tcPr>
          <w:p w14:paraId="25BAD30E">
            <w:pPr>
              <w:pStyle w:val="766"/>
              <w:rPr>
                <w:color w:val="auto"/>
              </w:rPr>
            </w:pPr>
            <w:r>
              <w:rPr>
                <w:rFonts w:hint="eastAsia"/>
                <w:color w:val="auto"/>
              </w:rPr>
              <w:t>有机肥加工车间</w:t>
            </w:r>
          </w:p>
        </w:tc>
        <w:tc>
          <w:tcPr>
            <w:tcW w:w="859" w:type="pct"/>
            <w:vMerge w:val="continue"/>
            <w:vAlign w:val="center"/>
          </w:tcPr>
          <w:p w14:paraId="7F02CAEA">
            <w:pPr>
              <w:pStyle w:val="766"/>
              <w:rPr>
                <w:color w:val="auto"/>
              </w:rPr>
            </w:pPr>
          </w:p>
        </w:tc>
        <w:tc>
          <w:tcPr>
            <w:tcW w:w="1774" w:type="pct"/>
            <w:vAlign w:val="center"/>
          </w:tcPr>
          <w:p w14:paraId="79BC7597">
            <w:pPr>
              <w:pStyle w:val="766"/>
              <w:jc w:val="left"/>
              <w:rPr>
                <w:color w:val="auto"/>
              </w:rPr>
            </w:pPr>
            <w:r>
              <w:rPr>
                <w:rFonts w:hint="eastAsia"/>
                <w:color w:val="auto"/>
              </w:rPr>
              <w:t>（1）定期喷洒除臭剂;</w:t>
            </w:r>
          </w:p>
          <w:p w14:paraId="04744CD7">
            <w:pPr>
              <w:pStyle w:val="766"/>
              <w:jc w:val="left"/>
              <w:rPr>
                <w:color w:val="auto"/>
              </w:rPr>
            </w:pPr>
            <w:r>
              <w:rPr>
                <w:rFonts w:hint="eastAsia"/>
                <w:color w:val="auto"/>
              </w:rPr>
              <w:t>（2）及时清运固体粪污;</w:t>
            </w:r>
          </w:p>
          <w:p w14:paraId="3F8348E6">
            <w:pPr>
              <w:pStyle w:val="766"/>
              <w:jc w:val="left"/>
              <w:rPr>
                <w:color w:val="auto"/>
              </w:rPr>
            </w:pPr>
            <w:r>
              <w:rPr>
                <w:rFonts w:hint="eastAsia"/>
                <w:color w:val="auto"/>
              </w:rPr>
              <w:t>（3）采用厌氧或好氧堆肥方式;</w:t>
            </w:r>
          </w:p>
          <w:p w14:paraId="221DD3E1">
            <w:pPr>
              <w:pStyle w:val="766"/>
              <w:jc w:val="left"/>
              <w:rPr>
                <w:color w:val="auto"/>
              </w:rPr>
            </w:pPr>
            <w:r>
              <w:rPr>
                <w:rFonts w:hint="eastAsia"/>
                <w:color w:val="auto"/>
              </w:rPr>
              <w:t>（4）集中收集气体经处理(生物过滤法、生物洗涤法、吸收法等) 后由排气筒排放。</w:t>
            </w:r>
          </w:p>
        </w:tc>
        <w:tc>
          <w:tcPr>
            <w:tcW w:w="1600" w:type="pct"/>
            <w:vAlign w:val="center"/>
          </w:tcPr>
          <w:p w14:paraId="5674CBDD">
            <w:pPr>
              <w:pStyle w:val="766"/>
              <w:jc w:val="both"/>
              <w:rPr>
                <w:rFonts w:ascii="宋体" w:hAnsi="宋体" w:cs="宋体"/>
                <w:color w:val="auto"/>
              </w:rPr>
            </w:pPr>
            <w:r>
              <w:rPr>
                <w:rFonts w:hint="eastAsia"/>
                <w:color w:val="auto"/>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tc>
        <w:tc>
          <w:tcPr>
            <w:tcW w:w="307" w:type="pct"/>
            <w:vAlign w:val="center"/>
          </w:tcPr>
          <w:p w14:paraId="46460D72">
            <w:pPr>
              <w:pStyle w:val="766"/>
              <w:rPr>
                <w:color w:val="auto"/>
              </w:rPr>
            </w:pPr>
            <w:r>
              <w:rPr>
                <w:color w:val="auto"/>
              </w:rPr>
              <w:t>是</w:t>
            </w:r>
          </w:p>
        </w:tc>
      </w:tr>
      <w:tr w14:paraId="245B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458" w:type="pct"/>
            <w:vAlign w:val="center"/>
          </w:tcPr>
          <w:p w14:paraId="266E5F61">
            <w:pPr>
              <w:pStyle w:val="766"/>
              <w:rPr>
                <w:color w:val="auto"/>
              </w:rPr>
            </w:pPr>
            <w:r>
              <w:rPr>
                <w:rFonts w:hint="eastAsia"/>
                <w:color w:val="auto"/>
              </w:rPr>
              <w:t>污水处理站</w:t>
            </w:r>
          </w:p>
        </w:tc>
        <w:tc>
          <w:tcPr>
            <w:tcW w:w="859" w:type="pct"/>
            <w:vMerge w:val="continue"/>
            <w:vAlign w:val="center"/>
          </w:tcPr>
          <w:p w14:paraId="0EDC37BE">
            <w:pPr>
              <w:pStyle w:val="766"/>
              <w:rPr>
                <w:color w:val="auto"/>
              </w:rPr>
            </w:pPr>
          </w:p>
        </w:tc>
        <w:tc>
          <w:tcPr>
            <w:tcW w:w="1774" w:type="pct"/>
            <w:vAlign w:val="center"/>
          </w:tcPr>
          <w:p w14:paraId="5E09E672">
            <w:pPr>
              <w:pStyle w:val="766"/>
              <w:jc w:val="left"/>
              <w:rPr>
                <w:color w:val="auto"/>
              </w:rPr>
            </w:pPr>
            <w:r>
              <w:rPr>
                <w:color w:val="auto"/>
              </w:rPr>
              <w:t>（1）定期喷洒除臭剂</w:t>
            </w:r>
          </w:p>
          <w:p w14:paraId="47A7AD03">
            <w:pPr>
              <w:pStyle w:val="766"/>
              <w:jc w:val="left"/>
              <w:rPr>
                <w:color w:val="auto"/>
              </w:rPr>
            </w:pPr>
            <w:r>
              <w:rPr>
                <w:color w:val="auto"/>
              </w:rPr>
              <w:t>（2）废水处理设施加盖或加罩</w:t>
            </w:r>
          </w:p>
          <w:p w14:paraId="6B711B7C">
            <w:pPr>
              <w:pStyle w:val="766"/>
              <w:jc w:val="left"/>
              <w:rPr>
                <w:color w:val="auto"/>
              </w:rPr>
            </w:pPr>
            <w:r>
              <w:rPr>
                <w:color w:val="auto"/>
              </w:rPr>
              <w:t>（3）集中收集气体经处理（生物过滤法、生物洗涤法、吸收法等）后由排气筒排放。</w:t>
            </w:r>
          </w:p>
        </w:tc>
        <w:tc>
          <w:tcPr>
            <w:tcW w:w="1600" w:type="pct"/>
            <w:vAlign w:val="center"/>
          </w:tcPr>
          <w:p w14:paraId="177925DD">
            <w:pPr>
              <w:pStyle w:val="766"/>
              <w:jc w:val="left"/>
              <w:rPr>
                <w:rFonts w:ascii="宋体" w:hAnsi="宋体" w:cs="宋体"/>
                <w:color w:val="auto"/>
              </w:rPr>
            </w:pPr>
            <w:r>
              <w:rPr>
                <w:rFonts w:hint="eastAsia"/>
                <w:color w:val="auto"/>
              </w:rPr>
              <w:t>密闭负压收集+活性离子氧(AOE)+</w:t>
            </w:r>
            <w:r>
              <w:rPr>
                <w:color w:val="auto"/>
              </w:rPr>
              <w:t>15</w:t>
            </w:r>
            <w:r>
              <w:rPr>
                <w:rFonts w:hint="eastAsia"/>
                <w:color w:val="auto"/>
              </w:rPr>
              <w:t>m排气筒排放</w:t>
            </w:r>
          </w:p>
        </w:tc>
        <w:tc>
          <w:tcPr>
            <w:tcW w:w="307" w:type="pct"/>
            <w:vAlign w:val="center"/>
          </w:tcPr>
          <w:p w14:paraId="6F92E8CB">
            <w:pPr>
              <w:pStyle w:val="766"/>
              <w:rPr>
                <w:color w:val="auto"/>
              </w:rPr>
            </w:pPr>
            <w:r>
              <w:rPr>
                <w:color w:val="auto"/>
              </w:rPr>
              <w:t>是</w:t>
            </w:r>
          </w:p>
        </w:tc>
      </w:tr>
      <w:tr w14:paraId="0235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458" w:type="pct"/>
            <w:vAlign w:val="center"/>
          </w:tcPr>
          <w:p w14:paraId="52BF04E0">
            <w:pPr>
              <w:pStyle w:val="766"/>
              <w:rPr>
                <w:color w:val="auto"/>
              </w:rPr>
            </w:pPr>
            <w:r>
              <w:rPr>
                <w:rFonts w:hint="eastAsia"/>
                <w:color w:val="auto"/>
              </w:rPr>
              <w:t>全场</w:t>
            </w:r>
          </w:p>
        </w:tc>
        <w:tc>
          <w:tcPr>
            <w:tcW w:w="859" w:type="pct"/>
            <w:vMerge w:val="continue"/>
            <w:vAlign w:val="center"/>
          </w:tcPr>
          <w:p w14:paraId="15ABE298">
            <w:pPr>
              <w:pStyle w:val="766"/>
              <w:rPr>
                <w:color w:val="auto"/>
              </w:rPr>
            </w:pPr>
          </w:p>
        </w:tc>
        <w:tc>
          <w:tcPr>
            <w:tcW w:w="1774" w:type="pct"/>
            <w:vAlign w:val="center"/>
          </w:tcPr>
          <w:p w14:paraId="1051322C">
            <w:pPr>
              <w:pStyle w:val="766"/>
              <w:jc w:val="left"/>
              <w:rPr>
                <w:color w:val="auto"/>
              </w:rPr>
            </w:pPr>
            <w:r>
              <w:rPr>
                <w:rFonts w:hint="eastAsia"/>
                <w:color w:val="auto"/>
              </w:rPr>
              <w:t>（1）固体粪污规范还田利用:</w:t>
            </w:r>
          </w:p>
          <w:p w14:paraId="5491DADB">
            <w:pPr>
              <w:pStyle w:val="766"/>
              <w:jc w:val="left"/>
              <w:rPr>
                <w:color w:val="auto"/>
              </w:rPr>
            </w:pPr>
            <w:r>
              <w:rPr>
                <w:rFonts w:hint="eastAsia"/>
                <w:color w:val="auto"/>
              </w:rPr>
              <w:t>（2）场区运输道路全硬化、及时清扫、无积灰扬尘、定期洒水抑尘:</w:t>
            </w:r>
          </w:p>
          <w:p w14:paraId="3C234D6C">
            <w:pPr>
              <w:pStyle w:val="766"/>
              <w:jc w:val="left"/>
              <w:rPr>
                <w:color w:val="auto"/>
              </w:rPr>
            </w:pPr>
            <w:r>
              <w:rPr>
                <w:rFonts w:hint="eastAsia"/>
                <w:color w:val="auto"/>
              </w:rPr>
              <w:t>（3）加强场区绿化。</w:t>
            </w:r>
          </w:p>
        </w:tc>
        <w:tc>
          <w:tcPr>
            <w:tcW w:w="1600" w:type="pct"/>
            <w:vAlign w:val="center"/>
          </w:tcPr>
          <w:p w14:paraId="43DA99CD">
            <w:pPr>
              <w:pStyle w:val="766"/>
              <w:jc w:val="left"/>
              <w:rPr>
                <w:color w:val="auto"/>
              </w:rPr>
            </w:pPr>
            <w:r>
              <w:rPr>
                <w:rFonts w:hint="eastAsia"/>
                <w:color w:val="auto"/>
              </w:rPr>
              <w:t>项目固体粪污制肥</w:t>
            </w:r>
          </w:p>
          <w:p w14:paraId="3047AF35">
            <w:pPr>
              <w:pStyle w:val="766"/>
              <w:jc w:val="left"/>
              <w:rPr>
                <w:color w:val="auto"/>
              </w:rPr>
            </w:pPr>
            <w:r>
              <w:rPr>
                <w:rFonts w:hint="eastAsia"/>
                <w:color w:val="auto"/>
              </w:rPr>
              <w:t>场区道路硬化，定期洒水</w:t>
            </w:r>
          </w:p>
          <w:p w14:paraId="6857EB24">
            <w:pPr>
              <w:pStyle w:val="766"/>
              <w:jc w:val="left"/>
              <w:rPr>
                <w:color w:val="auto"/>
              </w:rPr>
            </w:pPr>
            <w:r>
              <w:rPr>
                <w:rFonts w:hint="eastAsia"/>
                <w:color w:val="auto"/>
              </w:rPr>
              <w:t>厂区设置绿化</w:t>
            </w:r>
          </w:p>
        </w:tc>
        <w:tc>
          <w:tcPr>
            <w:tcW w:w="307" w:type="pct"/>
            <w:vAlign w:val="center"/>
          </w:tcPr>
          <w:p w14:paraId="5004026D">
            <w:pPr>
              <w:pStyle w:val="766"/>
              <w:rPr>
                <w:color w:val="auto"/>
              </w:rPr>
            </w:pPr>
            <w:r>
              <w:rPr>
                <w:color w:val="auto"/>
              </w:rPr>
              <w:t>是</w:t>
            </w:r>
          </w:p>
        </w:tc>
      </w:tr>
      <w:tr w14:paraId="2597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458" w:type="pct"/>
            <w:vAlign w:val="center"/>
          </w:tcPr>
          <w:p w14:paraId="4FBDAC2A">
            <w:pPr>
              <w:pStyle w:val="766"/>
              <w:rPr>
                <w:color w:val="auto"/>
              </w:rPr>
            </w:pPr>
            <w:r>
              <w:rPr>
                <w:rFonts w:hint="eastAsia"/>
                <w:color w:val="auto"/>
              </w:rPr>
              <w:t>饲料加工车间</w:t>
            </w:r>
          </w:p>
        </w:tc>
        <w:tc>
          <w:tcPr>
            <w:tcW w:w="859" w:type="pct"/>
            <w:vAlign w:val="center"/>
          </w:tcPr>
          <w:p w14:paraId="45F87EEE">
            <w:pPr>
              <w:pStyle w:val="766"/>
              <w:rPr>
                <w:color w:val="auto"/>
              </w:rPr>
            </w:pPr>
            <w:r>
              <w:rPr>
                <w:color w:val="auto"/>
              </w:rPr>
              <w:t xml:space="preserve">《排污许可证申请与核发技术规范 </w:t>
            </w:r>
            <w:r>
              <w:rPr>
                <w:rFonts w:hint="eastAsia"/>
                <w:color w:val="auto"/>
              </w:rPr>
              <w:t>农副食品加工业饲料加工植物油加工工业</w:t>
            </w:r>
            <w:r>
              <w:rPr>
                <w:color w:val="auto"/>
              </w:rPr>
              <w:t>》（HJ</w:t>
            </w:r>
            <w:r>
              <w:rPr>
                <w:rFonts w:hint="eastAsia"/>
                <w:color w:val="auto"/>
              </w:rPr>
              <w:t>1110</w:t>
            </w:r>
            <w:r>
              <w:rPr>
                <w:color w:val="auto"/>
              </w:rPr>
              <w:t>-20</w:t>
            </w:r>
            <w:r>
              <w:rPr>
                <w:rFonts w:hint="eastAsia"/>
                <w:color w:val="auto"/>
              </w:rPr>
              <w:t>20）</w:t>
            </w:r>
          </w:p>
        </w:tc>
        <w:tc>
          <w:tcPr>
            <w:tcW w:w="1774" w:type="pct"/>
            <w:vAlign w:val="center"/>
          </w:tcPr>
          <w:p w14:paraId="7D363924">
            <w:pPr>
              <w:pStyle w:val="766"/>
              <w:numPr>
                <w:ilvl w:val="0"/>
                <w:numId w:val="3"/>
              </w:numPr>
              <w:jc w:val="left"/>
              <w:rPr>
                <w:color w:val="auto"/>
              </w:rPr>
            </w:pPr>
            <w:r>
              <w:rPr>
                <w:rFonts w:hint="eastAsia"/>
                <w:color w:val="auto"/>
              </w:rPr>
              <w:t>旋风除尘；</w:t>
            </w:r>
          </w:p>
          <w:p w14:paraId="4A369292">
            <w:pPr>
              <w:pStyle w:val="766"/>
              <w:numPr>
                <w:ilvl w:val="0"/>
                <w:numId w:val="3"/>
              </w:numPr>
              <w:jc w:val="left"/>
              <w:rPr>
                <w:color w:val="auto"/>
              </w:rPr>
            </w:pPr>
            <w:r>
              <w:rPr>
                <w:rFonts w:hint="eastAsia"/>
                <w:color w:val="auto"/>
              </w:rPr>
              <w:t>电除尘；</w:t>
            </w:r>
          </w:p>
          <w:p w14:paraId="5BC15859">
            <w:pPr>
              <w:pStyle w:val="766"/>
              <w:numPr>
                <w:ilvl w:val="0"/>
                <w:numId w:val="3"/>
              </w:numPr>
              <w:jc w:val="left"/>
              <w:rPr>
                <w:color w:val="auto"/>
              </w:rPr>
            </w:pPr>
            <w:r>
              <w:rPr>
                <w:rFonts w:hint="eastAsia"/>
                <w:color w:val="auto"/>
              </w:rPr>
              <w:t>袋式除尘；</w:t>
            </w:r>
          </w:p>
          <w:p w14:paraId="44B21507">
            <w:pPr>
              <w:pStyle w:val="766"/>
              <w:numPr>
                <w:ilvl w:val="0"/>
                <w:numId w:val="3"/>
              </w:numPr>
              <w:jc w:val="left"/>
              <w:rPr>
                <w:color w:val="auto"/>
              </w:rPr>
            </w:pPr>
            <w:r>
              <w:rPr>
                <w:rFonts w:hint="eastAsia"/>
                <w:color w:val="auto"/>
              </w:rPr>
              <w:t>除尘组合工艺</w:t>
            </w:r>
          </w:p>
        </w:tc>
        <w:tc>
          <w:tcPr>
            <w:tcW w:w="1600" w:type="pct"/>
            <w:vAlign w:val="center"/>
          </w:tcPr>
          <w:p w14:paraId="0E235F6A">
            <w:pPr>
              <w:pStyle w:val="766"/>
              <w:jc w:val="left"/>
              <w:rPr>
                <w:color w:val="auto"/>
              </w:rPr>
            </w:pPr>
            <w:r>
              <w:rPr>
                <w:rFonts w:hint="eastAsia"/>
                <w:color w:val="auto"/>
              </w:rPr>
              <w:t>集气罩+布袋除尘器+15m排气筒排放</w:t>
            </w:r>
          </w:p>
        </w:tc>
        <w:tc>
          <w:tcPr>
            <w:tcW w:w="307" w:type="pct"/>
            <w:vAlign w:val="center"/>
          </w:tcPr>
          <w:p w14:paraId="3133DB8C">
            <w:pPr>
              <w:pStyle w:val="766"/>
              <w:rPr>
                <w:color w:val="auto"/>
              </w:rPr>
            </w:pPr>
            <w:r>
              <w:rPr>
                <w:rFonts w:hint="eastAsia"/>
                <w:color w:val="auto"/>
              </w:rPr>
              <w:t>是</w:t>
            </w:r>
          </w:p>
        </w:tc>
      </w:tr>
      <w:tr w14:paraId="7DEC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458" w:type="pct"/>
            <w:vAlign w:val="center"/>
          </w:tcPr>
          <w:p w14:paraId="49A825CA">
            <w:pPr>
              <w:pStyle w:val="766"/>
              <w:rPr>
                <w:color w:val="auto"/>
              </w:rPr>
            </w:pPr>
            <w:r>
              <w:rPr>
                <w:color w:val="auto"/>
              </w:rPr>
              <w:t>天然气锅炉</w:t>
            </w:r>
          </w:p>
        </w:tc>
        <w:tc>
          <w:tcPr>
            <w:tcW w:w="859" w:type="pct"/>
            <w:vAlign w:val="center"/>
          </w:tcPr>
          <w:p w14:paraId="1345D18F">
            <w:pPr>
              <w:pStyle w:val="766"/>
              <w:rPr>
                <w:color w:val="auto"/>
              </w:rPr>
            </w:pPr>
            <w:r>
              <w:rPr>
                <w:color w:val="auto"/>
              </w:rPr>
              <w:t>《排污许可证申请与核发技术规范 锅炉》（HJ953-2018）</w:t>
            </w:r>
          </w:p>
        </w:tc>
        <w:tc>
          <w:tcPr>
            <w:tcW w:w="1774" w:type="pct"/>
            <w:vAlign w:val="center"/>
          </w:tcPr>
          <w:p w14:paraId="3214ADDF">
            <w:pPr>
              <w:pStyle w:val="766"/>
              <w:jc w:val="left"/>
              <w:rPr>
                <w:color w:val="auto"/>
              </w:rPr>
            </w:pPr>
            <w:r>
              <w:rPr>
                <w:color w:val="auto"/>
              </w:rPr>
              <w:t>低氮燃烧、SCR法、低氮燃烧+SCR法、其他</w:t>
            </w:r>
          </w:p>
        </w:tc>
        <w:tc>
          <w:tcPr>
            <w:tcW w:w="1600" w:type="pct"/>
            <w:vAlign w:val="center"/>
          </w:tcPr>
          <w:p w14:paraId="23C682CA">
            <w:pPr>
              <w:pStyle w:val="766"/>
              <w:rPr>
                <w:color w:val="auto"/>
              </w:rPr>
            </w:pPr>
            <w:r>
              <w:rPr>
                <w:rFonts w:hint="eastAsia"/>
                <w:color w:val="auto"/>
              </w:rPr>
              <w:t>低</w:t>
            </w:r>
            <w:r>
              <w:rPr>
                <w:color w:val="auto"/>
              </w:rPr>
              <w:t>氮燃烧</w:t>
            </w:r>
          </w:p>
        </w:tc>
        <w:tc>
          <w:tcPr>
            <w:tcW w:w="307" w:type="pct"/>
            <w:vAlign w:val="center"/>
          </w:tcPr>
          <w:p w14:paraId="6D080240">
            <w:pPr>
              <w:pStyle w:val="766"/>
              <w:rPr>
                <w:color w:val="auto"/>
              </w:rPr>
            </w:pPr>
            <w:r>
              <w:rPr>
                <w:color w:val="auto"/>
              </w:rPr>
              <w:t>是</w:t>
            </w:r>
          </w:p>
        </w:tc>
      </w:tr>
      <w:bookmarkEnd w:id="495"/>
      <w:bookmarkEnd w:id="496"/>
      <w:bookmarkEnd w:id="497"/>
      <w:bookmarkEnd w:id="498"/>
      <w:bookmarkEnd w:id="499"/>
      <w:bookmarkEnd w:id="500"/>
    </w:tbl>
    <w:p w14:paraId="6B2F5268">
      <w:pPr>
        <w:pStyle w:val="11"/>
      </w:pPr>
      <w:bookmarkStart w:id="522" w:name="_Toc166572356"/>
      <w:bookmarkStart w:id="523" w:name="_Toc162429017"/>
      <w:bookmarkStart w:id="524" w:name="_Toc28733"/>
      <w:r>
        <w:t>7.2.2 废水治理措施可行性论证</w:t>
      </w:r>
      <w:bookmarkEnd w:id="522"/>
    </w:p>
    <w:p w14:paraId="6A84885E">
      <w:pPr>
        <w:pStyle w:val="230"/>
        <w:ind w:firstLine="480"/>
        <w:jc w:val="both"/>
        <w:rPr>
          <w:lang w:eastAsia="zh-CN"/>
        </w:rPr>
      </w:pPr>
      <w:r>
        <w:rPr>
          <w:lang w:eastAsia="zh-CN"/>
        </w:rPr>
        <w:t>本项目废水主要为鸡舍冲洗废水、生活污水、</w:t>
      </w:r>
      <w:r>
        <w:rPr>
          <w:rFonts w:hint="eastAsia"/>
          <w:lang w:eastAsia="zh-CN"/>
        </w:rPr>
        <w:t>软化水</w:t>
      </w:r>
      <w:r>
        <w:rPr>
          <w:lang w:eastAsia="zh-CN"/>
        </w:rPr>
        <w:t>制备废水</w:t>
      </w:r>
      <w:r>
        <w:rPr>
          <w:rFonts w:hint="eastAsia"/>
          <w:lang w:eastAsia="zh-CN"/>
        </w:rPr>
        <w:t>、堆肥渗滤液等</w:t>
      </w:r>
      <w:r>
        <w:rPr>
          <w:lang w:eastAsia="zh-CN"/>
        </w:rPr>
        <w:t>，产生量为</w:t>
      </w:r>
      <w:r>
        <w:rPr>
          <w:rFonts w:hint="eastAsia"/>
          <w:lang w:eastAsia="zh-CN"/>
        </w:rPr>
        <w:t>19963</w:t>
      </w:r>
      <w:r>
        <w:rPr>
          <w:lang w:eastAsia="zh-CN"/>
        </w:rPr>
        <w:t>t/a。废水经场内</w:t>
      </w:r>
      <w:r>
        <w:rPr>
          <w:rFonts w:hint="eastAsia"/>
          <w:lang w:eastAsia="zh-CN"/>
        </w:rPr>
        <w:t>污水处理站</w:t>
      </w:r>
      <w:r>
        <w:rPr>
          <w:lang w:eastAsia="zh-CN"/>
        </w:rPr>
        <w:t>进行处理，处理工艺为</w:t>
      </w:r>
      <w:r>
        <w:rPr>
          <w:rFonts w:hint="eastAsia"/>
          <w:lang w:eastAsia="zh-CN"/>
        </w:rPr>
        <w:t>“</w:t>
      </w:r>
      <w:r>
        <w:rPr>
          <w:rFonts w:hint="eastAsia"/>
          <w:bCs/>
          <w:szCs w:val="21"/>
          <w:lang w:eastAsia="zh-CN"/>
        </w:rPr>
        <w:t>调节池+预处理（格栅+澄清+沉淀）+CSTR（连续搅拌反应器系统）+AO</w:t>
      </w:r>
      <w:r>
        <w:rPr>
          <w:rFonts w:hint="eastAsia"/>
          <w:lang w:eastAsia="zh-CN"/>
        </w:rPr>
        <w:t>O</w:t>
      </w:r>
      <w:r>
        <w:rPr>
          <w:rFonts w:hint="eastAsia"/>
          <w:bCs/>
          <w:szCs w:val="21"/>
          <w:lang w:eastAsia="zh-CN"/>
        </w:rPr>
        <w:t>（一级厌氧、一级好氧、二级好氧）+加药除磷</w:t>
      </w:r>
      <w:r>
        <w:rPr>
          <w:rFonts w:hint="eastAsia"/>
          <w:lang w:eastAsia="zh-CN"/>
        </w:rPr>
        <w:t>”</w:t>
      </w:r>
      <w:r>
        <w:rPr>
          <w:lang w:eastAsia="zh-CN"/>
        </w:rPr>
        <w:t>，处理达到《城市污水再生利用城市杂用水水质》（GB/T 18920-2020）标准后回用作于</w:t>
      </w:r>
      <w:r>
        <w:rPr>
          <w:rFonts w:hint="eastAsia"/>
          <w:lang w:eastAsia="zh-CN"/>
        </w:rPr>
        <w:t>厂区绿化、鸡舍冲洗、湿帘降温和洒水抑尘</w:t>
      </w:r>
      <w:r>
        <w:rPr>
          <w:lang w:eastAsia="zh-CN"/>
        </w:rPr>
        <w:t>。</w:t>
      </w:r>
    </w:p>
    <w:p w14:paraId="7E373663">
      <w:pPr>
        <w:pStyle w:val="230"/>
        <w:ind w:firstLine="480"/>
        <w:rPr>
          <w:lang w:eastAsia="zh-CN"/>
        </w:rPr>
      </w:pPr>
      <w:r>
        <w:rPr>
          <w:lang w:eastAsia="zh-CN"/>
        </w:rPr>
        <w:t>项目废水处理工艺流程见下：</w:t>
      </w:r>
    </w:p>
    <w:p w14:paraId="4ACF4D3C">
      <w:pPr>
        <w:pStyle w:val="766"/>
        <w:rPr>
          <w:color w:val="auto"/>
        </w:rPr>
      </w:pPr>
      <w:r>
        <w:rPr>
          <w:color w:val="auto"/>
        </w:rPr>
        <w:drawing>
          <wp:inline distT="0" distB="0" distL="0" distR="0">
            <wp:extent cx="4716145" cy="6354445"/>
            <wp:effectExtent l="0" t="0" r="8255" b="8255"/>
            <wp:docPr id="1145692281" name="图片 2" descr="C:/Users/Lenovo/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92281" name="图片 2" descr="C:/Users/Lenovo/Desktop/图片1.png图片1"/>
                    <pic:cNvPicPr>
                      <a:picLocks noChangeAspect="1" noChangeArrowheads="1"/>
                    </pic:cNvPicPr>
                  </pic:nvPicPr>
                  <pic:blipFill>
                    <a:blip r:embed="rId221"/>
                    <a:srcRect t="189" b="189"/>
                    <a:stretch>
                      <a:fillRect/>
                    </a:stretch>
                  </pic:blipFill>
                  <pic:spPr>
                    <a:xfrm>
                      <a:off x="0" y="0"/>
                      <a:ext cx="4716145" cy="6354445"/>
                    </a:xfrm>
                    <a:prstGeom prst="rect">
                      <a:avLst/>
                    </a:prstGeom>
                    <a:noFill/>
                    <a:ln>
                      <a:noFill/>
                    </a:ln>
                  </pic:spPr>
                </pic:pic>
              </a:graphicData>
            </a:graphic>
          </wp:inline>
        </w:drawing>
      </w:r>
    </w:p>
    <w:p w14:paraId="03326977">
      <w:pPr>
        <w:pStyle w:val="369"/>
      </w:pPr>
      <w:r>
        <w:t>图7.2-1  废水处理工艺流程</w:t>
      </w:r>
    </w:p>
    <w:p w14:paraId="74C10624">
      <w:pPr>
        <w:pStyle w:val="230"/>
        <w:ind w:firstLine="480"/>
        <w:jc w:val="both"/>
        <w:rPr>
          <w:lang w:eastAsia="zh-CN"/>
        </w:rPr>
      </w:pPr>
      <w:r>
        <w:rPr>
          <w:rFonts w:hint="eastAsia"/>
          <w:lang w:eastAsia="zh-CN"/>
        </w:rPr>
        <w:t>对于鸡场清洗污水，含有一定量的粪便（约15-20%），为了减少粪便中污染物的溶出，需要在新粪时尽早的进行粪水分离，分离出的粪便去堆肥。污水进入调节池,将污水匀质，水解酸化。然后进入格栅，去除污水中的大量的固体悬浮物和大颗粒杂质；然后进入澄清池，</w:t>
      </w:r>
      <w:r>
        <w:rPr>
          <w:lang w:eastAsia="zh-CN"/>
        </w:rPr>
        <w:t>经剩余污泥的强化沉淀澄清后，为了减少末端污泥总量，尽可能把前期的粪渣分离出来</w:t>
      </w:r>
      <w:r>
        <w:rPr>
          <w:rFonts w:hint="eastAsia"/>
          <w:lang w:eastAsia="zh-CN"/>
        </w:rPr>
        <w:t>；然后进入CSTR系统，系统</w:t>
      </w:r>
      <w:r>
        <w:rPr>
          <w:lang w:eastAsia="zh-CN"/>
        </w:rPr>
        <w:t>内安装有搅拌装置，使发酵原料和微生物处于完全混合状态</w:t>
      </w:r>
      <w:r>
        <w:rPr>
          <w:rFonts w:hint="eastAsia"/>
          <w:lang w:eastAsia="zh-CN"/>
        </w:rPr>
        <w:t>，</w:t>
      </w:r>
      <w:r>
        <w:rPr>
          <w:lang w:eastAsia="zh-CN"/>
        </w:rPr>
        <w:t>投料方式采用恒温连续投料运行。新进入的原料由于搅拌作用很快与发酵器内的全部发酵液菌种混合，使发酵底物浓度始终保持相对较低状态</w:t>
      </w:r>
      <w:r>
        <w:rPr>
          <w:rFonts w:hint="eastAsia"/>
          <w:lang w:eastAsia="zh-CN"/>
        </w:rPr>
        <w:t>，CSTR系统可去除废水中的有机物，并提高污水的可生化性，有利于后续的好氧处理</w:t>
      </w:r>
      <w:r>
        <w:rPr>
          <w:lang w:eastAsia="zh-CN"/>
        </w:rPr>
        <w:t>。再依次</w:t>
      </w:r>
      <w:r>
        <w:rPr>
          <w:rFonts w:hint="eastAsia"/>
          <w:lang w:eastAsia="zh-CN"/>
        </w:rPr>
        <w:t>进入一级A缺</w:t>
      </w:r>
      <w:r>
        <w:rPr>
          <w:lang w:eastAsia="zh-CN"/>
        </w:rPr>
        <w:t>氧生化池</w:t>
      </w:r>
      <w:r>
        <w:rPr>
          <w:rFonts w:hint="eastAsia"/>
          <w:lang w:eastAsia="zh-CN"/>
        </w:rPr>
        <w:t>、一级O好</w:t>
      </w:r>
      <w:r>
        <w:rPr>
          <w:lang w:eastAsia="zh-CN"/>
        </w:rPr>
        <w:t>氧生化池</w:t>
      </w:r>
      <w:r>
        <w:rPr>
          <w:rFonts w:hint="eastAsia"/>
          <w:lang w:eastAsia="zh-CN"/>
        </w:rPr>
        <w:t>。</w:t>
      </w:r>
      <w:r>
        <w:rPr>
          <w:lang w:eastAsia="zh-CN"/>
        </w:rPr>
        <w:t>进行硝化反硝化，降解有机物、去除氨氮</w:t>
      </w:r>
      <w:r>
        <w:rPr>
          <w:rFonts w:hint="eastAsia"/>
          <w:lang w:eastAsia="zh-CN"/>
        </w:rPr>
        <w:t>，通过长时缺氧显著增强脱氮和低能耗降解有机物的能力，将一级O好</w:t>
      </w:r>
      <w:r>
        <w:rPr>
          <w:lang w:eastAsia="zh-CN"/>
        </w:rPr>
        <w:t>氧生化池</w:t>
      </w:r>
      <w:r>
        <w:rPr>
          <w:rFonts w:hint="eastAsia"/>
          <w:lang w:eastAsia="zh-CN"/>
        </w:rPr>
        <w:t>硝化液回流到缺氧段，进行生物反硝化脱氮，最终使排放水中的氨氮也稳定达标。经过一级生化作用后的混合液进入沉淀池，混合液中悬浮的活性污泥和其他固体物质在这里沉淀下来与水分离，澄清后的污水作为处理水排出系统。经过沉淀浓缩的污泥从沉淀池底部排出，其中大部分作为接种污泥回流至曝气池，以保证曝气池内的悬浮固体浓度和微生物浓度；然后在二级O池中</w:t>
      </w:r>
      <w:r>
        <w:rPr>
          <w:lang w:eastAsia="zh-CN"/>
        </w:rPr>
        <w:t>安装半软性填料，</w:t>
      </w:r>
      <w:r>
        <w:rPr>
          <w:rFonts w:hint="eastAsia"/>
          <w:lang w:eastAsia="zh-CN"/>
        </w:rPr>
        <w:t>使用接触氧化法，进一步澄清水质</w:t>
      </w:r>
      <w:r>
        <w:rPr>
          <w:lang w:eastAsia="zh-CN"/>
        </w:rPr>
        <w:t>。</w:t>
      </w:r>
      <w:r>
        <w:rPr>
          <w:rFonts w:hint="eastAsia"/>
          <w:lang w:eastAsia="zh-CN"/>
        </w:rPr>
        <w:t>处理后的水再次进入二段沉淀池中，将剩余水中杂质进行沉降，然后进入除磷池中去除总磷，完成最终处理。</w:t>
      </w:r>
      <w:r>
        <w:rPr>
          <w:lang w:eastAsia="zh-CN"/>
        </w:rPr>
        <w:t>生化过程中的污泥排入污泥池，</w:t>
      </w:r>
      <w:r>
        <w:rPr>
          <w:rFonts w:hint="eastAsia"/>
          <w:lang w:eastAsia="zh-CN"/>
        </w:rPr>
        <w:t>输送至有机肥堆场发酵制成有机肥。</w:t>
      </w:r>
    </w:p>
    <w:p w14:paraId="6827F280">
      <w:pPr>
        <w:pStyle w:val="230"/>
        <w:ind w:firstLine="480"/>
        <w:jc w:val="both"/>
        <w:rPr>
          <w:lang w:eastAsia="zh-CN"/>
        </w:rPr>
      </w:pPr>
      <w:r>
        <w:rPr>
          <w:lang w:eastAsia="zh-CN"/>
        </w:rPr>
        <w:t>根据《畜禽养殖业污染治理工程技术规范》（HJ497-2009），本项目所选废水处理工艺与《畜禽养殖业污染治理工程技术规范》（HJ497-2009）中推荐的基本处理流程基本相符，因此工艺选择技术上可行。</w:t>
      </w:r>
    </w:p>
    <w:p w14:paraId="53C060DA">
      <w:pPr>
        <w:pStyle w:val="230"/>
        <w:ind w:firstLine="480"/>
        <w:rPr>
          <w:lang w:eastAsia="zh-CN"/>
        </w:rPr>
      </w:pPr>
      <w:r>
        <w:rPr>
          <w:lang w:eastAsia="zh-CN"/>
        </w:rPr>
        <w:t>1、项目废水水质及处理规模</w:t>
      </w:r>
    </w:p>
    <w:p w14:paraId="7AFF2C38">
      <w:pPr>
        <w:pStyle w:val="230"/>
        <w:ind w:firstLine="480"/>
        <w:jc w:val="both"/>
        <w:rPr>
          <w:lang w:eastAsia="zh-CN"/>
        </w:rPr>
      </w:pPr>
      <w:r>
        <w:rPr>
          <w:lang w:eastAsia="zh-CN"/>
        </w:rPr>
        <w:t>本项目废水产生量为</w:t>
      </w:r>
      <w:r>
        <w:rPr>
          <w:rFonts w:hint="eastAsia"/>
          <w:lang w:eastAsia="zh-CN"/>
        </w:rPr>
        <w:t>19963</w:t>
      </w:r>
      <w:r>
        <w:rPr>
          <w:lang w:eastAsia="zh-CN"/>
        </w:rPr>
        <w:t>m</w:t>
      </w:r>
      <w:r>
        <w:rPr>
          <w:vertAlign w:val="superscript"/>
          <w:lang w:eastAsia="zh-CN"/>
        </w:rPr>
        <w:t>3</w:t>
      </w:r>
      <w:r>
        <w:rPr>
          <w:lang w:eastAsia="zh-CN"/>
        </w:rPr>
        <w:t>/a</w:t>
      </w:r>
      <w:r>
        <w:rPr>
          <w:rFonts w:hint="eastAsia"/>
          <w:lang w:eastAsia="zh-CN"/>
        </w:rPr>
        <w:t>，</w:t>
      </w:r>
      <w:r>
        <w:rPr>
          <w:lang w:eastAsia="zh-CN"/>
        </w:rPr>
        <w:t>项目废水水质特点为具有较高浓度的COD、BOD、SS和氨氮，废水排入废水处理站进行处理，处理达到《城市污水再生利用城市杂用水水质》（GB/T 18920-2020）和《畜禽养殖业污染物排放标准》（GB18596-2001）标准后回用作于</w:t>
      </w:r>
      <w:r>
        <w:rPr>
          <w:rFonts w:hint="eastAsia"/>
          <w:lang w:eastAsia="zh-CN"/>
        </w:rPr>
        <w:t>厂区绿化或洒水抑尘</w:t>
      </w:r>
      <w:r>
        <w:rPr>
          <w:lang w:eastAsia="zh-CN"/>
        </w:rPr>
        <w:t>。</w:t>
      </w:r>
      <w:r>
        <w:rPr>
          <w:rFonts w:hint="eastAsia"/>
          <w:lang w:eastAsia="zh-CN"/>
        </w:rPr>
        <w:t>本项目污水产生量为19963m</w:t>
      </w:r>
      <w:r>
        <w:rPr>
          <w:rFonts w:hint="eastAsia"/>
          <w:vertAlign w:val="superscript"/>
          <w:lang w:eastAsia="zh-CN"/>
        </w:rPr>
        <w:t>3</w:t>
      </w:r>
      <w:r>
        <w:rPr>
          <w:rFonts w:hint="eastAsia"/>
          <w:lang w:eastAsia="zh-CN"/>
        </w:rPr>
        <w:t>/a，未预见数量按30%计算，则本项目综合污水量为25952m</w:t>
      </w:r>
      <w:r>
        <w:rPr>
          <w:rFonts w:hint="eastAsia"/>
          <w:vertAlign w:val="superscript"/>
          <w:lang w:eastAsia="zh-CN"/>
        </w:rPr>
        <w:t>3</w:t>
      </w:r>
      <w:r>
        <w:rPr>
          <w:rFonts w:hint="eastAsia"/>
          <w:lang w:eastAsia="zh-CN"/>
        </w:rPr>
        <w:t>/a，本项目污水处理站每年检修2次，实际运行时间300d，污水处理站实际进水量约90m</w:t>
      </w:r>
      <w:r>
        <w:rPr>
          <w:rFonts w:hint="eastAsia"/>
          <w:vertAlign w:val="superscript"/>
          <w:lang w:eastAsia="zh-CN"/>
        </w:rPr>
        <w:t>3</w:t>
      </w:r>
      <w:r>
        <w:rPr>
          <w:rFonts w:hint="eastAsia"/>
          <w:lang w:eastAsia="zh-CN"/>
        </w:rPr>
        <w:t>/d，根据污水设备设计单位提供意见本项目污水处理设备最佳运行负荷为60%~80%，本次以60%计算，则本</w:t>
      </w:r>
      <w:r>
        <w:rPr>
          <w:lang w:eastAsia="zh-CN"/>
        </w:rPr>
        <w:t>项目</w:t>
      </w:r>
      <w:r>
        <w:rPr>
          <w:rFonts w:hint="eastAsia"/>
          <w:lang w:eastAsia="zh-CN"/>
        </w:rPr>
        <w:t>需</w:t>
      </w:r>
      <w:r>
        <w:rPr>
          <w:lang w:eastAsia="zh-CN"/>
        </w:rPr>
        <w:t>建设处理规模为150t/d，处理能力完全能满足本项目废水的处理要求。</w:t>
      </w:r>
    </w:p>
    <w:p w14:paraId="60485840">
      <w:pPr>
        <w:pStyle w:val="230"/>
        <w:ind w:firstLine="480"/>
        <w:rPr>
          <w:lang w:eastAsia="zh-CN"/>
        </w:rPr>
      </w:pPr>
      <w:r>
        <w:rPr>
          <w:lang w:eastAsia="zh-CN"/>
        </w:rPr>
        <w:t>2、项目废水水质处理目标</w:t>
      </w:r>
    </w:p>
    <w:p w14:paraId="476B0F44">
      <w:pPr>
        <w:pStyle w:val="230"/>
        <w:ind w:firstLine="480"/>
        <w:jc w:val="both"/>
        <w:rPr>
          <w:lang w:eastAsia="zh-CN"/>
        </w:rPr>
      </w:pPr>
      <w:r>
        <w:rPr>
          <w:lang w:eastAsia="zh-CN"/>
        </w:rPr>
        <w:t>本项目废水处理工艺为“</w:t>
      </w:r>
      <w:r>
        <w:rPr>
          <w:rFonts w:hint="eastAsia"/>
          <w:bCs/>
          <w:szCs w:val="21"/>
          <w:lang w:eastAsia="zh-CN"/>
        </w:rPr>
        <w:t>调节池+预处理（格栅+澄清+沉淀）+CSTR（连续搅拌反应器系统）+AO</w:t>
      </w:r>
      <w:r>
        <w:rPr>
          <w:rFonts w:hint="eastAsia"/>
          <w:lang w:eastAsia="zh-CN"/>
        </w:rPr>
        <w:t>O</w:t>
      </w:r>
      <w:r>
        <w:rPr>
          <w:rFonts w:hint="eastAsia"/>
          <w:bCs/>
          <w:szCs w:val="21"/>
          <w:lang w:eastAsia="zh-CN"/>
        </w:rPr>
        <w:t>（一级厌氧、一级好氧、二级好氧）+加药除磷</w:t>
      </w:r>
      <w:r>
        <w:rPr>
          <w:lang w:eastAsia="zh-CN"/>
        </w:rPr>
        <w:t>”</w:t>
      </w:r>
      <w:r>
        <w:rPr>
          <w:rFonts w:hint="eastAsia"/>
          <w:lang w:eastAsia="zh-CN"/>
        </w:rPr>
        <w:t>处理</w:t>
      </w:r>
      <w:r>
        <w:rPr>
          <w:lang w:eastAsia="zh-CN"/>
        </w:rPr>
        <w:t>。本项目废水经污水处理设施处理后，各污染因子达到《城市污水再生利用城市杂用水水质》（GB/T 18920-2020）标准后</w:t>
      </w:r>
      <w:r>
        <w:rPr>
          <w:rFonts w:hint="eastAsia"/>
          <w:lang w:eastAsia="zh-CN"/>
        </w:rPr>
        <w:t>暂存于储水池</w:t>
      </w:r>
      <w:r>
        <w:rPr>
          <w:lang w:eastAsia="zh-CN"/>
        </w:rPr>
        <w:t>作于</w:t>
      </w:r>
      <w:r>
        <w:rPr>
          <w:rFonts w:hint="eastAsia"/>
          <w:lang w:eastAsia="zh-CN"/>
        </w:rPr>
        <w:t>厂区绿化、鸡舍冲洗、湿帘降温和洒水抑尘，</w:t>
      </w:r>
      <w:r>
        <w:rPr>
          <w:lang w:eastAsia="zh-CN"/>
        </w:rPr>
        <w:t>严禁污废水外排。</w:t>
      </w:r>
      <w:r>
        <w:rPr>
          <w:rFonts w:hint="eastAsia"/>
          <w:lang w:eastAsia="zh-CN"/>
        </w:rPr>
        <w:t>储水池</w:t>
      </w:r>
      <w:r>
        <w:rPr>
          <w:lang w:eastAsia="zh-CN"/>
        </w:rPr>
        <w:t>设计</w:t>
      </w:r>
      <w:r>
        <w:rPr>
          <w:rFonts w:hint="eastAsia"/>
          <w:lang w:eastAsia="zh-CN"/>
        </w:rPr>
        <w:t>10759</w:t>
      </w:r>
      <w:r>
        <w:rPr>
          <w:lang w:eastAsia="zh-CN"/>
        </w:rPr>
        <w:t>m</w:t>
      </w:r>
      <w:r>
        <w:rPr>
          <w:vertAlign w:val="superscript"/>
          <w:lang w:eastAsia="zh-CN"/>
        </w:rPr>
        <w:t>3</w:t>
      </w:r>
      <w:r>
        <w:rPr>
          <w:rFonts w:hint="eastAsia"/>
          <w:lang w:eastAsia="zh-CN"/>
        </w:rPr>
        <w:t>，本项目年产废水量约19963m</w:t>
      </w:r>
      <w:r>
        <w:rPr>
          <w:rFonts w:hint="eastAsia"/>
          <w:vertAlign w:val="superscript"/>
          <w:lang w:eastAsia="zh-CN"/>
        </w:rPr>
        <w:t>3</w:t>
      </w:r>
      <w:r>
        <w:rPr>
          <w:rFonts w:hint="eastAsia"/>
          <w:lang w:eastAsia="zh-CN"/>
        </w:rPr>
        <w:t>，储水池可满足暂存6</w:t>
      </w:r>
      <w:r>
        <w:rPr>
          <w:lang w:eastAsia="zh-CN"/>
        </w:rPr>
        <w:t>个月废水量，在对雨季和</w:t>
      </w:r>
      <w:r>
        <w:rPr>
          <w:rFonts w:hint="eastAsia"/>
          <w:lang w:eastAsia="zh-CN"/>
        </w:rPr>
        <w:t>冬季</w:t>
      </w:r>
      <w:r>
        <w:rPr>
          <w:lang w:eastAsia="zh-CN"/>
        </w:rPr>
        <w:t>使无法平衡的尾水排入</w:t>
      </w:r>
      <w:r>
        <w:rPr>
          <w:rFonts w:hint="eastAsia"/>
          <w:lang w:eastAsia="zh-CN"/>
        </w:rPr>
        <w:t>储水池暂存，不外排</w:t>
      </w:r>
      <w:r>
        <w:rPr>
          <w:lang w:eastAsia="zh-CN"/>
        </w:rPr>
        <w:t>。</w:t>
      </w:r>
      <w:r>
        <w:rPr>
          <w:rFonts w:hint="eastAsia"/>
          <w:lang w:eastAsia="zh-CN"/>
        </w:rPr>
        <w:t>污水处理设施进水水质及各工段预测处理效果见表7.2-3、表7.2-4。</w:t>
      </w:r>
    </w:p>
    <w:p w14:paraId="0D9573A6">
      <w:pPr>
        <w:pStyle w:val="104"/>
        <w:spacing w:line="240" w:lineRule="auto"/>
        <w:ind w:firstLine="0" w:firstLineChars="0"/>
        <w:jc w:val="center"/>
        <w:rPr>
          <w:b/>
          <w:bCs/>
        </w:rPr>
      </w:pPr>
    </w:p>
    <w:p w14:paraId="70DBC5C9">
      <w:pPr>
        <w:pStyle w:val="104"/>
        <w:spacing w:line="240" w:lineRule="auto"/>
        <w:ind w:firstLine="0" w:firstLineChars="0"/>
        <w:jc w:val="center"/>
      </w:pPr>
      <w:r>
        <w:rPr>
          <w:rFonts w:hint="eastAsia"/>
          <w:b/>
          <w:bCs/>
        </w:rPr>
        <w:t>表7.2-3 污水处理站进水水质指标</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588"/>
        <w:gridCol w:w="1612"/>
        <w:gridCol w:w="1331"/>
        <w:gridCol w:w="1899"/>
        <w:gridCol w:w="1362"/>
        <w:gridCol w:w="674"/>
      </w:tblGrid>
      <w:tr w14:paraId="23A8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92" w:type="dxa"/>
            <w:vAlign w:val="center"/>
          </w:tcPr>
          <w:p w14:paraId="4F193D63">
            <w:pPr>
              <w:spacing w:line="240" w:lineRule="auto"/>
              <w:ind w:firstLine="0" w:firstLineChars="0"/>
              <w:jc w:val="center"/>
              <w:rPr>
                <w:sz w:val="21"/>
                <w:szCs w:val="21"/>
              </w:rPr>
            </w:pPr>
            <w:r>
              <w:rPr>
                <w:sz w:val="21"/>
                <w:szCs w:val="21"/>
              </w:rPr>
              <w:t>水质指标</w:t>
            </w:r>
          </w:p>
        </w:tc>
        <w:tc>
          <w:tcPr>
            <w:tcW w:w="1588" w:type="dxa"/>
            <w:vAlign w:val="center"/>
          </w:tcPr>
          <w:p w14:paraId="08CB4CB7">
            <w:pPr>
              <w:spacing w:line="240" w:lineRule="auto"/>
              <w:ind w:firstLine="0" w:firstLineChars="0"/>
              <w:jc w:val="center"/>
              <w:rPr>
                <w:sz w:val="21"/>
                <w:szCs w:val="21"/>
              </w:rPr>
            </w:pPr>
            <w:r>
              <w:rPr>
                <w:sz w:val="21"/>
                <w:szCs w:val="21"/>
              </w:rPr>
              <w:t>COD（mg/L）</w:t>
            </w:r>
          </w:p>
        </w:tc>
        <w:tc>
          <w:tcPr>
            <w:tcW w:w="1612" w:type="dxa"/>
            <w:vAlign w:val="center"/>
          </w:tcPr>
          <w:p w14:paraId="58DD9951">
            <w:pPr>
              <w:spacing w:line="240" w:lineRule="auto"/>
              <w:ind w:firstLine="0" w:firstLineChars="0"/>
              <w:jc w:val="center"/>
              <w:rPr>
                <w:sz w:val="21"/>
                <w:szCs w:val="21"/>
              </w:rPr>
            </w:pPr>
            <w:r>
              <w:rPr>
                <w:sz w:val="21"/>
                <w:szCs w:val="21"/>
              </w:rPr>
              <w:t>BOD</w:t>
            </w:r>
            <w:r>
              <w:rPr>
                <w:sz w:val="21"/>
                <w:szCs w:val="21"/>
                <w:vertAlign w:val="subscript"/>
              </w:rPr>
              <w:t>5</w:t>
            </w:r>
            <w:r>
              <w:rPr>
                <w:sz w:val="21"/>
                <w:szCs w:val="21"/>
              </w:rPr>
              <w:t>（mg/L）</w:t>
            </w:r>
          </w:p>
        </w:tc>
        <w:tc>
          <w:tcPr>
            <w:tcW w:w="1331" w:type="dxa"/>
            <w:vAlign w:val="center"/>
          </w:tcPr>
          <w:p w14:paraId="19108442">
            <w:pPr>
              <w:spacing w:line="240" w:lineRule="auto"/>
              <w:ind w:firstLine="0" w:firstLineChars="0"/>
              <w:jc w:val="center"/>
              <w:rPr>
                <w:sz w:val="21"/>
                <w:szCs w:val="21"/>
              </w:rPr>
            </w:pPr>
            <w:r>
              <w:rPr>
                <w:rFonts w:hint="eastAsia"/>
                <w:sz w:val="21"/>
                <w:szCs w:val="21"/>
              </w:rPr>
              <w:t>SS</w:t>
            </w:r>
            <w:r>
              <w:rPr>
                <w:sz w:val="21"/>
                <w:szCs w:val="21"/>
              </w:rPr>
              <w:t>（mg/L）</w:t>
            </w:r>
          </w:p>
        </w:tc>
        <w:tc>
          <w:tcPr>
            <w:tcW w:w="1899" w:type="dxa"/>
            <w:vAlign w:val="center"/>
          </w:tcPr>
          <w:p w14:paraId="75F95986">
            <w:pPr>
              <w:spacing w:line="240" w:lineRule="auto"/>
              <w:ind w:firstLine="0" w:firstLineChars="0"/>
              <w:jc w:val="center"/>
              <w:rPr>
                <w:sz w:val="21"/>
                <w:szCs w:val="21"/>
              </w:rPr>
            </w:pPr>
            <w:r>
              <w:rPr>
                <w:sz w:val="21"/>
                <w:szCs w:val="21"/>
              </w:rPr>
              <w:t>NH</w:t>
            </w:r>
            <w:r>
              <w:rPr>
                <w:sz w:val="21"/>
                <w:szCs w:val="21"/>
                <w:vertAlign w:val="subscript"/>
              </w:rPr>
              <w:t>3</w:t>
            </w:r>
            <w:r>
              <w:rPr>
                <w:sz w:val="21"/>
                <w:szCs w:val="21"/>
              </w:rPr>
              <w:t>-N（mg/L）</w:t>
            </w:r>
          </w:p>
        </w:tc>
        <w:tc>
          <w:tcPr>
            <w:tcW w:w="1362" w:type="dxa"/>
            <w:vAlign w:val="center"/>
          </w:tcPr>
          <w:p w14:paraId="73B484B8">
            <w:pPr>
              <w:spacing w:line="240" w:lineRule="auto"/>
              <w:ind w:firstLine="0" w:firstLineChars="0"/>
              <w:jc w:val="center"/>
              <w:rPr>
                <w:sz w:val="21"/>
                <w:szCs w:val="21"/>
              </w:rPr>
            </w:pPr>
            <w:r>
              <w:rPr>
                <w:rFonts w:hint="eastAsia"/>
                <w:sz w:val="21"/>
                <w:szCs w:val="21"/>
              </w:rPr>
              <w:t>TP</w:t>
            </w:r>
            <w:r>
              <w:rPr>
                <w:sz w:val="21"/>
                <w:szCs w:val="21"/>
              </w:rPr>
              <w:t>（mg/L）</w:t>
            </w:r>
          </w:p>
        </w:tc>
        <w:tc>
          <w:tcPr>
            <w:tcW w:w="674" w:type="dxa"/>
            <w:vAlign w:val="center"/>
          </w:tcPr>
          <w:p w14:paraId="5EDB8B73">
            <w:pPr>
              <w:spacing w:line="240" w:lineRule="auto"/>
              <w:ind w:firstLine="0" w:firstLineChars="0"/>
              <w:jc w:val="center"/>
              <w:rPr>
                <w:sz w:val="21"/>
                <w:szCs w:val="21"/>
              </w:rPr>
            </w:pPr>
            <w:r>
              <w:rPr>
                <w:sz w:val="21"/>
                <w:szCs w:val="21"/>
              </w:rPr>
              <w:t>pH</w:t>
            </w:r>
          </w:p>
        </w:tc>
      </w:tr>
      <w:tr w14:paraId="4040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2" w:type="dxa"/>
            <w:vAlign w:val="center"/>
          </w:tcPr>
          <w:p w14:paraId="63FBCB7D">
            <w:pPr>
              <w:spacing w:line="240" w:lineRule="auto"/>
              <w:ind w:firstLine="0" w:firstLineChars="0"/>
              <w:jc w:val="center"/>
              <w:rPr>
                <w:sz w:val="21"/>
                <w:szCs w:val="21"/>
              </w:rPr>
            </w:pPr>
            <w:r>
              <w:rPr>
                <w:sz w:val="21"/>
                <w:szCs w:val="21"/>
              </w:rPr>
              <w:t>浓度</w:t>
            </w:r>
          </w:p>
        </w:tc>
        <w:tc>
          <w:tcPr>
            <w:tcW w:w="1588" w:type="dxa"/>
            <w:vAlign w:val="center"/>
          </w:tcPr>
          <w:p w14:paraId="49EB4BBB">
            <w:pPr>
              <w:spacing w:line="240" w:lineRule="auto"/>
              <w:ind w:firstLine="0" w:firstLineChars="0"/>
              <w:jc w:val="center"/>
              <w:rPr>
                <w:sz w:val="21"/>
                <w:szCs w:val="21"/>
              </w:rPr>
            </w:pPr>
            <w:r>
              <w:rPr>
                <w:sz w:val="21"/>
                <w:szCs w:val="21"/>
              </w:rPr>
              <w:t>2</w:t>
            </w:r>
            <w:r>
              <w:rPr>
                <w:rFonts w:hint="eastAsia"/>
                <w:sz w:val="21"/>
                <w:szCs w:val="21"/>
              </w:rPr>
              <w:t>0</w:t>
            </w:r>
            <w:r>
              <w:rPr>
                <w:sz w:val="21"/>
                <w:szCs w:val="21"/>
              </w:rPr>
              <w:t>00</w:t>
            </w:r>
          </w:p>
        </w:tc>
        <w:tc>
          <w:tcPr>
            <w:tcW w:w="1612" w:type="dxa"/>
            <w:vAlign w:val="center"/>
          </w:tcPr>
          <w:p w14:paraId="1781DCEE">
            <w:pPr>
              <w:spacing w:line="240" w:lineRule="auto"/>
              <w:ind w:firstLine="0" w:firstLineChars="0"/>
              <w:jc w:val="center"/>
              <w:rPr>
                <w:sz w:val="21"/>
                <w:szCs w:val="21"/>
              </w:rPr>
            </w:pPr>
            <w:r>
              <w:rPr>
                <w:rFonts w:hint="eastAsia"/>
                <w:sz w:val="21"/>
                <w:szCs w:val="21"/>
              </w:rPr>
              <w:t>1000</w:t>
            </w:r>
          </w:p>
        </w:tc>
        <w:tc>
          <w:tcPr>
            <w:tcW w:w="1331" w:type="dxa"/>
            <w:vAlign w:val="center"/>
          </w:tcPr>
          <w:p w14:paraId="79BC2758">
            <w:pPr>
              <w:spacing w:line="240" w:lineRule="auto"/>
              <w:ind w:firstLine="0" w:firstLineChars="0"/>
              <w:jc w:val="center"/>
              <w:rPr>
                <w:sz w:val="21"/>
                <w:szCs w:val="21"/>
              </w:rPr>
            </w:pPr>
            <w:r>
              <w:rPr>
                <w:rFonts w:hint="eastAsia"/>
                <w:sz w:val="21"/>
                <w:szCs w:val="21"/>
              </w:rPr>
              <w:t>400</w:t>
            </w:r>
          </w:p>
        </w:tc>
        <w:tc>
          <w:tcPr>
            <w:tcW w:w="1899" w:type="dxa"/>
            <w:vAlign w:val="center"/>
          </w:tcPr>
          <w:p w14:paraId="152CDD49">
            <w:pPr>
              <w:spacing w:line="240" w:lineRule="auto"/>
              <w:ind w:firstLine="0" w:firstLineChars="0"/>
              <w:jc w:val="center"/>
              <w:rPr>
                <w:sz w:val="21"/>
                <w:szCs w:val="21"/>
              </w:rPr>
            </w:pPr>
            <w:r>
              <w:rPr>
                <w:rFonts w:hint="eastAsia"/>
                <w:sz w:val="21"/>
                <w:szCs w:val="21"/>
              </w:rPr>
              <w:t>100</w:t>
            </w:r>
          </w:p>
        </w:tc>
        <w:tc>
          <w:tcPr>
            <w:tcW w:w="1362" w:type="dxa"/>
            <w:vAlign w:val="center"/>
          </w:tcPr>
          <w:p w14:paraId="07B811A4">
            <w:pPr>
              <w:spacing w:line="240" w:lineRule="auto"/>
              <w:ind w:firstLine="0" w:firstLineChars="0"/>
              <w:jc w:val="center"/>
              <w:rPr>
                <w:sz w:val="21"/>
                <w:szCs w:val="21"/>
              </w:rPr>
            </w:pPr>
            <w:r>
              <w:rPr>
                <w:rFonts w:hint="eastAsia"/>
                <w:sz w:val="21"/>
                <w:szCs w:val="21"/>
              </w:rPr>
              <w:t>40</w:t>
            </w:r>
          </w:p>
        </w:tc>
        <w:tc>
          <w:tcPr>
            <w:tcW w:w="674" w:type="dxa"/>
            <w:vAlign w:val="center"/>
          </w:tcPr>
          <w:p w14:paraId="2162509B">
            <w:pPr>
              <w:spacing w:line="240" w:lineRule="auto"/>
              <w:ind w:firstLine="0" w:firstLineChars="0"/>
              <w:jc w:val="center"/>
              <w:rPr>
                <w:sz w:val="21"/>
                <w:szCs w:val="21"/>
              </w:rPr>
            </w:pPr>
            <w:r>
              <w:rPr>
                <w:sz w:val="21"/>
                <w:szCs w:val="21"/>
              </w:rPr>
              <w:t>6</w:t>
            </w:r>
            <w:r>
              <w:rPr>
                <w:rFonts w:hint="eastAsia"/>
                <w:sz w:val="21"/>
                <w:szCs w:val="21"/>
              </w:rPr>
              <w:t>-9</w:t>
            </w:r>
          </w:p>
        </w:tc>
      </w:tr>
    </w:tbl>
    <w:p w14:paraId="54166811">
      <w:pPr>
        <w:pStyle w:val="104"/>
        <w:spacing w:line="240" w:lineRule="auto"/>
        <w:ind w:firstLine="0" w:firstLineChars="0"/>
        <w:jc w:val="center"/>
        <w:rPr>
          <w:b/>
          <w:bCs/>
        </w:rPr>
      </w:pPr>
      <w:r>
        <w:rPr>
          <w:rFonts w:hint="eastAsia"/>
          <w:b/>
          <w:bCs/>
        </w:rPr>
        <w:t>表7.2-4 污水处理站各工段处理效果预测一览表</w:t>
      </w:r>
    </w:p>
    <w:tbl>
      <w:tblPr>
        <w:tblStyle w:val="82"/>
        <w:tblW w:w="9462" w:type="dxa"/>
        <w:tblInd w:w="0" w:type="dxa"/>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
      <w:tblGrid>
        <w:gridCol w:w="1417"/>
        <w:gridCol w:w="1486"/>
        <w:gridCol w:w="1505"/>
        <w:gridCol w:w="1398"/>
        <w:gridCol w:w="1305"/>
        <w:gridCol w:w="1320"/>
        <w:gridCol w:w="1031"/>
      </w:tblGrid>
      <w:tr w14:paraId="05399918">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61" w:hRule="exact"/>
        </w:trPr>
        <w:tc>
          <w:tcPr>
            <w:tcW w:w="1417" w:type="dxa"/>
            <w:shd w:val="clear" w:color="auto" w:fill="auto"/>
            <w:vAlign w:val="center"/>
          </w:tcPr>
          <w:p w14:paraId="5C0B8194">
            <w:pPr>
              <w:pStyle w:val="104"/>
              <w:adjustRightInd w:val="0"/>
              <w:snapToGrid w:val="0"/>
              <w:spacing w:line="240" w:lineRule="auto"/>
              <w:ind w:firstLine="0" w:firstLineChars="0"/>
              <w:jc w:val="center"/>
              <w:rPr>
                <w:sz w:val="21"/>
                <w:szCs w:val="21"/>
              </w:rPr>
            </w:pPr>
            <w:r>
              <w:rPr>
                <w:sz w:val="21"/>
                <w:szCs w:val="21"/>
              </w:rPr>
              <w:t>工艺阶段</w:t>
            </w:r>
          </w:p>
        </w:tc>
        <w:tc>
          <w:tcPr>
            <w:tcW w:w="1486" w:type="dxa"/>
            <w:shd w:val="clear" w:color="auto" w:fill="auto"/>
            <w:vAlign w:val="center"/>
          </w:tcPr>
          <w:p w14:paraId="3F596B18">
            <w:pPr>
              <w:pStyle w:val="104"/>
              <w:adjustRightInd w:val="0"/>
              <w:snapToGrid w:val="0"/>
              <w:spacing w:line="240" w:lineRule="auto"/>
              <w:ind w:firstLine="0" w:firstLineChars="0"/>
              <w:jc w:val="center"/>
              <w:rPr>
                <w:sz w:val="21"/>
                <w:szCs w:val="21"/>
              </w:rPr>
            </w:pPr>
            <w:r>
              <w:rPr>
                <w:sz w:val="21"/>
                <w:szCs w:val="21"/>
              </w:rPr>
              <w:t>项目</w:t>
            </w:r>
          </w:p>
        </w:tc>
        <w:tc>
          <w:tcPr>
            <w:tcW w:w="1505" w:type="dxa"/>
            <w:shd w:val="clear" w:color="auto" w:fill="auto"/>
            <w:vAlign w:val="center"/>
          </w:tcPr>
          <w:p w14:paraId="1C9681AD">
            <w:pPr>
              <w:pStyle w:val="104"/>
              <w:adjustRightInd w:val="0"/>
              <w:snapToGrid w:val="0"/>
              <w:spacing w:line="240" w:lineRule="auto"/>
              <w:ind w:firstLine="0" w:firstLineChars="0"/>
              <w:jc w:val="center"/>
              <w:rPr>
                <w:sz w:val="21"/>
                <w:szCs w:val="21"/>
              </w:rPr>
            </w:pPr>
            <w:r>
              <w:rPr>
                <w:sz w:val="21"/>
                <w:szCs w:val="21"/>
              </w:rPr>
              <w:t>BOD（mg/L）</w:t>
            </w:r>
          </w:p>
        </w:tc>
        <w:tc>
          <w:tcPr>
            <w:tcW w:w="1398" w:type="dxa"/>
            <w:shd w:val="clear" w:color="auto" w:fill="auto"/>
            <w:vAlign w:val="center"/>
          </w:tcPr>
          <w:p w14:paraId="612D9538">
            <w:pPr>
              <w:pStyle w:val="104"/>
              <w:adjustRightInd w:val="0"/>
              <w:snapToGrid w:val="0"/>
              <w:spacing w:line="240" w:lineRule="auto"/>
              <w:ind w:firstLine="0" w:firstLineChars="0"/>
              <w:jc w:val="center"/>
              <w:rPr>
                <w:sz w:val="21"/>
                <w:szCs w:val="21"/>
              </w:rPr>
            </w:pPr>
            <w:r>
              <w:rPr>
                <w:sz w:val="21"/>
                <w:szCs w:val="21"/>
              </w:rPr>
              <w:t>氨氮（mg/L）</w:t>
            </w:r>
          </w:p>
        </w:tc>
        <w:tc>
          <w:tcPr>
            <w:tcW w:w="1305" w:type="dxa"/>
            <w:shd w:val="clear" w:color="auto" w:fill="auto"/>
            <w:vAlign w:val="center"/>
          </w:tcPr>
          <w:p w14:paraId="3BA9E4E2">
            <w:pPr>
              <w:pStyle w:val="104"/>
              <w:adjustRightInd w:val="0"/>
              <w:snapToGrid w:val="0"/>
              <w:spacing w:line="240" w:lineRule="auto"/>
              <w:ind w:firstLine="0" w:firstLineChars="0"/>
              <w:jc w:val="center"/>
              <w:rPr>
                <w:sz w:val="21"/>
                <w:szCs w:val="21"/>
              </w:rPr>
            </w:pPr>
            <w:r>
              <w:rPr>
                <w:sz w:val="21"/>
                <w:szCs w:val="21"/>
              </w:rPr>
              <w:t>TP（mg/L）</w:t>
            </w:r>
          </w:p>
        </w:tc>
        <w:tc>
          <w:tcPr>
            <w:tcW w:w="1320" w:type="dxa"/>
            <w:shd w:val="clear" w:color="auto" w:fill="auto"/>
            <w:vAlign w:val="center"/>
          </w:tcPr>
          <w:p w14:paraId="09600EAD">
            <w:pPr>
              <w:pStyle w:val="104"/>
              <w:adjustRightInd w:val="0"/>
              <w:snapToGrid w:val="0"/>
              <w:spacing w:line="240" w:lineRule="auto"/>
              <w:ind w:firstLine="0" w:firstLineChars="0"/>
              <w:jc w:val="center"/>
              <w:rPr>
                <w:sz w:val="21"/>
                <w:szCs w:val="21"/>
              </w:rPr>
            </w:pPr>
            <w:r>
              <w:rPr>
                <w:rFonts w:hint="eastAsia"/>
                <w:sz w:val="21"/>
                <w:szCs w:val="21"/>
              </w:rPr>
              <w:t>SS</w:t>
            </w:r>
            <w:r>
              <w:rPr>
                <w:sz w:val="21"/>
                <w:szCs w:val="21"/>
              </w:rPr>
              <w:t>（mg/L）</w:t>
            </w:r>
          </w:p>
        </w:tc>
        <w:tc>
          <w:tcPr>
            <w:tcW w:w="1031" w:type="dxa"/>
            <w:shd w:val="clear" w:color="auto" w:fill="auto"/>
            <w:vAlign w:val="center"/>
          </w:tcPr>
          <w:p w14:paraId="051CF32F">
            <w:pPr>
              <w:pStyle w:val="104"/>
              <w:adjustRightInd w:val="0"/>
              <w:snapToGrid w:val="0"/>
              <w:spacing w:line="240" w:lineRule="auto"/>
              <w:ind w:firstLine="0" w:firstLineChars="0"/>
              <w:jc w:val="center"/>
              <w:rPr>
                <w:sz w:val="21"/>
                <w:szCs w:val="21"/>
              </w:rPr>
            </w:pPr>
            <w:r>
              <w:rPr>
                <w:sz w:val="21"/>
                <w:szCs w:val="21"/>
              </w:rPr>
              <w:t>PH值</w:t>
            </w:r>
          </w:p>
        </w:tc>
      </w:tr>
      <w:tr w14:paraId="4509DBDE">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restart"/>
            <w:shd w:val="clear" w:color="auto" w:fill="auto"/>
            <w:vAlign w:val="center"/>
          </w:tcPr>
          <w:p w14:paraId="4B15B53D">
            <w:pPr>
              <w:pStyle w:val="104"/>
              <w:adjustRightInd w:val="0"/>
              <w:snapToGrid w:val="0"/>
              <w:spacing w:line="240" w:lineRule="auto"/>
              <w:ind w:firstLine="0" w:firstLineChars="0"/>
              <w:jc w:val="center"/>
              <w:rPr>
                <w:sz w:val="21"/>
                <w:szCs w:val="21"/>
              </w:rPr>
            </w:pPr>
            <w:r>
              <w:rPr>
                <w:sz w:val="21"/>
                <w:szCs w:val="21"/>
              </w:rPr>
              <w:t>预处理</w:t>
            </w:r>
          </w:p>
        </w:tc>
        <w:tc>
          <w:tcPr>
            <w:tcW w:w="1486" w:type="dxa"/>
            <w:shd w:val="clear" w:color="auto" w:fill="auto"/>
            <w:vAlign w:val="center"/>
          </w:tcPr>
          <w:p w14:paraId="6373EDAF">
            <w:pPr>
              <w:pStyle w:val="104"/>
              <w:adjustRightInd w:val="0"/>
              <w:snapToGrid w:val="0"/>
              <w:spacing w:line="240" w:lineRule="auto"/>
              <w:ind w:firstLine="0" w:firstLineChars="0"/>
              <w:jc w:val="center"/>
              <w:rPr>
                <w:sz w:val="21"/>
                <w:szCs w:val="21"/>
              </w:rPr>
            </w:pPr>
            <w:r>
              <w:rPr>
                <w:sz w:val="21"/>
                <w:szCs w:val="21"/>
              </w:rPr>
              <w:t>进水</w:t>
            </w:r>
          </w:p>
        </w:tc>
        <w:tc>
          <w:tcPr>
            <w:tcW w:w="1505" w:type="dxa"/>
            <w:shd w:val="clear" w:color="auto" w:fill="auto"/>
            <w:vAlign w:val="center"/>
          </w:tcPr>
          <w:p w14:paraId="0EAE70AB">
            <w:pPr>
              <w:pStyle w:val="104"/>
              <w:adjustRightInd w:val="0"/>
              <w:snapToGrid w:val="0"/>
              <w:spacing w:line="240" w:lineRule="auto"/>
              <w:ind w:firstLine="0" w:firstLineChars="0"/>
              <w:jc w:val="center"/>
              <w:rPr>
                <w:sz w:val="21"/>
                <w:szCs w:val="21"/>
              </w:rPr>
            </w:pPr>
            <w:r>
              <w:rPr>
                <w:sz w:val="21"/>
                <w:szCs w:val="21"/>
              </w:rPr>
              <w:t>1000</w:t>
            </w:r>
          </w:p>
        </w:tc>
        <w:tc>
          <w:tcPr>
            <w:tcW w:w="1398" w:type="dxa"/>
            <w:shd w:val="clear" w:color="auto" w:fill="auto"/>
            <w:vAlign w:val="center"/>
          </w:tcPr>
          <w:p w14:paraId="1000AB46">
            <w:pPr>
              <w:pStyle w:val="104"/>
              <w:adjustRightInd w:val="0"/>
              <w:snapToGrid w:val="0"/>
              <w:spacing w:line="240" w:lineRule="auto"/>
              <w:ind w:firstLine="0" w:firstLineChars="0"/>
              <w:jc w:val="center"/>
              <w:rPr>
                <w:sz w:val="21"/>
                <w:szCs w:val="21"/>
              </w:rPr>
            </w:pPr>
            <w:r>
              <w:rPr>
                <w:sz w:val="21"/>
                <w:szCs w:val="21"/>
              </w:rPr>
              <w:t>100</w:t>
            </w:r>
          </w:p>
        </w:tc>
        <w:tc>
          <w:tcPr>
            <w:tcW w:w="1305" w:type="dxa"/>
            <w:shd w:val="clear" w:color="auto" w:fill="auto"/>
            <w:vAlign w:val="center"/>
          </w:tcPr>
          <w:p w14:paraId="2C628811">
            <w:pPr>
              <w:pStyle w:val="104"/>
              <w:adjustRightInd w:val="0"/>
              <w:snapToGrid w:val="0"/>
              <w:spacing w:line="240" w:lineRule="auto"/>
              <w:ind w:firstLine="0" w:firstLineChars="0"/>
              <w:jc w:val="center"/>
              <w:rPr>
                <w:sz w:val="21"/>
                <w:szCs w:val="21"/>
              </w:rPr>
            </w:pPr>
            <w:r>
              <w:rPr>
                <w:sz w:val="21"/>
                <w:szCs w:val="21"/>
              </w:rPr>
              <w:t>40</w:t>
            </w:r>
          </w:p>
        </w:tc>
        <w:tc>
          <w:tcPr>
            <w:tcW w:w="1320" w:type="dxa"/>
            <w:shd w:val="clear" w:color="auto" w:fill="auto"/>
            <w:vAlign w:val="center"/>
          </w:tcPr>
          <w:p w14:paraId="27841AE5">
            <w:pPr>
              <w:pStyle w:val="104"/>
              <w:adjustRightInd w:val="0"/>
              <w:snapToGrid w:val="0"/>
              <w:spacing w:line="240" w:lineRule="auto"/>
              <w:ind w:firstLine="0" w:firstLineChars="0"/>
              <w:jc w:val="center"/>
              <w:rPr>
                <w:sz w:val="21"/>
                <w:szCs w:val="21"/>
              </w:rPr>
            </w:pPr>
            <w:r>
              <w:rPr>
                <w:sz w:val="21"/>
                <w:szCs w:val="21"/>
              </w:rPr>
              <w:t>400</w:t>
            </w:r>
          </w:p>
        </w:tc>
        <w:tc>
          <w:tcPr>
            <w:tcW w:w="1031" w:type="dxa"/>
            <w:shd w:val="clear" w:color="auto" w:fill="auto"/>
            <w:vAlign w:val="center"/>
          </w:tcPr>
          <w:p w14:paraId="4917B6D2">
            <w:pPr>
              <w:pStyle w:val="104"/>
              <w:adjustRightInd w:val="0"/>
              <w:snapToGrid w:val="0"/>
              <w:spacing w:line="240" w:lineRule="auto"/>
              <w:ind w:firstLine="0" w:firstLineChars="0"/>
              <w:jc w:val="center"/>
              <w:rPr>
                <w:sz w:val="21"/>
                <w:szCs w:val="21"/>
              </w:rPr>
            </w:pPr>
            <w:r>
              <w:rPr>
                <w:sz w:val="21"/>
                <w:szCs w:val="21"/>
              </w:rPr>
              <w:t>6-9</w:t>
            </w:r>
          </w:p>
        </w:tc>
      </w:tr>
      <w:tr w14:paraId="318F624B">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6BD799C3">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6B8B9882">
            <w:pPr>
              <w:pStyle w:val="104"/>
              <w:adjustRightInd w:val="0"/>
              <w:snapToGrid w:val="0"/>
              <w:spacing w:line="240" w:lineRule="auto"/>
              <w:ind w:firstLine="0" w:firstLineChars="0"/>
              <w:jc w:val="center"/>
              <w:rPr>
                <w:sz w:val="21"/>
                <w:szCs w:val="21"/>
              </w:rPr>
            </w:pPr>
            <w:r>
              <w:rPr>
                <w:sz w:val="21"/>
                <w:szCs w:val="21"/>
              </w:rPr>
              <w:t>出水</w:t>
            </w:r>
          </w:p>
        </w:tc>
        <w:tc>
          <w:tcPr>
            <w:tcW w:w="1505" w:type="dxa"/>
            <w:shd w:val="clear" w:color="auto" w:fill="auto"/>
            <w:vAlign w:val="center"/>
          </w:tcPr>
          <w:p w14:paraId="333A7329">
            <w:pPr>
              <w:pStyle w:val="104"/>
              <w:adjustRightInd w:val="0"/>
              <w:snapToGrid w:val="0"/>
              <w:spacing w:line="240" w:lineRule="auto"/>
              <w:ind w:firstLine="0" w:firstLineChars="0"/>
              <w:jc w:val="center"/>
              <w:rPr>
                <w:sz w:val="21"/>
                <w:szCs w:val="21"/>
              </w:rPr>
            </w:pPr>
            <w:r>
              <w:rPr>
                <w:sz w:val="21"/>
                <w:szCs w:val="21"/>
              </w:rPr>
              <w:t>700</w:t>
            </w:r>
          </w:p>
        </w:tc>
        <w:tc>
          <w:tcPr>
            <w:tcW w:w="1398" w:type="dxa"/>
            <w:shd w:val="clear" w:color="auto" w:fill="auto"/>
            <w:vAlign w:val="center"/>
          </w:tcPr>
          <w:p w14:paraId="30E90BA6">
            <w:pPr>
              <w:pStyle w:val="104"/>
              <w:adjustRightInd w:val="0"/>
              <w:snapToGrid w:val="0"/>
              <w:spacing w:line="240" w:lineRule="auto"/>
              <w:ind w:firstLine="0" w:firstLineChars="0"/>
              <w:jc w:val="center"/>
              <w:rPr>
                <w:sz w:val="21"/>
                <w:szCs w:val="21"/>
              </w:rPr>
            </w:pPr>
            <w:r>
              <w:rPr>
                <w:sz w:val="21"/>
                <w:szCs w:val="21"/>
              </w:rPr>
              <w:t>90</w:t>
            </w:r>
          </w:p>
        </w:tc>
        <w:tc>
          <w:tcPr>
            <w:tcW w:w="1305" w:type="dxa"/>
            <w:shd w:val="clear" w:color="auto" w:fill="auto"/>
            <w:vAlign w:val="center"/>
          </w:tcPr>
          <w:p w14:paraId="75F5DAF2">
            <w:pPr>
              <w:pStyle w:val="104"/>
              <w:adjustRightInd w:val="0"/>
              <w:snapToGrid w:val="0"/>
              <w:spacing w:line="240" w:lineRule="auto"/>
              <w:ind w:firstLine="0" w:firstLineChars="0"/>
              <w:jc w:val="center"/>
              <w:rPr>
                <w:sz w:val="21"/>
                <w:szCs w:val="21"/>
              </w:rPr>
            </w:pPr>
            <w:r>
              <w:rPr>
                <w:sz w:val="21"/>
                <w:szCs w:val="21"/>
              </w:rPr>
              <w:t>36</w:t>
            </w:r>
          </w:p>
        </w:tc>
        <w:tc>
          <w:tcPr>
            <w:tcW w:w="1320" w:type="dxa"/>
            <w:shd w:val="clear" w:color="auto" w:fill="auto"/>
            <w:vAlign w:val="center"/>
          </w:tcPr>
          <w:p w14:paraId="21CCD5C0">
            <w:pPr>
              <w:pStyle w:val="104"/>
              <w:adjustRightInd w:val="0"/>
              <w:snapToGrid w:val="0"/>
              <w:spacing w:line="240" w:lineRule="auto"/>
              <w:ind w:firstLine="0" w:firstLineChars="0"/>
              <w:jc w:val="center"/>
              <w:rPr>
                <w:sz w:val="21"/>
                <w:szCs w:val="21"/>
              </w:rPr>
            </w:pPr>
            <w:r>
              <w:rPr>
                <w:sz w:val="21"/>
                <w:szCs w:val="21"/>
              </w:rPr>
              <w:t>280</w:t>
            </w:r>
          </w:p>
        </w:tc>
        <w:tc>
          <w:tcPr>
            <w:tcW w:w="1031" w:type="dxa"/>
            <w:shd w:val="clear" w:color="auto" w:fill="auto"/>
            <w:vAlign w:val="center"/>
          </w:tcPr>
          <w:p w14:paraId="380521F5">
            <w:pPr>
              <w:pStyle w:val="104"/>
              <w:adjustRightInd w:val="0"/>
              <w:snapToGrid w:val="0"/>
              <w:spacing w:line="240" w:lineRule="auto"/>
              <w:ind w:firstLine="0" w:firstLineChars="0"/>
              <w:jc w:val="center"/>
              <w:rPr>
                <w:sz w:val="21"/>
                <w:szCs w:val="21"/>
              </w:rPr>
            </w:pPr>
            <w:r>
              <w:rPr>
                <w:sz w:val="21"/>
                <w:szCs w:val="21"/>
              </w:rPr>
              <w:t>6-9</w:t>
            </w:r>
          </w:p>
        </w:tc>
      </w:tr>
      <w:tr w14:paraId="72E3F53E">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25F56E8C">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77196D08">
            <w:pPr>
              <w:pStyle w:val="104"/>
              <w:adjustRightInd w:val="0"/>
              <w:snapToGrid w:val="0"/>
              <w:spacing w:line="240" w:lineRule="auto"/>
              <w:ind w:firstLine="0" w:firstLineChars="0"/>
              <w:jc w:val="center"/>
              <w:rPr>
                <w:sz w:val="21"/>
                <w:szCs w:val="21"/>
              </w:rPr>
            </w:pPr>
            <w:r>
              <w:rPr>
                <w:sz w:val="21"/>
                <w:szCs w:val="21"/>
              </w:rPr>
              <w:t>去除率</w:t>
            </w:r>
          </w:p>
        </w:tc>
        <w:tc>
          <w:tcPr>
            <w:tcW w:w="1505" w:type="dxa"/>
            <w:shd w:val="clear" w:color="auto" w:fill="auto"/>
            <w:vAlign w:val="center"/>
          </w:tcPr>
          <w:p w14:paraId="35F34396">
            <w:pPr>
              <w:pStyle w:val="104"/>
              <w:adjustRightInd w:val="0"/>
              <w:snapToGrid w:val="0"/>
              <w:spacing w:line="240" w:lineRule="auto"/>
              <w:ind w:firstLine="0" w:firstLineChars="0"/>
              <w:jc w:val="center"/>
              <w:rPr>
                <w:sz w:val="21"/>
                <w:szCs w:val="21"/>
              </w:rPr>
            </w:pPr>
            <w:r>
              <w:rPr>
                <w:sz w:val="21"/>
                <w:szCs w:val="21"/>
              </w:rPr>
              <w:t>30%</w:t>
            </w:r>
          </w:p>
        </w:tc>
        <w:tc>
          <w:tcPr>
            <w:tcW w:w="1398" w:type="dxa"/>
            <w:shd w:val="clear" w:color="auto" w:fill="auto"/>
            <w:vAlign w:val="center"/>
          </w:tcPr>
          <w:p w14:paraId="5FAC2E86">
            <w:pPr>
              <w:pStyle w:val="104"/>
              <w:adjustRightInd w:val="0"/>
              <w:snapToGrid w:val="0"/>
              <w:spacing w:line="240" w:lineRule="auto"/>
              <w:ind w:firstLine="0" w:firstLineChars="0"/>
              <w:jc w:val="center"/>
              <w:rPr>
                <w:sz w:val="21"/>
                <w:szCs w:val="21"/>
              </w:rPr>
            </w:pPr>
            <w:r>
              <w:rPr>
                <w:sz w:val="21"/>
                <w:szCs w:val="21"/>
              </w:rPr>
              <w:t>10%</w:t>
            </w:r>
          </w:p>
        </w:tc>
        <w:tc>
          <w:tcPr>
            <w:tcW w:w="1305" w:type="dxa"/>
            <w:shd w:val="clear" w:color="auto" w:fill="auto"/>
            <w:vAlign w:val="center"/>
          </w:tcPr>
          <w:p w14:paraId="3CAFF880">
            <w:pPr>
              <w:pStyle w:val="104"/>
              <w:adjustRightInd w:val="0"/>
              <w:snapToGrid w:val="0"/>
              <w:spacing w:line="240" w:lineRule="auto"/>
              <w:ind w:firstLine="0" w:firstLineChars="0"/>
              <w:jc w:val="center"/>
              <w:rPr>
                <w:sz w:val="21"/>
                <w:szCs w:val="21"/>
              </w:rPr>
            </w:pPr>
            <w:r>
              <w:rPr>
                <w:sz w:val="21"/>
                <w:szCs w:val="21"/>
              </w:rPr>
              <w:t>10%</w:t>
            </w:r>
          </w:p>
        </w:tc>
        <w:tc>
          <w:tcPr>
            <w:tcW w:w="1320" w:type="dxa"/>
            <w:shd w:val="clear" w:color="auto" w:fill="auto"/>
            <w:vAlign w:val="center"/>
          </w:tcPr>
          <w:p w14:paraId="23BD1933">
            <w:pPr>
              <w:pStyle w:val="104"/>
              <w:adjustRightInd w:val="0"/>
              <w:snapToGrid w:val="0"/>
              <w:spacing w:line="240" w:lineRule="auto"/>
              <w:ind w:firstLine="0" w:firstLineChars="0"/>
              <w:jc w:val="center"/>
              <w:rPr>
                <w:sz w:val="21"/>
                <w:szCs w:val="21"/>
              </w:rPr>
            </w:pPr>
            <w:r>
              <w:rPr>
                <w:sz w:val="21"/>
                <w:szCs w:val="21"/>
              </w:rPr>
              <w:t>30%</w:t>
            </w:r>
          </w:p>
        </w:tc>
        <w:tc>
          <w:tcPr>
            <w:tcW w:w="1031" w:type="dxa"/>
            <w:shd w:val="clear" w:color="auto" w:fill="auto"/>
            <w:vAlign w:val="center"/>
          </w:tcPr>
          <w:p w14:paraId="0B57C493">
            <w:pPr>
              <w:pStyle w:val="104"/>
              <w:adjustRightInd w:val="0"/>
              <w:snapToGrid w:val="0"/>
              <w:spacing w:line="240" w:lineRule="auto"/>
              <w:ind w:firstLine="0" w:firstLineChars="0"/>
              <w:jc w:val="center"/>
              <w:rPr>
                <w:sz w:val="21"/>
                <w:szCs w:val="21"/>
              </w:rPr>
            </w:pPr>
            <w:r>
              <w:rPr>
                <w:rFonts w:hint="eastAsia"/>
                <w:sz w:val="21"/>
                <w:szCs w:val="21"/>
              </w:rPr>
              <w:t>/</w:t>
            </w:r>
          </w:p>
        </w:tc>
      </w:tr>
      <w:tr w14:paraId="350BBCBB">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restart"/>
            <w:shd w:val="clear" w:color="auto" w:fill="auto"/>
            <w:vAlign w:val="center"/>
          </w:tcPr>
          <w:p w14:paraId="3D30B9F7">
            <w:pPr>
              <w:pStyle w:val="104"/>
              <w:adjustRightInd w:val="0"/>
              <w:snapToGrid w:val="0"/>
              <w:spacing w:line="240" w:lineRule="auto"/>
              <w:ind w:firstLine="0" w:firstLineChars="0"/>
              <w:jc w:val="center"/>
              <w:rPr>
                <w:sz w:val="21"/>
                <w:szCs w:val="21"/>
              </w:rPr>
            </w:pPr>
            <w:r>
              <w:rPr>
                <w:sz w:val="21"/>
                <w:szCs w:val="21"/>
              </w:rPr>
              <w:t>CSTR</w:t>
            </w:r>
          </w:p>
        </w:tc>
        <w:tc>
          <w:tcPr>
            <w:tcW w:w="1486" w:type="dxa"/>
            <w:shd w:val="clear" w:color="auto" w:fill="auto"/>
            <w:vAlign w:val="center"/>
          </w:tcPr>
          <w:p w14:paraId="5B2872D7">
            <w:pPr>
              <w:pStyle w:val="104"/>
              <w:adjustRightInd w:val="0"/>
              <w:snapToGrid w:val="0"/>
              <w:spacing w:line="240" w:lineRule="auto"/>
              <w:ind w:firstLine="0" w:firstLineChars="0"/>
              <w:jc w:val="center"/>
              <w:rPr>
                <w:sz w:val="21"/>
                <w:szCs w:val="21"/>
              </w:rPr>
            </w:pPr>
            <w:r>
              <w:rPr>
                <w:sz w:val="21"/>
                <w:szCs w:val="21"/>
              </w:rPr>
              <w:t>进水</w:t>
            </w:r>
          </w:p>
        </w:tc>
        <w:tc>
          <w:tcPr>
            <w:tcW w:w="1505" w:type="dxa"/>
            <w:shd w:val="clear" w:color="auto" w:fill="auto"/>
            <w:vAlign w:val="center"/>
          </w:tcPr>
          <w:p w14:paraId="4424A4C9">
            <w:pPr>
              <w:pStyle w:val="104"/>
              <w:adjustRightInd w:val="0"/>
              <w:snapToGrid w:val="0"/>
              <w:spacing w:line="240" w:lineRule="auto"/>
              <w:ind w:firstLine="0" w:firstLineChars="0"/>
              <w:jc w:val="center"/>
              <w:rPr>
                <w:sz w:val="21"/>
                <w:szCs w:val="21"/>
              </w:rPr>
            </w:pPr>
            <w:r>
              <w:rPr>
                <w:sz w:val="21"/>
                <w:szCs w:val="21"/>
              </w:rPr>
              <w:t>700</w:t>
            </w:r>
          </w:p>
        </w:tc>
        <w:tc>
          <w:tcPr>
            <w:tcW w:w="1398" w:type="dxa"/>
            <w:shd w:val="clear" w:color="auto" w:fill="auto"/>
            <w:vAlign w:val="center"/>
          </w:tcPr>
          <w:p w14:paraId="00059DE2">
            <w:pPr>
              <w:pStyle w:val="104"/>
              <w:adjustRightInd w:val="0"/>
              <w:snapToGrid w:val="0"/>
              <w:spacing w:line="240" w:lineRule="auto"/>
              <w:ind w:firstLine="0" w:firstLineChars="0"/>
              <w:jc w:val="center"/>
              <w:rPr>
                <w:sz w:val="21"/>
                <w:szCs w:val="21"/>
              </w:rPr>
            </w:pPr>
            <w:r>
              <w:rPr>
                <w:sz w:val="21"/>
                <w:szCs w:val="21"/>
              </w:rPr>
              <w:t>90</w:t>
            </w:r>
          </w:p>
        </w:tc>
        <w:tc>
          <w:tcPr>
            <w:tcW w:w="1305" w:type="dxa"/>
            <w:shd w:val="clear" w:color="auto" w:fill="auto"/>
            <w:vAlign w:val="center"/>
          </w:tcPr>
          <w:p w14:paraId="767B08A6">
            <w:pPr>
              <w:pStyle w:val="104"/>
              <w:adjustRightInd w:val="0"/>
              <w:snapToGrid w:val="0"/>
              <w:spacing w:line="240" w:lineRule="auto"/>
              <w:ind w:firstLine="0" w:firstLineChars="0"/>
              <w:jc w:val="center"/>
              <w:rPr>
                <w:sz w:val="21"/>
                <w:szCs w:val="21"/>
              </w:rPr>
            </w:pPr>
            <w:r>
              <w:rPr>
                <w:sz w:val="21"/>
                <w:szCs w:val="21"/>
              </w:rPr>
              <w:t>36</w:t>
            </w:r>
          </w:p>
        </w:tc>
        <w:tc>
          <w:tcPr>
            <w:tcW w:w="1320" w:type="dxa"/>
            <w:shd w:val="clear" w:color="auto" w:fill="auto"/>
            <w:vAlign w:val="center"/>
          </w:tcPr>
          <w:p w14:paraId="2D6E10A9">
            <w:pPr>
              <w:pStyle w:val="104"/>
              <w:adjustRightInd w:val="0"/>
              <w:snapToGrid w:val="0"/>
              <w:spacing w:line="240" w:lineRule="auto"/>
              <w:ind w:firstLine="0" w:firstLineChars="0"/>
              <w:jc w:val="center"/>
              <w:rPr>
                <w:sz w:val="21"/>
                <w:szCs w:val="21"/>
              </w:rPr>
            </w:pPr>
            <w:r>
              <w:rPr>
                <w:sz w:val="21"/>
                <w:szCs w:val="21"/>
              </w:rPr>
              <w:t>280</w:t>
            </w:r>
          </w:p>
        </w:tc>
        <w:tc>
          <w:tcPr>
            <w:tcW w:w="1031" w:type="dxa"/>
            <w:shd w:val="clear" w:color="auto" w:fill="auto"/>
            <w:vAlign w:val="center"/>
          </w:tcPr>
          <w:p w14:paraId="57D109B1">
            <w:pPr>
              <w:pStyle w:val="104"/>
              <w:adjustRightInd w:val="0"/>
              <w:snapToGrid w:val="0"/>
              <w:spacing w:line="240" w:lineRule="auto"/>
              <w:ind w:firstLine="0" w:firstLineChars="0"/>
              <w:jc w:val="center"/>
              <w:rPr>
                <w:sz w:val="21"/>
                <w:szCs w:val="21"/>
              </w:rPr>
            </w:pPr>
            <w:r>
              <w:rPr>
                <w:sz w:val="21"/>
                <w:szCs w:val="21"/>
              </w:rPr>
              <w:t>6-9</w:t>
            </w:r>
          </w:p>
        </w:tc>
      </w:tr>
      <w:tr w14:paraId="594B1C55">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272B175D">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4CD4C4EA">
            <w:pPr>
              <w:pStyle w:val="104"/>
              <w:adjustRightInd w:val="0"/>
              <w:snapToGrid w:val="0"/>
              <w:spacing w:line="240" w:lineRule="auto"/>
              <w:ind w:firstLine="0" w:firstLineChars="0"/>
              <w:jc w:val="center"/>
              <w:rPr>
                <w:sz w:val="21"/>
                <w:szCs w:val="21"/>
              </w:rPr>
            </w:pPr>
            <w:r>
              <w:rPr>
                <w:sz w:val="21"/>
                <w:szCs w:val="21"/>
              </w:rPr>
              <w:t>出水</w:t>
            </w:r>
          </w:p>
        </w:tc>
        <w:tc>
          <w:tcPr>
            <w:tcW w:w="1505" w:type="dxa"/>
            <w:shd w:val="clear" w:color="auto" w:fill="auto"/>
            <w:vAlign w:val="center"/>
          </w:tcPr>
          <w:p w14:paraId="47F932F8">
            <w:pPr>
              <w:pStyle w:val="104"/>
              <w:adjustRightInd w:val="0"/>
              <w:snapToGrid w:val="0"/>
              <w:spacing w:line="240" w:lineRule="auto"/>
              <w:ind w:firstLine="0" w:firstLineChars="0"/>
              <w:jc w:val="center"/>
              <w:rPr>
                <w:sz w:val="21"/>
                <w:szCs w:val="21"/>
              </w:rPr>
            </w:pPr>
            <w:r>
              <w:rPr>
                <w:sz w:val="21"/>
                <w:szCs w:val="21"/>
              </w:rPr>
              <w:t>280</w:t>
            </w:r>
          </w:p>
        </w:tc>
        <w:tc>
          <w:tcPr>
            <w:tcW w:w="1398" w:type="dxa"/>
            <w:shd w:val="clear" w:color="auto" w:fill="auto"/>
            <w:vAlign w:val="center"/>
          </w:tcPr>
          <w:p w14:paraId="27AC7B86">
            <w:pPr>
              <w:pStyle w:val="104"/>
              <w:adjustRightInd w:val="0"/>
              <w:snapToGrid w:val="0"/>
              <w:spacing w:line="240" w:lineRule="auto"/>
              <w:ind w:firstLine="0" w:firstLineChars="0"/>
              <w:jc w:val="center"/>
              <w:rPr>
                <w:sz w:val="21"/>
                <w:szCs w:val="21"/>
              </w:rPr>
            </w:pPr>
            <w:r>
              <w:rPr>
                <w:sz w:val="21"/>
                <w:szCs w:val="21"/>
              </w:rPr>
              <w:t>70</w:t>
            </w:r>
          </w:p>
        </w:tc>
        <w:tc>
          <w:tcPr>
            <w:tcW w:w="1305" w:type="dxa"/>
            <w:shd w:val="clear" w:color="auto" w:fill="auto"/>
            <w:vAlign w:val="center"/>
          </w:tcPr>
          <w:p w14:paraId="030DAEDB">
            <w:pPr>
              <w:pStyle w:val="104"/>
              <w:adjustRightInd w:val="0"/>
              <w:snapToGrid w:val="0"/>
              <w:spacing w:line="240" w:lineRule="auto"/>
              <w:ind w:firstLine="0" w:firstLineChars="0"/>
              <w:jc w:val="center"/>
              <w:rPr>
                <w:sz w:val="21"/>
                <w:szCs w:val="21"/>
              </w:rPr>
            </w:pPr>
            <w:r>
              <w:rPr>
                <w:sz w:val="21"/>
                <w:szCs w:val="21"/>
              </w:rPr>
              <w:t>25</w:t>
            </w:r>
          </w:p>
        </w:tc>
        <w:tc>
          <w:tcPr>
            <w:tcW w:w="1320" w:type="dxa"/>
            <w:shd w:val="clear" w:color="auto" w:fill="auto"/>
            <w:vAlign w:val="center"/>
          </w:tcPr>
          <w:p w14:paraId="541F4796">
            <w:pPr>
              <w:pStyle w:val="104"/>
              <w:adjustRightInd w:val="0"/>
              <w:snapToGrid w:val="0"/>
              <w:spacing w:line="240" w:lineRule="auto"/>
              <w:ind w:firstLine="0" w:firstLineChars="0"/>
              <w:jc w:val="center"/>
              <w:rPr>
                <w:sz w:val="21"/>
                <w:szCs w:val="21"/>
              </w:rPr>
            </w:pPr>
            <w:r>
              <w:rPr>
                <w:sz w:val="21"/>
                <w:szCs w:val="21"/>
              </w:rPr>
              <w:t>150</w:t>
            </w:r>
          </w:p>
        </w:tc>
        <w:tc>
          <w:tcPr>
            <w:tcW w:w="1031" w:type="dxa"/>
            <w:shd w:val="clear" w:color="auto" w:fill="auto"/>
            <w:vAlign w:val="center"/>
          </w:tcPr>
          <w:p w14:paraId="0A34C3CA">
            <w:pPr>
              <w:pStyle w:val="104"/>
              <w:adjustRightInd w:val="0"/>
              <w:snapToGrid w:val="0"/>
              <w:spacing w:line="240" w:lineRule="auto"/>
              <w:ind w:firstLine="0" w:firstLineChars="0"/>
              <w:jc w:val="center"/>
              <w:rPr>
                <w:sz w:val="21"/>
                <w:szCs w:val="21"/>
              </w:rPr>
            </w:pPr>
            <w:r>
              <w:rPr>
                <w:sz w:val="21"/>
                <w:szCs w:val="21"/>
              </w:rPr>
              <w:t>6-9</w:t>
            </w:r>
          </w:p>
        </w:tc>
      </w:tr>
      <w:tr w14:paraId="2D615EC8">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05C2AF88">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599DF5A0">
            <w:pPr>
              <w:pStyle w:val="104"/>
              <w:adjustRightInd w:val="0"/>
              <w:snapToGrid w:val="0"/>
              <w:spacing w:line="240" w:lineRule="auto"/>
              <w:ind w:firstLine="0" w:firstLineChars="0"/>
              <w:jc w:val="center"/>
              <w:rPr>
                <w:sz w:val="21"/>
                <w:szCs w:val="21"/>
              </w:rPr>
            </w:pPr>
            <w:r>
              <w:rPr>
                <w:sz w:val="21"/>
                <w:szCs w:val="21"/>
              </w:rPr>
              <w:t>去除率</w:t>
            </w:r>
          </w:p>
        </w:tc>
        <w:tc>
          <w:tcPr>
            <w:tcW w:w="1505" w:type="dxa"/>
            <w:shd w:val="clear" w:color="auto" w:fill="auto"/>
            <w:vAlign w:val="center"/>
          </w:tcPr>
          <w:p w14:paraId="10E2286B">
            <w:pPr>
              <w:pStyle w:val="104"/>
              <w:adjustRightInd w:val="0"/>
              <w:snapToGrid w:val="0"/>
              <w:spacing w:line="240" w:lineRule="auto"/>
              <w:ind w:firstLine="0" w:firstLineChars="0"/>
              <w:jc w:val="center"/>
              <w:rPr>
                <w:sz w:val="21"/>
                <w:szCs w:val="21"/>
              </w:rPr>
            </w:pPr>
            <w:r>
              <w:rPr>
                <w:sz w:val="21"/>
                <w:szCs w:val="21"/>
              </w:rPr>
              <w:t>60%</w:t>
            </w:r>
          </w:p>
        </w:tc>
        <w:tc>
          <w:tcPr>
            <w:tcW w:w="1398" w:type="dxa"/>
            <w:shd w:val="clear" w:color="auto" w:fill="auto"/>
            <w:vAlign w:val="center"/>
          </w:tcPr>
          <w:p w14:paraId="61386412">
            <w:pPr>
              <w:pStyle w:val="104"/>
              <w:adjustRightInd w:val="0"/>
              <w:snapToGrid w:val="0"/>
              <w:spacing w:line="240" w:lineRule="auto"/>
              <w:ind w:firstLine="0" w:firstLineChars="0"/>
              <w:jc w:val="center"/>
              <w:rPr>
                <w:sz w:val="21"/>
                <w:szCs w:val="21"/>
              </w:rPr>
            </w:pPr>
            <w:r>
              <w:rPr>
                <w:sz w:val="21"/>
                <w:szCs w:val="21"/>
              </w:rPr>
              <w:t>22.2%</w:t>
            </w:r>
          </w:p>
        </w:tc>
        <w:tc>
          <w:tcPr>
            <w:tcW w:w="1305" w:type="dxa"/>
            <w:shd w:val="clear" w:color="auto" w:fill="auto"/>
            <w:vAlign w:val="center"/>
          </w:tcPr>
          <w:p w14:paraId="3149849A">
            <w:pPr>
              <w:pStyle w:val="104"/>
              <w:adjustRightInd w:val="0"/>
              <w:snapToGrid w:val="0"/>
              <w:spacing w:line="240" w:lineRule="auto"/>
              <w:ind w:firstLine="0" w:firstLineChars="0"/>
              <w:jc w:val="center"/>
              <w:rPr>
                <w:sz w:val="21"/>
                <w:szCs w:val="21"/>
              </w:rPr>
            </w:pPr>
            <w:r>
              <w:rPr>
                <w:sz w:val="21"/>
                <w:szCs w:val="21"/>
              </w:rPr>
              <w:t>30.6%</w:t>
            </w:r>
          </w:p>
        </w:tc>
        <w:tc>
          <w:tcPr>
            <w:tcW w:w="1320" w:type="dxa"/>
            <w:shd w:val="clear" w:color="auto" w:fill="auto"/>
            <w:vAlign w:val="center"/>
          </w:tcPr>
          <w:p w14:paraId="670C650D">
            <w:pPr>
              <w:pStyle w:val="104"/>
              <w:adjustRightInd w:val="0"/>
              <w:snapToGrid w:val="0"/>
              <w:spacing w:line="240" w:lineRule="auto"/>
              <w:ind w:firstLine="0" w:firstLineChars="0"/>
              <w:jc w:val="center"/>
              <w:rPr>
                <w:sz w:val="21"/>
                <w:szCs w:val="21"/>
              </w:rPr>
            </w:pPr>
            <w:r>
              <w:rPr>
                <w:sz w:val="21"/>
                <w:szCs w:val="21"/>
              </w:rPr>
              <w:t>65.8%</w:t>
            </w:r>
          </w:p>
        </w:tc>
        <w:tc>
          <w:tcPr>
            <w:tcW w:w="1031" w:type="dxa"/>
            <w:shd w:val="clear" w:color="auto" w:fill="auto"/>
            <w:vAlign w:val="center"/>
          </w:tcPr>
          <w:p w14:paraId="37B6DE09">
            <w:pPr>
              <w:pStyle w:val="104"/>
              <w:adjustRightInd w:val="0"/>
              <w:snapToGrid w:val="0"/>
              <w:spacing w:line="240" w:lineRule="auto"/>
              <w:ind w:firstLine="0" w:firstLineChars="0"/>
              <w:jc w:val="center"/>
              <w:rPr>
                <w:sz w:val="21"/>
                <w:szCs w:val="21"/>
              </w:rPr>
            </w:pPr>
            <w:r>
              <w:rPr>
                <w:rFonts w:hint="eastAsia"/>
                <w:sz w:val="21"/>
                <w:szCs w:val="21"/>
              </w:rPr>
              <w:t>/</w:t>
            </w:r>
          </w:p>
        </w:tc>
      </w:tr>
      <w:tr w14:paraId="0ED3D708">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restart"/>
            <w:shd w:val="clear" w:color="auto" w:fill="auto"/>
            <w:vAlign w:val="center"/>
          </w:tcPr>
          <w:p w14:paraId="6ED86F99">
            <w:pPr>
              <w:pStyle w:val="104"/>
              <w:adjustRightInd w:val="0"/>
              <w:snapToGrid w:val="0"/>
              <w:spacing w:line="240" w:lineRule="auto"/>
              <w:ind w:firstLine="0" w:firstLineChars="0"/>
              <w:jc w:val="center"/>
              <w:rPr>
                <w:sz w:val="21"/>
                <w:szCs w:val="21"/>
              </w:rPr>
            </w:pPr>
            <w:r>
              <w:rPr>
                <w:sz w:val="21"/>
                <w:szCs w:val="21"/>
              </w:rPr>
              <w:t>一级生化池</w:t>
            </w:r>
          </w:p>
        </w:tc>
        <w:tc>
          <w:tcPr>
            <w:tcW w:w="1486" w:type="dxa"/>
            <w:shd w:val="clear" w:color="auto" w:fill="auto"/>
            <w:vAlign w:val="center"/>
          </w:tcPr>
          <w:p w14:paraId="468A49F2">
            <w:pPr>
              <w:pStyle w:val="104"/>
              <w:adjustRightInd w:val="0"/>
              <w:snapToGrid w:val="0"/>
              <w:spacing w:line="240" w:lineRule="auto"/>
              <w:ind w:firstLine="0" w:firstLineChars="0"/>
              <w:jc w:val="center"/>
              <w:rPr>
                <w:sz w:val="21"/>
                <w:szCs w:val="21"/>
              </w:rPr>
            </w:pPr>
            <w:r>
              <w:rPr>
                <w:sz w:val="21"/>
                <w:szCs w:val="21"/>
              </w:rPr>
              <w:t>进水</w:t>
            </w:r>
          </w:p>
        </w:tc>
        <w:tc>
          <w:tcPr>
            <w:tcW w:w="1505" w:type="dxa"/>
            <w:shd w:val="clear" w:color="auto" w:fill="auto"/>
            <w:vAlign w:val="center"/>
          </w:tcPr>
          <w:p w14:paraId="55BAB710">
            <w:pPr>
              <w:pStyle w:val="104"/>
              <w:adjustRightInd w:val="0"/>
              <w:snapToGrid w:val="0"/>
              <w:spacing w:line="240" w:lineRule="auto"/>
              <w:ind w:firstLine="0" w:firstLineChars="0"/>
              <w:jc w:val="center"/>
              <w:rPr>
                <w:sz w:val="21"/>
                <w:szCs w:val="21"/>
              </w:rPr>
            </w:pPr>
            <w:r>
              <w:rPr>
                <w:sz w:val="21"/>
                <w:szCs w:val="21"/>
              </w:rPr>
              <w:t>280</w:t>
            </w:r>
          </w:p>
        </w:tc>
        <w:tc>
          <w:tcPr>
            <w:tcW w:w="1398" w:type="dxa"/>
            <w:shd w:val="clear" w:color="auto" w:fill="auto"/>
            <w:vAlign w:val="center"/>
          </w:tcPr>
          <w:p w14:paraId="13C08E29">
            <w:pPr>
              <w:pStyle w:val="104"/>
              <w:adjustRightInd w:val="0"/>
              <w:snapToGrid w:val="0"/>
              <w:spacing w:line="240" w:lineRule="auto"/>
              <w:ind w:firstLine="0" w:firstLineChars="0"/>
              <w:jc w:val="center"/>
              <w:rPr>
                <w:sz w:val="21"/>
                <w:szCs w:val="21"/>
              </w:rPr>
            </w:pPr>
            <w:r>
              <w:rPr>
                <w:sz w:val="21"/>
                <w:szCs w:val="21"/>
              </w:rPr>
              <w:t>70</w:t>
            </w:r>
          </w:p>
        </w:tc>
        <w:tc>
          <w:tcPr>
            <w:tcW w:w="1305" w:type="dxa"/>
            <w:shd w:val="clear" w:color="auto" w:fill="auto"/>
            <w:vAlign w:val="center"/>
          </w:tcPr>
          <w:p w14:paraId="279E85DF">
            <w:pPr>
              <w:pStyle w:val="104"/>
              <w:adjustRightInd w:val="0"/>
              <w:snapToGrid w:val="0"/>
              <w:spacing w:line="240" w:lineRule="auto"/>
              <w:ind w:firstLine="0" w:firstLineChars="0"/>
              <w:jc w:val="center"/>
              <w:rPr>
                <w:sz w:val="21"/>
                <w:szCs w:val="21"/>
              </w:rPr>
            </w:pPr>
            <w:r>
              <w:rPr>
                <w:sz w:val="21"/>
                <w:szCs w:val="21"/>
              </w:rPr>
              <w:t>25</w:t>
            </w:r>
          </w:p>
        </w:tc>
        <w:tc>
          <w:tcPr>
            <w:tcW w:w="1320" w:type="dxa"/>
            <w:shd w:val="clear" w:color="auto" w:fill="auto"/>
            <w:vAlign w:val="center"/>
          </w:tcPr>
          <w:p w14:paraId="485169B0">
            <w:pPr>
              <w:pStyle w:val="104"/>
              <w:adjustRightInd w:val="0"/>
              <w:snapToGrid w:val="0"/>
              <w:spacing w:line="240" w:lineRule="auto"/>
              <w:ind w:firstLine="0" w:firstLineChars="0"/>
              <w:jc w:val="center"/>
              <w:rPr>
                <w:sz w:val="21"/>
                <w:szCs w:val="21"/>
              </w:rPr>
            </w:pPr>
            <w:r>
              <w:rPr>
                <w:sz w:val="21"/>
                <w:szCs w:val="21"/>
              </w:rPr>
              <w:t>150</w:t>
            </w:r>
          </w:p>
        </w:tc>
        <w:tc>
          <w:tcPr>
            <w:tcW w:w="1031" w:type="dxa"/>
            <w:shd w:val="clear" w:color="auto" w:fill="auto"/>
            <w:vAlign w:val="center"/>
          </w:tcPr>
          <w:p w14:paraId="0DBA2286">
            <w:pPr>
              <w:pStyle w:val="104"/>
              <w:adjustRightInd w:val="0"/>
              <w:snapToGrid w:val="0"/>
              <w:spacing w:line="240" w:lineRule="auto"/>
              <w:ind w:firstLine="0" w:firstLineChars="0"/>
              <w:jc w:val="center"/>
              <w:rPr>
                <w:sz w:val="21"/>
                <w:szCs w:val="21"/>
              </w:rPr>
            </w:pPr>
            <w:r>
              <w:rPr>
                <w:sz w:val="21"/>
                <w:szCs w:val="21"/>
              </w:rPr>
              <w:t>6-9</w:t>
            </w:r>
          </w:p>
        </w:tc>
      </w:tr>
      <w:tr w14:paraId="6A970558">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5FAB1577">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0920394A">
            <w:pPr>
              <w:pStyle w:val="104"/>
              <w:adjustRightInd w:val="0"/>
              <w:snapToGrid w:val="0"/>
              <w:spacing w:line="240" w:lineRule="auto"/>
              <w:ind w:firstLine="0" w:firstLineChars="0"/>
              <w:jc w:val="center"/>
              <w:rPr>
                <w:sz w:val="21"/>
                <w:szCs w:val="21"/>
              </w:rPr>
            </w:pPr>
            <w:r>
              <w:rPr>
                <w:sz w:val="21"/>
                <w:szCs w:val="21"/>
              </w:rPr>
              <w:t>出水</w:t>
            </w:r>
          </w:p>
        </w:tc>
        <w:tc>
          <w:tcPr>
            <w:tcW w:w="1505" w:type="dxa"/>
            <w:shd w:val="clear" w:color="auto" w:fill="auto"/>
            <w:vAlign w:val="center"/>
          </w:tcPr>
          <w:p w14:paraId="30DC5756">
            <w:pPr>
              <w:pStyle w:val="104"/>
              <w:adjustRightInd w:val="0"/>
              <w:snapToGrid w:val="0"/>
              <w:spacing w:line="240" w:lineRule="auto"/>
              <w:ind w:firstLine="0" w:firstLineChars="0"/>
              <w:jc w:val="center"/>
              <w:rPr>
                <w:sz w:val="21"/>
                <w:szCs w:val="21"/>
              </w:rPr>
            </w:pPr>
            <w:r>
              <w:rPr>
                <w:sz w:val="21"/>
                <w:szCs w:val="21"/>
              </w:rPr>
              <w:t>20</w:t>
            </w:r>
          </w:p>
        </w:tc>
        <w:tc>
          <w:tcPr>
            <w:tcW w:w="1398" w:type="dxa"/>
            <w:shd w:val="clear" w:color="auto" w:fill="auto"/>
            <w:vAlign w:val="center"/>
          </w:tcPr>
          <w:p w14:paraId="45CEB9F2">
            <w:pPr>
              <w:pStyle w:val="104"/>
              <w:adjustRightInd w:val="0"/>
              <w:snapToGrid w:val="0"/>
              <w:spacing w:line="240" w:lineRule="auto"/>
              <w:ind w:firstLine="0" w:firstLineChars="0"/>
              <w:jc w:val="center"/>
              <w:rPr>
                <w:sz w:val="21"/>
                <w:szCs w:val="21"/>
              </w:rPr>
            </w:pPr>
            <w:r>
              <w:rPr>
                <w:sz w:val="21"/>
                <w:szCs w:val="21"/>
              </w:rPr>
              <w:t>5</w:t>
            </w:r>
          </w:p>
        </w:tc>
        <w:tc>
          <w:tcPr>
            <w:tcW w:w="1305" w:type="dxa"/>
            <w:shd w:val="clear" w:color="auto" w:fill="auto"/>
            <w:vAlign w:val="center"/>
          </w:tcPr>
          <w:p w14:paraId="29586ED7">
            <w:pPr>
              <w:pStyle w:val="104"/>
              <w:adjustRightInd w:val="0"/>
              <w:snapToGrid w:val="0"/>
              <w:spacing w:line="240" w:lineRule="auto"/>
              <w:ind w:firstLine="0" w:firstLineChars="0"/>
              <w:jc w:val="center"/>
              <w:rPr>
                <w:sz w:val="21"/>
                <w:szCs w:val="21"/>
              </w:rPr>
            </w:pPr>
            <w:r>
              <w:rPr>
                <w:sz w:val="21"/>
                <w:szCs w:val="21"/>
              </w:rPr>
              <w:t>18</w:t>
            </w:r>
          </w:p>
        </w:tc>
        <w:tc>
          <w:tcPr>
            <w:tcW w:w="1320" w:type="dxa"/>
            <w:shd w:val="clear" w:color="auto" w:fill="auto"/>
            <w:vAlign w:val="center"/>
          </w:tcPr>
          <w:p w14:paraId="2E83CA2E">
            <w:pPr>
              <w:pStyle w:val="104"/>
              <w:adjustRightInd w:val="0"/>
              <w:snapToGrid w:val="0"/>
              <w:spacing w:line="240" w:lineRule="auto"/>
              <w:ind w:firstLine="0" w:firstLineChars="0"/>
              <w:jc w:val="center"/>
              <w:rPr>
                <w:sz w:val="21"/>
                <w:szCs w:val="21"/>
              </w:rPr>
            </w:pPr>
            <w:r>
              <w:rPr>
                <w:sz w:val="21"/>
                <w:szCs w:val="21"/>
              </w:rPr>
              <w:t>15</w:t>
            </w:r>
          </w:p>
        </w:tc>
        <w:tc>
          <w:tcPr>
            <w:tcW w:w="1031" w:type="dxa"/>
            <w:shd w:val="clear" w:color="auto" w:fill="auto"/>
            <w:vAlign w:val="center"/>
          </w:tcPr>
          <w:p w14:paraId="23061B7C">
            <w:pPr>
              <w:pStyle w:val="104"/>
              <w:adjustRightInd w:val="0"/>
              <w:snapToGrid w:val="0"/>
              <w:spacing w:line="240" w:lineRule="auto"/>
              <w:ind w:firstLine="0" w:firstLineChars="0"/>
              <w:jc w:val="center"/>
              <w:rPr>
                <w:sz w:val="21"/>
                <w:szCs w:val="21"/>
              </w:rPr>
            </w:pPr>
            <w:r>
              <w:rPr>
                <w:sz w:val="21"/>
                <w:szCs w:val="21"/>
              </w:rPr>
              <w:t>6-9</w:t>
            </w:r>
          </w:p>
        </w:tc>
      </w:tr>
      <w:tr w14:paraId="2C59552A">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6347641B">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6AFA9A74">
            <w:pPr>
              <w:pStyle w:val="104"/>
              <w:adjustRightInd w:val="0"/>
              <w:snapToGrid w:val="0"/>
              <w:spacing w:line="240" w:lineRule="auto"/>
              <w:ind w:firstLine="0" w:firstLineChars="0"/>
              <w:jc w:val="center"/>
              <w:rPr>
                <w:sz w:val="21"/>
                <w:szCs w:val="21"/>
              </w:rPr>
            </w:pPr>
            <w:r>
              <w:rPr>
                <w:sz w:val="21"/>
                <w:szCs w:val="21"/>
              </w:rPr>
              <w:t>去除率</w:t>
            </w:r>
          </w:p>
        </w:tc>
        <w:tc>
          <w:tcPr>
            <w:tcW w:w="1505" w:type="dxa"/>
            <w:shd w:val="clear" w:color="auto" w:fill="auto"/>
            <w:vAlign w:val="center"/>
          </w:tcPr>
          <w:p w14:paraId="023B9334">
            <w:pPr>
              <w:pStyle w:val="104"/>
              <w:adjustRightInd w:val="0"/>
              <w:snapToGrid w:val="0"/>
              <w:spacing w:line="240" w:lineRule="auto"/>
              <w:ind w:firstLine="0" w:firstLineChars="0"/>
              <w:jc w:val="center"/>
              <w:rPr>
                <w:sz w:val="21"/>
                <w:szCs w:val="21"/>
              </w:rPr>
            </w:pPr>
            <w:r>
              <w:rPr>
                <w:sz w:val="21"/>
                <w:szCs w:val="21"/>
              </w:rPr>
              <w:t>92.9%</w:t>
            </w:r>
          </w:p>
        </w:tc>
        <w:tc>
          <w:tcPr>
            <w:tcW w:w="1398" w:type="dxa"/>
            <w:shd w:val="clear" w:color="auto" w:fill="auto"/>
            <w:vAlign w:val="center"/>
          </w:tcPr>
          <w:p w14:paraId="349DAB36">
            <w:pPr>
              <w:pStyle w:val="104"/>
              <w:adjustRightInd w:val="0"/>
              <w:snapToGrid w:val="0"/>
              <w:spacing w:line="240" w:lineRule="auto"/>
              <w:ind w:firstLine="0" w:firstLineChars="0"/>
              <w:jc w:val="center"/>
              <w:rPr>
                <w:sz w:val="21"/>
                <w:szCs w:val="21"/>
              </w:rPr>
            </w:pPr>
            <w:r>
              <w:rPr>
                <w:sz w:val="21"/>
                <w:szCs w:val="21"/>
              </w:rPr>
              <w:t>92.9%</w:t>
            </w:r>
          </w:p>
        </w:tc>
        <w:tc>
          <w:tcPr>
            <w:tcW w:w="1305" w:type="dxa"/>
            <w:shd w:val="clear" w:color="auto" w:fill="auto"/>
            <w:vAlign w:val="center"/>
          </w:tcPr>
          <w:p w14:paraId="77283FF6">
            <w:pPr>
              <w:pStyle w:val="104"/>
              <w:adjustRightInd w:val="0"/>
              <w:snapToGrid w:val="0"/>
              <w:spacing w:line="240" w:lineRule="auto"/>
              <w:ind w:firstLine="0" w:firstLineChars="0"/>
              <w:jc w:val="center"/>
              <w:rPr>
                <w:sz w:val="21"/>
                <w:szCs w:val="21"/>
              </w:rPr>
            </w:pPr>
            <w:r>
              <w:rPr>
                <w:sz w:val="21"/>
                <w:szCs w:val="21"/>
              </w:rPr>
              <w:t>28%</w:t>
            </w:r>
          </w:p>
        </w:tc>
        <w:tc>
          <w:tcPr>
            <w:tcW w:w="1320" w:type="dxa"/>
            <w:shd w:val="clear" w:color="auto" w:fill="auto"/>
            <w:vAlign w:val="center"/>
          </w:tcPr>
          <w:p w14:paraId="3BA3F560">
            <w:pPr>
              <w:pStyle w:val="104"/>
              <w:adjustRightInd w:val="0"/>
              <w:snapToGrid w:val="0"/>
              <w:spacing w:line="240" w:lineRule="auto"/>
              <w:ind w:firstLine="0" w:firstLineChars="0"/>
              <w:jc w:val="center"/>
              <w:rPr>
                <w:sz w:val="21"/>
                <w:szCs w:val="21"/>
              </w:rPr>
            </w:pPr>
            <w:r>
              <w:rPr>
                <w:sz w:val="21"/>
                <w:szCs w:val="21"/>
              </w:rPr>
              <w:t>90%</w:t>
            </w:r>
          </w:p>
        </w:tc>
        <w:tc>
          <w:tcPr>
            <w:tcW w:w="1031" w:type="dxa"/>
            <w:shd w:val="clear" w:color="auto" w:fill="auto"/>
            <w:vAlign w:val="center"/>
          </w:tcPr>
          <w:p w14:paraId="6EBEF3E2">
            <w:pPr>
              <w:pStyle w:val="104"/>
              <w:adjustRightInd w:val="0"/>
              <w:snapToGrid w:val="0"/>
              <w:spacing w:line="240" w:lineRule="auto"/>
              <w:ind w:firstLine="0" w:firstLineChars="0"/>
              <w:jc w:val="center"/>
              <w:rPr>
                <w:sz w:val="21"/>
                <w:szCs w:val="21"/>
              </w:rPr>
            </w:pPr>
            <w:r>
              <w:rPr>
                <w:rFonts w:hint="eastAsia"/>
                <w:sz w:val="21"/>
                <w:szCs w:val="21"/>
              </w:rPr>
              <w:t>/</w:t>
            </w:r>
          </w:p>
        </w:tc>
      </w:tr>
      <w:tr w14:paraId="6E8B1B58">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96" w:hRule="exact"/>
        </w:trPr>
        <w:tc>
          <w:tcPr>
            <w:tcW w:w="1417" w:type="dxa"/>
            <w:vMerge w:val="restart"/>
            <w:shd w:val="clear" w:color="auto" w:fill="auto"/>
            <w:vAlign w:val="center"/>
          </w:tcPr>
          <w:p w14:paraId="029BFBF5">
            <w:pPr>
              <w:pStyle w:val="104"/>
              <w:adjustRightInd w:val="0"/>
              <w:snapToGrid w:val="0"/>
              <w:spacing w:line="240" w:lineRule="auto"/>
              <w:ind w:firstLine="0" w:firstLineChars="0"/>
              <w:jc w:val="center"/>
              <w:rPr>
                <w:sz w:val="21"/>
                <w:szCs w:val="21"/>
              </w:rPr>
            </w:pPr>
            <w:r>
              <w:rPr>
                <w:sz w:val="21"/>
                <w:szCs w:val="21"/>
              </w:rPr>
              <w:t>二级生化池</w:t>
            </w:r>
          </w:p>
        </w:tc>
        <w:tc>
          <w:tcPr>
            <w:tcW w:w="1486" w:type="dxa"/>
            <w:shd w:val="clear" w:color="auto" w:fill="auto"/>
            <w:vAlign w:val="center"/>
          </w:tcPr>
          <w:p w14:paraId="75711C10">
            <w:pPr>
              <w:pStyle w:val="104"/>
              <w:adjustRightInd w:val="0"/>
              <w:snapToGrid w:val="0"/>
              <w:spacing w:line="240" w:lineRule="auto"/>
              <w:ind w:firstLine="0" w:firstLineChars="0"/>
              <w:jc w:val="center"/>
              <w:rPr>
                <w:sz w:val="21"/>
                <w:szCs w:val="21"/>
              </w:rPr>
            </w:pPr>
            <w:r>
              <w:rPr>
                <w:sz w:val="21"/>
                <w:szCs w:val="21"/>
              </w:rPr>
              <w:t>进水</w:t>
            </w:r>
          </w:p>
        </w:tc>
        <w:tc>
          <w:tcPr>
            <w:tcW w:w="1505" w:type="dxa"/>
            <w:shd w:val="clear" w:color="auto" w:fill="auto"/>
            <w:vAlign w:val="center"/>
          </w:tcPr>
          <w:p w14:paraId="18E4C10C">
            <w:pPr>
              <w:pStyle w:val="104"/>
              <w:adjustRightInd w:val="0"/>
              <w:snapToGrid w:val="0"/>
              <w:spacing w:line="240" w:lineRule="auto"/>
              <w:ind w:firstLine="0" w:firstLineChars="0"/>
              <w:jc w:val="center"/>
              <w:rPr>
                <w:sz w:val="21"/>
                <w:szCs w:val="21"/>
              </w:rPr>
            </w:pPr>
            <w:r>
              <w:rPr>
                <w:sz w:val="21"/>
                <w:szCs w:val="21"/>
              </w:rPr>
              <w:t>20</w:t>
            </w:r>
          </w:p>
        </w:tc>
        <w:tc>
          <w:tcPr>
            <w:tcW w:w="1398" w:type="dxa"/>
            <w:shd w:val="clear" w:color="auto" w:fill="auto"/>
            <w:vAlign w:val="center"/>
          </w:tcPr>
          <w:p w14:paraId="0BDD4949">
            <w:pPr>
              <w:pStyle w:val="104"/>
              <w:adjustRightInd w:val="0"/>
              <w:snapToGrid w:val="0"/>
              <w:spacing w:line="240" w:lineRule="auto"/>
              <w:ind w:firstLine="0" w:firstLineChars="0"/>
              <w:jc w:val="center"/>
              <w:rPr>
                <w:sz w:val="21"/>
                <w:szCs w:val="21"/>
              </w:rPr>
            </w:pPr>
            <w:r>
              <w:rPr>
                <w:sz w:val="21"/>
                <w:szCs w:val="21"/>
              </w:rPr>
              <w:t>5</w:t>
            </w:r>
          </w:p>
        </w:tc>
        <w:tc>
          <w:tcPr>
            <w:tcW w:w="1305" w:type="dxa"/>
            <w:shd w:val="clear" w:color="auto" w:fill="auto"/>
            <w:vAlign w:val="center"/>
          </w:tcPr>
          <w:p w14:paraId="44F0F5CB">
            <w:pPr>
              <w:pStyle w:val="104"/>
              <w:adjustRightInd w:val="0"/>
              <w:snapToGrid w:val="0"/>
              <w:spacing w:line="240" w:lineRule="auto"/>
              <w:ind w:firstLine="0" w:firstLineChars="0"/>
              <w:jc w:val="center"/>
              <w:rPr>
                <w:sz w:val="21"/>
                <w:szCs w:val="21"/>
              </w:rPr>
            </w:pPr>
            <w:r>
              <w:rPr>
                <w:sz w:val="21"/>
                <w:szCs w:val="21"/>
              </w:rPr>
              <w:t>18</w:t>
            </w:r>
          </w:p>
        </w:tc>
        <w:tc>
          <w:tcPr>
            <w:tcW w:w="1320" w:type="dxa"/>
            <w:shd w:val="clear" w:color="auto" w:fill="auto"/>
            <w:vAlign w:val="center"/>
          </w:tcPr>
          <w:p w14:paraId="056D800F">
            <w:pPr>
              <w:pStyle w:val="104"/>
              <w:adjustRightInd w:val="0"/>
              <w:snapToGrid w:val="0"/>
              <w:spacing w:line="240" w:lineRule="auto"/>
              <w:ind w:firstLine="0" w:firstLineChars="0"/>
              <w:jc w:val="center"/>
              <w:rPr>
                <w:sz w:val="21"/>
                <w:szCs w:val="21"/>
              </w:rPr>
            </w:pPr>
            <w:r>
              <w:rPr>
                <w:sz w:val="21"/>
                <w:szCs w:val="21"/>
              </w:rPr>
              <w:t>15</w:t>
            </w:r>
          </w:p>
        </w:tc>
        <w:tc>
          <w:tcPr>
            <w:tcW w:w="1031" w:type="dxa"/>
            <w:shd w:val="clear" w:color="auto" w:fill="auto"/>
            <w:vAlign w:val="center"/>
          </w:tcPr>
          <w:p w14:paraId="76F6898E">
            <w:pPr>
              <w:pStyle w:val="104"/>
              <w:adjustRightInd w:val="0"/>
              <w:snapToGrid w:val="0"/>
              <w:spacing w:line="240" w:lineRule="auto"/>
              <w:ind w:firstLine="0" w:firstLineChars="0"/>
              <w:jc w:val="center"/>
              <w:rPr>
                <w:sz w:val="21"/>
                <w:szCs w:val="21"/>
              </w:rPr>
            </w:pPr>
            <w:r>
              <w:rPr>
                <w:sz w:val="21"/>
                <w:szCs w:val="21"/>
              </w:rPr>
              <w:t>6-9</w:t>
            </w:r>
          </w:p>
        </w:tc>
      </w:tr>
      <w:tr w14:paraId="43502B50">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7A4994C9">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5AF92DAC">
            <w:pPr>
              <w:pStyle w:val="104"/>
              <w:adjustRightInd w:val="0"/>
              <w:snapToGrid w:val="0"/>
              <w:spacing w:line="240" w:lineRule="auto"/>
              <w:ind w:firstLine="0" w:firstLineChars="0"/>
              <w:jc w:val="center"/>
              <w:rPr>
                <w:sz w:val="21"/>
                <w:szCs w:val="21"/>
              </w:rPr>
            </w:pPr>
            <w:r>
              <w:rPr>
                <w:sz w:val="21"/>
                <w:szCs w:val="21"/>
              </w:rPr>
              <w:t>出水</w:t>
            </w:r>
          </w:p>
        </w:tc>
        <w:tc>
          <w:tcPr>
            <w:tcW w:w="1505" w:type="dxa"/>
            <w:shd w:val="clear" w:color="auto" w:fill="auto"/>
            <w:vAlign w:val="center"/>
          </w:tcPr>
          <w:p w14:paraId="0677ADCE">
            <w:pPr>
              <w:pStyle w:val="104"/>
              <w:adjustRightInd w:val="0"/>
              <w:snapToGrid w:val="0"/>
              <w:spacing w:line="240" w:lineRule="auto"/>
              <w:ind w:firstLine="0" w:firstLineChars="0"/>
              <w:jc w:val="center"/>
              <w:rPr>
                <w:sz w:val="21"/>
                <w:szCs w:val="21"/>
              </w:rPr>
            </w:pPr>
            <w:r>
              <w:rPr>
                <w:sz w:val="21"/>
                <w:szCs w:val="21"/>
              </w:rPr>
              <w:t>15</w:t>
            </w:r>
          </w:p>
        </w:tc>
        <w:tc>
          <w:tcPr>
            <w:tcW w:w="1398" w:type="dxa"/>
            <w:shd w:val="clear" w:color="auto" w:fill="auto"/>
            <w:vAlign w:val="center"/>
          </w:tcPr>
          <w:p w14:paraId="21C121E6">
            <w:pPr>
              <w:pStyle w:val="104"/>
              <w:adjustRightInd w:val="0"/>
              <w:snapToGrid w:val="0"/>
              <w:spacing w:line="240" w:lineRule="auto"/>
              <w:ind w:firstLine="0" w:firstLineChars="0"/>
              <w:jc w:val="center"/>
              <w:rPr>
                <w:sz w:val="21"/>
                <w:szCs w:val="21"/>
              </w:rPr>
            </w:pPr>
            <w:r>
              <w:rPr>
                <w:sz w:val="21"/>
                <w:szCs w:val="21"/>
              </w:rPr>
              <w:t>5</w:t>
            </w:r>
          </w:p>
        </w:tc>
        <w:tc>
          <w:tcPr>
            <w:tcW w:w="1305" w:type="dxa"/>
            <w:shd w:val="clear" w:color="auto" w:fill="auto"/>
            <w:vAlign w:val="center"/>
          </w:tcPr>
          <w:p w14:paraId="327014DF">
            <w:pPr>
              <w:pStyle w:val="104"/>
              <w:adjustRightInd w:val="0"/>
              <w:snapToGrid w:val="0"/>
              <w:spacing w:line="240" w:lineRule="auto"/>
              <w:ind w:firstLine="0" w:firstLineChars="0"/>
              <w:jc w:val="center"/>
              <w:rPr>
                <w:sz w:val="21"/>
                <w:szCs w:val="21"/>
              </w:rPr>
            </w:pPr>
            <w:r>
              <w:rPr>
                <w:sz w:val="21"/>
                <w:szCs w:val="21"/>
              </w:rPr>
              <w:t>15</w:t>
            </w:r>
          </w:p>
        </w:tc>
        <w:tc>
          <w:tcPr>
            <w:tcW w:w="1320" w:type="dxa"/>
            <w:shd w:val="clear" w:color="auto" w:fill="auto"/>
            <w:vAlign w:val="center"/>
          </w:tcPr>
          <w:p w14:paraId="31700979">
            <w:pPr>
              <w:pStyle w:val="104"/>
              <w:adjustRightInd w:val="0"/>
              <w:snapToGrid w:val="0"/>
              <w:spacing w:line="240" w:lineRule="auto"/>
              <w:ind w:firstLine="0" w:firstLineChars="0"/>
              <w:jc w:val="center"/>
              <w:rPr>
                <w:sz w:val="21"/>
                <w:szCs w:val="21"/>
              </w:rPr>
            </w:pPr>
            <w:r>
              <w:rPr>
                <w:sz w:val="21"/>
                <w:szCs w:val="21"/>
              </w:rPr>
              <w:t>11</w:t>
            </w:r>
          </w:p>
        </w:tc>
        <w:tc>
          <w:tcPr>
            <w:tcW w:w="1031" w:type="dxa"/>
            <w:shd w:val="clear" w:color="auto" w:fill="auto"/>
            <w:vAlign w:val="center"/>
          </w:tcPr>
          <w:p w14:paraId="4A5E0270">
            <w:pPr>
              <w:pStyle w:val="104"/>
              <w:adjustRightInd w:val="0"/>
              <w:snapToGrid w:val="0"/>
              <w:spacing w:line="240" w:lineRule="auto"/>
              <w:ind w:firstLine="0" w:firstLineChars="0"/>
              <w:jc w:val="center"/>
              <w:rPr>
                <w:sz w:val="21"/>
                <w:szCs w:val="21"/>
              </w:rPr>
            </w:pPr>
            <w:r>
              <w:rPr>
                <w:sz w:val="21"/>
                <w:szCs w:val="21"/>
              </w:rPr>
              <w:t>6-9</w:t>
            </w:r>
          </w:p>
        </w:tc>
      </w:tr>
      <w:tr w14:paraId="58E1E8B7">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4429B28D">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22CA80E9">
            <w:pPr>
              <w:pStyle w:val="104"/>
              <w:adjustRightInd w:val="0"/>
              <w:snapToGrid w:val="0"/>
              <w:spacing w:line="240" w:lineRule="auto"/>
              <w:ind w:firstLine="0" w:firstLineChars="0"/>
              <w:jc w:val="center"/>
              <w:rPr>
                <w:sz w:val="21"/>
                <w:szCs w:val="21"/>
              </w:rPr>
            </w:pPr>
            <w:r>
              <w:rPr>
                <w:sz w:val="21"/>
                <w:szCs w:val="21"/>
              </w:rPr>
              <w:t>去除率</w:t>
            </w:r>
          </w:p>
        </w:tc>
        <w:tc>
          <w:tcPr>
            <w:tcW w:w="1505" w:type="dxa"/>
            <w:shd w:val="clear" w:color="auto" w:fill="auto"/>
            <w:vAlign w:val="center"/>
          </w:tcPr>
          <w:p w14:paraId="0CA803D7">
            <w:pPr>
              <w:pStyle w:val="104"/>
              <w:adjustRightInd w:val="0"/>
              <w:snapToGrid w:val="0"/>
              <w:spacing w:line="240" w:lineRule="auto"/>
              <w:ind w:firstLine="0" w:firstLineChars="0"/>
              <w:jc w:val="center"/>
              <w:rPr>
                <w:sz w:val="21"/>
                <w:szCs w:val="21"/>
              </w:rPr>
            </w:pPr>
            <w:r>
              <w:rPr>
                <w:sz w:val="21"/>
                <w:szCs w:val="21"/>
              </w:rPr>
              <w:t>25%</w:t>
            </w:r>
          </w:p>
        </w:tc>
        <w:tc>
          <w:tcPr>
            <w:tcW w:w="1398" w:type="dxa"/>
            <w:shd w:val="clear" w:color="auto" w:fill="auto"/>
            <w:vAlign w:val="center"/>
          </w:tcPr>
          <w:p w14:paraId="73FDF48E">
            <w:pPr>
              <w:pStyle w:val="104"/>
              <w:adjustRightInd w:val="0"/>
              <w:snapToGrid w:val="0"/>
              <w:spacing w:line="240" w:lineRule="auto"/>
              <w:ind w:firstLine="0" w:firstLineChars="0"/>
              <w:jc w:val="center"/>
              <w:rPr>
                <w:sz w:val="21"/>
                <w:szCs w:val="21"/>
              </w:rPr>
            </w:pPr>
            <w:r>
              <w:rPr>
                <w:sz w:val="21"/>
                <w:szCs w:val="21"/>
              </w:rPr>
              <w:t>0%</w:t>
            </w:r>
          </w:p>
        </w:tc>
        <w:tc>
          <w:tcPr>
            <w:tcW w:w="1305" w:type="dxa"/>
            <w:shd w:val="clear" w:color="auto" w:fill="auto"/>
            <w:vAlign w:val="center"/>
          </w:tcPr>
          <w:p w14:paraId="660E7F72">
            <w:pPr>
              <w:pStyle w:val="104"/>
              <w:adjustRightInd w:val="0"/>
              <w:snapToGrid w:val="0"/>
              <w:spacing w:line="240" w:lineRule="auto"/>
              <w:ind w:firstLine="0" w:firstLineChars="0"/>
              <w:jc w:val="center"/>
              <w:rPr>
                <w:sz w:val="21"/>
                <w:szCs w:val="21"/>
              </w:rPr>
            </w:pPr>
            <w:r>
              <w:rPr>
                <w:sz w:val="21"/>
                <w:szCs w:val="21"/>
              </w:rPr>
              <w:t>16.7%</w:t>
            </w:r>
          </w:p>
        </w:tc>
        <w:tc>
          <w:tcPr>
            <w:tcW w:w="1320" w:type="dxa"/>
            <w:shd w:val="clear" w:color="auto" w:fill="auto"/>
            <w:vAlign w:val="center"/>
          </w:tcPr>
          <w:p w14:paraId="5FFCC72D">
            <w:pPr>
              <w:pStyle w:val="104"/>
              <w:adjustRightInd w:val="0"/>
              <w:snapToGrid w:val="0"/>
              <w:spacing w:line="240" w:lineRule="auto"/>
              <w:ind w:firstLine="0" w:firstLineChars="0"/>
              <w:jc w:val="center"/>
              <w:rPr>
                <w:sz w:val="21"/>
                <w:szCs w:val="21"/>
              </w:rPr>
            </w:pPr>
            <w:r>
              <w:rPr>
                <w:sz w:val="21"/>
                <w:szCs w:val="21"/>
              </w:rPr>
              <w:t>26.7%</w:t>
            </w:r>
          </w:p>
        </w:tc>
        <w:tc>
          <w:tcPr>
            <w:tcW w:w="1031" w:type="dxa"/>
            <w:shd w:val="clear" w:color="auto" w:fill="auto"/>
            <w:vAlign w:val="center"/>
          </w:tcPr>
          <w:p w14:paraId="7377616E">
            <w:pPr>
              <w:pStyle w:val="104"/>
              <w:adjustRightInd w:val="0"/>
              <w:snapToGrid w:val="0"/>
              <w:spacing w:line="240" w:lineRule="auto"/>
              <w:ind w:firstLine="0" w:firstLineChars="0"/>
              <w:jc w:val="center"/>
              <w:rPr>
                <w:sz w:val="21"/>
                <w:szCs w:val="21"/>
              </w:rPr>
            </w:pPr>
            <w:r>
              <w:rPr>
                <w:rFonts w:hint="eastAsia"/>
                <w:sz w:val="21"/>
                <w:szCs w:val="21"/>
              </w:rPr>
              <w:t>/</w:t>
            </w:r>
          </w:p>
        </w:tc>
      </w:tr>
      <w:tr w14:paraId="422B11D3">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5" w:hRule="exact"/>
        </w:trPr>
        <w:tc>
          <w:tcPr>
            <w:tcW w:w="1417" w:type="dxa"/>
            <w:vMerge w:val="restart"/>
            <w:shd w:val="clear" w:color="auto" w:fill="auto"/>
            <w:vAlign w:val="center"/>
          </w:tcPr>
          <w:p w14:paraId="557FE999">
            <w:pPr>
              <w:pStyle w:val="104"/>
              <w:adjustRightInd w:val="0"/>
              <w:snapToGrid w:val="0"/>
              <w:spacing w:line="240" w:lineRule="auto"/>
              <w:ind w:firstLine="0" w:firstLineChars="0"/>
              <w:jc w:val="center"/>
              <w:rPr>
                <w:sz w:val="21"/>
                <w:szCs w:val="21"/>
              </w:rPr>
            </w:pPr>
            <w:r>
              <w:rPr>
                <w:sz w:val="21"/>
                <w:szCs w:val="21"/>
              </w:rPr>
              <w:t>除磷加药池</w:t>
            </w:r>
          </w:p>
        </w:tc>
        <w:tc>
          <w:tcPr>
            <w:tcW w:w="1486" w:type="dxa"/>
            <w:shd w:val="clear" w:color="auto" w:fill="auto"/>
            <w:vAlign w:val="center"/>
          </w:tcPr>
          <w:p w14:paraId="451C521C">
            <w:pPr>
              <w:pStyle w:val="104"/>
              <w:adjustRightInd w:val="0"/>
              <w:snapToGrid w:val="0"/>
              <w:spacing w:line="240" w:lineRule="auto"/>
              <w:ind w:firstLine="0" w:firstLineChars="0"/>
              <w:jc w:val="center"/>
              <w:rPr>
                <w:sz w:val="21"/>
                <w:szCs w:val="21"/>
              </w:rPr>
            </w:pPr>
            <w:r>
              <w:rPr>
                <w:sz w:val="21"/>
                <w:szCs w:val="21"/>
              </w:rPr>
              <w:t>进水</w:t>
            </w:r>
          </w:p>
        </w:tc>
        <w:tc>
          <w:tcPr>
            <w:tcW w:w="1505" w:type="dxa"/>
            <w:shd w:val="clear" w:color="auto" w:fill="auto"/>
            <w:vAlign w:val="center"/>
          </w:tcPr>
          <w:p w14:paraId="74DD7723">
            <w:pPr>
              <w:pStyle w:val="104"/>
              <w:adjustRightInd w:val="0"/>
              <w:snapToGrid w:val="0"/>
              <w:spacing w:line="240" w:lineRule="auto"/>
              <w:ind w:firstLine="0" w:firstLineChars="0"/>
              <w:jc w:val="center"/>
              <w:rPr>
                <w:sz w:val="21"/>
                <w:szCs w:val="21"/>
              </w:rPr>
            </w:pPr>
            <w:r>
              <w:rPr>
                <w:sz w:val="21"/>
                <w:szCs w:val="21"/>
              </w:rPr>
              <w:t>15</w:t>
            </w:r>
          </w:p>
        </w:tc>
        <w:tc>
          <w:tcPr>
            <w:tcW w:w="1398" w:type="dxa"/>
            <w:shd w:val="clear" w:color="auto" w:fill="auto"/>
            <w:vAlign w:val="center"/>
          </w:tcPr>
          <w:p w14:paraId="35367AAB">
            <w:pPr>
              <w:pStyle w:val="104"/>
              <w:adjustRightInd w:val="0"/>
              <w:snapToGrid w:val="0"/>
              <w:spacing w:line="240" w:lineRule="auto"/>
              <w:ind w:firstLine="0" w:firstLineChars="0"/>
              <w:jc w:val="center"/>
              <w:rPr>
                <w:sz w:val="21"/>
                <w:szCs w:val="21"/>
              </w:rPr>
            </w:pPr>
            <w:r>
              <w:rPr>
                <w:sz w:val="21"/>
                <w:szCs w:val="21"/>
              </w:rPr>
              <w:t>5</w:t>
            </w:r>
          </w:p>
        </w:tc>
        <w:tc>
          <w:tcPr>
            <w:tcW w:w="1305" w:type="dxa"/>
            <w:shd w:val="clear" w:color="auto" w:fill="auto"/>
            <w:vAlign w:val="center"/>
          </w:tcPr>
          <w:p w14:paraId="4B89D74D">
            <w:pPr>
              <w:pStyle w:val="104"/>
              <w:adjustRightInd w:val="0"/>
              <w:snapToGrid w:val="0"/>
              <w:spacing w:line="240" w:lineRule="auto"/>
              <w:ind w:firstLine="0" w:firstLineChars="0"/>
              <w:jc w:val="center"/>
              <w:rPr>
                <w:sz w:val="21"/>
                <w:szCs w:val="21"/>
              </w:rPr>
            </w:pPr>
            <w:r>
              <w:rPr>
                <w:sz w:val="21"/>
                <w:szCs w:val="21"/>
              </w:rPr>
              <w:t>15</w:t>
            </w:r>
          </w:p>
        </w:tc>
        <w:tc>
          <w:tcPr>
            <w:tcW w:w="1320" w:type="dxa"/>
            <w:shd w:val="clear" w:color="auto" w:fill="auto"/>
            <w:vAlign w:val="center"/>
          </w:tcPr>
          <w:p w14:paraId="4B7C7E7B">
            <w:pPr>
              <w:pStyle w:val="104"/>
              <w:adjustRightInd w:val="0"/>
              <w:snapToGrid w:val="0"/>
              <w:spacing w:line="240" w:lineRule="auto"/>
              <w:ind w:firstLine="0" w:firstLineChars="0"/>
              <w:jc w:val="center"/>
              <w:rPr>
                <w:sz w:val="21"/>
                <w:szCs w:val="21"/>
              </w:rPr>
            </w:pPr>
            <w:r>
              <w:rPr>
                <w:sz w:val="21"/>
                <w:szCs w:val="21"/>
              </w:rPr>
              <w:t>11</w:t>
            </w:r>
          </w:p>
        </w:tc>
        <w:tc>
          <w:tcPr>
            <w:tcW w:w="1031" w:type="dxa"/>
            <w:shd w:val="clear" w:color="auto" w:fill="auto"/>
            <w:vAlign w:val="center"/>
          </w:tcPr>
          <w:p w14:paraId="2B54F846">
            <w:pPr>
              <w:pStyle w:val="104"/>
              <w:adjustRightInd w:val="0"/>
              <w:snapToGrid w:val="0"/>
              <w:spacing w:line="240" w:lineRule="auto"/>
              <w:ind w:firstLine="0" w:firstLineChars="0"/>
              <w:jc w:val="center"/>
              <w:rPr>
                <w:sz w:val="21"/>
                <w:szCs w:val="21"/>
              </w:rPr>
            </w:pPr>
            <w:r>
              <w:rPr>
                <w:sz w:val="21"/>
                <w:szCs w:val="21"/>
              </w:rPr>
              <w:t>6-9</w:t>
            </w:r>
          </w:p>
        </w:tc>
      </w:tr>
      <w:tr w14:paraId="39A54F40">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52CD4BD3">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5309B82D">
            <w:pPr>
              <w:pStyle w:val="104"/>
              <w:adjustRightInd w:val="0"/>
              <w:snapToGrid w:val="0"/>
              <w:spacing w:line="240" w:lineRule="auto"/>
              <w:ind w:firstLine="0" w:firstLineChars="0"/>
              <w:jc w:val="center"/>
              <w:rPr>
                <w:sz w:val="21"/>
                <w:szCs w:val="21"/>
              </w:rPr>
            </w:pPr>
            <w:r>
              <w:rPr>
                <w:sz w:val="21"/>
                <w:szCs w:val="21"/>
              </w:rPr>
              <w:t>出水</w:t>
            </w:r>
          </w:p>
        </w:tc>
        <w:tc>
          <w:tcPr>
            <w:tcW w:w="1505" w:type="dxa"/>
            <w:shd w:val="clear" w:color="auto" w:fill="auto"/>
            <w:vAlign w:val="center"/>
          </w:tcPr>
          <w:p w14:paraId="63E916ED">
            <w:pPr>
              <w:pStyle w:val="104"/>
              <w:adjustRightInd w:val="0"/>
              <w:snapToGrid w:val="0"/>
              <w:spacing w:line="240" w:lineRule="auto"/>
              <w:ind w:firstLine="0" w:firstLineChars="0"/>
              <w:jc w:val="center"/>
              <w:rPr>
                <w:sz w:val="21"/>
                <w:szCs w:val="21"/>
              </w:rPr>
            </w:pPr>
            <w:r>
              <w:rPr>
                <w:sz w:val="21"/>
                <w:szCs w:val="21"/>
              </w:rPr>
              <w:t>≤9</w:t>
            </w:r>
          </w:p>
        </w:tc>
        <w:tc>
          <w:tcPr>
            <w:tcW w:w="1398" w:type="dxa"/>
            <w:shd w:val="clear" w:color="auto" w:fill="auto"/>
            <w:vAlign w:val="center"/>
          </w:tcPr>
          <w:p w14:paraId="0B722A07">
            <w:pPr>
              <w:pStyle w:val="104"/>
              <w:adjustRightInd w:val="0"/>
              <w:snapToGrid w:val="0"/>
              <w:spacing w:line="240" w:lineRule="auto"/>
              <w:ind w:firstLine="0" w:firstLineChars="0"/>
              <w:jc w:val="center"/>
              <w:rPr>
                <w:sz w:val="21"/>
                <w:szCs w:val="21"/>
              </w:rPr>
            </w:pPr>
            <w:r>
              <w:rPr>
                <w:sz w:val="21"/>
                <w:szCs w:val="21"/>
              </w:rPr>
              <w:t>≤5</w:t>
            </w:r>
          </w:p>
        </w:tc>
        <w:tc>
          <w:tcPr>
            <w:tcW w:w="1305" w:type="dxa"/>
            <w:shd w:val="clear" w:color="auto" w:fill="auto"/>
            <w:vAlign w:val="center"/>
          </w:tcPr>
          <w:p w14:paraId="54803DB6">
            <w:pPr>
              <w:pStyle w:val="104"/>
              <w:adjustRightInd w:val="0"/>
              <w:snapToGrid w:val="0"/>
              <w:spacing w:line="240" w:lineRule="auto"/>
              <w:ind w:firstLine="0" w:firstLineChars="0"/>
              <w:jc w:val="center"/>
              <w:rPr>
                <w:sz w:val="21"/>
                <w:szCs w:val="21"/>
              </w:rPr>
            </w:pPr>
            <w:r>
              <w:rPr>
                <w:sz w:val="21"/>
                <w:szCs w:val="21"/>
              </w:rPr>
              <w:t>≤5</w:t>
            </w:r>
          </w:p>
        </w:tc>
        <w:tc>
          <w:tcPr>
            <w:tcW w:w="1320" w:type="dxa"/>
            <w:shd w:val="clear" w:color="auto" w:fill="auto"/>
            <w:vAlign w:val="center"/>
          </w:tcPr>
          <w:p w14:paraId="06EEEC54">
            <w:pPr>
              <w:pStyle w:val="104"/>
              <w:adjustRightInd w:val="0"/>
              <w:snapToGrid w:val="0"/>
              <w:spacing w:line="240" w:lineRule="auto"/>
              <w:ind w:firstLine="0" w:firstLineChars="0"/>
              <w:jc w:val="center"/>
              <w:rPr>
                <w:sz w:val="21"/>
                <w:szCs w:val="21"/>
              </w:rPr>
            </w:pPr>
            <w:r>
              <w:rPr>
                <w:sz w:val="21"/>
                <w:szCs w:val="21"/>
              </w:rPr>
              <w:t>≤8</w:t>
            </w:r>
          </w:p>
        </w:tc>
        <w:tc>
          <w:tcPr>
            <w:tcW w:w="1031" w:type="dxa"/>
            <w:shd w:val="clear" w:color="auto" w:fill="auto"/>
            <w:vAlign w:val="center"/>
          </w:tcPr>
          <w:p w14:paraId="57C345D4">
            <w:pPr>
              <w:pStyle w:val="104"/>
              <w:adjustRightInd w:val="0"/>
              <w:snapToGrid w:val="0"/>
              <w:spacing w:line="240" w:lineRule="auto"/>
              <w:ind w:firstLine="0" w:firstLineChars="0"/>
              <w:jc w:val="center"/>
              <w:rPr>
                <w:sz w:val="21"/>
                <w:szCs w:val="21"/>
              </w:rPr>
            </w:pPr>
            <w:r>
              <w:rPr>
                <w:sz w:val="21"/>
                <w:szCs w:val="21"/>
              </w:rPr>
              <w:t>6-9</w:t>
            </w:r>
          </w:p>
        </w:tc>
      </w:tr>
      <w:tr w14:paraId="39A84B30">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400" w:hRule="exact"/>
        </w:trPr>
        <w:tc>
          <w:tcPr>
            <w:tcW w:w="1417" w:type="dxa"/>
            <w:vMerge w:val="continue"/>
            <w:shd w:val="clear" w:color="auto" w:fill="auto"/>
            <w:vAlign w:val="center"/>
          </w:tcPr>
          <w:p w14:paraId="1D10695E">
            <w:pPr>
              <w:pStyle w:val="104"/>
              <w:adjustRightInd w:val="0"/>
              <w:snapToGrid w:val="0"/>
              <w:spacing w:line="240" w:lineRule="auto"/>
              <w:ind w:firstLine="0" w:firstLineChars="0"/>
              <w:jc w:val="center"/>
              <w:rPr>
                <w:sz w:val="21"/>
                <w:szCs w:val="21"/>
              </w:rPr>
            </w:pPr>
          </w:p>
        </w:tc>
        <w:tc>
          <w:tcPr>
            <w:tcW w:w="1486" w:type="dxa"/>
            <w:shd w:val="clear" w:color="auto" w:fill="auto"/>
            <w:vAlign w:val="center"/>
          </w:tcPr>
          <w:p w14:paraId="02C5691A">
            <w:pPr>
              <w:pStyle w:val="104"/>
              <w:adjustRightInd w:val="0"/>
              <w:snapToGrid w:val="0"/>
              <w:spacing w:line="240" w:lineRule="auto"/>
              <w:ind w:firstLine="0" w:firstLineChars="0"/>
              <w:jc w:val="center"/>
              <w:rPr>
                <w:sz w:val="21"/>
                <w:szCs w:val="21"/>
              </w:rPr>
            </w:pPr>
            <w:r>
              <w:rPr>
                <w:sz w:val="21"/>
                <w:szCs w:val="21"/>
              </w:rPr>
              <w:t>去除率</w:t>
            </w:r>
          </w:p>
        </w:tc>
        <w:tc>
          <w:tcPr>
            <w:tcW w:w="1505" w:type="dxa"/>
            <w:shd w:val="clear" w:color="auto" w:fill="auto"/>
            <w:vAlign w:val="center"/>
          </w:tcPr>
          <w:p w14:paraId="0FBE43FD">
            <w:pPr>
              <w:pStyle w:val="104"/>
              <w:adjustRightInd w:val="0"/>
              <w:snapToGrid w:val="0"/>
              <w:spacing w:line="240" w:lineRule="auto"/>
              <w:ind w:firstLine="0" w:firstLineChars="0"/>
              <w:jc w:val="center"/>
              <w:rPr>
                <w:sz w:val="21"/>
                <w:szCs w:val="21"/>
              </w:rPr>
            </w:pPr>
            <w:r>
              <w:rPr>
                <w:sz w:val="21"/>
                <w:szCs w:val="21"/>
              </w:rPr>
              <w:t>40%</w:t>
            </w:r>
          </w:p>
        </w:tc>
        <w:tc>
          <w:tcPr>
            <w:tcW w:w="1398" w:type="dxa"/>
            <w:shd w:val="clear" w:color="auto" w:fill="auto"/>
            <w:vAlign w:val="center"/>
          </w:tcPr>
          <w:p w14:paraId="5624C77F">
            <w:pPr>
              <w:pStyle w:val="104"/>
              <w:adjustRightInd w:val="0"/>
              <w:snapToGrid w:val="0"/>
              <w:spacing w:line="240" w:lineRule="auto"/>
              <w:ind w:firstLine="0" w:firstLineChars="0"/>
              <w:jc w:val="center"/>
              <w:rPr>
                <w:sz w:val="21"/>
                <w:szCs w:val="21"/>
              </w:rPr>
            </w:pPr>
            <w:r>
              <w:rPr>
                <w:sz w:val="21"/>
                <w:szCs w:val="21"/>
              </w:rPr>
              <w:t>0%</w:t>
            </w:r>
          </w:p>
        </w:tc>
        <w:tc>
          <w:tcPr>
            <w:tcW w:w="1305" w:type="dxa"/>
            <w:shd w:val="clear" w:color="auto" w:fill="auto"/>
            <w:vAlign w:val="center"/>
          </w:tcPr>
          <w:p w14:paraId="0D06FE2F">
            <w:pPr>
              <w:pStyle w:val="104"/>
              <w:adjustRightInd w:val="0"/>
              <w:snapToGrid w:val="0"/>
              <w:spacing w:line="240" w:lineRule="auto"/>
              <w:ind w:firstLine="0" w:firstLineChars="0"/>
              <w:jc w:val="center"/>
              <w:rPr>
                <w:sz w:val="21"/>
                <w:szCs w:val="21"/>
              </w:rPr>
            </w:pPr>
            <w:r>
              <w:rPr>
                <w:sz w:val="21"/>
                <w:szCs w:val="21"/>
              </w:rPr>
              <w:t>66.7%</w:t>
            </w:r>
          </w:p>
        </w:tc>
        <w:tc>
          <w:tcPr>
            <w:tcW w:w="1320" w:type="dxa"/>
            <w:shd w:val="clear" w:color="auto" w:fill="auto"/>
            <w:vAlign w:val="center"/>
          </w:tcPr>
          <w:p w14:paraId="009003B2">
            <w:pPr>
              <w:pStyle w:val="104"/>
              <w:adjustRightInd w:val="0"/>
              <w:snapToGrid w:val="0"/>
              <w:spacing w:line="240" w:lineRule="auto"/>
              <w:ind w:firstLine="0" w:firstLineChars="0"/>
              <w:jc w:val="center"/>
              <w:rPr>
                <w:sz w:val="21"/>
                <w:szCs w:val="21"/>
              </w:rPr>
            </w:pPr>
            <w:r>
              <w:rPr>
                <w:sz w:val="21"/>
                <w:szCs w:val="21"/>
              </w:rPr>
              <w:t>27.3%</w:t>
            </w:r>
          </w:p>
        </w:tc>
        <w:tc>
          <w:tcPr>
            <w:tcW w:w="1031" w:type="dxa"/>
            <w:shd w:val="clear" w:color="auto" w:fill="auto"/>
            <w:vAlign w:val="center"/>
          </w:tcPr>
          <w:p w14:paraId="523D8792">
            <w:pPr>
              <w:pStyle w:val="104"/>
              <w:adjustRightInd w:val="0"/>
              <w:snapToGrid w:val="0"/>
              <w:spacing w:line="240" w:lineRule="auto"/>
              <w:ind w:firstLine="0" w:firstLineChars="0"/>
              <w:jc w:val="center"/>
              <w:rPr>
                <w:sz w:val="21"/>
                <w:szCs w:val="21"/>
              </w:rPr>
            </w:pPr>
            <w:r>
              <w:rPr>
                <w:rFonts w:hint="eastAsia"/>
                <w:sz w:val="21"/>
                <w:szCs w:val="21"/>
              </w:rPr>
              <w:t>/</w:t>
            </w:r>
          </w:p>
        </w:tc>
      </w:tr>
      <w:tr w14:paraId="3ED59009">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cantSplit/>
          <w:trHeight w:val="522" w:hRule="exact"/>
        </w:trPr>
        <w:tc>
          <w:tcPr>
            <w:tcW w:w="1417" w:type="dxa"/>
            <w:shd w:val="clear" w:color="auto" w:fill="auto"/>
            <w:vAlign w:val="center"/>
          </w:tcPr>
          <w:p w14:paraId="1121DC30">
            <w:pPr>
              <w:pStyle w:val="104"/>
              <w:adjustRightInd w:val="0"/>
              <w:snapToGrid w:val="0"/>
              <w:spacing w:line="240" w:lineRule="auto"/>
              <w:ind w:firstLine="0" w:firstLineChars="0"/>
              <w:jc w:val="center"/>
              <w:rPr>
                <w:sz w:val="21"/>
                <w:szCs w:val="21"/>
              </w:rPr>
            </w:pPr>
            <w:r>
              <w:rPr>
                <w:sz w:val="21"/>
                <w:szCs w:val="21"/>
              </w:rPr>
              <w:t>标准</w:t>
            </w:r>
          </w:p>
        </w:tc>
        <w:tc>
          <w:tcPr>
            <w:tcW w:w="1486" w:type="dxa"/>
            <w:shd w:val="clear" w:color="auto" w:fill="auto"/>
            <w:vAlign w:val="center"/>
          </w:tcPr>
          <w:p w14:paraId="426427D8">
            <w:pPr>
              <w:pStyle w:val="104"/>
              <w:adjustRightInd w:val="0"/>
              <w:snapToGrid w:val="0"/>
              <w:spacing w:line="240" w:lineRule="auto"/>
              <w:ind w:firstLine="0" w:firstLineChars="0"/>
              <w:jc w:val="center"/>
              <w:rPr>
                <w:sz w:val="21"/>
                <w:szCs w:val="21"/>
              </w:rPr>
            </w:pPr>
            <w:r>
              <w:rPr>
                <w:sz w:val="21"/>
                <w:szCs w:val="21"/>
              </w:rPr>
              <w:t>标准</w:t>
            </w:r>
          </w:p>
        </w:tc>
        <w:tc>
          <w:tcPr>
            <w:tcW w:w="1505" w:type="dxa"/>
            <w:shd w:val="clear" w:color="auto" w:fill="auto"/>
            <w:vAlign w:val="center"/>
          </w:tcPr>
          <w:p w14:paraId="0ACFA807">
            <w:pPr>
              <w:pStyle w:val="104"/>
              <w:adjustRightInd w:val="0"/>
              <w:snapToGrid w:val="0"/>
              <w:spacing w:line="240" w:lineRule="auto"/>
              <w:ind w:firstLine="0" w:firstLineChars="0"/>
              <w:jc w:val="center"/>
              <w:rPr>
                <w:sz w:val="21"/>
                <w:szCs w:val="21"/>
              </w:rPr>
            </w:pPr>
            <w:r>
              <w:rPr>
                <w:sz w:val="21"/>
                <w:szCs w:val="21"/>
              </w:rPr>
              <w:t>≤</w:t>
            </w:r>
            <w:r>
              <w:rPr>
                <w:rFonts w:hint="eastAsia"/>
                <w:sz w:val="21"/>
                <w:szCs w:val="21"/>
              </w:rPr>
              <w:t>10</w:t>
            </w:r>
          </w:p>
        </w:tc>
        <w:tc>
          <w:tcPr>
            <w:tcW w:w="1398" w:type="dxa"/>
            <w:shd w:val="clear" w:color="auto" w:fill="auto"/>
            <w:vAlign w:val="center"/>
          </w:tcPr>
          <w:p w14:paraId="2412EEDE">
            <w:pPr>
              <w:pStyle w:val="104"/>
              <w:adjustRightInd w:val="0"/>
              <w:snapToGrid w:val="0"/>
              <w:spacing w:line="240" w:lineRule="auto"/>
              <w:ind w:firstLine="0" w:firstLineChars="0"/>
              <w:jc w:val="center"/>
              <w:rPr>
                <w:sz w:val="21"/>
                <w:szCs w:val="21"/>
              </w:rPr>
            </w:pPr>
            <w:r>
              <w:rPr>
                <w:sz w:val="21"/>
                <w:szCs w:val="21"/>
              </w:rPr>
              <w:t>≤</w:t>
            </w:r>
            <w:r>
              <w:rPr>
                <w:rFonts w:hint="eastAsia"/>
                <w:sz w:val="21"/>
                <w:szCs w:val="21"/>
              </w:rPr>
              <w:t>8</w:t>
            </w:r>
          </w:p>
        </w:tc>
        <w:tc>
          <w:tcPr>
            <w:tcW w:w="1305" w:type="dxa"/>
            <w:shd w:val="clear" w:color="auto" w:fill="auto"/>
            <w:vAlign w:val="center"/>
          </w:tcPr>
          <w:p w14:paraId="32CE0AEF">
            <w:pPr>
              <w:pStyle w:val="104"/>
              <w:adjustRightInd w:val="0"/>
              <w:snapToGrid w:val="0"/>
              <w:spacing w:line="240" w:lineRule="auto"/>
              <w:ind w:firstLine="0" w:firstLineChars="0"/>
              <w:jc w:val="center"/>
              <w:rPr>
                <w:sz w:val="21"/>
                <w:szCs w:val="21"/>
              </w:rPr>
            </w:pPr>
            <w:r>
              <w:rPr>
                <w:rFonts w:hint="eastAsia"/>
                <w:sz w:val="21"/>
                <w:szCs w:val="21"/>
              </w:rPr>
              <w:t>/</w:t>
            </w:r>
          </w:p>
        </w:tc>
        <w:tc>
          <w:tcPr>
            <w:tcW w:w="1320" w:type="dxa"/>
            <w:shd w:val="clear" w:color="auto" w:fill="auto"/>
            <w:vAlign w:val="center"/>
          </w:tcPr>
          <w:p w14:paraId="0EC2E7CD">
            <w:pPr>
              <w:pStyle w:val="104"/>
              <w:adjustRightInd w:val="0"/>
              <w:snapToGrid w:val="0"/>
              <w:spacing w:line="240" w:lineRule="auto"/>
              <w:ind w:firstLine="0" w:firstLineChars="0"/>
              <w:jc w:val="center"/>
              <w:rPr>
                <w:sz w:val="21"/>
                <w:szCs w:val="21"/>
              </w:rPr>
            </w:pPr>
            <w:r>
              <w:rPr>
                <w:sz w:val="21"/>
                <w:szCs w:val="21"/>
              </w:rPr>
              <w:t>≤10</w:t>
            </w:r>
          </w:p>
        </w:tc>
        <w:tc>
          <w:tcPr>
            <w:tcW w:w="1031" w:type="dxa"/>
            <w:shd w:val="clear" w:color="auto" w:fill="auto"/>
            <w:vAlign w:val="center"/>
          </w:tcPr>
          <w:p w14:paraId="74E91FFF">
            <w:pPr>
              <w:pStyle w:val="104"/>
              <w:adjustRightInd w:val="0"/>
              <w:snapToGrid w:val="0"/>
              <w:spacing w:line="240" w:lineRule="auto"/>
              <w:ind w:firstLine="0" w:firstLineChars="0"/>
              <w:jc w:val="center"/>
              <w:rPr>
                <w:sz w:val="21"/>
                <w:szCs w:val="21"/>
              </w:rPr>
            </w:pPr>
            <w:r>
              <w:rPr>
                <w:sz w:val="21"/>
                <w:szCs w:val="21"/>
              </w:rPr>
              <w:t>6-9</w:t>
            </w:r>
          </w:p>
        </w:tc>
      </w:tr>
    </w:tbl>
    <w:p w14:paraId="468FDD37">
      <w:pPr>
        <w:pStyle w:val="230"/>
        <w:ind w:firstLine="480"/>
        <w:rPr>
          <w:rFonts w:eastAsia="TimesNewRomanPS-BoldMT"/>
          <w:bCs/>
          <w:lang w:eastAsia="zh-CN"/>
        </w:rPr>
      </w:pPr>
      <w:r>
        <w:rPr>
          <w:rFonts w:hint="eastAsia" w:eastAsia="TimesNewRomanPS-BoldMT"/>
          <w:bCs/>
          <w:lang w:eastAsia="zh-CN"/>
        </w:rPr>
        <w:t>有上表可知，本项目采用的污水处理工艺可满足</w:t>
      </w:r>
      <w:r>
        <w:rPr>
          <w:lang w:eastAsia="zh-CN"/>
        </w:rPr>
        <w:t>《城市污水再生利用城市杂用水水质》（GB/T 18920-2020）</w:t>
      </w:r>
      <w:r>
        <w:rPr>
          <w:rFonts w:hint="eastAsia"/>
          <w:lang w:eastAsia="zh-CN"/>
        </w:rPr>
        <w:t>中城市绿化限制要求。</w:t>
      </w:r>
    </w:p>
    <w:p w14:paraId="0025371C">
      <w:pPr>
        <w:pStyle w:val="230"/>
        <w:ind w:firstLine="480"/>
        <w:rPr>
          <w:lang w:eastAsia="zh-CN"/>
        </w:rPr>
      </w:pPr>
      <w:r>
        <w:rPr>
          <w:rFonts w:eastAsia="TimesNewRomanPS-BoldMT"/>
          <w:bCs/>
          <w:lang w:eastAsia="zh-CN"/>
        </w:rPr>
        <w:t>3</w:t>
      </w:r>
      <w:r>
        <w:rPr>
          <w:bCs/>
          <w:lang w:eastAsia="zh-CN"/>
        </w:rPr>
        <w:t>、</w:t>
      </w:r>
      <w:r>
        <w:rPr>
          <w:lang w:eastAsia="zh-CN"/>
        </w:rPr>
        <w:t>废水处理应急措施</w:t>
      </w:r>
    </w:p>
    <w:p w14:paraId="2E7C2311">
      <w:pPr>
        <w:pStyle w:val="230"/>
        <w:ind w:firstLine="480"/>
        <w:rPr>
          <w:lang w:eastAsia="zh-CN"/>
        </w:rPr>
      </w:pPr>
      <w:r>
        <w:rPr>
          <w:lang w:eastAsia="zh-CN"/>
        </w:rPr>
        <w:t>本工程废水总的特点是：有机物含量较高。当废水处理系统因设备、管件更换，或其它原因，造成废水处理设施暂时不能正常运行、不能达到预期处理效果时，对地表水环境造成污染，这是环保法所不允许的。为防止这种情况出现，本环评要求：为防止项目废水事故排放，要求运营单位应加强企业管理，当处理效率达不到标准时应及时处置，避免事故排放情况的发生，本项目设有</w:t>
      </w:r>
      <w:r>
        <w:rPr>
          <w:rFonts w:eastAsia="TimesNewRomanPSMT"/>
          <w:lang w:eastAsia="zh-CN"/>
        </w:rPr>
        <w:t>1</w:t>
      </w:r>
      <w:r>
        <w:rPr>
          <w:lang w:eastAsia="zh-CN"/>
        </w:rPr>
        <w:t>个应急池，总容积12</w:t>
      </w:r>
      <w:r>
        <w:rPr>
          <w:rFonts w:eastAsia="TimesNewRomanPSMT"/>
          <w:lang w:eastAsia="zh-CN"/>
        </w:rPr>
        <w:t>00m</w:t>
      </w:r>
      <w:r>
        <w:rPr>
          <w:vertAlign w:val="superscript"/>
          <w:lang w:eastAsia="zh-CN"/>
        </w:rPr>
        <w:t>3</w:t>
      </w:r>
      <w:r>
        <w:rPr>
          <w:lang w:eastAsia="zh-CN"/>
        </w:rPr>
        <w:t>。按不利情况，考虑鸡舍冲洗时产生的废水量最大，此时最大废水量为1100</w:t>
      </w:r>
      <w:r>
        <w:rPr>
          <w:rFonts w:eastAsia="TimesNewRomanPSMT"/>
          <w:lang w:eastAsia="zh-CN"/>
        </w:rPr>
        <w:t>m</w:t>
      </w:r>
      <w:r>
        <w:rPr>
          <w:vertAlign w:val="superscript"/>
          <w:lang w:eastAsia="zh-CN"/>
        </w:rPr>
        <w:t>3</w:t>
      </w:r>
      <w:r>
        <w:rPr>
          <w:rFonts w:eastAsia="TimesNewRomanPSMT"/>
          <w:lang w:eastAsia="zh-CN"/>
        </w:rPr>
        <w:t>/d</w:t>
      </w:r>
      <w:r>
        <w:rPr>
          <w:lang w:eastAsia="zh-CN"/>
        </w:rPr>
        <w:t>，经收集后能够全部排入地势低处的事故应急池中，事故水池需做好防渗，在厂区设置环形截流沟，将场区地面初期雨水和废水收集进污水处理系统或事故池，杜绝事故废水外排。</w:t>
      </w:r>
    </w:p>
    <w:p w14:paraId="3F235041">
      <w:pPr>
        <w:pStyle w:val="104"/>
      </w:pPr>
      <w:r>
        <w:t>4、雨水分流措施</w:t>
      </w:r>
    </w:p>
    <w:p w14:paraId="0F0E3CA7">
      <w:pPr>
        <w:pStyle w:val="104"/>
      </w:pPr>
      <w:r>
        <w:t>养殖场要求车辆进出进行清洗消毒、办公综合管理用房、蛋品车间均为密闭空间。场区加强管理下卫生较洁净，因此不考虑以上区域的初期雨水。厂区脏道主要用来运输鸡粪、散落羽毛及饲料残渣、不合格蛋品，故对脏道的初期雨水进行收集处理。环评建议采用“雨水弃流过滤装置”对雨水进行分流处理，雨水弃流过滤装置上端连接雨水沟，下端连接雨水管，初期雨水流量较小，初期雨水因重力作用，直接通过低位敞开的雨水沟排放至雨水</w:t>
      </w:r>
      <w:r>
        <w:rPr>
          <w:rFonts w:hint="eastAsia"/>
        </w:rPr>
        <w:t>收集</w:t>
      </w:r>
      <w:r>
        <w:t>池</w:t>
      </w:r>
      <w:r>
        <w:rPr>
          <w:rFonts w:hint="eastAsia"/>
        </w:rPr>
        <w:t>（200m</w:t>
      </w:r>
      <w:r>
        <w:rPr>
          <w:rFonts w:hint="eastAsia"/>
          <w:vertAlign w:val="superscript"/>
        </w:rPr>
        <w:t>3</w:t>
      </w:r>
      <w:r>
        <w:rPr>
          <w:rFonts w:hint="eastAsia"/>
        </w:rPr>
        <w:t>）。</w:t>
      </w:r>
    </w:p>
    <w:p w14:paraId="116BE92D">
      <w:pPr>
        <w:pStyle w:val="104"/>
      </w:pPr>
      <w:r>
        <w:t>5、废水处理运行管理建议措施</w:t>
      </w:r>
    </w:p>
    <w:p w14:paraId="0B0D0CE1">
      <w:pPr>
        <w:pStyle w:val="104"/>
      </w:pPr>
      <w:r>
        <w:t>从废水处理技术上讲，虽然采用的处理技术成熟、可靠，但管理及运行人员的技术水平和管理经验，可直接影响处理设施的运行效果，因此，建议采取以下措施：</w:t>
      </w:r>
    </w:p>
    <w:p w14:paraId="1C6A7DBB">
      <w:pPr>
        <w:pStyle w:val="104"/>
      </w:pPr>
      <w:r>
        <w:t>1）尽早着手管理人员和运行人员的培训，加强设备定期检修和运行管理，确保设备在良好状态下运行。</w:t>
      </w:r>
    </w:p>
    <w:p w14:paraId="765D4283">
      <w:pPr>
        <w:pStyle w:val="104"/>
      </w:pPr>
      <w:r>
        <w:t>2）制订规章制度和操作规程，建立与企业管理模式相适应的环保管理机构。</w:t>
      </w:r>
    </w:p>
    <w:p w14:paraId="7E8B7439">
      <w:pPr>
        <w:pStyle w:val="104"/>
      </w:pPr>
      <w:r>
        <w:t>3）加强生产管理，推广清洁生产，加强节约用水，将用水指标控制到每道工序，避免处理设施在超负荷下运行。</w:t>
      </w:r>
    </w:p>
    <w:p w14:paraId="2061F96C">
      <w:pPr>
        <w:pStyle w:val="104"/>
      </w:pPr>
      <w:r>
        <w:t>4）建立污水处理设施运行台账制度，污水处理系统管网尽量明管铺设。</w:t>
      </w:r>
    </w:p>
    <w:p w14:paraId="1D880BBD">
      <w:pPr>
        <w:pStyle w:val="104"/>
      </w:pPr>
      <w:r>
        <w:t>5）要求采取有效措施，对项目养殖场地（包括场内道路等）进行硬化，设置环形截流沟，收集场区生活用水、鸡舍清洗用水、饲养设备冲洗水等，杜绝污染物外排。</w:t>
      </w:r>
    </w:p>
    <w:p w14:paraId="0418EF09">
      <w:pPr>
        <w:pStyle w:val="11"/>
      </w:pPr>
      <w:bookmarkStart w:id="525" w:name="_Toc166572357"/>
      <w:r>
        <w:t>7.2.3 地下水环境污染防治措施</w:t>
      </w:r>
      <w:bookmarkEnd w:id="525"/>
    </w:p>
    <w:p w14:paraId="17DE0625">
      <w:pPr>
        <w:pStyle w:val="104"/>
      </w:pPr>
      <w:r>
        <w:t>为了防治本项目废水对地下水产生影响，根据《畜禽养殖场（小区）环境守法导则》中相关防治内容，建设单位应该采取以下措施防治项目在营运期对地下水产生影响：</w:t>
      </w:r>
    </w:p>
    <w:p w14:paraId="094DAA59">
      <w:pPr>
        <w:pStyle w:val="104"/>
      </w:pPr>
      <w:r>
        <w:t>1、源头控制</w:t>
      </w:r>
    </w:p>
    <w:p w14:paraId="1C3EA4D6">
      <w:pPr>
        <w:pStyle w:val="104"/>
      </w:pPr>
      <w:r>
        <w:t>主要包括在工艺、管道、设备、废水处理设施采取相应措施，防止和降低污染物跑、冒、滴、漏，将污染物泄漏的环境风险事故降到最低程度；管线敷设尽量采用“可视化”原则，即管道尽可能地上敷设，做到污染物“早发现、早处理”，减少由于埋地管道泄漏而造成的地下水污染。具体措施如下：</w:t>
      </w:r>
      <w:r>
        <w:rPr>
          <w:rFonts w:hint="eastAsia"/>
        </w:rPr>
        <w:t xml:space="preserve"> </w:t>
      </w:r>
    </w:p>
    <w:p w14:paraId="27A39159">
      <w:pPr>
        <w:pStyle w:val="104"/>
      </w:pPr>
      <w:r>
        <w:rPr>
          <w:rFonts w:hint="eastAsia" w:ascii="宋体" w:hAnsi="宋体" w:cs="宋体"/>
        </w:rPr>
        <w:t>①</w:t>
      </w:r>
      <w:r>
        <w:t>在管道、设备均采取混凝土浇注防渗，定期巡检，防止和降低污染物跑、冒、滴、漏，将污染物泄漏的环境风险事故降到最低程度。</w:t>
      </w:r>
    </w:p>
    <w:p w14:paraId="6934AD60">
      <w:pPr>
        <w:pStyle w:val="104"/>
      </w:pPr>
      <w:r>
        <w:rPr>
          <w:rFonts w:hint="eastAsia" w:ascii="宋体" w:hAnsi="宋体" w:cs="宋体"/>
        </w:rPr>
        <w:t>②</w:t>
      </w:r>
      <w:r>
        <w:t>禁止在厂区内任意设置排污口，禁止污水流入外环境。</w:t>
      </w:r>
    </w:p>
    <w:p w14:paraId="3568E56A">
      <w:pPr>
        <w:pStyle w:val="104"/>
      </w:pPr>
      <w:r>
        <w:rPr>
          <w:rFonts w:hint="eastAsia" w:ascii="宋体" w:hAnsi="宋体" w:cs="宋体"/>
        </w:rPr>
        <w:t>③</w:t>
      </w:r>
      <w:r>
        <w:t>厂区地面进行硬化措施，防治废水的二次污染。</w:t>
      </w:r>
    </w:p>
    <w:p w14:paraId="3995800C">
      <w:pPr>
        <w:pStyle w:val="104"/>
      </w:pPr>
      <w:r>
        <w:t>2、分区防渗措施</w:t>
      </w:r>
    </w:p>
    <w:p w14:paraId="0BF5BFF2">
      <w:pPr>
        <w:pStyle w:val="104"/>
      </w:pPr>
      <w:r>
        <w:t>为防止场区废水、固废对土壤和地下水造成污染，拟采取的具体措施如下：按重点防渗区、一般污染防治区和非污染区防渗措施有区别的防渗原则。项目的分区防渗情况见下表。</w:t>
      </w:r>
    </w:p>
    <w:p w14:paraId="054A0602">
      <w:pPr>
        <w:pStyle w:val="104"/>
      </w:pPr>
      <w:r>
        <w:rPr>
          <w:rFonts w:hint="eastAsia"/>
        </w:rPr>
        <w:t>（1）诊疗废弃物暂存间</w:t>
      </w:r>
    </w:p>
    <w:p w14:paraId="4A7A8AB9">
      <w:pPr>
        <w:pStyle w:val="104"/>
      </w:pPr>
      <w:r>
        <w:rPr>
          <w:rFonts w:hint="eastAsia"/>
        </w:rPr>
        <w:t>本项目诊疗废弃物暂存间按照</w:t>
      </w:r>
      <w:r>
        <w:rPr>
          <w:szCs w:val="32"/>
        </w:rPr>
        <w:t>《危险废物贮存污染物控制标准》（GB18597-2023）</w:t>
      </w:r>
      <w:r>
        <w:rPr>
          <w:rFonts w:hint="eastAsia"/>
          <w:szCs w:val="32"/>
        </w:rPr>
        <w:t>进行管理建设。</w:t>
      </w:r>
    </w:p>
    <w:p w14:paraId="4C5A88F3">
      <w:pPr>
        <w:pStyle w:val="104"/>
      </w:pPr>
      <w:r>
        <w:t>（</w:t>
      </w:r>
      <w:r>
        <w:rPr>
          <w:rFonts w:hint="eastAsia"/>
        </w:rPr>
        <w:t>2</w:t>
      </w:r>
      <w:r>
        <w:t>）重点防渗区</w:t>
      </w:r>
    </w:p>
    <w:p w14:paraId="243A865D">
      <w:pPr>
        <w:pStyle w:val="230"/>
        <w:ind w:firstLine="480"/>
        <w:rPr>
          <w:lang w:eastAsia="zh-CN"/>
        </w:rPr>
      </w:pPr>
      <w:r>
        <w:rPr>
          <w:rFonts w:hint="eastAsia"/>
          <w:lang w:eastAsia="zh-CN"/>
        </w:rPr>
        <w:t>本项目重点防渗区包括</w:t>
      </w:r>
      <w:r>
        <w:rPr>
          <w:lang w:eastAsia="zh-CN"/>
        </w:rPr>
        <w:t>污水处理设施、</w:t>
      </w:r>
      <w:r>
        <w:rPr>
          <w:rFonts w:hint="eastAsia"/>
          <w:lang w:eastAsia="zh-CN"/>
        </w:rPr>
        <w:t>有机肥加工车间</w:t>
      </w:r>
      <w:r>
        <w:rPr>
          <w:lang w:eastAsia="zh-CN"/>
        </w:rPr>
        <w:t>。防渗要求为：等效黏土防渗层Mb≥6.0mm，K≤1.0×10</w:t>
      </w:r>
      <w:r>
        <w:rPr>
          <w:vertAlign w:val="superscript"/>
          <w:lang w:eastAsia="zh-CN"/>
        </w:rPr>
        <w:t>-10</w:t>
      </w:r>
      <w:r>
        <w:rPr>
          <w:lang w:eastAsia="zh-CN"/>
        </w:rPr>
        <w:t>cm/s或参照GB18598执行。建议采用“混凝土基础层+2mmHDPE+混凝土保护层+环氧防腐涂料”进行防渗。</w:t>
      </w:r>
    </w:p>
    <w:p w14:paraId="58E3FC48">
      <w:pPr>
        <w:pStyle w:val="104"/>
      </w:pPr>
      <w:r>
        <w:t>（</w:t>
      </w:r>
      <w:r>
        <w:rPr>
          <w:rFonts w:hint="eastAsia"/>
        </w:rPr>
        <w:t>3</w:t>
      </w:r>
      <w:r>
        <w:t>）一般防渗区</w:t>
      </w:r>
    </w:p>
    <w:p w14:paraId="65EEC71E">
      <w:pPr>
        <w:pStyle w:val="104"/>
      </w:pPr>
      <w:r>
        <w:t>本项目一般防渗区包括</w:t>
      </w:r>
      <w:r>
        <w:rPr>
          <w:rFonts w:hint="eastAsia"/>
        </w:rPr>
        <w:t>储水池</w:t>
      </w:r>
      <w:r>
        <w:t>、</w:t>
      </w:r>
      <w:r>
        <w:rPr>
          <w:rFonts w:hint="eastAsia"/>
        </w:rPr>
        <w:t>应急水池</w:t>
      </w:r>
      <w:r>
        <w:t>、</w:t>
      </w:r>
      <w:r>
        <w:rPr>
          <w:rFonts w:hint="eastAsia"/>
        </w:rPr>
        <w:t>雨水收集池</w:t>
      </w:r>
      <w:r>
        <w:t>等，防渗要求为：等效黏土防渗层Mb≥1.50mm，K≤1.0×10</w:t>
      </w:r>
      <w:r>
        <w:rPr>
          <w:vertAlign w:val="superscript"/>
        </w:rPr>
        <w:t>-7</w:t>
      </w:r>
      <w:r>
        <w:t>cm/s或参照GB18598执行。</w:t>
      </w:r>
    </w:p>
    <w:p w14:paraId="302D9D57">
      <w:pPr>
        <w:pStyle w:val="104"/>
      </w:pPr>
      <w:r>
        <w:t>（</w:t>
      </w:r>
      <w:r>
        <w:rPr>
          <w:rFonts w:hint="eastAsia"/>
        </w:rPr>
        <w:t>4</w:t>
      </w:r>
      <w:r>
        <w:t>）简单防渗区</w:t>
      </w:r>
    </w:p>
    <w:p w14:paraId="407F34B6">
      <w:pPr>
        <w:pStyle w:val="104"/>
      </w:pPr>
      <w:r>
        <w:rPr>
          <w:rFonts w:hint="eastAsia"/>
        </w:rPr>
        <w:t>本项目简单防渗区包括养殖区</w:t>
      </w:r>
      <w:r>
        <w:t>、</w:t>
      </w:r>
      <w:r>
        <w:rPr>
          <w:rFonts w:hint="eastAsia"/>
        </w:rPr>
        <w:t>办公生活中心</w:t>
      </w:r>
      <w:r>
        <w:t>、</w:t>
      </w:r>
      <w:r>
        <w:rPr>
          <w:rFonts w:hint="eastAsia"/>
        </w:rPr>
        <w:t>饲料加工区、锅炉房、蛋品加工中心和道路；</w:t>
      </w:r>
      <w:r>
        <w:t>防渗要求：铺设10~15cm</w:t>
      </w:r>
      <w:r>
        <w:rPr>
          <w:rFonts w:hint="eastAsia"/>
        </w:rPr>
        <w:t>混凝土</w:t>
      </w:r>
      <w:r>
        <w:t>地面进行一般地面硬化的简单防渗。</w:t>
      </w:r>
    </w:p>
    <w:p w14:paraId="4E6BCAF1">
      <w:pPr>
        <w:pStyle w:val="369"/>
      </w:pPr>
      <w:r>
        <w:t>表7.2-</w:t>
      </w:r>
      <w:r>
        <w:rPr>
          <w:rFonts w:hint="eastAsia"/>
        </w:rPr>
        <w:t>5</w:t>
      </w:r>
      <w:r>
        <w:t xml:space="preserve">  地下水分区防渗划分一览表</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990"/>
        <w:gridCol w:w="3082"/>
        <w:gridCol w:w="2508"/>
      </w:tblGrid>
      <w:tr w14:paraId="4E14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4367EABE">
            <w:pPr>
              <w:pStyle w:val="369"/>
              <w:rPr>
                <w:b w:val="0"/>
                <w:bCs/>
                <w:sz w:val="21"/>
                <w:szCs w:val="21"/>
              </w:rPr>
            </w:pPr>
            <w:r>
              <w:rPr>
                <w:rFonts w:hint="eastAsia"/>
                <w:b w:val="0"/>
                <w:bCs/>
                <w:sz w:val="21"/>
                <w:szCs w:val="21"/>
              </w:rPr>
              <w:t>防渗分区</w:t>
            </w:r>
          </w:p>
        </w:tc>
        <w:tc>
          <w:tcPr>
            <w:tcW w:w="1990" w:type="dxa"/>
            <w:vAlign w:val="center"/>
          </w:tcPr>
          <w:p w14:paraId="7A85BAC5">
            <w:pPr>
              <w:pStyle w:val="369"/>
              <w:rPr>
                <w:b w:val="0"/>
                <w:bCs/>
                <w:sz w:val="21"/>
                <w:szCs w:val="21"/>
              </w:rPr>
            </w:pPr>
            <w:r>
              <w:rPr>
                <w:rFonts w:hint="eastAsia"/>
                <w:b w:val="0"/>
                <w:bCs/>
                <w:sz w:val="21"/>
                <w:szCs w:val="21"/>
              </w:rPr>
              <w:t>本项目位置</w:t>
            </w:r>
          </w:p>
        </w:tc>
        <w:tc>
          <w:tcPr>
            <w:tcW w:w="3082" w:type="dxa"/>
            <w:vAlign w:val="center"/>
          </w:tcPr>
          <w:p w14:paraId="61D3EF70">
            <w:pPr>
              <w:pStyle w:val="369"/>
              <w:rPr>
                <w:b w:val="0"/>
                <w:bCs/>
                <w:sz w:val="21"/>
                <w:szCs w:val="21"/>
              </w:rPr>
            </w:pPr>
            <w:r>
              <w:rPr>
                <w:rFonts w:hint="eastAsia"/>
                <w:b w:val="0"/>
                <w:bCs/>
                <w:sz w:val="21"/>
                <w:szCs w:val="21"/>
              </w:rPr>
              <w:t>防渗技术要求</w:t>
            </w:r>
          </w:p>
        </w:tc>
        <w:tc>
          <w:tcPr>
            <w:tcW w:w="2508" w:type="dxa"/>
            <w:vAlign w:val="center"/>
          </w:tcPr>
          <w:p w14:paraId="3DB01EAC">
            <w:pPr>
              <w:pStyle w:val="369"/>
              <w:rPr>
                <w:b w:val="0"/>
                <w:bCs/>
                <w:sz w:val="21"/>
                <w:szCs w:val="21"/>
              </w:rPr>
            </w:pPr>
            <w:r>
              <w:rPr>
                <w:rFonts w:hint="eastAsia"/>
                <w:b w:val="0"/>
                <w:bCs/>
                <w:sz w:val="21"/>
                <w:szCs w:val="21"/>
              </w:rPr>
              <w:t>防渗措施</w:t>
            </w:r>
          </w:p>
        </w:tc>
      </w:tr>
      <w:tr w14:paraId="62E2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1E1575F7">
            <w:pPr>
              <w:pStyle w:val="369"/>
              <w:rPr>
                <w:b w:val="0"/>
                <w:bCs/>
                <w:sz w:val="21"/>
                <w:szCs w:val="21"/>
              </w:rPr>
            </w:pPr>
            <w:r>
              <w:rPr>
                <w:rFonts w:hint="eastAsia"/>
                <w:b w:val="0"/>
                <w:bCs/>
                <w:sz w:val="21"/>
                <w:szCs w:val="21"/>
              </w:rPr>
              <w:t>诊疗废弃物暂存间</w:t>
            </w:r>
          </w:p>
        </w:tc>
        <w:tc>
          <w:tcPr>
            <w:tcW w:w="1990" w:type="dxa"/>
            <w:vAlign w:val="center"/>
          </w:tcPr>
          <w:p w14:paraId="17CC7A0D">
            <w:pPr>
              <w:pStyle w:val="369"/>
              <w:jc w:val="both"/>
              <w:rPr>
                <w:b w:val="0"/>
                <w:bCs/>
                <w:sz w:val="21"/>
                <w:szCs w:val="21"/>
              </w:rPr>
            </w:pPr>
            <w:r>
              <w:rPr>
                <w:rFonts w:hint="eastAsia"/>
                <w:b w:val="0"/>
                <w:bCs/>
                <w:sz w:val="21"/>
                <w:szCs w:val="21"/>
              </w:rPr>
              <w:t>诊疗废弃物暂存间</w:t>
            </w:r>
          </w:p>
        </w:tc>
        <w:tc>
          <w:tcPr>
            <w:tcW w:w="3082" w:type="dxa"/>
            <w:vAlign w:val="center"/>
          </w:tcPr>
          <w:p w14:paraId="457FC4B0">
            <w:pPr>
              <w:pStyle w:val="369"/>
              <w:jc w:val="both"/>
              <w:rPr>
                <w:b w:val="0"/>
                <w:bCs/>
                <w:sz w:val="21"/>
                <w:szCs w:val="21"/>
              </w:rPr>
            </w:pPr>
            <w:r>
              <w:rPr>
                <w:b w:val="0"/>
                <w:bCs/>
                <w:sz w:val="21"/>
                <w:szCs w:val="21"/>
              </w:rPr>
              <w:t>《危险废物贮存污染物控制标准》（GB18597-2023）</w:t>
            </w:r>
          </w:p>
        </w:tc>
        <w:tc>
          <w:tcPr>
            <w:tcW w:w="2508" w:type="dxa"/>
            <w:vAlign w:val="center"/>
          </w:tcPr>
          <w:p w14:paraId="4953DCFA">
            <w:pPr>
              <w:pStyle w:val="369"/>
              <w:jc w:val="both"/>
              <w:rPr>
                <w:b w:val="0"/>
                <w:bCs/>
                <w:sz w:val="21"/>
                <w:szCs w:val="21"/>
              </w:rPr>
            </w:pPr>
            <w:r>
              <w:rPr>
                <w:rFonts w:hint="eastAsia"/>
                <w:b w:val="0"/>
                <w:bCs/>
                <w:sz w:val="21"/>
                <w:szCs w:val="21"/>
              </w:rPr>
              <w:t>采用10cm混凝土+2mm厚HDPE膜+10cm混凝土+环氧树脂漆</w:t>
            </w:r>
          </w:p>
        </w:tc>
      </w:tr>
      <w:tr w14:paraId="57AB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4E89EEF8">
            <w:pPr>
              <w:pStyle w:val="369"/>
              <w:rPr>
                <w:b w:val="0"/>
                <w:bCs/>
                <w:sz w:val="21"/>
                <w:szCs w:val="21"/>
              </w:rPr>
            </w:pPr>
            <w:r>
              <w:rPr>
                <w:rFonts w:hint="eastAsia"/>
                <w:b w:val="0"/>
                <w:bCs/>
                <w:sz w:val="21"/>
                <w:szCs w:val="21"/>
              </w:rPr>
              <w:t>重点防渗区</w:t>
            </w:r>
          </w:p>
        </w:tc>
        <w:tc>
          <w:tcPr>
            <w:tcW w:w="1990" w:type="dxa"/>
            <w:vAlign w:val="center"/>
          </w:tcPr>
          <w:p w14:paraId="3DE3413A">
            <w:pPr>
              <w:pStyle w:val="369"/>
              <w:jc w:val="both"/>
              <w:rPr>
                <w:b w:val="0"/>
                <w:bCs/>
                <w:sz w:val="21"/>
                <w:szCs w:val="21"/>
              </w:rPr>
            </w:pPr>
            <w:r>
              <w:rPr>
                <w:b w:val="0"/>
                <w:bCs/>
                <w:sz w:val="21"/>
                <w:szCs w:val="21"/>
              </w:rPr>
              <w:t>污水处理设施、</w:t>
            </w:r>
            <w:r>
              <w:rPr>
                <w:rFonts w:hint="eastAsia"/>
                <w:b w:val="0"/>
                <w:bCs/>
                <w:sz w:val="21"/>
                <w:szCs w:val="21"/>
              </w:rPr>
              <w:t>有机肥加工车间</w:t>
            </w:r>
          </w:p>
        </w:tc>
        <w:tc>
          <w:tcPr>
            <w:tcW w:w="3082" w:type="dxa"/>
            <w:vAlign w:val="center"/>
          </w:tcPr>
          <w:p w14:paraId="136D7138">
            <w:pPr>
              <w:pStyle w:val="369"/>
              <w:jc w:val="both"/>
              <w:rPr>
                <w:b w:val="0"/>
                <w:bCs/>
                <w:sz w:val="21"/>
                <w:szCs w:val="21"/>
              </w:rPr>
            </w:pPr>
            <w:r>
              <w:rPr>
                <w:b w:val="0"/>
                <w:bCs/>
                <w:sz w:val="21"/>
                <w:szCs w:val="21"/>
              </w:rPr>
              <w:t>等效黏土防渗层Mb≥6.0mm，K≤1.0×10</w:t>
            </w:r>
            <w:r>
              <w:rPr>
                <w:b w:val="0"/>
                <w:bCs/>
                <w:sz w:val="21"/>
                <w:szCs w:val="21"/>
                <w:vertAlign w:val="superscript"/>
              </w:rPr>
              <w:t>-10</w:t>
            </w:r>
            <w:r>
              <w:rPr>
                <w:b w:val="0"/>
                <w:bCs/>
                <w:sz w:val="21"/>
                <w:szCs w:val="21"/>
              </w:rPr>
              <w:t>cm/s或参照GB18598执行</w:t>
            </w:r>
          </w:p>
        </w:tc>
        <w:tc>
          <w:tcPr>
            <w:tcW w:w="2508" w:type="dxa"/>
            <w:vAlign w:val="center"/>
          </w:tcPr>
          <w:p w14:paraId="2C91AEFD">
            <w:pPr>
              <w:pStyle w:val="369"/>
              <w:jc w:val="both"/>
              <w:rPr>
                <w:b w:val="0"/>
                <w:bCs/>
                <w:sz w:val="21"/>
                <w:szCs w:val="21"/>
              </w:rPr>
            </w:pPr>
            <w:r>
              <w:rPr>
                <w:rFonts w:hint="eastAsia"/>
                <w:b w:val="0"/>
                <w:bCs/>
                <w:sz w:val="21"/>
                <w:szCs w:val="21"/>
              </w:rPr>
              <w:t>采用10cm混凝土+2mm厚HDPE膜+10cm混凝土</w:t>
            </w:r>
          </w:p>
        </w:tc>
      </w:tr>
      <w:tr w14:paraId="2C9E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0202780">
            <w:pPr>
              <w:pStyle w:val="369"/>
              <w:rPr>
                <w:b w:val="0"/>
                <w:bCs/>
                <w:sz w:val="21"/>
                <w:szCs w:val="21"/>
              </w:rPr>
            </w:pPr>
            <w:r>
              <w:rPr>
                <w:rFonts w:hint="eastAsia"/>
                <w:b w:val="0"/>
                <w:bCs/>
                <w:sz w:val="21"/>
                <w:szCs w:val="21"/>
              </w:rPr>
              <w:t>一般防渗区</w:t>
            </w:r>
          </w:p>
        </w:tc>
        <w:tc>
          <w:tcPr>
            <w:tcW w:w="1990" w:type="dxa"/>
            <w:vAlign w:val="center"/>
          </w:tcPr>
          <w:p w14:paraId="023F8B61">
            <w:pPr>
              <w:pStyle w:val="369"/>
              <w:jc w:val="both"/>
              <w:rPr>
                <w:b w:val="0"/>
                <w:bCs/>
                <w:sz w:val="21"/>
                <w:szCs w:val="21"/>
              </w:rPr>
            </w:pPr>
            <w:r>
              <w:rPr>
                <w:rFonts w:hint="eastAsia"/>
                <w:b w:val="0"/>
                <w:bCs/>
                <w:sz w:val="21"/>
                <w:szCs w:val="21"/>
              </w:rPr>
              <w:t>储水池</w:t>
            </w:r>
            <w:r>
              <w:rPr>
                <w:b w:val="0"/>
                <w:bCs/>
                <w:sz w:val="21"/>
                <w:szCs w:val="21"/>
              </w:rPr>
              <w:t>、</w:t>
            </w:r>
            <w:r>
              <w:rPr>
                <w:rFonts w:hint="eastAsia"/>
                <w:b w:val="0"/>
                <w:bCs/>
                <w:sz w:val="21"/>
                <w:szCs w:val="21"/>
              </w:rPr>
              <w:t>应急水池</w:t>
            </w:r>
            <w:r>
              <w:rPr>
                <w:b w:val="0"/>
                <w:bCs/>
                <w:sz w:val="21"/>
                <w:szCs w:val="21"/>
              </w:rPr>
              <w:t>、</w:t>
            </w:r>
            <w:r>
              <w:rPr>
                <w:rFonts w:hint="eastAsia"/>
                <w:b w:val="0"/>
                <w:bCs/>
                <w:sz w:val="21"/>
                <w:szCs w:val="21"/>
              </w:rPr>
              <w:t>雨水收集池</w:t>
            </w:r>
          </w:p>
        </w:tc>
        <w:tc>
          <w:tcPr>
            <w:tcW w:w="3082" w:type="dxa"/>
            <w:vAlign w:val="center"/>
          </w:tcPr>
          <w:p w14:paraId="790E3CEC">
            <w:pPr>
              <w:pStyle w:val="369"/>
              <w:jc w:val="both"/>
              <w:rPr>
                <w:b w:val="0"/>
                <w:bCs/>
                <w:sz w:val="21"/>
                <w:szCs w:val="21"/>
              </w:rPr>
            </w:pPr>
            <w:r>
              <w:rPr>
                <w:b w:val="0"/>
                <w:bCs/>
                <w:sz w:val="21"/>
                <w:szCs w:val="21"/>
              </w:rPr>
              <w:t>等效黏土防渗层Mb≥1.50mm，K≤1.0×10</w:t>
            </w:r>
            <w:r>
              <w:rPr>
                <w:b w:val="0"/>
                <w:bCs/>
                <w:sz w:val="21"/>
                <w:szCs w:val="21"/>
                <w:vertAlign w:val="superscript"/>
              </w:rPr>
              <w:t>-7</w:t>
            </w:r>
            <w:r>
              <w:rPr>
                <w:b w:val="0"/>
                <w:bCs/>
                <w:sz w:val="21"/>
                <w:szCs w:val="21"/>
              </w:rPr>
              <w:t>cm/s或参照GB18598执行</w:t>
            </w:r>
          </w:p>
        </w:tc>
        <w:tc>
          <w:tcPr>
            <w:tcW w:w="2508" w:type="dxa"/>
            <w:vAlign w:val="center"/>
          </w:tcPr>
          <w:p w14:paraId="44FFE570">
            <w:pPr>
              <w:pStyle w:val="369"/>
              <w:jc w:val="both"/>
              <w:rPr>
                <w:b w:val="0"/>
                <w:bCs/>
                <w:sz w:val="21"/>
                <w:szCs w:val="21"/>
              </w:rPr>
            </w:pPr>
            <w:r>
              <w:rPr>
                <w:rFonts w:hint="eastAsia"/>
                <w:b w:val="0"/>
                <w:bCs/>
                <w:sz w:val="21"/>
                <w:szCs w:val="21"/>
              </w:rPr>
              <w:t>采用20cm厚防渗混凝土浇筑成型</w:t>
            </w:r>
          </w:p>
        </w:tc>
      </w:tr>
      <w:tr w14:paraId="705B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7EF3E0B0">
            <w:pPr>
              <w:pStyle w:val="369"/>
              <w:rPr>
                <w:b w:val="0"/>
                <w:bCs/>
                <w:sz w:val="21"/>
                <w:szCs w:val="21"/>
              </w:rPr>
            </w:pPr>
            <w:r>
              <w:rPr>
                <w:rFonts w:hint="eastAsia"/>
                <w:b w:val="0"/>
                <w:bCs/>
                <w:sz w:val="21"/>
                <w:szCs w:val="21"/>
              </w:rPr>
              <w:t>简单防渗区</w:t>
            </w:r>
          </w:p>
        </w:tc>
        <w:tc>
          <w:tcPr>
            <w:tcW w:w="1990" w:type="dxa"/>
            <w:vAlign w:val="center"/>
          </w:tcPr>
          <w:p w14:paraId="042C5E57">
            <w:pPr>
              <w:pStyle w:val="369"/>
              <w:jc w:val="both"/>
              <w:rPr>
                <w:b w:val="0"/>
                <w:bCs/>
                <w:sz w:val="21"/>
                <w:szCs w:val="21"/>
              </w:rPr>
            </w:pPr>
            <w:r>
              <w:rPr>
                <w:rFonts w:hint="eastAsia"/>
                <w:b w:val="0"/>
                <w:bCs/>
                <w:sz w:val="21"/>
                <w:szCs w:val="21"/>
              </w:rPr>
              <w:t>养殖区</w:t>
            </w:r>
            <w:r>
              <w:rPr>
                <w:b w:val="0"/>
                <w:bCs/>
                <w:sz w:val="21"/>
                <w:szCs w:val="21"/>
              </w:rPr>
              <w:t>、</w:t>
            </w:r>
            <w:r>
              <w:rPr>
                <w:rFonts w:hint="eastAsia"/>
                <w:b w:val="0"/>
                <w:bCs/>
                <w:sz w:val="21"/>
                <w:szCs w:val="21"/>
              </w:rPr>
              <w:t>办公生活中心</w:t>
            </w:r>
            <w:r>
              <w:rPr>
                <w:b w:val="0"/>
                <w:bCs/>
                <w:sz w:val="21"/>
                <w:szCs w:val="21"/>
              </w:rPr>
              <w:t>、</w:t>
            </w:r>
            <w:r>
              <w:rPr>
                <w:rFonts w:hint="eastAsia"/>
                <w:b w:val="0"/>
                <w:bCs/>
                <w:sz w:val="21"/>
                <w:szCs w:val="21"/>
              </w:rPr>
              <w:t>饲料加工区、锅炉房、蛋品加工中心和道路</w:t>
            </w:r>
          </w:p>
        </w:tc>
        <w:tc>
          <w:tcPr>
            <w:tcW w:w="3082" w:type="dxa"/>
            <w:vAlign w:val="center"/>
          </w:tcPr>
          <w:p w14:paraId="15CA2B8E">
            <w:pPr>
              <w:pStyle w:val="369"/>
              <w:rPr>
                <w:b w:val="0"/>
                <w:bCs/>
                <w:sz w:val="21"/>
                <w:szCs w:val="21"/>
              </w:rPr>
            </w:pPr>
            <w:r>
              <w:rPr>
                <w:rFonts w:hint="eastAsia"/>
                <w:b w:val="0"/>
                <w:bCs/>
                <w:sz w:val="21"/>
                <w:szCs w:val="21"/>
              </w:rPr>
              <w:t>一般地面硬化</w:t>
            </w:r>
          </w:p>
        </w:tc>
        <w:tc>
          <w:tcPr>
            <w:tcW w:w="2508" w:type="dxa"/>
            <w:vAlign w:val="center"/>
          </w:tcPr>
          <w:p w14:paraId="31A1935C">
            <w:pPr>
              <w:pStyle w:val="369"/>
              <w:rPr>
                <w:b w:val="0"/>
                <w:bCs/>
                <w:sz w:val="21"/>
                <w:szCs w:val="21"/>
              </w:rPr>
            </w:pPr>
            <w:r>
              <w:rPr>
                <w:b w:val="0"/>
                <w:bCs/>
                <w:sz w:val="21"/>
                <w:szCs w:val="21"/>
              </w:rPr>
              <w:t>铺设10~15cm</w:t>
            </w:r>
            <w:r>
              <w:rPr>
                <w:rFonts w:hint="eastAsia"/>
                <w:b w:val="0"/>
                <w:bCs/>
                <w:sz w:val="21"/>
                <w:szCs w:val="21"/>
              </w:rPr>
              <w:t>混凝土</w:t>
            </w:r>
          </w:p>
        </w:tc>
      </w:tr>
    </w:tbl>
    <w:p w14:paraId="18903C50">
      <w:pPr>
        <w:widowControl w:val="0"/>
        <w:kinsoku w:val="0"/>
        <w:overflowPunct w:val="0"/>
        <w:autoSpaceDE w:val="0"/>
        <w:autoSpaceDN w:val="0"/>
        <w:adjustRightInd w:val="0"/>
        <w:spacing w:before="7" w:line="240" w:lineRule="auto"/>
        <w:ind w:firstLine="0" w:firstLineChars="0"/>
        <w:rPr>
          <w:kern w:val="0"/>
          <w:sz w:val="2"/>
          <w:szCs w:val="2"/>
        </w:rPr>
      </w:pPr>
    </w:p>
    <w:p w14:paraId="00D4CCB7">
      <w:pPr>
        <w:pStyle w:val="104"/>
      </w:pPr>
      <w:bookmarkStart w:id="526" w:name="7.2.3地下水环境污染防治措施"/>
      <w:bookmarkEnd w:id="526"/>
      <w:r>
        <w:t>3、污染源监控</w:t>
      </w:r>
    </w:p>
    <w:p w14:paraId="3C7BAC9A">
      <w:pPr>
        <w:pStyle w:val="104"/>
      </w:pPr>
      <w:r>
        <w:t>为预防地下水体污染，应建立地下水污染预警系统，设置监控井，定期对地下水井进行监测，本项目设置的监测井位于项目地下水下方向，能够及时发现本项目对区域地下水产生的不利影响。本项目地下水跟踪监控计划见下表，监测井布点图见图</w:t>
      </w:r>
      <w:r>
        <w:rPr>
          <w:rFonts w:hint="eastAsia"/>
        </w:rPr>
        <w:t>9.2-1</w:t>
      </w:r>
      <w:r>
        <w:t>。</w:t>
      </w:r>
    </w:p>
    <w:p w14:paraId="687D47E0">
      <w:pPr>
        <w:pStyle w:val="369"/>
      </w:pPr>
    </w:p>
    <w:p w14:paraId="33D81BBD">
      <w:pPr>
        <w:pStyle w:val="369"/>
      </w:pPr>
      <w:r>
        <w:t>表7.2-</w:t>
      </w:r>
      <w:r>
        <w:rPr>
          <w:rFonts w:hint="eastAsia"/>
        </w:rPr>
        <w:t>6</w:t>
      </w:r>
      <w:r>
        <w:t xml:space="preserve">  地下水跟踪监测计划一览表</w:t>
      </w:r>
    </w:p>
    <w:tbl>
      <w:tblPr>
        <w:tblStyle w:val="8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4397"/>
        <w:gridCol w:w="1654"/>
        <w:gridCol w:w="897"/>
        <w:gridCol w:w="897"/>
        <w:gridCol w:w="897"/>
      </w:tblGrid>
      <w:tr w14:paraId="6238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Align w:val="center"/>
          </w:tcPr>
          <w:p w14:paraId="0125E807">
            <w:pPr>
              <w:pStyle w:val="766"/>
              <w:rPr>
                <w:color w:val="auto"/>
              </w:rPr>
            </w:pPr>
            <w:r>
              <w:rPr>
                <w:color w:val="auto"/>
              </w:rPr>
              <w:t>点位</w:t>
            </w:r>
          </w:p>
        </w:tc>
        <w:tc>
          <w:tcPr>
            <w:tcW w:w="2366" w:type="pct"/>
            <w:vAlign w:val="center"/>
          </w:tcPr>
          <w:p w14:paraId="03A620B1">
            <w:pPr>
              <w:pStyle w:val="766"/>
              <w:rPr>
                <w:color w:val="auto"/>
              </w:rPr>
            </w:pPr>
            <w:r>
              <w:rPr>
                <w:color w:val="auto"/>
              </w:rPr>
              <w:t>监测因子</w:t>
            </w:r>
          </w:p>
        </w:tc>
        <w:tc>
          <w:tcPr>
            <w:tcW w:w="889" w:type="pct"/>
            <w:vAlign w:val="center"/>
          </w:tcPr>
          <w:p w14:paraId="64755B5B">
            <w:pPr>
              <w:pStyle w:val="766"/>
              <w:rPr>
                <w:color w:val="auto"/>
              </w:rPr>
            </w:pPr>
            <w:r>
              <w:rPr>
                <w:color w:val="auto"/>
              </w:rPr>
              <w:t>坐标</w:t>
            </w:r>
          </w:p>
        </w:tc>
        <w:tc>
          <w:tcPr>
            <w:tcW w:w="483" w:type="pct"/>
            <w:vAlign w:val="center"/>
          </w:tcPr>
          <w:p w14:paraId="17AC6F52">
            <w:pPr>
              <w:pStyle w:val="766"/>
              <w:rPr>
                <w:color w:val="auto"/>
              </w:rPr>
            </w:pPr>
            <w:r>
              <w:rPr>
                <w:rFonts w:hint="eastAsia"/>
                <w:color w:val="auto"/>
              </w:rPr>
              <w:t>位置</w:t>
            </w:r>
          </w:p>
        </w:tc>
        <w:tc>
          <w:tcPr>
            <w:tcW w:w="483" w:type="pct"/>
            <w:vAlign w:val="center"/>
          </w:tcPr>
          <w:p w14:paraId="14A06ED7">
            <w:pPr>
              <w:pStyle w:val="766"/>
              <w:rPr>
                <w:color w:val="auto"/>
              </w:rPr>
            </w:pPr>
            <w:r>
              <w:rPr>
                <w:color w:val="auto"/>
              </w:rPr>
              <w:t>监测频次</w:t>
            </w:r>
          </w:p>
        </w:tc>
        <w:tc>
          <w:tcPr>
            <w:tcW w:w="483" w:type="pct"/>
            <w:vAlign w:val="center"/>
          </w:tcPr>
          <w:p w14:paraId="14D69F27">
            <w:pPr>
              <w:pStyle w:val="766"/>
              <w:rPr>
                <w:color w:val="auto"/>
              </w:rPr>
            </w:pPr>
            <w:r>
              <w:rPr>
                <w:color w:val="auto"/>
              </w:rPr>
              <w:t>基本功能</w:t>
            </w:r>
          </w:p>
        </w:tc>
      </w:tr>
      <w:tr w14:paraId="6CE9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Align w:val="center"/>
          </w:tcPr>
          <w:p w14:paraId="0E639E64">
            <w:pPr>
              <w:pStyle w:val="766"/>
              <w:rPr>
                <w:color w:val="auto"/>
              </w:rPr>
            </w:pPr>
            <w:r>
              <w:rPr>
                <w:color w:val="auto"/>
              </w:rPr>
              <w:t>监测井</w:t>
            </w:r>
          </w:p>
        </w:tc>
        <w:tc>
          <w:tcPr>
            <w:tcW w:w="2366" w:type="pct"/>
            <w:vAlign w:val="center"/>
          </w:tcPr>
          <w:p w14:paraId="647FCC9B">
            <w:pPr>
              <w:pStyle w:val="766"/>
              <w:rPr>
                <w:color w:val="auto"/>
              </w:rPr>
            </w:pPr>
            <w:r>
              <w:rPr>
                <w:rFonts w:hint="eastAsia"/>
                <w:color w:val="auto"/>
              </w:rPr>
              <w:t>色、嗅和味、浑浊度、肉眼可见物、</w:t>
            </w:r>
            <w:r>
              <w:rPr>
                <w:color w:val="auto"/>
              </w:rPr>
              <w:t>pH值、</w:t>
            </w:r>
            <w:r>
              <w:rPr>
                <w:rFonts w:hint="eastAsia"/>
                <w:color w:val="auto"/>
              </w:rPr>
              <w:t>总硬度、溶解性总固体、硫酸盐、氯化物、铁、锰、铜、锌、铝、挥发性酚类、阴离子表面活性剂、耗氧量、</w:t>
            </w:r>
            <w:r>
              <w:rPr>
                <w:color w:val="auto"/>
              </w:rPr>
              <w:t>氨氮、</w:t>
            </w:r>
            <w:r>
              <w:rPr>
                <w:rFonts w:hint="eastAsia"/>
                <w:color w:val="auto"/>
              </w:rPr>
              <w:t>硫化物、钠、总大肠菌群、菌落总数、</w:t>
            </w:r>
            <w:r>
              <w:rPr>
                <w:color w:val="auto"/>
              </w:rPr>
              <w:t>硝酸盐、亚硝酸盐、氰化物、</w:t>
            </w:r>
            <w:r>
              <w:rPr>
                <w:rFonts w:hint="eastAsia"/>
                <w:color w:val="auto"/>
              </w:rPr>
              <w:t>氟化物、碘化物、汞、</w:t>
            </w:r>
            <w:r>
              <w:rPr>
                <w:color w:val="auto"/>
              </w:rPr>
              <w:t>砷、</w:t>
            </w:r>
            <w:r>
              <w:rPr>
                <w:rFonts w:hint="eastAsia"/>
                <w:color w:val="auto"/>
              </w:rPr>
              <w:t>硒</w:t>
            </w:r>
            <w:r>
              <w:rPr>
                <w:color w:val="auto"/>
              </w:rPr>
              <w:t>、</w:t>
            </w:r>
            <w:r>
              <w:rPr>
                <w:rFonts w:hint="eastAsia"/>
                <w:color w:val="auto"/>
              </w:rPr>
              <w:t>镉、铬（六价）、</w:t>
            </w:r>
            <w:r>
              <w:rPr>
                <w:color w:val="auto"/>
              </w:rPr>
              <w:t>铅、</w:t>
            </w:r>
            <w:r>
              <w:rPr>
                <w:rFonts w:hint="eastAsia"/>
                <w:color w:val="auto"/>
              </w:rPr>
              <w:t>三氯甲烷、四氯化碳、苯、甲苯</w:t>
            </w:r>
          </w:p>
        </w:tc>
        <w:tc>
          <w:tcPr>
            <w:tcW w:w="889" w:type="pct"/>
            <w:vAlign w:val="center"/>
          </w:tcPr>
          <w:p w14:paraId="18A77563">
            <w:pPr>
              <w:pStyle w:val="766"/>
              <w:rPr>
                <w:color w:val="auto"/>
              </w:rPr>
            </w:pPr>
            <w:r>
              <w:rPr>
                <w:color w:val="auto"/>
              </w:rPr>
              <w:t>106.800847719，40.020205341</w:t>
            </w:r>
          </w:p>
        </w:tc>
        <w:tc>
          <w:tcPr>
            <w:tcW w:w="483" w:type="pct"/>
            <w:vAlign w:val="center"/>
          </w:tcPr>
          <w:p w14:paraId="19C9A08B">
            <w:pPr>
              <w:pStyle w:val="766"/>
              <w:rPr>
                <w:color w:val="auto"/>
              </w:rPr>
            </w:pPr>
            <w:r>
              <w:rPr>
                <w:rFonts w:hint="eastAsia"/>
                <w:color w:val="auto"/>
              </w:rPr>
              <w:t>厂区西边界</w:t>
            </w:r>
          </w:p>
        </w:tc>
        <w:tc>
          <w:tcPr>
            <w:tcW w:w="483" w:type="pct"/>
            <w:vAlign w:val="center"/>
          </w:tcPr>
          <w:p w14:paraId="673BEB38">
            <w:pPr>
              <w:pStyle w:val="766"/>
              <w:rPr>
                <w:color w:val="auto"/>
              </w:rPr>
            </w:pPr>
            <w:r>
              <w:rPr>
                <w:rFonts w:hint="eastAsia"/>
                <w:color w:val="auto"/>
              </w:rPr>
              <w:t>1次/年</w:t>
            </w:r>
          </w:p>
        </w:tc>
        <w:tc>
          <w:tcPr>
            <w:tcW w:w="483" w:type="pct"/>
            <w:vAlign w:val="center"/>
          </w:tcPr>
          <w:p w14:paraId="2ECE1C9D">
            <w:pPr>
              <w:pStyle w:val="766"/>
              <w:rPr>
                <w:color w:val="auto"/>
              </w:rPr>
            </w:pPr>
            <w:r>
              <w:rPr>
                <w:color w:val="auto"/>
              </w:rPr>
              <w:t>跟踪监测</w:t>
            </w:r>
          </w:p>
        </w:tc>
      </w:tr>
    </w:tbl>
    <w:p w14:paraId="562D651D">
      <w:pPr>
        <w:pStyle w:val="104"/>
      </w:pPr>
      <w:r>
        <w:t>4、风险事故应急</w:t>
      </w:r>
    </w:p>
    <w:p w14:paraId="7C93F7A3">
      <w:pPr>
        <w:pStyle w:val="104"/>
      </w:pPr>
      <w:r>
        <w:t>若发生企业废水污染地下水事件，企业有责任解决地下水污染问题。</w:t>
      </w:r>
    </w:p>
    <w:p w14:paraId="33DD4035">
      <w:pPr>
        <w:pStyle w:val="104"/>
      </w:pPr>
      <w:r>
        <w:t>经采取以上防治措施后，本次评价认为项目基本不会对地下水造成污染影响。</w:t>
      </w:r>
    </w:p>
    <w:p w14:paraId="48B89C2D">
      <w:pPr>
        <w:pStyle w:val="11"/>
      </w:pPr>
      <w:bookmarkStart w:id="527" w:name="_Toc166572358"/>
      <w:r>
        <w:t>7.2.4 声环境污染防治措施</w:t>
      </w:r>
      <w:bookmarkEnd w:id="527"/>
    </w:p>
    <w:p w14:paraId="194682E2">
      <w:pPr>
        <w:pStyle w:val="104"/>
      </w:pPr>
      <w:r>
        <w:rPr>
          <w:rStyle w:val="567"/>
          <w:lang w:eastAsia="zh-CN"/>
        </w:rPr>
        <w:t>项目噪声源主要为鸡舍鸡叫、各种泵类、搅拌器等。</w:t>
      </w:r>
      <w:r>
        <w:t>噪声防治对策首先从声源上进行控制，其次采取有效的隔声、消声和吸声等控制措施，并从场区平面布置上综合考虑设备噪声对场区及周边环境的影响。</w:t>
      </w:r>
    </w:p>
    <w:p w14:paraId="0A150B59">
      <w:pPr>
        <w:pStyle w:val="104"/>
      </w:pPr>
      <w:r>
        <w:t>（1）从设备选型入手，设备定货时向设备制造企业提出噪声限值，必须选择低噪声的设备，特别是项目选用的水泵、风机；</w:t>
      </w:r>
    </w:p>
    <w:p w14:paraId="7E073F2E">
      <w:pPr>
        <w:pStyle w:val="104"/>
      </w:pPr>
      <w:r>
        <w:t>（2）对设备进行定期检修，加强润滑作用，保持设备良好的运转状态，尽量降低噪声；</w:t>
      </w:r>
    </w:p>
    <w:p w14:paraId="109F9231">
      <w:pPr>
        <w:pStyle w:val="230"/>
        <w:ind w:firstLine="480"/>
        <w:rPr>
          <w:lang w:eastAsia="zh-CN"/>
        </w:rPr>
      </w:pPr>
      <w:r>
        <w:rPr>
          <w:lang w:eastAsia="zh-CN"/>
        </w:rPr>
        <w:t>（3）要求给风机等产噪设备安装减震垫；</w:t>
      </w:r>
    </w:p>
    <w:p w14:paraId="594683CD">
      <w:pPr>
        <w:pStyle w:val="230"/>
        <w:ind w:firstLine="480"/>
        <w:rPr>
          <w:lang w:eastAsia="zh-CN"/>
        </w:rPr>
      </w:pPr>
      <w:r>
        <w:rPr>
          <w:lang w:eastAsia="zh-CN"/>
        </w:rPr>
        <w:t>（4）所有设备均设置于室内；</w:t>
      </w:r>
    </w:p>
    <w:p w14:paraId="4C8E142D">
      <w:pPr>
        <w:pStyle w:val="230"/>
        <w:ind w:firstLine="480"/>
        <w:rPr>
          <w:lang w:eastAsia="zh-CN"/>
        </w:rPr>
      </w:pPr>
      <w:r>
        <w:rPr>
          <w:lang w:eastAsia="zh-CN"/>
        </w:rPr>
        <w:t>（5）加强厂区绿化；</w:t>
      </w:r>
    </w:p>
    <w:p w14:paraId="277F5CB1">
      <w:pPr>
        <w:pStyle w:val="230"/>
        <w:ind w:firstLine="480"/>
        <w:rPr>
          <w:lang w:eastAsia="zh-CN"/>
        </w:rPr>
      </w:pPr>
      <w:r>
        <w:rPr>
          <w:lang w:eastAsia="zh-CN"/>
        </w:rPr>
        <w:t>（6）加强对车辆的进出管理，汽车驶入场区后限速30km/h，禁止鸣笛，以减少噪</w:t>
      </w:r>
    </w:p>
    <w:p w14:paraId="305C1B6E">
      <w:pPr>
        <w:pStyle w:val="230"/>
        <w:ind w:firstLine="480"/>
        <w:rPr>
          <w:lang w:eastAsia="zh-CN"/>
        </w:rPr>
      </w:pPr>
      <w:r>
        <w:rPr>
          <w:lang w:eastAsia="zh-CN"/>
        </w:rPr>
        <w:t>声排放；</w:t>
      </w:r>
    </w:p>
    <w:p w14:paraId="4B8A0C2F">
      <w:pPr>
        <w:pStyle w:val="230"/>
        <w:ind w:firstLine="480"/>
        <w:rPr>
          <w:lang w:eastAsia="zh-CN"/>
        </w:rPr>
      </w:pPr>
      <w:r>
        <w:rPr>
          <w:lang w:eastAsia="zh-CN"/>
        </w:rPr>
        <w:t>（8）运输车辆经过居民集中区时应减速慢行、禁止鸣笛，以减少交通噪声对运输沿线居民声环境的影响。</w:t>
      </w:r>
    </w:p>
    <w:p w14:paraId="0B6F443A">
      <w:pPr>
        <w:pStyle w:val="230"/>
        <w:ind w:firstLine="480"/>
        <w:rPr>
          <w:lang w:eastAsia="zh-CN"/>
        </w:rPr>
      </w:pPr>
      <w:r>
        <w:rPr>
          <w:lang w:eastAsia="zh-CN"/>
        </w:rPr>
        <w:t>项目噪声在采取了各项减振、隔声、吸声、消声等综合治理措施，设备产生的噪声会大大削减，并经距离衰减后，从</w:t>
      </w:r>
      <w:r>
        <w:rPr>
          <w:rFonts w:hint="eastAsia"/>
          <w:lang w:eastAsia="zh-CN"/>
        </w:rPr>
        <w:t>5</w:t>
      </w:r>
      <w:r>
        <w:rPr>
          <w:lang w:eastAsia="zh-CN"/>
        </w:rPr>
        <w:t>.2.4</w:t>
      </w:r>
      <w:r>
        <w:rPr>
          <w:rFonts w:hint="eastAsia"/>
          <w:lang w:eastAsia="zh-CN"/>
        </w:rPr>
        <w:t>章节</w:t>
      </w:r>
      <w:r>
        <w:rPr>
          <w:lang w:eastAsia="zh-CN"/>
        </w:rPr>
        <w:t>预测结果可见，在正常运行情况下，项目厂界噪声贡献值为12-30dB（A）之间。故本项目昼夜间各厂界贡献值均低于《工业企业厂界环境噪声排放标准》（GB12348-2008）2类标准要求。场界噪声可达到《工业企业厂界环境噪声排放标准》（GB12348-2008）中的2类标准。</w:t>
      </w:r>
    </w:p>
    <w:p w14:paraId="389F928E">
      <w:pPr>
        <w:pStyle w:val="11"/>
      </w:pPr>
      <w:bookmarkStart w:id="528" w:name="_Toc166572359"/>
      <w:r>
        <w:t>7.2.5 固体废物污染防治措施</w:t>
      </w:r>
      <w:bookmarkEnd w:id="528"/>
    </w:p>
    <w:p w14:paraId="53166F63">
      <w:pPr>
        <w:adjustRightInd w:val="0"/>
        <w:snapToGrid w:val="0"/>
        <w:ind w:firstLine="480"/>
      </w:pPr>
      <w:r>
        <w:t>本项目</w:t>
      </w:r>
      <w:r>
        <w:rPr>
          <w:rFonts w:hint="eastAsia"/>
        </w:rPr>
        <w:t>诊疗废弃物</w:t>
      </w:r>
      <w:r>
        <w:t>主要成份为鸡雏防疫过程中会产生的废药瓶、一次性注射器等，根据《国家危险废物名录（2021年版）》规定，本项目</w:t>
      </w:r>
      <w:r>
        <w:rPr>
          <w:rFonts w:hint="eastAsia"/>
        </w:rPr>
        <w:t>诊疗废弃物参照</w:t>
      </w:r>
      <w:r>
        <w:t>医疗废物</w:t>
      </w:r>
      <w:r>
        <w:rPr>
          <w:rFonts w:hint="eastAsia"/>
        </w:rPr>
        <w:t>管理</w:t>
      </w:r>
      <w:r>
        <w:t>，放置在诊疗废弃物暂存间，</w:t>
      </w:r>
      <w:r>
        <w:rPr>
          <w:rFonts w:hint="eastAsia"/>
        </w:rPr>
        <w:t>由资质单位处置。本项目位于鄂尔多斯市鄂托克旗蒙西镇，项目地处鄂尔多斯市，并且与乌海市相距较近，鄂尔多斯市及乌海市有多家有资质单位可以拉运处置本项目产生的诊疗废弃物，因此本项目诊疗废弃物委托有资质单位拉运处置是可行的。本项目诊疗废弃物</w:t>
      </w:r>
      <w:r>
        <w:t>产生量为0.05t/a。</w:t>
      </w:r>
    </w:p>
    <w:p w14:paraId="5DD70488">
      <w:pPr>
        <w:adjustRightInd w:val="0"/>
        <w:snapToGrid w:val="0"/>
        <w:ind w:firstLine="480"/>
      </w:pPr>
      <w:r>
        <w:t>本项目鸡舍产生的鸡粪、鸡羽毛、饲料残渣</w:t>
      </w:r>
      <w:r>
        <w:rPr>
          <w:rFonts w:hint="eastAsia"/>
        </w:rPr>
        <w:t>收集后进入有机肥车间充分发酵腐熟制造有机肥料</w:t>
      </w:r>
      <w:r>
        <w:t>。</w:t>
      </w:r>
      <w:r>
        <w:rPr>
          <w:rFonts w:hint="eastAsia"/>
        </w:rPr>
        <w:t>有机肥满足《肥料中有毒有害物质的限量要求》（GB38400-2019）相关要求，</w:t>
      </w:r>
      <w:r>
        <w:t>全年产生11880.75t/d。</w:t>
      </w:r>
    </w:p>
    <w:p w14:paraId="1DE9709A">
      <w:pPr>
        <w:ind w:firstLine="480"/>
        <w:rPr>
          <w:bCs/>
        </w:rPr>
      </w:pPr>
      <w:r>
        <w:t>病死鸡</w:t>
      </w:r>
      <w:r>
        <w:rPr>
          <w:rFonts w:hint="eastAsia"/>
        </w:rPr>
        <w:t>死后选取部分解剖研究病因，病死鸡及解剖鸡按照医疗废物管理，放置在冷柜</w:t>
      </w:r>
      <w:r>
        <w:t>，委托有资质单位处置</w:t>
      </w:r>
      <w:r>
        <w:rPr>
          <w:bCs/>
        </w:rPr>
        <w:t>。</w:t>
      </w:r>
    </w:p>
    <w:p w14:paraId="6CE947A7">
      <w:pPr>
        <w:adjustRightInd w:val="0"/>
        <w:snapToGrid w:val="0"/>
        <w:ind w:firstLine="480"/>
      </w:pPr>
      <w:r>
        <w:rPr>
          <w:rFonts w:hint="eastAsia"/>
        </w:rPr>
        <w:t>污水处理设施产生的剩余污泥及固体废渣脱水后（脱水机使剩余污泥达到80%含水率即可）合并进入本项目建成的有机肥加工车间进行发酵堆肥产生固体肥料，集中进行能源、资源回收。污泥产生量约5</w:t>
      </w:r>
      <w:r>
        <w:t>00</w:t>
      </w:r>
      <w:r>
        <w:rPr>
          <w:rFonts w:hint="eastAsia"/>
        </w:rPr>
        <w:t>t/a。</w:t>
      </w:r>
    </w:p>
    <w:p w14:paraId="23ABA644">
      <w:pPr>
        <w:adjustRightInd w:val="0"/>
        <w:snapToGrid w:val="0"/>
        <w:ind w:firstLine="480"/>
      </w:pPr>
      <w:r>
        <w:t>不合格蛋181.8</w:t>
      </w:r>
      <w:r>
        <w:rPr>
          <w:rFonts w:hint="eastAsia"/>
        </w:rPr>
        <w:t>t/a，</w:t>
      </w:r>
      <w:r>
        <w:t>收集后</w:t>
      </w:r>
      <w:r>
        <w:rPr>
          <w:rFonts w:hint="eastAsia"/>
        </w:rPr>
        <w:t>进入有机肥加工车间发酵堆肥处理。</w:t>
      </w:r>
    </w:p>
    <w:p w14:paraId="4EB8DD59">
      <w:pPr>
        <w:adjustRightInd w:val="0"/>
        <w:snapToGrid w:val="0"/>
        <w:ind w:firstLine="480"/>
      </w:pPr>
      <w:r>
        <w:t>锅炉软化水制备设备产生废离子交换树脂</w:t>
      </w:r>
      <w:r>
        <w:rPr>
          <w:rFonts w:hint="eastAsia"/>
        </w:rPr>
        <w:t>，</w:t>
      </w:r>
      <w:r>
        <w:t>量为0.092t/5a</w:t>
      </w:r>
      <w:r>
        <w:rPr>
          <w:rFonts w:hint="eastAsia"/>
        </w:rPr>
        <w:t>。由设备厂商带回。</w:t>
      </w:r>
    </w:p>
    <w:p w14:paraId="20A0466E">
      <w:pPr>
        <w:adjustRightInd w:val="0"/>
        <w:snapToGrid w:val="0"/>
        <w:ind w:firstLine="480"/>
      </w:pPr>
      <w:r>
        <w:t>饲料</w:t>
      </w:r>
      <w:r>
        <w:rPr>
          <w:rFonts w:hint="eastAsia"/>
        </w:rPr>
        <w:t>、有机肥</w:t>
      </w:r>
      <w:r>
        <w:t>加工车间产生除尘灰</w:t>
      </w:r>
      <w:r>
        <w:rPr>
          <w:rFonts w:hint="eastAsia"/>
        </w:rPr>
        <w:t>7.56</w:t>
      </w:r>
      <w:r>
        <w:t>t/a,收全部回收利用</w:t>
      </w:r>
      <w:r>
        <w:rPr>
          <w:rFonts w:hint="eastAsia"/>
        </w:rPr>
        <w:t>。</w:t>
      </w:r>
    </w:p>
    <w:p w14:paraId="3D57F26F">
      <w:pPr>
        <w:adjustRightInd w:val="0"/>
        <w:snapToGrid w:val="0"/>
        <w:ind w:firstLine="480"/>
      </w:pPr>
      <w:r>
        <w:t>职工生活垃圾产生量为9.125t/a</w:t>
      </w:r>
      <w:r>
        <w:rPr>
          <w:rFonts w:hint="eastAsia"/>
        </w:rPr>
        <w:t>，由环卫清运。</w:t>
      </w:r>
    </w:p>
    <w:p w14:paraId="12C7BE09">
      <w:pPr>
        <w:adjustRightInd w:val="0"/>
        <w:snapToGrid w:val="0"/>
        <w:ind w:firstLine="480"/>
      </w:pPr>
      <w:r>
        <w:t>综上所述，项目产生的固体废物均得到妥善处置，处置措施可行。</w:t>
      </w:r>
    </w:p>
    <w:p w14:paraId="115D4CF6">
      <w:pPr>
        <w:pStyle w:val="11"/>
      </w:pPr>
      <w:bookmarkStart w:id="529" w:name="_Toc5319"/>
      <w:bookmarkStart w:id="530" w:name="_Toc13199"/>
      <w:bookmarkStart w:id="531" w:name="_Toc166572360"/>
      <w:r>
        <w:t>7.2.6土壤污染治理措施</w:t>
      </w:r>
      <w:bookmarkEnd w:id="529"/>
      <w:bookmarkEnd w:id="530"/>
      <w:bookmarkEnd w:id="531"/>
    </w:p>
    <w:p w14:paraId="624C3604">
      <w:pPr>
        <w:ind w:firstLine="480"/>
      </w:pPr>
      <w:r>
        <w:t>根据《环境影响评价技术导则土壤环境（试行）》（HJ964-2018）的要求，土壤污染防治措施主要包括源头控制措施、过程控制措施以及跟踪监测计划。</w:t>
      </w:r>
    </w:p>
    <w:p w14:paraId="06C1EAB4">
      <w:pPr>
        <w:pStyle w:val="230"/>
        <w:ind w:firstLine="480"/>
        <w:rPr>
          <w:lang w:eastAsia="zh-CN"/>
        </w:rPr>
      </w:pPr>
      <w:bookmarkStart w:id="532" w:name="_Toc20202"/>
      <w:bookmarkStart w:id="533" w:name="_Toc2745"/>
      <w:bookmarkStart w:id="534" w:name="_Toc29315"/>
      <w:bookmarkStart w:id="535" w:name="_Toc18226"/>
      <w:r>
        <w:rPr>
          <w:lang w:eastAsia="zh-CN"/>
        </w:rPr>
        <w:t>1、源头控制措施</w:t>
      </w:r>
      <w:bookmarkEnd w:id="532"/>
      <w:bookmarkEnd w:id="533"/>
      <w:bookmarkEnd w:id="534"/>
      <w:bookmarkEnd w:id="535"/>
    </w:p>
    <w:p w14:paraId="7194D61D">
      <w:pPr>
        <w:pStyle w:val="230"/>
        <w:ind w:firstLine="480"/>
        <w:rPr>
          <w:bCs/>
          <w:lang w:eastAsia="zh-CN"/>
        </w:rPr>
      </w:pPr>
      <w:r>
        <w:rPr>
          <w:bCs/>
          <w:lang w:eastAsia="zh-CN"/>
        </w:rPr>
        <w:t>本项目土壤污染源头控制措施主要是减少项目废气、废水、固废等污染物的产生及排放量，主要提出如下措施：</w:t>
      </w:r>
    </w:p>
    <w:p w14:paraId="0378C3C2">
      <w:pPr>
        <w:pStyle w:val="230"/>
        <w:ind w:firstLine="480"/>
        <w:rPr>
          <w:bCs/>
          <w:lang w:eastAsia="zh-CN"/>
        </w:rPr>
      </w:pPr>
      <w:r>
        <w:rPr>
          <w:bCs/>
          <w:lang w:eastAsia="zh-CN"/>
        </w:rPr>
        <w:t>（1）企业应加强对</w:t>
      </w:r>
      <w:r>
        <w:rPr>
          <w:rFonts w:hint="eastAsia"/>
          <w:bCs/>
          <w:lang w:eastAsia="zh-CN"/>
        </w:rPr>
        <w:t>有机肥加工车间</w:t>
      </w:r>
      <w:r>
        <w:rPr>
          <w:bCs/>
          <w:lang w:eastAsia="zh-CN"/>
        </w:rPr>
        <w:t>、</w:t>
      </w:r>
      <w:r>
        <w:rPr>
          <w:rFonts w:hint="eastAsia"/>
          <w:lang w:val="en-GB" w:eastAsia="zh-CN"/>
        </w:rPr>
        <w:t>诊疗废弃物暂存间</w:t>
      </w:r>
      <w:r>
        <w:rPr>
          <w:bCs/>
          <w:lang w:eastAsia="zh-CN"/>
        </w:rPr>
        <w:t>、</w:t>
      </w:r>
      <w:r>
        <w:rPr>
          <w:rFonts w:hint="eastAsia"/>
          <w:bCs/>
          <w:lang w:eastAsia="zh-CN"/>
        </w:rPr>
        <w:t>储水池</w:t>
      </w:r>
      <w:r>
        <w:rPr>
          <w:bCs/>
          <w:lang w:eastAsia="zh-CN"/>
        </w:rPr>
        <w:t>、有机肥加工车间的管理和维护，确保其正常运行，有效减少污染物的泄漏；</w:t>
      </w:r>
    </w:p>
    <w:p w14:paraId="183A828D">
      <w:pPr>
        <w:pStyle w:val="230"/>
        <w:ind w:firstLine="480"/>
        <w:rPr>
          <w:bCs/>
          <w:lang w:eastAsia="zh-CN"/>
        </w:rPr>
      </w:pPr>
      <w:r>
        <w:rPr>
          <w:bCs/>
          <w:lang w:eastAsia="zh-CN"/>
        </w:rPr>
        <w:t>（2）企业应采用先进的技术，做好</w:t>
      </w:r>
      <w:r>
        <w:rPr>
          <w:rFonts w:hint="eastAsia"/>
          <w:bCs/>
          <w:lang w:eastAsia="zh-CN"/>
        </w:rPr>
        <w:t>有机肥加工车间</w:t>
      </w:r>
      <w:r>
        <w:rPr>
          <w:bCs/>
          <w:lang w:eastAsia="zh-CN"/>
        </w:rPr>
        <w:t>、</w:t>
      </w:r>
      <w:r>
        <w:rPr>
          <w:rFonts w:hint="eastAsia"/>
          <w:lang w:val="en-GB" w:eastAsia="zh-CN"/>
        </w:rPr>
        <w:t>诊疗废弃物暂存间</w:t>
      </w:r>
      <w:r>
        <w:rPr>
          <w:bCs/>
          <w:lang w:eastAsia="zh-CN"/>
        </w:rPr>
        <w:t>、污水处理设施、防渗处理，减少污染物的泄漏；</w:t>
      </w:r>
    </w:p>
    <w:p w14:paraId="091A962D">
      <w:pPr>
        <w:pStyle w:val="230"/>
        <w:ind w:firstLine="480"/>
        <w:rPr>
          <w:lang w:eastAsia="zh-CN"/>
        </w:rPr>
      </w:pPr>
      <w:r>
        <w:rPr>
          <w:bCs/>
          <w:lang w:eastAsia="zh-CN"/>
        </w:rPr>
        <w:t>（3）</w:t>
      </w:r>
      <w:r>
        <w:rPr>
          <w:lang w:eastAsia="zh-CN"/>
        </w:rPr>
        <w:t>严格按照国家相关规范要求，对工艺、管道、设备、污水储存及处理构筑物采取相应的措施并对运输车辆实行密闭措施，以防止和降低可能污染物的“跑、冒、滴、漏”，将污染物泄漏的环境风险事故降低到最低程度。</w:t>
      </w:r>
    </w:p>
    <w:p w14:paraId="12130D1C">
      <w:pPr>
        <w:pStyle w:val="230"/>
        <w:ind w:firstLine="480"/>
        <w:rPr>
          <w:lang w:eastAsia="zh-CN"/>
        </w:rPr>
      </w:pPr>
      <w:bookmarkStart w:id="536" w:name="_Toc2170"/>
      <w:bookmarkStart w:id="537" w:name="_Toc27567"/>
      <w:bookmarkStart w:id="538" w:name="_Toc14450"/>
      <w:bookmarkStart w:id="539" w:name="_Toc24527"/>
      <w:r>
        <w:rPr>
          <w:lang w:eastAsia="zh-CN"/>
        </w:rPr>
        <w:t>2、过程控制措施</w:t>
      </w:r>
      <w:bookmarkEnd w:id="536"/>
      <w:bookmarkEnd w:id="537"/>
      <w:bookmarkEnd w:id="538"/>
      <w:bookmarkEnd w:id="539"/>
    </w:p>
    <w:p w14:paraId="782D3F31">
      <w:pPr>
        <w:pStyle w:val="230"/>
        <w:ind w:firstLine="480"/>
        <w:rPr>
          <w:lang w:eastAsia="zh-CN"/>
        </w:rPr>
      </w:pPr>
      <w:r>
        <w:rPr>
          <w:lang w:eastAsia="zh-CN"/>
        </w:rPr>
        <w:t>项目针对土壤污染的途径提出相应的过程控制措施：</w:t>
      </w:r>
    </w:p>
    <w:p w14:paraId="40055E10">
      <w:pPr>
        <w:pStyle w:val="230"/>
        <w:ind w:firstLine="480"/>
        <w:rPr>
          <w:lang w:eastAsia="zh-CN"/>
        </w:rPr>
      </w:pPr>
      <w:r>
        <w:rPr>
          <w:lang w:eastAsia="zh-CN"/>
        </w:rPr>
        <w:t>（1）应对厂区土壤裸露区进行硬化，减少最终进入土壤的污染物量，从而减小对土壤的污染。在硬化区非硬化区之间设置阻水带，防止泄漏的废水通过裸露区土壤下渗；</w:t>
      </w:r>
    </w:p>
    <w:p w14:paraId="4ACF2FB2">
      <w:pPr>
        <w:pStyle w:val="230"/>
        <w:ind w:firstLine="480"/>
        <w:rPr>
          <w:lang w:eastAsia="zh-CN"/>
        </w:rPr>
      </w:pPr>
      <w:r>
        <w:rPr>
          <w:lang w:eastAsia="zh-CN"/>
        </w:rPr>
        <w:t>（2）为了防止污染物下渗污染土壤，企业应根据相关标准规范要求，对厂区采取分区防渗措施，分区防渗措施参照地下水污染防渗措施。厂区包气带防污性能弱，刚性防渗层一旦破损，污染物很容易穿透包气带，因此，要求企业在存放有液体的半地下水池底部和侧面采用“刚性+柔性”的复合防渗结构进行防渗，以增加刚性防渗结构破损后企业的应急反应时间。</w:t>
      </w:r>
    </w:p>
    <w:p w14:paraId="5DF0DA18">
      <w:pPr>
        <w:pStyle w:val="230"/>
        <w:ind w:firstLine="480"/>
        <w:rPr>
          <w:lang w:eastAsia="zh-CN"/>
        </w:rPr>
      </w:pPr>
      <w:bookmarkStart w:id="540" w:name="_Toc13633"/>
      <w:bookmarkStart w:id="541" w:name="_Toc7725"/>
      <w:r>
        <w:rPr>
          <w:lang w:eastAsia="zh-CN"/>
        </w:rPr>
        <w:t>3、跟踪监测计划</w:t>
      </w:r>
      <w:bookmarkEnd w:id="540"/>
      <w:bookmarkEnd w:id="541"/>
    </w:p>
    <w:p w14:paraId="5F8B0350">
      <w:pPr>
        <w:pStyle w:val="230"/>
        <w:ind w:firstLine="480"/>
        <w:rPr>
          <w:lang w:eastAsia="zh-CN"/>
        </w:rPr>
      </w:pPr>
      <w:r>
        <w:rPr>
          <w:lang w:eastAsia="zh-CN"/>
        </w:rPr>
        <w:t>（1）监测点位</w:t>
      </w:r>
    </w:p>
    <w:p w14:paraId="56EC625B">
      <w:pPr>
        <w:ind w:firstLine="480"/>
      </w:pPr>
      <w:r>
        <w:t>本项目周边没有土壤环境敏感目标分布，遵照</w:t>
      </w:r>
      <w:r>
        <w:rPr>
          <w:rFonts w:hint="eastAsia"/>
        </w:rPr>
        <w:t>《环境影响评价技术导则 土壤环境（试行）》（</w:t>
      </w:r>
      <w:r>
        <w:t>HJ 964—2018</w:t>
      </w:r>
      <w:r>
        <w:rPr>
          <w:rFonts w:hint="eastAsia"/>
        </w:rPr>
        <w:t>）、</w:t>
      </w:r>
      <w:r>
        <w:t>《工业企业土壤和地下水自行监测技术指南（试行）》（HJ1209-2021），根据本项目建设特点，本项目设有重点监测单元。一类单元为污水处理设施</w:t>
      </w:r>
      <w:r>
        <w:rPr>
          <w:rFonts w:hint="eastAsia"/>
        </w:rPr>
        <w:t>、有机肥加工车间</w:t>
      </w:r>
      <w:r>
        <w:t>，二类单元为鸡舍间。</w:t>
      </w:r>
    </w:p>
    <w:p w14:paraId="373A38EC">
      <w:pPr>
        <w:ind w:firstLine="480"/>
      </w:pPr>
      <w:r>
        <w:t>（2）监测指标：pH、砷、镉、铬、铜、铅、汞、镍、锌。</w:t>
      </w:r>
    </w:p>
    <w:p w14:paraId="0E9A6B10">
      <w:pPr>
        <w:ind w:firstLine="480"/>
      </w:pPr>
      <w:r>
        <w:t>（3）监测点位布设</w:t>
      </w:r>
    </w:p>
    <w:p w14:paraId="0C4B8E12">
      <w:pPr>
        <w:ind w:firstLine="480"/>
      </w:pPr>
      <w:r>
        <w:t>一类单元布周边布设一个深层采样点，内部布设一个表层采样点。二类单元周边布设周边布设一个表层采样点。</w:t>
      </w:r>
    </w:p>
    <w:p w14:paraId="705A14C0">
      <w:pPr>
        <w:ind w:firstLine="480"/>
      </w:pPr>
      <w:r>
        <w:t>（4）监测频次</w:t>
      </w:r>
    </w:p>
    <w:p w14:paraId="7819D3EE">
      <w:pPr>
        <w:ind w:firstLine="480"/>
      </w:pPr>
      <w:r>
        <w:t>根据《工业企业土壤和地下水自行监测技术指南（试行）》（HJ1209-2021）的要求，表层土壤1年内开展1次监测工作，深层土壤每3年内开展1次监测工作。</w:t>
      </w:r>
    </w:p>
    <w:p w14:paraId="04AC3E7C">
      <w:pPr>
        <w:ind w:firstLine="480"/>
      </w:pPr>
      <w:r>
        <w:t>（5）执行标准</w:t>
      </w:r>
    </w:p>
    <w:p w14:paraId="3BA5E6A7">
      <w:pPr>
        <w:pStyle w:val="230"/>
        <w:ind w:firstLine="480"/>
        <w:rPr>
          <w:lang w:eastAsia="zh-CN"/>
        </w:rPr>
      </w:pPr>
      <w:r>
        <w:rPr>
          <w:lang w:eastAsia="zh-CN"/>
        </w:rPr>
        <w:t>本项目所在区土壤环境质量执行</w:t>
      </w:r>
      <w:r>
        <w:rPr>
          <w:szCs w:val="32"/>
          <w:lang w:eastAsia="zh-CN"/>
        </w:rPr>
        <w:t>《土壤环境质量农用地土壤污染风险管控标准（试行）》（GB15618-2018）中的土壤污染风险筛选值标准的要求</w:t>
      </w:r>
      <w:r>
        <w:rPr>
          <w:lang w:eastAsia="zh-CN"/>
        </w:rPr>
        <w:t>。</w:t>
      </w:r>
    </w:p>
    <w:p w14:paraId="53EAF5EE">
      <w:pPr>
        <w:pStyle w:val="11"/>
        <w:rPr>
          <w:b w:val="0"/>
          <w:bCs w:val="0"/>
        </w:rPr>
      </w:pPr>
      <w:bookmarkStart w:id="542" w:name="_Toc166572361"/>
      <w:r>
        <w:t>7.2.7生态环境防治措施</w:t>
      </w:r>
      <w:bookmarkEnd w:id="542"/>
    </w:p>
    <w:p w14:paraId="09481D40">
      <w:pPr>
        <w:pStyle w:val="12"/>
      </w:pPr>
      <w:r>
        <w:rPr>
          <w:rFonts w:hint="eastAsia"/>
        </w:rPr>
        <w:t>7.</w:t>
      </w:r>
      <w:r>
        <w:t>2</w:t>
      </w:r>
      <w:r>
        <w:rPr>
          <w:rFonts w:hint="eastAsia"/>
        </w:rPr>
        <w:t>.</w:t>
      </w:r>
      <w:r>
        <w:t>7.</w:t>
      </w:r>
      <w:r>
        <w:rPr>
          <w:rFonts w:hint="eastAsia"/>
        </w:rPr>
        <w:t xml:space="preserve">1生态防治原则与目标 </w:t>
      </w:r>
    </w:p>
    <w:p w14:paraId="2924381B">
      <w:pPr>
        <w:ind w:firstLine="480"/>
      </w:pPr>
      <w:r>
        <w:rPr>
          <w:kern w:val="0"/>
          <w:szCs w:val="24"/>
          <w:lang w:bidi="ar"/>
        </w:rPr>
        <w:t>1</w:t>
      </w:r>
      <w:r>
        <w:rPr>
          <w:rFonts w:hint="eastAsia" w:ascii="宋体" w:hAnsi="宋体" w:cs="宋体"/>
          <w:kern w:val="0"/>
          <w:szCs w:val="24"/>
          <w:lang w:bidi="ar"/>
        </w:rPr>
        <w:t>、生态环境综合整治原则</w:t>
      </w:r>
    </w:p>
    <w:p w14:paraId="6686B933">
      <w:pPr>
        <w:ind w:firstLine="480"/>
        <w:jc w:val="both"/>
      </w:pPr>
      <w:r>
        <w:rPr>
          <w:kern w:val="0"/>
          <w:szCs w:val="24"/>
          <w:lang w:bidi="ar"/>
        </w:rPr>
        <w:t xml:space="preserve">根据本项目建设与运行特点、性质和评价区环境特征，以及《环境影响评价技术导则 生态影响》（HJ19-2022）的规定，确定生态环境综合整治原则为： </w:t>
      </w:r>
    </w:p>
    <w:p w14:paraId="10CEA514">
      <w:pPr>
        <w:ind w:firstLine="480"/>
        <w:rPr>
          <w:kern w:val="0"/>
          <w:szCs w:val="24"/>
          <w:lang w:bidi="ar"/>
        </w:rPr>
      </w:pPr>
      <w:r>
        <w:rPr>
          <w:kern w:val="0"/>
          <w:szCs w:val="24"/>
          <w:lang w:bidi="ar"/>
        </w:rPr>
        <w:t xml:space="preserve">（1）自然资源的补偿原则 </w:t>
      </w:r>
    </w:p>
    <w:p w14:paraId="6A290F89">
      <w:pPr>
        <w:ind w:firstLine="480"/>
        <w:jc w:val="both"/>
      </w:pPr>
      <w:r>
        <w:rPr>
          <w:kern w:val="0"/>
          <w:szCs w:val="24"/>
          <w:lang w:bidi="ar"/>
        </w:rPr>
        <w:t xml:space="preserve">由于项目区自然资源（主要指草地植被资源和土地资源）会因为项目施工和运行受到一定程度的损耗，而这两种资源都属于再生期长，恢复速度较慢的资源，它们除自身存在市场价值外，还具有生态和社会效益，因而必须执行自然资源损失的补偿原则。 </w:t>
      </w:r>
    </w:p>
    <w:p w14:paraId="7A8DD458">
      <w:pPr>
        <w:ind w:firstLine="480"/>
      </w:pPr>
      <w:r>
        <w:rPr>
          <w:kern w:val="0"/>
          <w:szCs w:val="24"/>
          <w:lang w:bidi="ar"/>
        </w:rPr>
        <w:t xml:space="preserve">（2）受损区域的恢复原则 </w:t>
      </w:r>
    </w:p>
    <w:p w14:paraId="3AED6A31">
      <w:pPr>
        <w:ind w:firstLine="480"/>
        <w:jc w:val="both"/>
      </w:pPr>
      <w:r>
        <w:rPr>
          <w:kern w:val="0"/>
          <w:szCs w:val="24"/>
          <w:lang w:bidi="ar"/>
        </w:rPr>
        <w:t xml:space="preserve">项目影响最大的区域是占地区和直接影响区，用地格局的改变影响了原有自然体系的功能，如物种移动，因此应进行生态学设计，尽量减少这种功能的损失。根据区域环境特征，评价提出了一般影响地段采取自然恢复的原则。 </w:t>
      </w:r>
    </w:p>
    <w:p w14:paraId="0A014114">
      <w:pPr>
        <w:ind w:firstLine="480"/>
      </w:pPr>
      <w:r>
        <w:rPr>
          <w:kern w:val="0"/>
          <w:szCs w:val="24"/>
          <w:lang w:bidi="ar"/>
        </w:rPr>
        <w:t xml:space="preserve">（3）人类需求与生态完整性维护相协调的原则 </w:t>
      </w:r>
    </w:p>
    <w:p w14:paraId="691D1B3B">
      <w:pPr>
        <w:ind w:firstLine="480"/>
        <w:jc w:val="both"/>
      </w:pPr>
      <w:r>
        <w:rPr>
          <w:kern w:val="0"/>
          <w:szCs w:val="24"/>
          <w:lang w:bidi="ar"/>
        </w:rPr>
        <w:t xml:space="preserve">项目建设和运行是人类利用自然资源满足需求的行为，这种行为往往与生态完整性的维护发生矛盾，生态保护措施就在于尽力减缓这种矛盾，在自然体系可以承受的范围内开发利用资源，为社会经济的进步服务。 </w:t>
      </w:r>
    </w:p>
    <w:p w14:paraId="5C18A88D">
      <w:pPr>
        <w:ind w:firstLine="480"/>
      </w:pPr>
      <w:r>
        <w:rPr>
          <w:kern w:val="0"/>
          <w:szCs w:val="24"/>
          <w:lang w:bidi="ar"/>
        </w:rPr>
        <w:t xml:space="preserve">（4）突出重点，分区治理的原则 </w:t>
      </w:r>
    </w:p>
    <w:p w14:paraId="3F5929EE">
      <w:pPr>
        <w:ind w:firstLine="480"/>
        <w:jc w:val="both"/>
      </w:pPr>
      <w:r>
        <w:rPr>
          <w:kern w:val="0"/>
          <w:szCs w:val="24"/>
          <w:lang w:bidi="ar"/>
        </w:rPr>
        <w:t xml:space="preserve">按照厂区场地布局，根据不同分区的特点分别进行整治，并把整治的重点放在草地的恢复上。 </w:t>
      </w:r>
    </w:p>
    <w:p w14:paraId="4580985B">
      <w:pPr>
        <w:ind w:firstLine="480"/>
      </w:pPr>
      <w:r>
        <w:rPr>
          <w:kern w:val="0"/>
          <w:szCs w:val="24"/>
          <w:lang w:bidi="ar"/>
        </w:rPr>
        <w:t xml:space="preserve">2、生态综合整治目标 </w:t>
      </w:r>
    </w:p>
    <w:p w14:paraId="20D3F09C">
      <w:pPr>
        <w:ind w:firstLine="480"/>
        <w:jc w:val="both"/>
      </w:pPr>
      <w:r>
        <w:rPr>
          <w:kern w:val="0"/>
          <w:szCs w:val="24"/>
          <w:lang w:bidi="ar"/>
        </w:rPr>
        <w:t xml:space="preserve">结合本厂区的生态环境现状和该区土地利用规划，确定本项目综合整治目标如下： </w:t>
      </w:r>
    </w:p>
    <w:p w14:paraId="07EF4717">
      <w:pPr>
        <w:numPr>
          <w:ilvl w:val="0"/>
          <w:numId w:val="4"/>
        </w:numPr>
        <w:ind w:firstLineChars="0"/>
        <w:jc w:val="both"/>
        <w:rPr>
          <w:kern w:val="0"/>
          <w:szCs w:val="24"/>
          <w:lang w:bidi="ar"/>
        </w:rPr>
      </w:pPr>
      <w:r>
        <w:rPr>
          <w:rFonts w:hint="eastAsia"/>
          <w:kern w:val="0"/>
          <w:szCs w:val="24"/>
          <w:lang w:bidi="ar"/>
        </w:rPr>
        <w:t>厂区进行绿化，应保证一定的植被覆盖率；</w:t>
      </w:r>
    </w:p>
    <w:p w14:paraId="7278435B">
      <w:pPr>
        <w:numPr>
          <w:ilvl w:val="0"/>
          <w:numId w:val="4"/>
        </w:numPr>
        <w:ind w:firstLineChars="0"/>
        <w:jc w:val="both"/>
      </w:pPr>
      <w:r>
        <w:t>保证项目占地及周边范围内植物、动物生物多样性不减少，生态系统维持稳定</w:t>
      </w:r>
      <w:r>
        <w:rPr>
          <w:kern w:val="0"/>
          <w:szCs w:val="24"/>
          <w:lang w:bidi="ar"/>
        </w:rPr>
        <w:t xml:space="preserve">； </w:t>
      </w:r>
    </w:p>
    <w:p w14:paraId="1F290D51">
      <w:pPr>
        <w:ind w:firstLine="480"/>
        <w:jc w:val="both"/>
        <w:rPr>
          <w:kern w:val="0"/>
          <w:szCs w:val="24"/>
          <w:lang w:bidi="ar"/>
        </w:rPr>
      </w:pPr>
      <w:r>
        <w:rPr>
          <w:kern w:val="0"/>
          <w:szCs w:val="24"/>
          <w:lang w:bidi="ar"/>
        </w:rPr>
        <w:t>（</w:t>
      </w:r>
      <w:r>
        <w:rPr>
          <w:rFonts w:hint="eastAsia"/>
          <w:kern w:val="0"/>
          <w:szCs w:val="24"/>
          <w:lang w:bidi="ar"/>
        </w:rPr>
        <w:t>3</w:t>
      </w:r>
      <w:r>
        <w:rPr>
          <w:kern w:val="0"/>
          <w:szCs w:val="24"/>
          <w:lang w:bidi="ar"/>
        </w:rPr>
        <w:t>）</w:t>
      </w:r>
      <w:r>
        <w:t>对于野生动物，应保证其栖息地不被干扰和破坏，不影响其生存环境</w:t>
      </w:r>
      <w:r>
        <w:rPr>
          <w:rFonts w:hint="eastAsia"/>
        </w:rPr>
        <w:t>。</w:t>
      </w:r>
    </w:p>
    <w:p w14:paraId="0D2A701A">
      <w:pPr>
        <w:pStyle w:val="12"/>
      </w:pPr>
      <w:r>
        <w:rPr>
          <w:rFonts w:hint="eastAsia"/>
        </w:rPr>
        <w:t>7.2.7.2项目区重点保护植物保护措施</w:t>
      </w:r>
    </w:p>
    <w:p w14:paraId="3CBE82D7">
      <w:pPr>
        <w:ind w:firstLine="480"/>
      </w:pPr>
      <w:r>
        <w:rPr>
          <w:rFonts w:hint="eastAsia"/>
        </w:rPr>
        <w:t>1、给项目管理运行以及进出项目区人员发放项目区域附近重点保护野生植物图片，包括四合木、沙冬青、绵刺等，避免人为破坏项目区域附近重点保护野生植物；</w:t>
      </w:r>
    </w:p>
    <w:p w14:paraId="23C901C6">
      <w:pPr>
        <w:ind w:firstLine="480"/>
      </w:pPr>
      <w:r>
        <w:rPr>
          <w:rFonts w:hint="eastAsia"/>
        </w:rPr>
        <w:t>2、加强人员培训教育，定期对人员进行培训，强化人员对重点保护野生植物的重视程度；</w:t>
      </w:r>
    </w:p>
    <w:p w14:paraId="136263C9">
      <w:pPr>
        <w:ind w:firstLine="480"/>
      </w:pPr>
      <w:r>
        <w:rPr>
          <w:rFonts w:hint="eastAsia"/>
        </w:rPr>
        <w:t>3、项目附近重点保护野生植物采用挂（插）牌等方式警示人员，避免对重点保护野生植物的破坏；</w:t>
      </w:r>
    </w:p>
    <w:p w14:paraId="10CECEAE">
      <w:pPr>
        <w:ind w:firstLine="480"/>
      </w:pPr>
      <w:r>
        <w:rPr>
          <w:rFonts w:hint="eastAsia"/>
        </w:rPr>
        <w:t>4、项目车辆运输、行驶路线按照规定线路行驶，路两旁设置禁止标志，严禁不按照规定路线行驶对项目周边重点保护野生植物造成碾压；</w:t>
      </w:r>
    </w:p>
    <w:p w14:paraId="30145A98">
      <w:pPr>
        <w:ind w:firstLine="480"/>
      </w:pPr>
      <w:r>
        <w:rPr>
          <w:rFonts w:hint="eastAsia"/>
        </w:rPr>
        <w:t>5、项目在靠近自然保护区一侧设置警示牌，明确保护区保护内容；</w:t>
      </w:r>
    </w:p>
    <w:p w14:paraId="7C13FE78">
      <w:pPr>
        <w:ind w:firstLine="480"/>
      </w:pPr>
      <w:r>
        <w:rPr>
          <w:rFonts w:hint="eastAsia"/>
        </w:rPr>
        <w:t>6、公司内部安排专岗专人对项目附近以及自然保护区一侧定时进行巡查，避免有人为破坏重点保护野生植物和自然保护区现象发生。</w:t>
      </w:r>
    </w:p>
    <w:p w14:paraId="4FF9EEBA">
      <w:pPr>
        <w:pStyle w:val="12"/>
      </w:pPr>
      <w:r>
        <w:rPr>
          <w:rFonts w:hint="eastAsia"/>
        </w:rPr>
        <w:t>7.</w:t>
      </w:r>
      <w:r>
        <w:t>2.7.</w:t>
      </w:r>
      <w:r>
        <w:rPr>
          <w:rFonts w:hint="eastAsia"/>
        </w:rPr>
        <w:t xml:space="preserve">3生态保护措施 </w:t>
      </w:r>
    </w:p>
    <w:p w14:paraId="6C7BEDCB">
      <w:pPr>
        <w:ind w:firstLine="480"/>
        <w:jc w:val="both"/>
      </w:pPr>
      <w:r>
        <w:rPr>
          <w:rFonts w:hint="eastAsia"/>
        </w:rPr>
        <w:t>1、加强对员工的培训，严格控制项目区人员活动范围，避免对项目区外重点保护野生植物和自然保护区造成破坏，严禁人员随意偷猎、伤害、恐吓、袭击野生动物。严格要求项目人员按照要求路线出入厂区，不得随意更改路线。</w:t>
      </w:r>
    </w:p>
    <w:p w14:paraId="39D37954">
      <w:pPr>
        <w:ind w:firstLine="480"/>
        <w:jc w:val="both"/>
      </w:pPr>
      <w:r>
        <w:rPr>
          <w:rFonts w:hint="eastAsia"/>
        </w:rPr>
        <w:t>2、</w:t>
      </w:r>
      <w:r>
        <w:rPr>
          <w:kern w:val="0"/>
          <w:szCs w:val="24"/>
          <w:lang w:bidi="ar"/>
        </w:rPr>
        <w:t>本项目厂区靠近保护区一侧设置围栏，阻挡人员</w:t>
      </w:r>
      <w:r>
        <w:rPr>
          <w:rFonts w:hint="eastAsia"/>
          <w:kern w:val="0"/>
          <w:szCs w:val="24"/>
          <w:lang w:bidi="ar"/>
        </w:rPr>
        <w:t>活动</w:t>
      </w:r>
      <w:r>
        <w:rPr>
          <w:kern w:val="0"/>
          <w:szCs w:val="24"/>
          <w:lang w:bidi="ar"/>
        </w:rPr>
        <w:t xml:space="preserve">进入保护区，加强宣传教育，严禁本厂工人和外来人员从本厂属范围进入保护区，严禁将垃圾排入保护区。在显眼的位置设置警示牌，提示人员禁止进入保护区。 </w:t>
      </w:r>
    </w:p>
    <w:p w14:paraId="200E8EE9">
      <w:pPr>
        <w:ind w:firstLine="480"/>
        <w:jc w:val="both"/>
      </w:pPr>
      <w:r>
        <w:rPr>
          <w:rFonts w:hint="eastAsia"/>
          <w:kern w:val="0"/>
          <w:szCs w:val="24"/>
          <w:lang w:bidi="ar"/>
        </w:rPr>
        <w:t>3、运营</w:t>
      </w:r>
      <w:r>
        <w:rPr>
          <w:kern w:val="0"/>
          <w:szCs w:val="24"/>
          <w:lang w:bidi="ar"/>
        </w:rPr>
        <w:t xml:space="preserve">期运输车辆不能进入保护区。 </w:t>
      </w:r>
    </w:p>
    <w:p w14:paraId="12ECAF92">
      <w:pPr>
        <w:ind w:firstLine="480"/>
        <w:jc w:val="both"/>
      </w:pPr>
      <w:r>
        <w:rPr>
          <w:rFonts w:hint="eastAsia"/>
        </w:rPr>
        <w:t>4、</w:t>
      </w:r>
      <w:r>
        <w:rPr>
          <w:bCs/>
        </w:rPr>
        <w:t>按照《禽养殖业污染治理工程技术规范》</w:t>
      </w:r>
      <w:r>
        <w:rPr>
          <w:rFonts w:hint="eastAsia"/>
          <w:bCs/>
        </w:rPr>
        <w:t>对养殖区及</w:t>
      </w:r>
      <w:r>
        <w:rPr>
          <w:bCs/>
        </w:rPr>
        <w:t>污水处理设施及医疗垃圾暂存间</w:t>
      </w:r>
      <w:r>
        <w:rPr>
          <w:rFonts w:hint="eastAsia"/>
          <w:bCs/>
        </w:rPr>
        <w:t>进行防渗处理。</w:t>
      </w:r>
    </w:p>
    <w:p w14:paraId="1DB5A2FF">
      <w:pPr>
        <w:ind w:firstLine="480"/>
        <w:jc w:val="both"/>
      </w:pPr>
      <w:r>
        <w:rPr>
          <w:rFonts w:hint="eastAsia"/>
        </w:rPr>
        <w:t>5、</w:t>
      </w:r>
      <w:r>
        <w:t>本工程事故条件下将对生态环境造成较大的影响，因此须对事故风险严加防范和控制。加强日常生产监督管理和安全运行检查工作，制定安全生产操作规程，加强职工安全意识教育和安全生产技术培训</w:t>
      </w:r>
      <w:r>
        <w:rPr>
          <w:rFonts w:hint="eastAsia"/>
        </w:rPr>
        <w:t>。</w:t>
      </w:r>
    </w:p>
    <w:p w14:paraId="75E4E5BF">
      <w:pPr>
        <w:ind w:firstLine="480"/>
        <w:jc w:val="both"/>
      </w:pPr>
      <w:r>
        <w:rPr>
          <w:rFonts w:hint="eastAsia"/>
        </w:rPr>
        <w:t>6、</w:t>
      </w:r>
      <w:r>
        <w:rPr>
          <w:rFonts w:hint="eastAsia" w:ascii="宋体" w:hAnsi="宋体" w:cs="宋体"/>
          <w:kern w:val="0"/>
          <w:szCs w:val="24"/>
          <w:lang w:bidi="ar"/>
        </w:rPr>
        <w:t>建立植物多样性和植被生态监测体系，为管理提供科学依据。</w:t>
      </w:r>
    </w:p>
    <w:p w14:paraId="3363156A">
      <w:pPr>
        <w:pStyle w:val="230"/>
        <w:ind w:firstLine="480"/>
        <w:rPr>
          <w:lang w:eastAsia="zh-CN"/>
        </w:rPr>
        <w:sectPr>
          <w:pgSz w:w="11907" w:h="16840"/>
          <w:pgMar w:top="1418" w:right="1418" w:bottom="1418" w:left="1418" w:header="964" w:footer="964" w:gutter="0"/>
          <w:cols w:space="720" w:num="1"/>
          <w:docGrid w:linePitch="326" w:charSpace="0"/>
        </w:sectPr>
      </w:pPr>
    </w:p>
    <w:p w14:paraId="23D63A02">
      <w:pPr>
        <w:pStyle w:val="81"/>
        <w:ind w:left="0" w:leftChars="0" w:firstLine="0" w:firstLineChars="0"/>
        <w:jc w:val="center"/>
      </w:pPr>
      <w:r>
        <w:drawing>
          <wp:inline distT="0" distB="0" distL="0" distR="0">
            <wp:extent cx="7376160" cy="5219700"/>
            <wp:effectExtent l="0" t="0" r="2540" b="0"/>
            <wp:docPr id="1249934641" name="图片 14" descr="C:/Users/lianglong/Desktop/典型生态保护措施平面布置图.png典型生态保护措施平面布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34641" name="图片 14" descr="C:/Users/lianglong/Desktop/典型生态保护措施平面布置图.png典型生态保护措施平面布置图"/>
                    <pic:cNvPicPr>
                      <a:picLocks noChangeAspect="1"/>
                    </pic:cNvPicPr>
                  </pic:nvPicPr>
                  <pic:blipFill>
                    <a:blip r:embed="rId222"/>
                    <a:srcRect l="12" r="12"/>
                    <a:stretch>
                      <a:fillRect/>
                    </a:stretch>
                  </pic:blipFill>
                  <pic:spPr>
                    <a:xfrm>
                      <a:off x="0" y="0"/>
                      <a:ext cx="7376250" cy="5219700"/>
                    </a:xfrm>
                    <a:prstGeom prst="rect">
                      <a:avLst/>
                    </a:prstGeom>
                  </pic:spPr>
                </pic:pic>
              </a:graphicData>
            </a:graphic>
          </wp:inline>
        </w:drawing>
      </w:r>
    </w:p>
    <w:p w14:paraId="1D17F0EA">
      <w:pPr>
        <w:ind w:firstLine="482"/>
        <w:jc w:val="center"/>
        <w:rPr>
          <w:b/>
          <w:bCs/>
        </w:rPr>
        <w:sectPr>
          <w:pgSz w:w="16840" w:h="11907" w:orient="landscape"/>
          <w:pgMar w:top="1418" w:right="1418" w:bottom="1418" w:left="1418" w:header="964" w:footer="964" w:gutter="0"/>
          <w:cols w:space="720" w:num="1"/>
          <w:docGrid w:linePitch="326" w:charSpace="0"/>
        </w:sectPr>
      </w:pPr>
      <w:r>
        <w:rPr>
          <w:rFonts w:hint="eastAsia"/>
          <w:b/>
          <w:bCs/>
        </w:rPr>
        <w:t>图7.</w:t>
      </w:r>
      <w:r>
        <w:rPr>
          <w:b/>
          <w:bCs/>
        </w:rPr>
        <w:t>2-3</w:t>
      </w:r>
      <w:r>
        <w:rPr>
          <w:rFonts w:hint="eastAsia"/>
          <w:b/>
          <w:bCs/>
        </w:rPr>
        <w:t xml:space="preserve">   典型生态保护措施平面示意图</w:t>
      </w:r>
    </w:p>
    <w:bookmarkEnd w:id="523"/>
    <w:bookmarkEnd w:id="524"/>
    <w:p w14:paraId="6067C336">
      <w:pPr>
        <w:pStyle w:val="103"/>
      </w:pPr>
      <w:bookmarkStart w:id="543" w:name="_Toc36234663"/>
      <w:bookmarkStart w:id="544" w:name="_Toc166572362"/>
      <w:r>
        <w:t>8环境影响经济损益分析</w:t>
      </w:r>
      <w:bookmarkEnd w:id="543"/>
      <w:bookmarkEnd w:id="544"/>
    </w:p>
    <w:p w14:paraId="76DF55E4">
      <w:pPr>
        <w:pStyle w:val="10"/>
      </w:pPr>
      <w:bookmarkStart w:id="545" w:name="_Toc436664420"/>
      <w:bookmarkStart w:id="546" w:name="_Toc395777458"/>
      <w:bookmarkStart w:id="547" w:name="_Toc166572363"/>
      <w:r>
        <w:t>8.1</w:t>
      </w:r>
      <w:bookmarkEnd w:id="545"/>
      <w:bookmarkEnd w:id="546"/>
      <w:r>
        <w:t>环境保护投资</w:t>
      </w:r>
      <w:bookmarkEnd w:id="547"/>
    </w:p>
    <w:p w14:paraId="1CEE44F4">
      <w:pPr>
        <w:pStyle w:val="104"/>
      </w:pPr>
      <w:bookmarkStart w:id="548" w:name="_Toc11125862"/>
      <w:bookmarkStart w:id="549" w:name="_Toc527988533"/>
      <w:bookmarkStart w:id="550" w:name="_Toc532897497"/>
      <w:bookmarkStart w:id="551" w:name="_Toc528989704"/>
      <w:bookmarkStart w:id="552" w:name="_Toc527971877"/>
      <w:bookmarkStart w:id="553" w:name="_Toc11058087"/>
      <w:bookmarkStart w:id="554" w:name="_Toc522678568"/>
      <w:bookmarkStart w:id="555" w:name="_Toc11057892"/>
      <w:bookmarkStart w:id="556" w:name="_Toc11119443"/>
      <w:bookmarkStart w:id="557" w:name="_Toc11899810"/>
      <w:bookmarkStart w:id="558" w:name="_Toc11057331"/>
      <w:bookmarkStart w:id="559" w:name="_Toc526493343"/>
      <w:bookmarkStart w:id="560" w:name="_Toc11927790"/>
      <w:bookmarkStart w:id="561" w:name="_Toc532114063"/>
      <w:bookmarkStart w:id="562" w:name="_Toc529001671"/>
      <w:bookmarkStart w:id="563" w:name="_Toc10347480"/>
      <w:bookmarkStart w:id="564" w:name="_Toc11058188"/>
      <w:bookmarkStart w:id="565" w:name="_Toc527988443"/>
      <w:bookmarkStart w:id="566" w:name="_Toc527971968"/>
      <w:bookmarkStart w:id="567" w:name="_Toc529000495"/>
      <w:bookmarkStart w:id="568" w:name="_Toc10544936"/>
      <w:r>
        <w:t>环境保护投资是指与治理、预防污染有关的工程投资费用之和，它既包括治理污染保护环境的设施费用，也包括为治理污染服务的费用。根据上述原则，该项目环保工程主要包括以下几个部分：废气治理工程、废水治理工程、固体废弃物厂内暂存设施、噪声污染防治工程、环境风险防范措施。项目总投资27000</w:t>
      </w:r>
      <w:r>
        <w:rPr>
          <w:rFonts w:hint="eastAsia"/>
        </w:rPr>
        <w:t>万</w:t>
      </w:r>
      <w:r>
        <w:t>元，环保投资</w:t>
      </w:r>
      <w:r>
        <w:rPr>
          <w:rFonts w:hint="eastAsia"/>
        </w:rPr>
        <w:t>504</w:t>
      </w:r>
      <w:r>
        <w:t>万元，占总投资的</w:t>
      </w:r>
      <w:r>
        <w:rPr>
          <w:rFonts w:hint="eastAsia"/>
        </w:rPr>
        <w:t>1.87</w:t>
      </w:r>
      <w:r>
        <w:t>%。</w:t>
      </w:r>
    </w:p>
    <w:p w14:paraId="0CB27AB5">
      <w:pPr>
        <w:pStyle w:val="756"/>
      </w:pPr>
      <w:r>
        <w:t>表8.1-1  环保投资一览表</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546"/>
        <w:gridCol w:w="1190"/>
        <w:gridCol w:w="5187"/>
        <w:gridCol w:w="728"/>
      </w:tblGrid>
      <w:tr w14:paraId="7F04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Align w:val="center"/>
          </w:tcPr>
          <w:p w14:paraId="6632355F">
            <w:pPr>
              <w:pStyle w:val="766"/>
              <w:rPr>
                <w:color w:val="auto"/>
              </w:rPr>
            </w:pPr>
            <w:r>
              <w:rPr>
                <w:color w:val="auto"/>
              </w:rPr>
              <w:t>类别</w:t>
            </w:r>
          </w:p>
        </w:tc>
        <w:tc>
          <w:tcPr>
            <w:tcW w:w="1546" w:type="dxa"/>
            <w:vAlign w:val="center"/>
          </w:tcPr>
          <w:p w14:paraId="65062CE4">
            <w:pPr>
              <w:pStyle w:val="766"/>
              <w:rPr>
                <w:color w:val="auto"/>
              </w:rPr>
            </w:pPr>
            <w:r>
              <w:rPr>
                <w:rFonts w:hint="eastAsia"/>
                <w:color w:val="auto"/>
              </w:rPr>
              <w:t>污染物</w:t>
            </w:r>
          </w:p>
        </w:tc>
        <w:tc>
          <w:tcPr>
            <w:tcW w:w="1190" w:type="dxa"/>
            <w:vAlign w:val="center"/>
          </w:tcPr>
          <w:p w14:paraId="344FC7D2">
            <w:pPr>
              <w:pStyle w:val="766"/>
              <w:rPr>
                <w:color w:val="auto"/>
              </w:rPr>
            </w:pPr>
            <w:r>
              <w:rPr>
                <w:color w:val="auto"/>
              </w:rPr>
              <w:t>污染源</w:t>
            </w:r>
          </w:p>
        </w:tc>
        <w:tc>
          <w:tcPr>
            <w:tcW w:w="0" w:type="auto"/>
            <w:vAlign w:val="center"/>
          </w:tcPr>
          <w:p w14:paraId="36C654D5">
            <w:pPr>
              <w:pStyle w:val="766"/>
              <w:rPr>
                <w:color w:val="auto"/>
              </w:rPr>
            </w:pPr>
            <w:r>
              <w:rPr>
                <w:rFonts w:hint="eastAsia"/>
                <w:color w:val="auto"/>
              </w:rPr>
              <w:t>环保措施</w:t>
            </w:r>
          </w:p>
        </w:tc>
        <w:tc>
          <w:tcPr>
            <w:tcW w:w="0" w:type="auto"/>
            <w:vAlign w:val="center"/>
          </w:tcPr>
          <w:p w14:paraId="0C8912B0">
            <w:pPr>
              <w:pStyle w:val="766"/>
              <w:rPr>
                <w:color w:val="auto"/>
              </w:rPr>
            </w:pPr>
            <w:r>
              <w:rPr>
                <w:color w:val="auto"/>
              </w:rPr>
              <w:t>投资（万元）</w:t>
            </w:r>
          </w:p>
        </w:tc>
      </w:tr>
      <w:tr w14:paraId="1DA4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6" w:type="dxa"/>
            <w:vMerge w:val="restart"/>
            <w:vAlign w:val="center"/>
          </w:tcPr>
          <w:p w14:paraId="5853E677">
            <w:pPr>
              <w:pStyle w:val="766"/>
              <w:rPr>
                <w:color w:val="auto"/>
              </w:rPr>
            </w:pPr>
            <w:r>
              <w:rPr>
                <w:color w:val="auto"/>
              </w:rPr>
              <w:t>废气</w:t>
            </w:r>
          </w:p>
        </w:tc>
        <w:tc>
          <w:tcPr>
            <w:tcW w:w="1546" w:type="dxa"/>
            <w:vAlign w:val="center"/>
          </w:tcPr>
          <w:p w14:paraId="6BD697BB">
            <w:pPr>
              <w:pStyle w:val="766"/>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1190" w:type="dxa"/>
            <w:vAlign w:val="center"/>
          </w:tcPr>
          <w:p w14:paraId="418CEECB">
            <w:pPr>
              <w:pStyle w:val="766"/>
              <w:rPr>
                <w:color w:val="auto"/>
              </w:rPr>
            </w:pPr>
            <w:r>
              <w:rPr>
                <w:color w:val="auto"/>
              </w:rPr>
              <w:t>鸡舍</w:t>
            </w:r>
          </w:p>
        </w:tc>
        <w:tc>
          <w:tcPr>
            <w:tcW w:w="0" w:type="auto"/>
            <w:vAlign w:val="center"/>
          </w:tcPr>
          <w:p w14:paraId="6318ABBA">
            <w:pPr>
              <w:pStyle w:val="766"/>
              <w:jc w:val="left"/>
              <w:rPr>
                <w:color w:val="auto"/>
              </w:rPr>
            </w:pPr>
            <w:r>
              <w:rPr>
                <w:rFonts w:hint="eastAsia" w:ascii="宋体" w:hAnsi="宋体" w:cs="宋体"/>
                <w:color w:val="auto"/>
              </w:rPr>
              <w:t>①</w:t>
            </w:r>
            <w:r>
              <w:rPr>
                <w:color w:val="auto"/>
              </w:rPr>
              <w:t>选用益生菌配方饲料；</w:t>
            </w:r>
          </w:p>
          <w:p w14:paraId="120AA492">
            <w:pPr>
              <w:pStyle w:val="766"/>
              <w:jc w:val="left"/>
              <w:rPr>
                <w:color w:val="auto"/>
              </w:rPr>
            </w:pPr>
            <w:r>
              <w:rPr>
                <w:rFonts w:hint="eastAsia" w:ascii="宋体" w:hAnsi="宋体" w:cs="宋体"/>
                <w:color w:val="auto"/>
              </w:rPr>
              <w:t>②</w:t>
            </w:r>
            <w:r>
              <w:rPr>
                <w:color w:val="auto"/>
              </w:rPr>
              <w:t>及时清运粪污；</w:t>
            </w:r>
          </w:p>
          <w:p w14:paraId="389C58F6">
            <w:pPr>
              <w:pStyle w:val="766"/>
              <w:jc w:val="left"/>
              <w:rPr>
                <w:color w:val="auto"/>
              </w:rPr>
            </w:pPr>
            <w:r>
              <w:rPr>
                <w:rFonts w:hint="eastAsia" w:ascii="宋体" w:hAnsi="宋体" w:cs="宋体"/>
                <w:color w:val="auto"/>
              </w:rPr>
              <w:t>③</w:t>
            </w:r>
            <w:r>
              <w:rPr>
                <w:color w:val="auto"/>
              </w:rPr>
              <w:t>向舍内定期投入除臭剂；</w:t>
            </w:r>
          </w:p>
          <w:p w14:paraId="2275EB44">
            <w:pPr>
              <w:pStyle w:val="766"/>
              <w:jc w:val="left"/>
              <w:rPr>
                <w:color w:val="auto"/>
              </w:rPr>
            </w:pPr>
            <w:r>
              <w:rPr>
                <w:rFonts w:hint="eastAsia" w:ascii="宋体" w:hAnsi="宋体" w:cs="宋体"/>
                <w:color w:val="auto"/>
              </w:rPr>
              <w:t>④</w:t>
            </w:r>
            <w:r>
              <w:rPr>
                <w:color w:val="auto"/>
              </w:rPr>
              <w:t>周边加强绿化</w:t>
            </w:r>
          </w:p>
          <w:p w14:paraId="343B3166">
            <w:pPr>
              <w:pStyle w:val="766"/>
              <w:jc w:val="left"/>
              <w:rPr>
                <w:color w:val="auto"/>
              </w:rPr>
            </w:pPr>
            <w:r>
              <w:rPr>
                <w:rFonts w:hint="eastAsia" w:ascii="宋体" w:hAnsi="宋体" w:cs="宋体"/>
                <w:color w:val="auto"/>
              </w:rPr>
              <w:t>⑤安装水雾吸附设施</w:t>
            </w:r>
          </w:p>
        </w:tc>
        <w:tc>
          <w:tcPr>
            <w:tcW w:w="0" w:type="auto"/>
            <w:vAlign w:val="center"/>
          </w:tcPr>
          <w:p w14:paraId="70C09499">
            <w:pPr>
              <w:pStyle w:val="766"/>
              <w:rPr>
                <w:color w:val="auto"/>
              </w:rPr>
            </w:pPr>
            <w:r>
              <w:rPr>
                <w:rFonts w:hint="eastAsia"/>
                <w:color w:val="auto"/>
              </w:rPr>
              <w:t>10</w:t>
            </w:r>
          </w:p>
        </w:tc>
      </w:tr>
      <w:tr w14:paraId="55F7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6" w:type="dxa"/>
            <w:vMerge w:val="continue"/>
            <w:vAlign w:val="center"/>
          </w:tcPr>
          <w:p w14:paraId="72852208">
            <w:pPr>
              <w:pStyle w:val="766"/>
              <w:rPr>
                <w:color w:val="auto"/>
              </w:rPr>
            </w:pPr>
          </w:p>
        </w:tc>
        <w:tc>
          <w:tcPr>
            <w:tcW w:w="1546" w:type="dxa"/>
            <w:vAlign w:val="center"/>
          </w:tcPr>
          <w:p w14:paraId="40A8F78E">
            <w:pPr>
              <w:pStyle w:val="766"/>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1190" w:type="dxa"/>
            <w:vAlign w:val="center"/>
          </w:tcPr>
          <w:p w14:paraId="38D28017">
            <w:pPr>
              <w:pStyle w:val="766"/>
              <w:rPr>
                <w:color w:val="auto"/>
              </w:rPr>
            </w:pPr>
            <w:r>
              <w:rPr>
                <w:color w:val="auto"/>
              </w:rPr>
              <w:t>污水处理设施</w:t>
            </w:r>
          </w:p>
        </w:tc>
        <w:tc>
          <w:tcPr>
            <w:tcW w:w="0" w:type="auto"/>
            <w:vAlign w:val="center"/>
          </w:tcPr>
          <w:p w14:paraId="2146C6DD">
            <w:pPr>
              <w:pStyle w:val="766"/>
              <w:rPr>
                <w:color w:val="auto"/>
              </w:rPr>
            </w:pPr>
            <w:r>
              <w:rPr>
                <w:rFonts w:hint="eastAsia"/>
                <w:color w:val="auto"/>
              </w:rPr>
              <w:t>密闭收集+活性离子氧除臭设备+15m排气筒（DA007）</w:t>
            </w:r>
          </w:p>
        </w:tc>
        <w:tc>
          <w:tcPr>
            <w:tcW w:w="0" w:type="auto"/>
            <w:vAlign w:val="center"/>
          </w:tcPr>
          <w:p w14:paraId="172E1A7E">
            <w:pPr>
              <w:pStyle w:val="766"/>
              <w:rPr>
                <w:color w:val="auto"/>
              </w:rPr>
            </w:pPr>
            <w:r>
              <w:rPr>
                <w:rFonts w:hint="eastAsia"/>
                <w:color w:val="auto"/>
              </w:rPr>
              <w:t>20</w:t>
            </w:r>
          </w:p>
        </w:tc>
      </w:tr>
      <w:tr w14:paraId="5B18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6" w:type="dxa"/>
            <w:vMerge w:val="continue"/>
            <w:vAlign w:val="center"/>
          </w:tcPr>
          <w:p w14:paraId="21C494C1">
            <w:pPr>
              <w:pStyle w:val="766"/>
              <w:rPr>
                <w:color w:val="auto"/>
              </w:rPr>
            </w:pPr>
          </w:p>
        </w:tc>
        <w:tc>
          <w:tcPr>
            <w:tcW w:w="1546" w:type="dxa"/>
            <w:vAlign w:val="center"/>
          </w:tcPr>
          <w:p w14:paraId="31F4A145">
            <w:pPr>
              <w:pStyle w:val="766"/>
              <w:rPr>
                <w:color w:val="auto"/>
              </w:rPr>
            </w:pPr>
            <w:r>
              <w:rPr>
                <w:color w:val="auto"/>
              </w:rPr>
              <w:t>油烟</w:t>
            </w:r>
          </w:p>
        </w:tc>
        <w:tc>
          <w:tcPr>
            <w:tcW w:w="1190" w:type="dxa"/>
            <w:vAlign w:val="center"/>
          </w:tcPr>
          <w:p w14:paraId="535EFEA8">
            <w:pPr>
              <w:pStyle w:val="766"/>
              <w:rPr>
                <w:color w:val="auto"/>
              </w:rPr>
            </w:pPr>
            <w:r>
              <w:rPr>
                <w:color w:val="auto"/>
              </w:rPr>
              <w:t>食堂</w:t>
            </w:r>
          </w:p>
        </w:tc>
        <w:tc>
          <w:tcPr>
            <w:tcW w:w="0" w:type="auto"/>
            <w:vAlign w:val="center"/>
          </w:tcPr>
          <w:p w14:paraId="1D9E6656">
            <w:pPr>
              <w:pStyle w:val="766"/>
              <w:rPr>
                <w:color w:val="auto"/>
              </w:rPr>
            </w:pPr>
            <w:r>
              <w:rPr>
                <w:color w:val="auto"/>
              </w:rPr>
              <w:t>设1套油烟净化器，由专用排气道</w:t>
            </w:r>
            <w:r>
              <w:rPr>
                <w:rFonts w:hint="eastAsia"/>
                <w:color w:val="auto"/>
              </w:rPr>
              <w:t>（DA003）</w:t>
            </w:r>
            <w:r>
              <w:rPr>
                <w:color w:val="auto"/>
              </w:rPr>
              <w:t>排出</w:t>
            </w:r>
          </w:p>
        </w:tc>
        <w:tc>
          <w:tcPr>
            <w:tcW w:w="0" w:type="auto"/>
            <w:vAlign w:val="center"/>
          </w:tcPr>
          <w:p w14:paraId="594091FA">
            <w:pPr>
              <w:pStyle w:val="766"/>
              <w:rPr>
                <w:color w:val="auto"/>
              </w:rPr>
            </w:pPr>
            <w:r>
              <w:rPr>
                <w:color w:val="auto"/>
              </w:rPr>
              <w:t>2</w:t>
            </w:r>
          </w:p>
        </w:tc>
      </w:tr>
      <w:tr w14:paraId="0A18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6" w:type="dxa"/>
            <w:vMerge w:val="continue"/>
            <w:vAlign w:val="center"/>
          </w:tcPr>
          <w:p w14:paraId="2FE0CBE0">
            <w:pPr>
              <w:pStyle w:val="766"/>
              <w:rPr>
                <w:color w:val="auto"/>
              </w:rPr>
            </w:pPr>
          </w:p>
        </w:tc>
        <w:tc>
          <w:tcPr>
            <w:tcW w:w="1546" w:type="dxa"/>
            <w:vAlign w:val="center"/>
          </w:tcPr>
          <w:p w14:paraId="25372FAA">
            <w:pPr>
              <w:pStyle w:val="766"/>
              <w:rPr>
                <w:color w:val="auto"/>
              </w:rPr>
            </w:pPr>
            <w:r>
              <w:rPr>
                <w:rFonts w:hint="eastAsia"/>
                <w:color w:val="auto"/>
              </w:rPr>
              <w:t>颗粒物</w:t>
            </w:r>
          </w:p>
        </w:tc>
        <w:tc>
          <w:tcPr>
            <w:tcW w:w="1190" w:type="dxa"/>
            <w:vAlign w:val="center"/>
          </w:tcPr>
          <w:p w14:paraId="35130925">
            <w:pPr>
              <w:pStyle w:val="766"/>
              <w:rPr>
                <w:color w:val="auto"/>
              </w:rPr>
            </w:pPr>
            <w:r>
              <w:rPr>
                <w:color w:val="auto"/>
                <w:spacing w:val="4"/>
              </w:rPr>
              <w:t>饲料加工车间</w:t>
            </w:r>
          </w:p>
        </w:tc>
        <w:tc>
          <w:tcPr>
            <w:tcW w:w="0" w:type="auto"/>
            <w:vAlign w:val="center"/>
          </w:tcPr>
          <w:p w14:paraId="4E8BB648">
            <w:pPr>
              <w:pStyle w:val="766"/>
              <w:rPr>
                <w:color w:val="auto"/>
              </w:rPr>
            </w:pPr>
            <w:r>
              <w:rPr>
                <w:color w:val="auto"/>
              </w:rPr>
              <w:t>集气罩+布袋除尘+15m高排气筒（DA001）</w:t>
            </w:r>
          </w:p>
        </w:tc>
        <w:tc>
          <w:tcPr>
            <w:tcW w:w="0" w:type="auto"/>
            <w:vAlign w:val="center"/>
          </w:tcPr>
          <w:p w14:paraId="46160041">
            <w:pPr>
              <w:pStyle w:val="766"/>
              <w:rPr>
                <w:color w:val="auto"/>
              </w:rPr>
            </w:pPr>
            <w:r>
              <w:rPr>
                <w:rFonts w:hint="eastAsia"/>
                <w:color w:val="auto"/>
              </w:rPr>
              <w:t>10</w:t>
            </w:r>
          </w:p>
        </w:tc>
      </w:tr>
      <w:tr w14:paraId="67CF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6" w:type="dxa"/>
            <w:vMerge w:val="continue"/>
            <w:vAlign w:val="center"/>
          </w:tcPr>
          <w:p w14:paraId="3DD5D408">
            <w:pPr>
              <w:pStyle w:val="766"/>
              <w:rPr>
                <w:color w:val="auto"/>
              </w:rPr>
            </w:pPr>
          </w:p>
        </w:tc>
        <w:tc>
          <w:tcPr>
            <w:tcW w:w="1546" w:type="dxa"/>
            <w:vAlign w:val="center"/>
          </w:tcPr>
          <w:p w14:paraId="5ED0F527">
            <w:pPr>
              <w:pStyle w:val="766"/>
              <w:rPr>
                <w:color w:val="auto"/>
              </w:rPr>
            </w:pPr>
            <w:r>
              <w:rPr>
                <w:rFonts w:hint="eastAsia"/>
                <w:color w:val="auto"/>
              </w:rPr>
              <w:t>颗粒物、</w:t>
            </w:r>
            <w:r>
              <w:rPr>
                <w:color w:val="auto"/>
              </w:rPr>
              <w:t>NH</w:t>
            </w:r>
            <w:r>
              <w:rPr>
                <w:color w:val="auto"/>
                <w:vertAlign w:val="subscript"/>
              </w:rPr>
              <w:t>3</w:t>
            </w:r>
            <w:r>
              <w:rPr>
                <w:color w:val="auto"/>
              </w:rPr>
              <w:t>、H</w:t>
            </w:r>
            <w:r>
              <w:rPr>
                <w:color w:val="auto"/>
                <w:vertAlign w:val="subscript"/>
              </w:rPr>
              <w:t>2</w:t>
            </w:r>
            <w:r>
              <w:rPr>
                <w:color w:val="auto"/>
              </w:rPr>
              <w:t>S、臭气浓度</w:t>
            </w:r>
          </w:p>
        </w:tc>
        <w:tc>
          <w:tcPr>
            <w:tcW w:w="1190" w:type="dxa"/>
            <w:vAlign w:val="center"/>
          </w:tcPr>
          <w:p w14:paraId="1B05C21F">
            <w:pPr>
              <w:pStyle w:val="766"/>
              <w:rPr>
                <w:color w:val="auto"/>
                <w:spacing w:val="4"/>
              </w:rPr>
            </w:pPr>
            <w:r>
              <w:rPr>
                <w:rFonts w:hint="eastAsia"/>
                <w:color w:val="auto"/>
                <w:spacing w:val="4"/>
              </w:rPr>
              <w:t>有机肥加工车间</w:t>
            </w:r>
          </w:p>
        </w:tc>
        <w:tc>
          <w:tcPr>
            <w:tcW w:w="0" w:type="auto"/>
            <w:vAlign w:val="center"/>
          </w:tcPr>
          <w:p w14:paraId="11DCC582">
            <w:pPr>
              <w:pStyle w:val="766"/>
              <w:jc w:val="both"/>
              <w:rPr>
                <w:color w:val="auto"/>
              </w:rPr>
            </w:pPr>
            <w:r>
              <w:rPr>
                <w:rFonts w:hint="eastAsia"/>
                <w:color w:val="auto"/>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tc>
        <w:tc>
          <w:tcPr>
            <w:tcW w:w="0" w:type="auto"/>
            <w:vAlign w:val="center"/>
          </w:tcPr>
          <w:p w14:paraId="4724D46E">
            <w:pPr>
              <w:pStyle w:val="766"/>
              <w:rPr>
                <w:color w:val="auto"/>
              </w:rPr>
            </w:pPr>
            <w:r>
              <w:rPr>
                <w:rFonts w:hint="eastAsia"/>
                <w:color w:val="auto"/>
              </w:rPr>
              <w:t>20</w:t>
            </w:r>
          </w:p>
        </w:tc>
      </w:tr>
      <w:tr w14:paraId="4995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6" w:type="dxa"/>
            <w:vMerge w:val="continue"/>
            <w:vAlign w:val="center"/>
          </w:tcPr>
          <w:p w14:paraId="703CFE4B">
            <w:pPr>
              <w:pStyle w:val="766"/>
              <w:rPr>
                <w:color w:val="auto"/>
              </w:rPr>
            </w:pPr>
          </w:p>
        </w:tc>
        <w:tc>
          <w:tcPr>
            <w:tcW w:w="1546" w:type="dxa"/>
            <w:vMerge w:val="restart"/>
            <w:vAlign w:val="center"/>
          </w:tcPr>
          <w:p w14:paraId="13B9086A">
            <w:pPr>
              <w:pStyle w:val="766"/>
              <w:rPr>
                <w:color w:val="auto"/>
              </w:rPr>
            </w:pPr>
            <w:r>
              <w:rPr>
                <w:color w:val="auto"/>
              </w:rPr>
              <w:t>SO</w:t>
            </w:r>
            <w:r>
              <w:rPr>
                <w:color w:val="auto"/>
                <w:vertAlign w:val="subscript"/>
              </w:rPr>
              <w:t>2</w:t>
            </w:r>
            <w:r>
              <w:rPr>
                <w:color w:val="auto"/>
              </w:rPr>
              <w:t>、NOx、颗粒物</w:t>
            </w:r>
          </w:p>
        </w:tc>
        <w:tc>
          <w:tcPr>
            <w:tcW w:w="1190" w:type="dxa"/>
            <w:vAlign w:val="center"/>
          </w:tcPr>
          <w:p w14:paraId="608267A3">
            <w:pPr>
              <w:pStyle w:val="766"/>
              <w:rPr>
                <w:color w:val="auto"/>
              </w:rPr>
            </w:pPr>
            <w:r>
              <w:rPr>
                <w:rFonts w:hint="eastAsia"/>
                <w:color w:val="auto"/>
              </w:rPr>
              <w:t>1#</w:t>
            </w:r>
            <w:r>
              <w:rPr>
                <w:color w:val="auto"/>
              </w:rPr>
              <w:t>天然气锅炉</w:t>
            </w:r>
          </w:p>
        </w:tc>
        <w:tc>
          <w:tcPr>
            <w:tcW w:w="0" w:type="auto"/>
            <w:vAlign w:val="center"/>
          </w:tcPr>
          <w:p w14:paraId="307EAC1D">
            <w:pPr>
              <w:pStyle w:val="766"/>
              <w:rPr>
                <w:color w:val="auto"/>
              </w:rPr>
            </w:pPr>
            <w:r>
              <w:rPr>
                <w:color w:val="auto"/>
              </w:rPr>
              <w:t>低氮燃烧+</w:t>
            </w:r>
            <w:r>
              <w:rPr>
                <w:rFonts w:hint="eastAsia"/>
                <w:color w:val="auto"/>
              </w:rPr>
              <w:t>8</w:t>
            </w:r>
            <w:r>
              <w:rPr>
                <w:color w:val="auto"/>
              </w:rPr>
              <w:t>m排气筒（DA00</w:t>
            </w:r>
            <w:r>
              <w:rPr>
                <w:rFonts w:hint="eastAsia"/>
                <w:color w:val="auto"/>
              </w:rPr>
              <w:t>4</w:t>
            </w:r>
            <w:r>
              <w:rPr>
                <w:color w:val="auto"/>
              </w:rPr>
              <w:t>）</w:t>
            </w:r>
          </w:p>
        </w:tc>
        <w:tc>
          <w:tcPr>
            <w:tcW w:w="0" w:type="auto"/>
            <w:vAlign w:val="center"/>
          </w:tcPr>
          <w:p w14:paraId="699CC8BE">
            <w:pPr>
              <w:pStyle w:val="766"/>
              <w:rPr>
                <w:color w:val="auto"/>
              </w:rPr>
            </w:pPr>
            <w:r>
              <w:rPr>
                <w:rFonts w:hint="eastAsia"/>
                <w:color w:val="auto"/>
              </w:rPr>
              <w:t>5</w:t>
            </w:r>
          </w:p>
        </w:tc>
      </w:tr>
      <w:tr w14:paraId="3D9F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vMerge w:val="continue"/>
            <w:vAlign w:val="center"/>
          </w:tcPr>
          <w:p w14:paraId="14DB2009">
            <w:pPr>
              <w:pStyle w:val="766"/>
              <w:rPr>
                <w:color w:val="auto"/>
              </w:rPr>
            </w:pPr>
          </w:p>
        </w:tc>
        <w:tc>
          <w:tcPr>
            <w:tcW w:w="1546" w:type="dxa"/>
            <w:vMerge w:val="continue"/>
            <w:vAlign w:val="center"/>
          </w:tcPr>
          <w:p w14:paraId="59D9E9FD">
            <w:pPr>
              <w:pStyle w:val="766"/>
              <w:rPr>
                <w:color w:val="auto"/>
              </w:rPr>
            </w:pPr>
          </w:p>
        </w:tc>
        <w:tc>
          <w:tcPr>
            <w:tcW w:w="1190" w:type="dxa"/>
            <w:vAlign w:val="center"/>
          </w:tcPr>
          <w:p w14:paraId="19A38147">
            <w:pPr>
              <w:pStyle w:val="766"/>
              <w:rPr>
                <w:color w:val="auto"/>
              </w:rPr>
            </w:pPr>
            <w:r>
              <w:rPr>
                <w:rFonts w:hint="eastAsia"/>
                <w:color w:val="auto"/>
              </w:rPr>
              <w:t>2#</w:t>
            </w:r>
            <w:r>
              <w:rPr>
                <w:color w:val="auto"/>
              </w:rPr>
              <w:t>天然气锅炉</w:t>
            </w:r>
          </w:p>
        </w:tc>
        <w:tc>
          <w:tcPr>
            <w:tcW w:w="0" w:type="auto"/>
            <w:vAlign w:val="center"/>
          </w:tcPr>
          <w:p w14:paraId="5C23E5D4">
            <w:pPr>
              <w:pStyle w:val="766"/>
              <w:rPr>
                <w:color w:val="auto"/>
              </w:rPr>
            </w:pPr>
            <w:r>
              <w:rPr>
                <w:color w:val="auto"/>
              </w:rPr>
              <w:t>低氮燃烧+</w:t>
            </w:r>
            <w:r>
              <w:rPr>
                <w:rFonts w:hint="eastAsia"/>
                <w:color w:val="auto"/>
              </w:rPr>
              <w:t>8</w:t>
            </w:r>
            <w:r>
              <w:rPr>
                <w:color w:val="auto"/>
              </w:rPr>
              <w:t>m排气筒（DA00</w:t>
            </w:r>
            <w:r>
              <w:rPr>
                <w:rFonts w:hint="eastAsia"/>
                <w:color w:val="auto"/>
              </w:rPr>
              <w:t>5</w:t>
            </w:r>
            <w:r>
              <w:rPr>
                <w:color w:val="auto"/>
              </w:rPr>
              <w:t>）</w:t>
            </w:r>
          </w:p>
        </w:tc>
        <w:tc>
          <w:tcPr>
            <w:tcW w:w="0" w:type="auto"/>
            <w:vAlign w:val="center"/>
          </w:tcPr>
          <w:p w14:paraId="4CC6EC8F">
            <w:pPr>
              <w:pStyle w:val="766"/>
              <w:rPr>
                <w:color w:val="auto"/>
              </w:rPr>
            </w:pPr>
            <w:r>
              <w:rPr>
                <w:rFonts w:hint="eastAsia"/>
                <w:color w:val="auto"/>
              </w:rPr>
              <w:t>5</w:t>
            </w:r>
          </w:p>
        </w:tc>
      </w:tr>
      <w:tr w14:paraId="16D6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6" w:type="dxa"/>
            <w:vMerge w:val="continue"/>
            <w:vAlign w:val="center"/>
          </w:tcPr>
          <w:p w14:paraId="6F71F160">
            <w:pPr>
              <w:pStyle w:val="766"/>
              <w:rPr>
                <w:color w:val="auto"/>
              </w:rPr>
            </w:pPr>
          </w:p>
        </w:tc>
        <w:tc>
          <w:tcPr>
            <w:tcW w:w="1546" w:type="dxa"/>
            <w:vMerge w:val="continue"/>
            <w:vAlign w:val="center"/>
          </w:tcPr>
          <w:p w14:paraId="359C31A4">
            <w:pPr>
              <w:pStyle w:val="766"/>
              <w:rPr>
                <w:color w:val="auto"/>
              </w:rPr>
            </w:pPr>
          </w:p>
        </w:tc>
        <w:tc>
          <w:tcPr>
            <w:tcW w:w="1190" w:type="dxa"/>
            <w:vAlign w:val="center"/>
          </w:tcPr>
          <w:p w14:paraId="73D40BDA">
            <w:pPr>
              <w:pStyle w:val="766"/>
              <w:rPr>
                <w:color w:val="auto"/>
              </w:rPr>
            </w:pPr>
            <w:r>
              <w:rPr>
                <w:rFonts w:hint="eastAsia"/>
                <w:color w:val="auto"/>
              </w:rPr>
              <w:t>3#</w:t>
            </w:r>
            <w:r>
              <w:rPr>
                <w:color w:val="auto"/>
              </w:rPr>
              <w:t>天然气锅炉</w:t>
            </w:r>
          </w:p>
        </w:tc>
        <w:tc>
          <w:tcPr>
            <w:tcW w:w="0" w:type="auto"/>
            <w:vAlign w:val="center"/>
          </w:tcPr>
          <w:p w14:paraId="7637C8D9">
            <w:pPr>
              <w:pStyle w:val="766"/>
              <w:rPr>
                <w:color w:val="auto"/>
              </w:rPr>
            </w:pPr>
            <w:r>
              <w:rPr>
                <w:color w:val="auto"/>
              </w:rPr>
              <w:t>低氮燃烧+</w:t>
            </w:r>
            <w:r>
              <w:rPr>
                <w:rFonts w:hint="eastAsia"/>
                <w:color w:val="auto"/>
              </w:rPr>
              <w:t>8</w:t>
            </w:r>
            <w:r>
              <w:rPr>
                <w:color w:val="auto"/>
              </w:rPr>
              <w:t>m排气筒（DA00</w:t>
            </w:r>
            <w:r>
              <w:rPr>
                <w:rFonts w:hint="eastAsia"/>
                <w:color w:val="auto"/>
              </w:rPr>
              <w:t>6</w:t>
            </w:r>
            <w:r>
              <w:rPr>
                <w:color w:val="auto"/>
              </w:rPr>
              <w:t>）</w:t>
            </w:r>
          </w:p>
        </w:tc>
        <w:tc>
          <w:tcPr>
            <w:tcW w:w="0" w:type="auto"/>
            <w:vAlign w:val="center"/>
          </w:tcPr>
          <w:p w14:paraId="0E83E914">
            <w:pPr>
              <w:pStyle w:val="766"/>
              <w:rPr>
                <w:color w:val="auto"/>
              </w:rPr>
            </w:pPr>
            <w:r>
              <w:rPr>
                <w:rFonts w:hint="eastAsia"/>
                <w:color w:val="auto"/>
              </w:rPr>
              <w:t>5</w:t>
            </w:r>
          </w:p>
        </w:tc>
      </w:tr>
      <w:tr w14:paraId="4A39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restart"/>
            <w:vAlign w:val="center"/>
          </w:tcPr>
          <w:p w14:paraId="45A1259C">
            <w:pPr>
              <w:pStyle w:val="766"/>
              <w:rPr>
                <w:color w:val="auto"/>
              </w:rPr>
            </w:pPr>
            <w:r>
              <w:rPr>
                <w:color w:val="auto"/>
              </w:rPr>
              <w:t>废水</w:t>
            </w:r>
          </w:p>
        </w:tc>
        <w:tc>
          <w:tcPr>
            <w:tcW w:w="0" w:type="auto"/>
            <w:gridSpan w:val="2"/>
            <w:vAlign w:val="center"/>
          </w:tcPr>
          <w:p w14:paraId="2061334F">
            <w:pPr>
              <w:pStyle w:val="766"/>
              <w:rPr>
                <w:color w:val="auto"/>
              </w:rPr>
            </w:pPr>
            <w:r>
              <w:rPr>
                <w:color w:val="auto"/>
              </w:rPr>
              <w:t>鸡舍冲洗水</w:t>
            </w:r>
          </w:p>
        </w:tc>
        <w:tc>
          <w:tcPr>
            <w:tcW w:w="0" w:type="auto"/>
            <w:vMerge w:val="restart"/>
            <w:vAlign w:val="center"/>
          </w:tcPr>
          <w:p w14:paraId="6C92C132">
            <w:pPr>
              <w:pStyle w:val="766"/>
              <w:jc w:val="both"/>
              <w:rPr>
                <w:color w:val="auto"/>
              </w:rPr>
            </w:pPr>
            <w:r>
              <w:rPr>
                <w:rFonts w:hint="eastAsia"/>
                <w:color w:val="auto"/>
              </w:rPr>
              <w:t>本项目污废水全部进入配套建设的污水处理站进行处理，污水处理站</w:t>
            </w:r>
            <w:r>
              <w:rPr>
                <w:color w:val="auto"/>
              </w:rPr>
              <w:t>工艺为</w:t>
            </w:r>
            <w:r>
              <w:rPr>
                <w:rFonts w:hint="eastAsia"/>
                <w:color w:val="auto"/>
              </w:rPr>
              <w:t>“</w:t>
            </w:r>
            <w:r>
              <w:rPr>
                <w:rFonts w:hint="eastAsia"/>
                <w:bCs/>
                <w:color w:val="auto"/>
              </w:rPr>
              <w:t>调节池+预处理（格栅+澄清+沉淀）+CSTR（连续搅拌反应器系统）+AOO（一级厌氧、一级好氧、二级好氧）+加药除磷</w:t>
            </w:r>
            <w:r>
              <w:rPr>
                <w:color w:val="auto"/>
              </w:rPr>
              <w:t>”。</w:t>
            </w:r>
            <w:r>
              <w:rPr>
                <w:rFonts w:hint="eastAsia"/>
                <w:color w:val="auto"/>
              </w:rPr>
              <w:t>处理达到</w:t>
            </w:r>
            <w:r>
              <w:rPr>
                <w:color w:val="auto"/>
              </w:rPr>
              <w:t>《城市污水再生利用城市杂用水水质》（GB/T 18920-2020）</w:t>
            </w:r>
            <w:r>
              <w:rPr>
                <w:rFonts w:hint="eastAsia"/>
                <w:color w:val="auto"/>
              </w:rPr>
              <w:t>相关标准后暂存于储水池用于厂区绿化、鸡舍冲洗、湿帘降温和洒水抑尘。</w:t>
            </w:r>
          </w:p>
        </w:tc>
        <w:tc>
          <w:tcPr>
            <w:tcW w:w="0" w:type="auto"/>
            <w:vMerge w:val="restart"/>
            <w:vAlign w:val="center"/>
          </w:tcPr>
          <w:p w14:paraId="28497205">
            <w:pPr>
              <w:pStyle w:val="766"/>
              <w:rPr>
                <w:color w:val="auto"/>
              </w:rPr>
            </w:pPr>
            <w:r>
              <w:rPr>
                <w:rFonts w:hint="eastAsia"/>
                <w:color w:val="auto"/>
              </w:rPr>
              <w:t>200</w:t>
            </w:r>
          </w:p>
        </w:tc>
      </w:tr>
      <w:tr w14:paraId="2DD5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38663B18">
            <w:pPr>
              <w:pStyle w:val="766"/>
              <w:rPr>
                <w:color w:val="auto"/>
              </w:rPr>
            </w:pPr>
          </w:p>
        </w:tc>
        <w:tc>
          <w:tcPr>
            <w:tcW w:w="0" w:type="auto"/>
            <w:gridSpan w:val="2"/>
            <w:vAlign w:val="center"/>
          </w:tcPr>
          <w:p w14:paraId="27E6BCD0">
            <w:pPr>
              <w:pStyle w:val="766"/>
              <w:rPr>
                <w:color w:val="auto"/>
              </w:rPr>
            </w:pPr>
            <w:r>
              <w:rPr>
                <w:rFonts w:hint="eastAsia"/>
                <w:color w:val="auto"/>
              </w:rPr>
              <w:t>堆肥渗滤液</w:t>
            </w:r>
          </w:p>
        </w:tc>
        <w:tc>
          <w:tcPr>
            <w:tcW w:w="0" w:type="auto"/>
            <w:vMerge w:val="continue"/>
            <w:vAlign w:val="center"/>
          </w:tcPr>
          <w:p w14:paraId="1FEC316E">
            <w:pPr>
              <w:pStyle w:val="766"/>
              <w:rPr>
                <w:color w:val="auto"/>
              </w:rPr>
            </w:pPr>
          </w:p>
        </w:tc>
        <w:tc>
          <w:tcPr>
            <w:tcW w:w="0" w:type="auto"/>
            <w:vMerge w:val="continue"/>
            <w:vAlign w:val="center"/>
          </w:tcPr>
          <w:p w14:paraId="5BC74AA0">
            <w:pPr>
              <w:pStyle w:val="766"/>
              <w:rPr>
                <w:color w:val="auto"/>
              </w:rPr>
            </w:pPr>
          </w:p>
        </w:tc>
      </w:tr>
      <w:tr w14:paraId="4303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69530B99">
            <w:pPr>
              <w:pStyle w:val="766"/>
              <w:rPr>
                <w:color w:val="auto"/>
              </w:rPr>
            </w:pPr>
          </w:p>
        </w:tc>
        <w:tc>
          <w:tcPr>
            <w:tcW w:w="0" w:type="auto"/>
            <w:gridSpan w:val="2"/>
            <w:vAlign w:val="center"/>
          </w:tcPr>
          <w:p w14:paraId="049AA23E">
            <w:pPr>
              <w:pStyle w:val="766"/>
              <w:rPr>
                <w:color w:val="auto"/>
              </w:rPr>
            </w:pPr>
            <w:r>
              <w:rPr>
                <w:color w:val="auto"/>
              </w:rPr>
              <w:t>生活污水</w:t>
            </w:r>
          </w:p>
        </w:tc>
        <w:tc>
          <w:tcPr>
            <w:tcW w:w="0" w:type="auto"/>
            <w:vMerge w:val="continue"/>
            <w:vAlign w:val="center"/>
          </w:tcPr>
          <w:p w14:paraId="56C3B0EE">
            <w:pPr>
              <w:pStyle w:val="766"/>
              <w:rPr>
                <w:color w:val="auto"/>
              </w:rPr>
            </w:pPr>
          </w:p>
        </w:tc>
        <w:tc>
          <w:tcPr>
            <w:tcW w:w="0" w:type="auto"/>
            <w:vMerge w:val="continue"/>
            <w:vAlign w:val="center"/>
          </w:tcPr>
          <w:p w14:paraId="768F1274">
            <w:pPr>
              <w:pStyle w:val="766"/>
              <w:rPr>
                <w:color w:val="auto"/>
              </w:rPr>
            </w:pPr>
          </w:p>
        </w:tc>
      </w:tr>
      <w:tr w14:paraId="2789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0ED7E632">
            <w:pPr>
              <w:pStyle w:val="766"/>
              <w:rPr>
                <w:color w:val="auto"/>
              </w:rPr>
            </w:pPr>
          </w:p>
        </w:tc>
        <w:tc>
          <w:tcPr>
            <w:tcW w:w="0" w:type="auto"/>
            <w:gridSpan w:val="2"/>
            <w:vAlign w:val="center"/>
          </w:tcPr>
          <w:p w14:paraId="23724E74">
            <w:pPr>
              <w:pStyle w:val="766"/>
              <w:rPr>
                <w:color w:val="auto"/>
              </w:rPr>
            </w:pPr>
            <w:r>
              <w:rPr>
                <w:rFonts w:hint="eastAsia"/>
                <w:color w:val="auto"/>
              </w:rPr>
              <w:t>软化</w:t>
            </w:r>
            <w:r>
              <w:rPr>
                <w:color w:val="auto"/>
              </w:rPr>
              <w:t>水设备排水</w:t>
            </w:r>
          </w:p>
        </w:tc>
        <w:tc>
          <w:tcPr>
            <w:tcW w:w="0" w:type="auto"/>
            <w:vMerge w:val="continue"/>
            <w:vAlign w:val="center"/>
          </w:tcPr>
          <w:p w14:paraId="6EAB7B76">
            <w:pPr>
              <w:pStyle w:val="766"/>
              <w:rPr>
                <w:color w:val="auto"/>
              </w:rPr>
            </w:pPr>
          </w:p>
        </w:tc>
        <w:tc>
          <w:tcPr>
            <w:tcW w:w="0" w:type="auto"/>
            <w:vMerge w:val="continue"/>
            <w:vAlign w:val="center"/>
          </w:tcPr>
          <w:p w14:paraId="41EFBC23">
            <w:pPr>
              <w:pStyle w:val="766"/>
              <w:rPr>
                <w:color w:val="auto"/>
              </w:rPr>
            </w:pPr>
          </w:p>
        </w:tc>
      </w:tr>
      <w:tr w14:paraId="48BD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restart"/>
            <w:vAlign w:val="center"/>
          </w:tcPr>
          <w:p w14:paraId="34BC5C6B">
            <w:pPr>
              <w:pStyle w:val="766"/>
              <w:rPr>
                <w:color w:val="auto"/>
              </w:rPr>
            </w:pPr>
            <w:r>
              <w:rPr>
                <w:color w:val="auto"/>
              </w:rPr>
              <w:t>固废</w:t>
            </w:r>
          </w:p>
        </w:tc>
        <w:tc>
          <w:tcPr>
            <w:tcW w:w="0" w:type="auto"/>
            <w:gridSpan w:val="2"/>
            <w:vAlign w:val="center"/>
          </w:tcPr>
          <w:p w14:paraId="03D3C8C0">
            <w:pPr>
              <w:pStyle w:val="766"/>
              <w:rPr>
                <w:color w:val="auto"/>
              </w:rPr>
            </w:pPr>
            <w:r>
              <w:rPr>
                <w:color w:val="auto"/>
              </w:rPr>
              <w:t>鸡舍鸡粪、鸡毛、饲料残渣</w:t>
            </w:r>
          </w:p>
        </w:tc>
        <w:tc>
          <w:tcPr>
            <w:tcW w:w="0" w:type="auto"/>
            <w:vAlign w:val="center"/>
          </w:tcPr>
          <w:p w14:paraId="0A370A70">
            <w:pPr>
              <w:pStyle w:val="766"/>
              <w:rPr>
                <w:color w:val="auto"/>
              </w:rPr>
            </w:pPr>
            <w:r>
              <w:rPr>
                <w:color w:val="auto"/>
              </w:rPr>
              <w:t>送入厂区</w:t>
            </w:r>
            <w:r>
              <w:rPr>
                <w:rFonts w:hint="eastAsia"/>
                <w:color w:val="auto"/>
              </w:rPr>
              <w:t>有机肥加工车间制肥</w:t>
            </w:r>
          </w:p>
        </w:tc>
        <w:tc>
          <w:tcPr>
            <w:tcW w:w="0" w:type="auto"/>
            <w:vAlign w:val="center"/>
          </w:tcPr>
          <w:p w14:paraId="241A98DC">
            <w:pPr>
              <w:pStyle w:val="766"/>
              <w:rPr>
                <w:color w:val="auto"/>
              </w:rPr>
            </w:pPr>
            <w:r>
              <w:rPr>
                <w:color w:val="auto"/>
              </w:rPr>
              <w:t>/</w:t>
            </w:r>
          </w:p>
        </w:tc>
      </w:tr>
      <w:tr w14:paraId="0F16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0" w:type="auto"/>
            <w:vMerge w:val="continue"/>
            <w:vAlign w:val="center"/>
          </w:tcPr>
          <w:p w14:paraId="722C0F26">
            <w:pPr>
              <w:pStyle w:val="766"/>
              <w:rPr>
                <w:color w:val="auto"/>
              </w:rPr>
            </w:pPr>
          </w:p>
        </w:tc>
        <w:tc>
          <w:tcPr>
            <w:tcW w:w="0" w:type="auto"/>
            <w:gridSpan w:val="2"/>
            <w:vAlign w:val="center"/>
          </w:tcPr>
          <w:p w14:paraId="3E96A85A">
            <w:pPr>
              <w:pStyle w:val="766"/>
              <w:rPr>
                <w:color w:val="auto"/>
              </w:rPr>
            </w:pPr>
            <w:r>
              <w:rPr>
                <w:rFonts w:hint="eastAsia"/>
                <w:color w:val="auto"/>
              </w:rPr>
              <w:t>诊疗</w:t>
            </w:r>
            <w:r>
              <w:rPr>
                <w:color w:val="auto"/>
              </w:rPr>
              <w:t>废物</w:t>
            </w:r>
          </w:p>
        </w:tc>
        <w:tc>
          <w:tcPr>
            <w:tcW w:w="0" w:type="auto"/>
            <w:vAlign w:val="center"/>
          </w:tcPr>
          <w:p w14:paraId="1FC257E7">
            <w:pPr>
              <w:pStyle w:val="766"/>
              <w:rPr>
                <w:color w:val="auto"/>
              </w:rPr>
            </w:pPr>
            <w:r>
              <w:rPr>
                <w:color w:val="auto"/>
              </w:rPr>
              <w:t>装入密封胶袋内，由防疫人带走，不能及时带走的在厂区内</w:t>
            </w:r>
            <w:r>
              <w:rPr>
                <w:rFonts w:hint="eastAsia"/>
                <w:color w:val="auto"/>
              </w:rPr>
              <w:t>诊</w:t>
            </w:r>
            <w:r>
              <w:rPr>
                <w:color w:val="auto"/>
              </w:rPr>
              <w:t>疗废物暂存间暂存</w:t>
            </w:r>
            <w:r>
              <w:rPr>
                <w:rFonts w:hint="eastAsia"/>
                <w:color w:val="auto"/>
              </w:rPr>
              <w:t>，最终委托有资质单位拉运处置</w:t>
            </w:r>
          </w:p>
        </w:tc>
        <w:tc>
          <w:tcPr>
            <w:tcW w:w="0" w:type="auto"/>
            <w:vAlign w:val="center"/>
          </w:tcPr>
          <w:p w14:paraId="0718E3C5">
            <w:pPr>
              <w:pStyle w:val="766"/>
              <w:rPr>
                <w:color w:val="auto"/>
              </w:rPr>
            </w:pPr>
            <w:r>
              <w:rPr>
                <w:rFonts w:hint="eastAsia"/>
                <w:color w:val="auto"/>
              </w:rPr>
              <w:t>10</w:t>
            </w:r>
          </w:p>
        </w:tc>
      </w:tr>
      <w:tr w14:paraId="122C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02C07419">
            <w:pPr>
              <w:pStyle w:val="766"/>
              <w:rPr>
                <w:color w:val="auto"/>
              </w:rPr>
            </w:pPr>
          </w:p>
        </w:tc>
        <w:tc>
          <w:tcPr>
            <w:tcW w:w="0" w:type="auto"/>
            <w:gridSpan w:val="2"/>
            <w:vAlign w:val="center"/>
          </w:tcPr>
          <w:p w14:paraId="5614F693">
            <w:pPr>
              <w:pStyle w:val="766"/>
              <w:rPr>
                <w:color w:val="auto"/>
              </w:rPr>
            </w:pPr>
            <w:r>
              <w:rPr>
                <w:color w:val="auto"/>
              </w:rPr>
              <w:t>病死鸡</w:t>
            </w:r>
          </w:p>
        </w:tc>
        <w:tc>
          <w:tcPr>
            <w:tcW w:w="0" w:type="auto"/>
            <w:vAlign w:val="center"/>
          </w:tcPr>
          <w:p w14:paraId="00AE8603">
            <w:pPr>
              <w:pStyle w:val="766"/>
              <w:rPr>
                <w:color w:val="auto"/>
              </w:rPr>
            </w:pPr>
            <w:r>
              <w:rPr>
                <w:color w:val="auto"/>
              </w:rPr>
              <w:t>收集后暂存于</w:t>
            </w:r>
            <w:r>
              <w:rPr>
                <w:rFonts w:hint="eastAsia"/>
                <w:color w:val="auto"/>
              </w:rPr>
              <w:t>冷柜</w:t>
            </w:r>
            <w:r>
              <w:rPr>
                <w:color w:val="auto"/>
              </w:rPr>
              <w:t>中，委托有资质单位处置</w:t>
            </w:r>
          </w:p>
        </w:tc>
        <w:tc>
          <w:tcPr>
            <w:tcW w:w="0" w:type="auto"/>
            <w:vAlign w:val="center"/>
          </w:tcPr>
          <w:p w14:paraId="0592EF3D">
            <w:pPr>
              <w:pStyle w:val="766"/>
              <w:rPr>
                <w:color w:val="auto"/>
              </w:rPr>
            </w:pPr>
            <w:r>
              <w:rPr>
                <w:color w:val="auto"/>
              </w:rPr>
              <w:t>5</w:t>
            </w:r>
          </w:p>
        </w:tc>
      </w:tr>
      <w:tr w14:paraId="60FC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5F2AD00B">
            <w:pPr>
              <w:pStyle w:val="766"/>
              <w:rPr>
                <w:color w:val="auto"/>
              </w:rPr>
            </w:pPr>
          </w:p>
        </w:tc>
        <w:tc>
          <w:tcPr>
            <w:tcW w:w="0" w:type="auto"/>
            <w:gridSpan w:val="2"/>
            <w:vAlign w:val="center"/>
          </w:tcPr>
          <w:p w14:paraId="7AE3FC71">
            <w:pPr>
              <w:pStyle w:val="766"/>
              <w:rPr>
                <w:color w:val="auto"/>
              </w:rPr>
            </w:pPr>
            <w:r>
              <w:rPr>
                <w:color w:val="auto"/>
              </w:rPr>
              <w:t>除尘灰</w:t>
            </w:r>
          </w:p>
        </w:tc>
        <w:tc>
          <w:tcPr>
            <w:tcW w:w="0" w:type="auto"/>
            <w:vAlign w:val="center"/>
          </w:tcPr>
          <w:p w14:paraId="1F653502">
            <w:pPr>
              <w:pStyle w:val="766"/>
              <w:rPr>
                <w:color w:val="auto"/>
              </w:rPr>
            </w:pPr>
            <w:r>
              <w:rPr>
                <w:rFonts w:hint="eastAsia"/>
                <w:color w:val="auto"/>
              </w:rPr>
              <w:t>饲料加工车间除尘灰回用于饲料加工生产；有机肥生产车间除尘灰回用于有机肥生产</w:t>
            </w:r>
          </w:p>
        </w:tc>
        <w:tc>
          <w:tcPr>
            <w:tcW w:w="0" w:type="auto"/>
            <w:vAlign w:val="center"/>
          </w:tcPr>
          <w:p w14:paraId="2A074FC6">
            <w:pPr>
              <w:pStyle w:val="766"/>
              <w:rPr>
                <w:color w:val="auto"/>
              </w:rPr>
            </w:pPr>
            <w:r>
              <w:rPr>
                <w:color w:val="auto"/>
              </w:rPr>
              <w:t>/</w:t>
            </w:r>
          </w:p>
        </w:tc>
      </w:tr>
      <w:tr w14:paraId="1D61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2A188658">
            <w:pPr>
              <w:pStyle w:val="766"/>
              <w:rPr>
                <w:color w:val="auto"/>
              </w:rPr>
            </w:pPr>
          </w:p>
        </w:tc>
        <w:tc>
          <w:tcPr>
            <w:tcW w:w="0" w:type="auto"/>
            <w:gridSpan w:val="2"/>
            <w:vAlign w:val="center"/>
          </w:tcPr>
          <w:p w14:paraId="44CCF2BF">
            <w:pPr>
              <w:pStyle w:val="766"/>
              <w:rPr>
                <w:color w:val="auto"/>
              </w:rPr>
            </w:pPr>
            <w:r>
              <w:rPr>
                <w:color w:val="auto"/>
              </w:rPr>
              <w:t>不合格蛋</w:t>
            </w:r>
          </w:p>
        </w:tc>
        <w:tc>
          <w:tcPr>
            <w:tcW w:w="0" w:type="auto"/>
            <w:vAlign w:val="center"/>
          </w:tcPr>
          <w:p w14:paraId="28E86342">
            <w:pPr>
              <w:pStyle w:val="766"/>
              <w:rPr>
                <w:color w:val="auto"/>
              </w:rPr>
            </w:pPr>
            <w:r>
              <w:rPr>
                <w:rFonts w:hint="eastAsia"/>
                <w:color w:val="auto"/>
              </w:rPr>
              <w:t>集中收集送至有机肥加工车间用于生产有机肥</w:t>
            </w:r>
          </w:p>
        </w:tc>
        <w:tc>
          <w:tcPr>
            <w:tcW w:w="0" w:type="auto"/>
            <w:vAlign w:val="center"/>
          </w:tcPr>
          <w:p w14:paraId="2C84ACA2">
            <w:pPr>
              <w:pStyle w:val="766"/>
              <w:rPr>
                <w:color w:val="auto"/>
              </w:rPr>
            </w:pPr>
            <w:r>
              <w:rPr>
                <w:color w:val="auto"/>
              </w:rPr>
              <w:t>/</w:t>
            </w:r>
          </w:p>
        </w:tc>
      </w:tr>
      <w:tr w14:paraId="760C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3EE1F4FB">
            <w:pPr>
              <w:pStyle w:val="766"/>
              <w:rPr>
                <w:color w:val="auto"/>
              </w:rPr>
            </w:pPr>
          </w:p>
        </w:tc>
        <w:tc>
          <w:tcPr>
            <w:tcW w:w="0" w:type="auto"/>
            <w:gridSpan w:val="2"/>
            <w:vAlign w:val="center"/>
          </w:tcPr>
          <w:p w14:paraId="3B727E91">
            <w:pPr>
              <w:pStyle w:val="766"/>
              <w:rPr>
                <w:color w:val="auto"/>
              </w:rPr>
            </w:pPr>
            <w:r>
              <w:rPr>
                <w:color w:val="auto"/>
              </w:rPr>
              <w:t>废离子交换树脂</w:t>
            </w:r>
          </w:p>
        </w:tc>
        <w:tc>
          <w:tcPr>
            <w:tcW w:w="0" w:type="auto"/>
            <w:vAlign w:val="center"/>
          </w:tcPr>
          <w:p w14:paraId="63C2F7CC">
            <w:pPr>
              <w:pStyle w:val="766"/>
              <w:rPr>
                <w:color w:val="auto"/>
              </w:rPr>
            </w:pPr>
            <w:r>
              <w:rPr>
                <w:color w:val="auto"/>
              </w:rPr>
              <w:t>由厂家进行更换处理</w:t>
            </w:r>
          </w:p>
        </w:tc>
        <w:tc>
          <w:tcPr>
            <w:tcW w:w="0" w:type="auto"/>
            <w:vAlign w:val="center"/>
          </w:tcPr>
          <w:p w14:paraId="688D8652">
            <w:pPr>
              <w:pStyle w:val="766"/>
              <w:rPr>
                <w:color w:val="auto"/>
              </w:rPr>
            </w:pPr>
            <w:r>
              <w:rPr>
                <w:color w:val="auto"/>
              </w:rPr>
              <w:t>/</w:t>
            </w:r>
          </w:p>
        </w:tc>
      </w:tr>
      <w:tr w14:paraId="4753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Merge w:val="continue"/>
            <w:vAlign w:val="center"/>
          </w:tcPr>
          <w:p w14:paraId="5F2A0D1F">
            <w:pPr>
              <w:pStyle w:val="766"/>
              <w:rPr>
                <w:color w:val="auto"/>
              </w:rPr>
            </w:pPr>
          </w:p>
        </w:tc>
        <w:tc>
          <w:tcPr>
            <w:tcW w:w="0" w:type="auto"/>
            <w:gridSpan w:val="2"/>
            <w:vAlign w:val="center"/>
          </w:tcPr>
          <w:p w14:paraId="0826850C">
            <w:pPr>
              <w:pStyle w:val="766"/>
              <w:rPr>
                <w:color w:val="auto"/>
              </w:rPr>
            </w:pPr>
            <w:r>
              <w:rPr>
                <w:color w:val="auto"/>
              </w:rPr>
              <w:t>生活垃圾</w:t>
            </w:r>
          </w:p>
        </w:tc>
        <w:tc>
          <w:tcPr>
            <w:tcW w:w="0" w:type="auto"/>
            <w:vAlign w:val="center"/>
          </w:tcPr>
          <w:p w14:paraId="7E0552A5">
            <w:pPr>
              <w:pStyle w:val="766"/>
              <w:rPr>
                <w:color w:val="auto"/>
              </w:rPr>
            </w:pPr>
            <w:r>
              <w:rPr>
                <w:color w:val="auto"/>
              </w:rPr>
              <w:t>生活垃圾集中收集后，送当地政府部门指定地点进行处理</w:t>
            </w:r>
          </w:p>
        </w:tc>
        <w:tc>
          <w:tcPr>
            <w:tcW w:w="0" w:type="auto"/>
            <w:vAlign w:val="center"/>
          </w:tcPr>
          <w:p w14:paraId="5BEA9F02">
            <w:pPr>
              <w:pStyle w:val="766"/>
              <w:rPr>
                <w:color w:val="auto"/>
              </w:rPr>
            </w:pPr>
            <w:r>
              <w:rPr>
                <w:color w:val="auto"/>
              </w:rPr>
              <w:t>2</w:t>
            </w:r>
          </w:p>
        </w:tc>
      </w:tr>
      <w:tr w14:paraId="6CE1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Align w:val="center"/>
          </w:tcPr>
          <w:p w14:paraId="451DC8E1">
            <w:pPr>
              <w:pStyle w:val="766"/>
              <w:rPr>
                <w:color w:val="auto"/>
              </w:rPr>
            </w:pPr>
            <w:r>
              <w:rPr>
                <w:color w:val="auto"/>
              </w:rPr>
              <w:t>噪声</w:t>
            </w:r>
          </w:p>
        </w:tc>
        <w:tc>
          <w:tcPr>
            <w:tcW w:w="0" w:type="auto"/>
            <w:gridSpan w:val="2"/>
            <w:vAlign w:val="center"/>
          </w:tcPr>
          <w:p w14:paraId="50962408">
            <w:pPr>
              <w:pStyle w:val="766"/>
              <w:rPr>
                <w:color w:val="auto"/>
              </w:rPr>
            </w:pPr>
            <w:r>
              <w:rPr>
                <w:color w:val="auto"/>
              </w:rPr>
              <w:t>风机等各类设备噪声</w:t>
            </w:r>
          </w:p>
        </w:tc>
        <w:tc>
          <w:tcPr>
            <w:tcW w:w="0" w:type="auto"/>
            <w:vAlign w:val="center"/>
          </w:tcPr>
          <w:p w14:paraId="139F2521">
            <w:pPr>
              <w:pStyle w:val="766"/>
              <w:rPr>
                <w:color w:val="auto"/>
              </w:rPr>
            </w:pPr>
            <w:r>
              <w:rPr>
                <w:color w:val="auto"/>
              </w:rPr>
              <w:t>选用低噪声设备、减振、隔声、合理布局等降噪措施</w:t>
            </w:r>
          </w:p>
        </w:tc>
        <w:tc>
          <w:tcPr>
            <w:tcW w:w="0" w:type="auto"/>
            <w:vAlign w:val="center"/>
          </w:tcPr>
          <w:p w14:paraId="056DCDC9">
            <w:pPr>
              <w:pStyle w:val="766"/>
              <w:rPr>
                <w:color w:val="auto"/>
              </w:rPr>
            </w:pPr>
            <w:r>
              <w:rPr>
                <w:color w:val="auto"/>
              </w:rPr>
              <w:t>10</w:t>
            </w:r>
          </w:p>
        </w:tc>
      </w:tr>
      <w:tr w14:paraId="65B8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gridSpan w:val="3"/>
            <w:vAlign w:val="center"/>
          </w:tcPr>
          <w:p w14:paraId="6EAE1E6B">
            <w:pPr>
              <w:pStyle w:val="766"/>
              <w:rPr>
                <w:color w:val="auto"/>
              </w:rPr>
            </w:pPr>
            <w:r>
              <w:rPr>
                <w:color w:val="auto"/>
              </w:rPr>
              <w:t>防渗工程</w:t>
            </w:r>
          </w:p>
        </w:tc>
        <w:tc>
          <w:tcPr>
            <w:tcW w:w="0" w:type="auto"/>
            <w:vAlign w:val="center"/>
          </w:tcPr>
          <w:p w14:paraId="561EA93E">
            <w:pPr>
              <w:pStyle w:val="766"/>
              <w:jc w:val="both"/>
              <w:rPr>
                <w:color w:val="auto"/>
              </w:rPr>
            </w:pPr>
            <w:r>
              <w:rPr>
                <w:rFonts w:hint="eastAsia"/>
                <w:color w:val="auto"/>
              </w:rPr>
              <w:t>（1）</w:t>
            </w:r>
            <w:r>
              <w:rPr>
                <w:rFonts w:hint="eastAsia"/>
                <w:color w:val="auto"/>
                <w:lang w:val="en-GB"/>
              </w:rPr>
              <w:t>诊疗废弃物暂存间</w:t>
            </w:r>
            <w:r>
              <w:rPr>
                <w:rFonts w:hint="eastAsia"/>
                <w:color w:val="auto"/>
              </w:rPr>
              <w:t>满足</w:t>
            </w:r>
            <w:r>
              <w:rPr>
                <w:color w:val="auto"/>
              </w:rPr>
              <w:t>《危险废物贮存污染控制标准》（GB18597-20</w:t>
            </w:r>
            <w:r>
              <w:rPr>
                <w:rFonts w:hint="eastAsia"/>
                <w:color w:val="auto"/>
              </w:rPr>
              <w:t>23</w:t>
            </w:r>
            <w:r>
              <w:rPr>
                <w:color w:val="auto"/>
              </w:rPr>
              <w:t>）</w:t>
            </w:r>
            <w:r>
              <w:rPr>
                <w:rFonts w:hint="eastAsia"/>
                <w:color w:val="auto"/>
              </w:rPr>
              <w:t>相关要求，本项目采用10cm混凝土+2mm厚HDPE膜+10cm混凝土+环氧树脂漆；</w:t>
            </w:r>
          </w:p>
          <w:p w14:paraId="3B62B2DC">
            <w:pPr>
              <w:pStyle w:val="766"/>
              <w:jc w:val="both"/>
              <w:rPr>
                <w:color w:val="auto"/>
              </w:rPr>
            </w:pPr>
            <w:r>
              <w:rPr>
                <w:color w:val="auto"/>
              </w:rPr>
              <w:t>（</w:t>
            </w:r>
            <w:r>
              <w:rPr>
                <w:rFonts w:hint="eastAsia"/>
                <w:color w:val="auto"/>
              </w:rPr>
              <w:t>2</w:t>
            </w:r>
            <w:r>
              <w:rPr>
                <w:color w:val="auto"/>
              </w:rPr>
              <w:t>）污水处理设施、</w:t>
            </w:r>
            <w:r>
              <w:rPr>
                <w:rFonts w:hint="eastAsia"/>
                <w:color w:val="auto"/>
              </w:rPr>
              <w:t>有机肥加工车间</w:t>
            </w:r>
            <w:r>
              <w:rPr>
                <w:color w:val="auto"/>
              </w:rPr>
              <w:t>进行重点防渗，</w:t>
            </w:r>
            <w:r>
              <w:rPr>
                <w:rFonts w:hint="eastAsia"/>
                <w:color w:val="auto"/>
              </w:rPr>
              <w:t>本项目</w:t>
            </w:r>
            <w:r>
              <w:rPr>
                <w:rFonts w:hint="eastAsia"/>
                <w:bCs/>
                <w:color w:val="auto"/>
              </w:rPr>
              <w:t>采用10cm混凝土+2mm厚HDPE膜+10cm混凝土</w:t>
            </w:r>
            <w:r>
              <w:rPr>
                <w:rFonts w:hint="eastAsia"/>
                <w:color w:val="auto"/>
              </w:rPr>
              <w:t>，</w:t>
            </w:r>
            <w:r>
              <w:rPr>
                <w:bCs/>
                <w:color w:val="auto"/>
              </w:rPr>
              <w:t>等效黏土防渗层Mb≥6.0mm，K≤1.0×10</w:t>
            </w:r>
            <w:r>
              <w:rPr>
                <w:bCs/>
                <w:color w:val="auto"/>
                <w:vertAlign w:val="superscript"/>
              </w:rPr>
              <w:t>-10</w:t>
            </w:r>
            <w:r>
              <w:rPr>
                <w:bCs/>
                <w:color w:val="auto"/>
              </w:rPr>
              <w:t>cm/s或参照GB18598执行</w:t>
            </w:r>
            <w:r>
              <w:rPr>
                <w:rFonts w:hint="eastAsia"/>
                <w:bCs/>
                <w:color w:val="auto"/>
              </w:rPr>
              <w:t>；</w:t>
            </w:r>
          </w:p>
          <w:p w14:paraId="6D8DB116">
            <w:pPr>
              <w:pStyle w:val="766"/>
              <w:jc w:val="both"/>
              <w:rPr>
                <w:color w:val="auto"/>
              </w:rPr>
            </w:pPr>
            <w:r>
              <w:rPr>
                <w:color w:val="auto"/>
              </w:rPr>
              <w:t>（</w:t>
            </w:r>
            <w:r>
              <w:rPr>
                <w:rFonts w:hint="eastAsia"/>
                <w:color w:val="auto"/>
              </w:rPr>
              <w:t>3</w:t>
            </w:r>
            <w:r>
              <w:rPr>
                <w:color w:val="auto"/>
              </w:rPr>
              <w:t>）</w:t>
            </w:r>
            <w:r>
              <w:rPr>
                <w:rFonts w:hint="eastAsia"/>
                <w:color w:val="auto"/>
              </w:rPr>
              <w:t>储水池、应急水池、雨水收集池</w:t>
            </w:r>
            <w:r>
              <w:rPr>
                <w:color w:val="auto"/>
              </w:rPr>
              <w:t>进行一般防渗，</w:t>
            </w:r>
            <w:r>
              <w:rPr>
                <w:rFonts w:hint="eastAsia"/>
                <w:bCs/>
                <w:color w:val="auto"/>
              </w:rPr>
              <w:t>采用20cm厚防渗混凝土浇筑成型，</w:t>
            </w:r>
            <w:r>
              <w:rPr>
                <w:bCs/>
                <w:color w:val="auto"/>
              </w:rPr>
              <w:t>等效黏土防渗层Mb≥1.50mm，K≤1.0×10</w:t>
            </w:r>
            <w:r>
              <w:rPr>
                <w:bCs/>
                <w:color w:val="auto"/>
                <w:vertAlign w:val="superscript"/>
              </w:rPr>
              <w:t>-7</w:t>
            </w:r>
            <w:r>
              <w:rPr>
                <w:bCs/>
                <w:color w:val="auto"/>
              </w:rPr>
              <w:t>cm/s或参照GB18598执行</w:t>
            </w:r>
            <w:r>
              <w:rPr>
                <w:color w:val="auto"/>
              </w:rPr>
              <w:t>；</w:t>
            </w:r>
          </w:p>
          <w:p w14:paraId="77CD844E">
            <w:pPr>
              <w:pStyle w:val="766"/>
              <w:jc w:val="both"/>
              <w:rPr>
                <w:color w:val="auto"/>
              </w:rPr>
            </w:pPr>
            <w:r>
              <w:rPr>
                <w:color w:val="auto"/>
              </w:rPr>
              <w:t>（</w:t>
            </w:r>
            <w:r>
              <w:rPr>
                <w:rFonts w:hint="eastAsia"/>
                <w:color w:val="auto"/>
              </w:rPr>
              <w:t>4</w:t>
            </w:r>
            <w:r>
              <w:rPr>
                <w:color w:val="auto"/>
              </w:rPr>
              <w:t>）</w:t>
            </w:r>
            <w:r>
              <w:rPr>
                <w:rFonts w:hint="eastAsia"/>
                <w:color w:val="auto"/>
              </w:rPr>
              <w:t>养殖区、办公生活中心、饲料加工区、锅炉房、蛋品加工中心、道路</w:t>
            </w:r>
            <w:r>
              <w:rPr>
                <w:color w:val="auto"/>
              </w:rPr>
              <w:t>进行简单防渗</w:t>
            </w:r>
            <w:r>
              <w:rPr>
                <w:rFonts w:hint="eastAsia"/>
                <w:color w:val="auto"/>
              </w:rPr>
              <w:t>，</w:t>
            </w:r>
            <w:r>
              <w:rPr>
                <w:color w:val="auto"/>
              </w:rPr>
              <w:t>进行地面硬化</w:t>
            </w:r>
            <w:r>
              <w:rPr>
                <w:rFonts w:hint="eastAsia"/>
                <w:color w:val="auto"/>
              </w:rPr>
              <w:t>，采用</w:t>
            </w:r>
            <w:r>
              <w:rPr>
                <w:bCs/>
                <w:color w:val="auto"/>
              </w:rPr>
              <w:t>10~15cm</w:t>
            </w:r>
            <w:r>
              <w:rPr>
                <w:rFonts w:hint="eastAsia"/>
                <w:bCs/>
                <w:color w:val="auto"/>
              </w:rPr>
              <w:t>混凝土铺设</w:t>
            </w:r>
            <w:r>
              <w:rPr>
                <w:color w:val="auto"/>
              </w:rPr>
              <w:t>。</w:t>
            </w:r>
          </w:p>
        </w:tc>
        <w:tc>
          <w:tcPr>
            <w:tcW w:w="0" w:type="auto"/>
            <w:vAlign w:val="center"/>
          </w:tcPr>
          <w:p w14:paraId="2A6EDCC8">
            <w:pPr>
              <w:pStyle w:val="766"/>
              <w:rPr>
                <w:color w:val="auto"/>
              </w:rPr>
            </w:pPr>
            <w:r>
              <w:rPr>
                <w:rFonts w:hint="eastAsia"/>
                <w:color w:val="auto"/>
              </w:rPr>
              <w:t>100</w:t>
            </w:r>
          </w:p>
        </w:tc>
      </w:tr>
      <w:tr w14:paraId="60A8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gridSpan w:val="3"/>
            <w:vAlign w:val="center"/>
          </w:tcPr>
          <w:p w14:paraId="61AA5721">
            <w:pPr>
              <w:pStyle w:val="766"/>
              <w:rPr>
                <w:color w:val="auto"/>
              </w:rPr>
            </w:pPr>
            <w:r>
              <w:rPr>
                <w:rFonts w:hint="eastAsia"/>
                <w:color w:val="auto"/>
              </w:rPr>
              <w:t>生态保护</w:t>
            </w:r>
          </w:p>
        </w:tc>
        <w:tc>
          <w:tcPr>
            <w:tcW w:w="0" w:type="auto"/>
            <w:vAlign w:val="center"/>
          </w:tcPr>
          <w:p w14:paraId="763BD8FE">
            <w:pPr>
              <w:pStyle w:val="766"/>
              <w:jc w:val="both"/>
              <w:rPr>
                <w:color w:val="auto"/>
              </w:rPr>
            </w:pPr>
            <w:r>
              <w:rPr>
                <w:rFonts w:hint="eastAsia"/>
                <w:color w:val="auto"/>
              </w:rPr>
              <w:t>项目占地范围内涉及国家二级重点保护野生植物沙冬青1279株和绵刺7023株。根据内林草护许准</w:t>
            </w:r>
            <w:r>
              <w:rPr>
                <w:color w:val="auto"/>
              </w:rPr>
              <w:t>〔2023〕43号文要求，本项目施工前对其进行移植保护。</w:t>
            </w:r>
          </w:p>
          <w:p w14:paraId="1181C872">
            <w:pPr>
              <w:pStyle w:val="766"/>
              <w:jc w:val="both"/>
              <w:rPr>
                <w:color w:val="auto"/>
              </w:rPr>
            </w:pPr>
            <w:r>
              <w:rPr>
                <w:rFonts w:hint="eastAsia"/>
                <w:color w:val="auto"/>
              </w:rPr>
              <w:t>项目厂区绿化9hm</w:t>
            </w:r>
            <w:r>
              <w:rPr>
                <w:rFonts w:hint="eastAsia"/>
                <w:color w:val="auto"/>
                <w:vertAlign w:val="superscript"/>
              </w:rPr>
              <w:t>2</w:t>
            </w:r>
            <w:r>
              <w:rPr>
                <w:rFonts w:hint="eastAsia"/>
                <w:color w:val="auto"/>
              </w:rPr>
              <w:t>。</w:t>
            </w:r>
          </w:p>
        </w:tc>
        <w:tc>
          <w:tcPr>
            <w:tcW w:w="0" w:type="auto"/>
            <w:vAlign w:val="center"/>
          </w:tcPr>
          <w:p w14:paraId="0D6168D0">
            <w:pPr>
              <w:pStyle w:val="766"/>
              <w:rPr>
                <w:color w:val="auto"/>
              </w:rPr>
            </w:pPr>
            <w:r>
              <w:rPr>
                <w:rFonts w:hint="eastAsia"/>
                <w:color w:val="auto"/>
              </w:rPr>
              <w:t>100</w:t>
            </w:r>
          </w:p>
        </w:tc>
      </w:tr>
      <w:tr w14:paraId="4484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gridSpan w:val="4"/>
            <w:vAlign w:val="center"/>
          </w:tcPr>
          <w:p w14:paraId="692362F6">
            <w:pPr>
              <w:pStyle w:val="766"/>
              <w:rPr>
                <w:color w:val="auto"/>
              </w:rPr>
            </w:pPr>
            <w:r>
              <w:rPr>
                <w:color w:val="auto"/>
              </w:rPr>
              <w:t>合计</w:t>
            </w:r>
          </w:p>
        </w:tc>
        <w:tc>
          <w:tcPr>
            <w:tcW w:w="0" w:type="auto"/>
            <w:noWrap/>
            <w:vAlign w:val="center"/>
          </w:tcPr>
          <w:p w14:paraId="72512CD6">
            <w:pPr>
              <w:pStyle w:val="766"/>
              <w:rPr>
                <w:color w:val="auto"/>
              </w:rPr>
            </w:pPr>
            <w:r>
              <w:rPr>
                <w:rFonts w:hint="eastAsia"/>
                <w:color w:val="auto"/>
              </w:rPr>
              <w:t>504</w:t>
            </w:r>
          </w:p>
        </w:tc>
      </w:t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tbl>
    <w:p w14:paraId="2ED8DC8B">
      <w:pPr>
        <w:pStyle w:val="10"/>
      </w:pPr>
      <w:bookmarkStart w:id="569" w:name="_Toc166572364"/>
      <w:bookmarkStart w:id="570" w:name="_Toc353783214"/>
      <w:bookmarkStart w:id="571" w:name="_Toc436664422"/>
      <w:bookmarkStart w:id="572" w:name="_Toc418685049"/>
      <w:bookmarkStart w:id="573" w:name="_Toc333053304"/>
      <w:bookmarkStart w:id="574" w:name="_Toc375670342"/>
      <w:bookmarkStart w:id="575" w:name="_Toc387476193"/>
      <w:r>
        <w:t>8.2环境效益</w:t>
      </w:r>
      <w:bookmarkEnd w:id="569"/>
    </w:p>
    <w:p w14:paraId="3080F52B">
      <w:pPr>
        <w:pStyle w:val="104"/>
      </w:pPr>
      <w:r>
        <w:t>本项目建成后，所产生的污染物将会对环境产生一定的影响，为此，项目采取了相应的环境保护措施，使工程对周围环境造成的影响降到最低。根据工程分析所确定的污染源，工程设计及建设过程中应按环境保护对策分析中所提要求完善环境保护治理措施。由于控制了气、水、固体废物、噪声等污染源，使环境得到了改善，带来了较好的经济效益和社会效益。</w:t>
      </w:r>
    </w:p>
    <w:p w14:paraId="09769999">
      <w:pPr>
        <w:pStyle w:val="10"/>
      </w:pPr>
      <w:bookmarkStart w:id="576" w:name="_Toc166572365"/>
      <w:r>
        <w:t>8.3经济效益</w:t>
      </w:r>
      <w:bookmarkEnd w:id="576"/>
    </w:p>
    <w:p w14:paraId="683DE3C9">
      <w:pPr>
        <w:pStyle w:val="104"/>
      </w:pPr>
      <w:r>
        <w:t>本项目总投资为27000</w:t>
      </w:r>
      <w:r>
        <w:rPr>
          <w:rFonts w:hint="eastAsia"/>
        </w:rPr>
        <w:t>万</w:t>
      </w:r>
      <w:r>
        <w:t>元，经过财务测算和分析，本项目经济效益较好，在为企业创造利润的同时，还可为政府上缴可观的税收。项目在财务上具有较好的盈利能力和抗风险能力，因此，本项目具有较好的经济效益。</w:t>
      </w:r>
    </w:p>
    <w:p w14:paraId="2F88658C">
      <w:pPr>
        <w:pStyle w:val="10"/>
      </w:pPr>
      <w:bookmarkStart w:id="577" w:name="_Toc166572366"/>
      <w:r>
        <w:t>8.4社会效益</w:t>
      </w:r>
      <w:bookmarkEnd w:id="577"/>
    </w:p>
    <w:p w14:paraId="670CA690">
      <w:pPr>
        <w:pStyle w:val="104"/>
      </w:pPr>
      <w:r>
        <w:t>1、对当地鸡牧业发展的影响</w:t>
      </w:r>
    </w:p>
    <w:p w14:paraId="6DD6A1CC">
      <w:pPr>
        <w:pStyle w:val="104"/>
      </w:pPr>
      <w:r>
        <w:t>本项目建设完成后，可带动周边农民玉米、秸秆等的消耗，对当地的经济和鸡牧业发展起着极大的推动作用。</w:t>
      </w:r>
    </w:p>
    <w:p w14:paraId="03C092B9">
      <w:pPr>
        <w:pStyle w:val="104"/>
      </w:pPr>
      <w:r>
        <w:t>2、对当地种植业发展的影响</w:t>
      </w:r>
    </w:p>
    <w:p w14:paraId="63AEFD26">
      <w:pPr>
        <w:pStyle w:val="104"/>
      </w:pPr>
      <w:r>
        <w:t>本项目建成后，将需要大量的饲料，使当地及周边农户种植的饲料作物有了可靠的销售渠道及较高的价位，提高种植经济效益，促进农民增收，提高农民对养殖业的信心和积极性。</w:t>
      </w:r>
    </w:p>
    <w:p w14:paraId="4D317F39">
      <w:pPr>
        <w:pStyle w:val="104"/>
      </w:pPr>
      <w:r>
        <w:t>3、对当地及周边居民的影响</w:t>
      </w:r>
    </w:p>
    <w:p w14:paraId="599DED4F">
      <w:pPr>
        <w:pStyle w:val="104"/>
      </w:pPr>
      <w:r>
        <w:t>随着我国经济体制改革的深化，城乡经济蓬勃发展，在广大人民群众温饱解决以后，便进一步要求改善人们日常生活中的食物结构，增加肉、蛋、奶在食物中的比重。本项目通过种养模式调整农业结构，发展鸡牧养殖业，延长农业产业链条，实现产供销一体化，改善成项目群众的膳食结构，就是一条能够实现鸡牧产业发展与农业增效和农民增收相统一的行之有效的途径。</w:t>
      </w:r>
    </w:p>
    <w:p w14:paraId="2300BC44">
      <w:pPr>
        <w:pStyle w:val="104"/>
      </w:pPr>
      <w:r>
        <w:t>4、对当地就业的影响</w:t>
      </w:r>
    </w:p>
    <w:p w14:paraId="13D1F42D">
      <w:pPr>
        <w:pStyle w:val="104"/>
      </w:pPr>
      <w:r>
        <w:t>本项目建成后，将提供多个工作岗位，为解决当地就业问题也起到了一定的积极作用。</w:t>
      </w:r>
    </w:p>
    <w:p w14:paraId="6BA2D32C">
      <w:pPr>
        <w:pStyle w:val="10"/>
      </w:pPr>
      <w:bookmarkStart w:id="578" w:name="_Toc166572367"/>
      <w:r>
        <w:t>8.5环境经济效益综合评述</w:t>
      </w:r>
      <w:bookmarkEnd w:id="578"/>
    </w:p>
    <w:p w14:paraId="146CCEF1">
      <w:pPr>
        <w:pStyle w:val="104"/>
      </w:pPr>
      <w:r>
        <w:t>本项目建成后，不仅增加了地方的财政收入，而且还能为企业积累大量资金，经济效益较好。</w:t>
      </w:r>
    </w:p>
    <w:p w14:paraId="5F428A21">
      <w:pPr>
        <w:pStyle w:val="104"/>
      </w:pPr>
      <w:r>
        <w:t>拟建工程完成后，增强了企业的生存竞争能力，促进了当地经济发展并通过一系列的环境保护和生态恢复措施缓解了对区域的环境污染，增加了当地农牧民的经济收入，提高了公众的生活质量，维持了社会稳定，社会效益较好。</w:t>
      </w:r>
    </w:p>
    <w:p w14:paraId="39D1C2C1">
      <w:pPr>
        <w:pStyle w:val="104"/>
      </w:pPr>
      <w:r>
        <w:t>本项目在严格落实本报告提出的各项污染防治措施后，能够保证达标排放，有利于整个评价区内环境质量的改善，具有环境效益。</w:t>
      </w:r>
    </w:p>
    <w:p w14:paraId="2E43EE56">
      <w:pPr>
        <w:pStyle w:val="104"/>
        <w:sectPr>
          <w:pgSz w:w="11907" w:h="16840"/>
          <w:pgMar w:top="1418" w:right="1418" w:bottom="1418" w:left="1418" w:header="964" w:footer="964" w:gutter="0"/>
          <w:cols w:space="720" w:num="1"/>
          <w:docGrid w:linePitch="326" w:charSpace="0"/>
        </w:sectPr>
      </w:pPr>
      <w:r>
        <w:t>通过对本项目在经济效益、环境效益和社会效益三方面的分析，可以看出，本项目的建设能够达到“三效益”的和谐统一发展，项目是可行的。</w:t>
      </w:r>
    </w:p>
    <w:bookmarkEnd w:id="570"/>
    <w:bookmarkEnd w:id="571"/>
    <w:bookmarkEnd w:id="572"/>
    <w:bookmarkEnd w:id="573"/>
    <w:bookmarkEnd w:id="574"/>
    <w:bookmarkEnd w:id="575"/>
    <w:p w14:paraId="52A71C8F">
      <w:pPr>
        <w:pStyle w:val="103"/>
      </w:pPr>
      <w:bookmarkStart w:id="579" w:name="_Toc166572368"/>
      <w:bookmarkStart w:id="580" w:name="_Toc36234664"/>
      <w:r>
        <w:t>9环境管理与监测计划</w:t>
      </w:r>
      <w:bookmarkEnd w:id="579"/>
      <w:bookmarkEnd w:id="580"/>
    </w:p>
    <w:p w14:paraId="158F372A">
      <w:pPr>
        <w:pStyle w:val="10"/>
      </w:pPr>
      <w:bookmarkStart w:id="581" w:name="_Toc166572369"/>
      <w:bookmarkStart w:id="582" w:name="_Toc457206666"/>
      <w:bookmarkStart w:id="583" w:name="_Toc386096563"/>
      <w:bookmarkStart w:id="584" w:name="_Toc372978432"/>
      <w:bookmarkStart w:id="585" w:name="_Toc36234665"/>
      <w:bookmarkStart w:id="586" w:name="_Toc290040068"/>
      <w:bookmarkStart w:id="587" w:name="_Toc342923240"/>
      <w:bookmarkStart w:id="588" w:name="_Toc300647856"/>
      <w:bookmarkStart w:id="589" w:name="_Toc324504436"/>
      <w:bookmarkStart w:id="590" w:name="_Toc307303115"/>
      <w:r>
        <w:t>9.1环境管理</w:t>
      </w:r>
      <w:bookmarkEnd w:id="581"/>
      <w:bookmarkEnd w:id="582"/>
      <w:bookmarkEnd w:id="583"/>
      <w:bookmarkEnd w:id="584"/>
      <w:bookmarkEnd w:id="585"/>
    </w:p>
    <w:p w14:paraId="24B3F9B4">
      <w:pPr>
        <w:pStyle w:val="104"/>
      </w:pPr>
      <w:r>
        <w:t>环境管理是以环境科学理论为基础，运用经济、法律、技术、行政、教育等手段对经济、社会发展过程中施加给环境的污染和破坏影响进行调节控制，实现经济、社会和环境效益的和谐统一。</w:t>
      </w:r>
    </w:p>
    <w:p w14:paraId="12C84C8C">
      <w:pPr>
        <w:pStyle w:val="104"/>
      </w:pPr>
      <w:r>
        <w:t>根据《国务院办公厅关于加快推进畜禽养殖废弃物资源化利用的意见》（国办发〔2017〕48号）中的要求“（七）落实规模养殖场主体责任制度。畜禽规模养殖场要严格执行环境保护法、畜禽规模养殖污染防治条例、水污染防治行动计划、土壤污染防治行动计划等法律法规和规定，切实履行环境保护主体责任，建设污染防治配套设施并保持正常运行，或者委托第三方进行粪污处理，确保粪污资源化利用。畜禽养殖标准化示范场要带头落实，切实发挥示范带动作用”，本项目的建设方作为主体责任人，应全面贯彻和落实国家及地方环保法律、法规，加强企业内部污染物排放监督控制，将环境保护纳入企业管理和生产计划之中，企业内部必须建立相应的环境管理机构及监控计划。</w:t>
      </w:r>
    </w:p>
    <w:p w14:paraId="0821E83B">
      <w:pPr>
        <w:pStyle w:val="11"/>
      </w:pPr>
      <w:bookmarkStart w:id="591" w:name="_Toc23508"/>
      <w:bookmarkStart w:id="592" w:name="_Toc30109"/>
      <w:bookmarkStart w:id="593" w:name="_Toc29888"/>
      <w:bookmarkStart w:id="594" w:name="_Toc166572370"/>
      <w:bookmarkStart w:id="595" w:name="_Toc19889"/>
      <w:bookmarkStart w:id="596" w:name="_Toc4461"/>
      <w:bookmarkStart w:id="597" w:name="_Toc1943_WPSOffice_Level2"/>
      <w:bookmarkStart w:id="598" w:name="_Toc6213"/>
      <w:r>
        <w:t>9.1.1管理机构</w:t>
      </w:r>
      <w:bookmarkEnd w:id="591"/>
      <w:bookmarkEnd w:id="592"/>
      <w:bookmarkEnd w:id="593"/>
      <w:bookmarkEnd w:id="594"/>
      <w:bookmarkEnd w:id="595"/>
      <w:bookmarkEnd w:id="596"/>
      <w:bookmarkEnd w:id="597"/>
      <w:bookmarkEnd w:id="598"/>
    </w:p>
    <w:p w14:paraId="1E8AF92F">
      <w:pPr>
        <w:pStyle w:val="104"/>
      </w:pPr>
      <w:r>
        <w:t>企业环境管理，就是以管理工程和环境科学的理论为基础，运用技术、经济、法律、行政和教育手段，对损害环境质量的生产经营活动加以限制，协调发展生产与保护环境的关系，使生产目标与环境目标统一起来，经济效益与环境效益统一起来。</w:t>
      </w:r>
    </w:p>
    <w:p w14:paraId="4461C558">
      <w:pPr>
        <w:pStyle w:val="104"/>
      </w:pPr>
      <w:r>
        <w:t>根据项目的污染特点，建设单位应有一名副经理负责环保工作统筹，设立环境保护管理机构，配备专职环保管理人员四人，分别负责大气、水、固体废弃物、噪声污染物防治措施管理。</w:t>
      </w:r>
    </w:p>
    <w:p w14:paraId="331A5BBD">
      <w:pPr>
        <w:pStyle w:val="11"/>
      </w:pPr>
      <w:bookmarkStart w:id="599" w:name="_Toc420206675"/>
      <w:bookmarkStart w:id="600" w:name="_Toc455648697"/>
      <w:bookmarkStart w:id="601" w:name="_Toc166572371"/>
      <w:bookmarkStart w:id="602" w:name="_Toc458506060"/>
      <w:r>
        <w:t>9.1.2环境管理机构职责</w:t>
      </w:r>
      <w:bookmarkEnd w:id="599"/>
      <w:bookmarkEnd w:id="600"/>
      <w:bookmarkEnd w:id="601"/>
      <w:bookmarkEnd w:id="602"/>
    </w:p>
    <w:p w14:paraId="4EE09EC6">
      <w:pPr>
        <w:pStyle w:val="104"/>
      </w:pPr>
      <w:r>
        <w:t>1、认真贯彻执行国家、自治区、市环保法规及行业环保规定，负责制定全厂近期、远期环保规划，按计划实施、落实环保要求，解决存在的环保问题。</w:t>
      </w:r>
    </w:p>
    <w:p w14:paraId="74531768">
      <w:pPr>
        <w:pStyle w:val="104"/>
      </w:pPr>
      <w:r>
        <w:t>2、制订整个厂区岗位环保制度，并检查制度的落实情况，制定环保工作年度计划，负责组织实施。</w:t>
      </w:r>
    </w:p>
    <w:p w14:paraId="6A0BD266">
      <w:pPr>
        <w:pStyle w:val="104"/>
      </w:pPr>
      <w:r>
        <w:t>3、制定并负责实施环保设备的运行管理计划。</w:t>
      </w:r>
    </w:p>
    <w:p w14:paraId="317EC9EE">
      <w:pPr>
        <w:pStyle w:val="104"/>
      </w:pPr>
      <w:r>
        <w:t>4、负责厂区环境保护的管理工作，监督、检查各车间环保设施的情况，建立完善的环保档案，掌握汇总各污染源污染物的排放情况及环境质量问题。</w:t>
      </w:r>
    </w:p>
    <w:p w14:paraId="34F78E69">
      <w:pPr>
        <w:pStyle w:val="104"/>
      </w:pPr>
      <w:r>
        <w:t>5、负责全公司的污染事故调查，随时做好应急准备，对于发生的事故，应及时处理并上报有关部门。</w:t>
      </w:r>
    </w:p>
    <w:p w14:paraId="6780C3B2">
      <w:pPr>
        <w:pStyle w:val="104"/>
      </w:pPr>
      <w:r>
        <w:t>6、参与各项环保设施施工质量的检查和竣工验收，监督和检查环保设施的运行和维护。组织推广和实施先进的污染治理技术和管理经验。</w:t>
      </w:r>
    </w:p>
    <w:p w14:paraId="5502562C">
      <w:pPr>
        <w:pStyle w:val="104"/>
      </w:pPr>
      <w:r>
        <w:t>7、对公司环保实行统一管理，并对厂区的环境质量进行全面负责。</w:t>
      </w:r>
    </w:p>
    <w:p w14:paraId="70ED82F7">
      <w:pPr>
        <w:pStyle w:val="104"/>
      </w:pPr>
      <w:r>
        <w:t>8、协调公司后勤管理部门，对环保设施进行维修和保养，做好日常环保设施与生产主体设备的统一管理，加强维护，定期检查，以确保设备的正常运行。当治理设施发生故障时，生产设备应采取相应措施，以防止污染事故的发生。</w:t>
      </w:r>
    </w:p>
    <w:p w14:paraId="12463C14">
      <w:pPr>
        <w:pStyle w:val="104"/>
      </w:pPr>
      <w:r>
        <w:t>9、定期对场区的环保工作进行考核，随时检查其工作情况，制定考核与奖惩的具体办法，将环保考核纳入生产考核的主要部分。</w:t>
      </w:r>
    </w:p>
    <w:p w14:paraId="1FB7D30A">
      <w:pPr>
        <w:pStyle w:val="104"/>
      </w:pPr>
      <w:r>
        <w:t>10、针对厂区一年内的环保设备运行情况和环境保护管理情况编制年报，并汇报上级部门。</w:t>
      </w:r>
    </w:p>
    <w:p w14:paraId="580FEFFD">
      <w:pPr>
        <w:pStyle w:val="11"/>
      </w:pPr>
      <w:bookmarkStart w:id="603" w:name="_Toc398101335"/>
      <w:bookmarkStart w:id="604" w:name="_Toc166572372"/>
      <w:bookmarkStart w:id="605" w:name="_Toc386096566"/>
      <w:bookmarkStart w:id="606" w:name="_Toc420206676"/>
      <w:bookmarkStart w:id="607" w:name="_Toc458506061"/>
      <w:bookmarkStart w:id="608" w:name="_Toc455648698"/>
      <w:r>
        <w:t>9.1.3环境管理计划</w:t>
      </w:r>
      <w:bookmarkEnd w:id="603"/>
      <w:bookmarkEnd w:id="604"/>
      <w:bookmarkEnd w:id="605"/>
      <w:bookmarkEnd w:id="606"/>
      <w:bookmarkEnd w:id="607"/>
      <w:bookmarkEnd w:id="608"/>
    </w:p>
    <w:p w14:paraId="59D706BD">
      <w:pPr>
        <w:pStyle w:val="104"/>
      </w:pPr>
      <w:r>
        <w:t>1、定期进行环保安全检查，及时发现、解决环境问题；</w:t>
      </w:r>
    </w:p>
    <w:p w14:paraId="6784753B">
      <w:pPr>
        <w:pStyle w:val="104"/>
      </w:pPr>
      <w:r>
        <w:t>2、对专兼职环境管理人员进行环保业务知识培训，并在公司全范围内进行环保知识宣传教育，树立全员环保意识；</w:t>
      </w:r>
    </w:p>
    <w:p w14:paraId="7372F68D">
      <w:pPr>
        <w:pStyle w:val="104"/>
      </w:pPr>
      <w:r>
        <w:t>3、定期组织员工对事故预案进行预练，提高员工应急处理事故能力，努力将环境风险降到最低；</w:t>
      </w:r>
    </w:p>
    <w:p w14:paraId="030E785E">
      <w:pPr>
        <w:pStyle w:val="104"/>
      </w:pPr>
      <w:r>
        <w:t>4、组织召开环保工作例会，针对生产中存在的环保问题进行讨论，制定处理措施，并报上级主管；</w:t>
      </w:r>
    </w:p>
    <w:p w14:paraId="1BA37656">
      <w:pPr>
        <w:pStyle w:val="104"/>
      </w:pPr>
      <w:r>
        <w:t>5、制定环境监测计划；</w:t>
      </w:r>
    </w:p>
    <w:p w14:paraId="26985623">
      <w:pPr>
        <w:pStyle w:val="104"/>
      </w:pPr>
      <w:r>
        <w:t>6、对环境管理台账经常检查，检查重大环境因素整改计划的落实情况；</w:t>
      </w:r>
    </w:p>
    <w:p w14:paraId="3D9DA974">
      <w:pPr>
        <w:pStyle w:val="104"/>
        <w:sectPr>
          <w:pgSz w:w="11907" w:h="16840"/>
          <w:pgMar w:top="1418" w:right="1418" w:bottom="1418" w:left="1418" w:header="964" w:footer="964" w:gutter="0"/>
          <w:cols w:space="720" w:num="1"/>
          <w:docGrid w:linePitch="326" w:charSpace="0"/>
        </w:sectPr>
      </w:pPr>
      <w:r>
        <w:t>7、严格日常环保工作落实，保证达标排放。</w:t>
      </w:r>
      <w:bookmarkStart w:id="609" w:name="_Toc12754"/>
      <w:bookmarkStart w:id="610" w:name="_Toc3228_WPSOffice_Level2"/>
      <w:bookmarkStart w:id="611" w:name="_Toc9753"/>
      <w:bookmarkStart w:id="612" w:name="_Toc27776"/>
      <w:bookmarkStart w:id="613" w:name="_Toc18315"/>
      <w:bookmarkStart w:id="614" w:name="_Toc29538"/>
      <w:bookmarkStart w:id="615" w:name="_Toc24872"/>
    </w:p>
    <w:p w14:paraId="53E919B7">
      <w:pPr>
        <w:pStyle w:val="11"/>
      </w:pPr>
      <w:bookmarkStart w:id="616" w:name="_Toc166572373"/>
      <w:r>
        <w:t>9.1.4项目防治措施</w:t>
      </w:r>
      <w:bookmarkEnd w:id="616"/>
    </w:p>
    <w:p w14:paraId="3C674097">
      <w:pPr>
        <w:pStyle w:val="104"/>
        <w:rPr>
          <w:szCs w:val="22"/>
        </w:rPr>
      </w:pPr>
      <w:r>
        <w:rPr>
          <w:rFonts w:hint="eastAsia"/>
        </w:rPr>
        <w:t>本项目污染物排放清单见表9.1-1，</w:t>
      </w:r>
      <w:r>
        <w:rPr>
          <w:color w:val="000000" w:themeColor="text1"/>
          <w14:textFill>
            <w14:solidFill>
              <w14:schemeClr w14:val="tx1"/>
            </w14:solidFill>
          </w14:textFill>
        </w:rPr>
        <w:t>污染物防治</w:t>
      </w:r>
      <w:r>
        <w:t>措施见表</w:t>
      </w:r>
      <w:r>
        <w:rPr>
          <w:rFonts w:hint="eastAsia"/>
        </w:rPr>
        <w:t>9.1-2</w:t>
      </w:r>
      <w:r>
        <w:t>。</w:t>
      </w:r>
    </w:p>
    <w:p w14:paraId="5EDE2309">
      <w:pPr>
        <w:pStyle w:val="756"/>
      </w:pPr>
      <w:r>
        <w:rPr>
          <w:rFonts w:hint="eastAsia"/>
        </w:rPr>
        <w:t>表9.1-1 项目污染物排放清单</w:t>
      </w:r>
    </w:p>
    <w:tbl>
      <w:tblPr>
        <w:tblStyle w:val="83"/>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
        <w:gridCol w:w="1255"/>
        <w:gridCol w:w="188"/>
        <w:gridCol w:w="950"/>
        <w:gridCol w:w="496"/>
        <w:gridCol w:w="525"/>
        <w:gridCol w:w="1012"/>
        <w:gridCol w:w="657"/>
        <w:gridCol w:w="1383"/>
        <w:gridCol w:w="678"/>
        <w:gridCol w:w="850"/>
        <w:gridCol w:w="487"/>
        <w:gridCol w:w="680"/>
        <w:gridCol w:w="1013"/>
        <w:gridCol w:w="104"/>
        <w:gridCol w:w="1839"/>
        <w:gridCol w:w="527"/>
        <w:gridCol w:w="1147"/>
      </w:tblGrid>
      <w:tr w14:paraId="1D9D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29" w:type="dxa"/>
            <w:shd w:val="clear" w:color="auto" w:fill="9ED3A3" w:themeFill="background1" w:themeFillShade="D8"/>
            <w:vAlign w:val="center"/>
          </w:tcPr>
          <w:p w14:paraId="1A417458">
            <w:pPr>
              <w:pStyle w:val="756"/>
              <w:rPr>
                <w:sz w:val="21"/>
                <w:szCs w:val="21"/>
              </w:rPr>
            </w:pPr>
            <w:r>
              <w:rPr>
                <w:rFonts w:hint="eastAsia"/>
                <w:sz w:val="21"/>
                <w:szCs w:val="21"/>
              </w:rPr>
              <w:t>项目</w:t>
            </w:r>
          </w:p>
        </w:tc>
        <w:tc>
          <w:tcPr>
            <w:tcW w:w="1255" w:type="dxa"/>
            <w:shd w:val="clear" w:color="auto" w:fill="9ED3A3" w:themeFill="background1" w:themeFillShade="D8"/>
            <w:vAlign w:val="center"/>
          </w:tcPr>
          <w:p w14:paraId="588FDFDE">
            <w:pPr>
              <w:pStyle w:val="756"/>
              <w:rPr>
                <w:sz w:val="21"/>
                <w:szCs w:val="21"/>
              </w:rPr>
            </w:pPr>
            <w:r>
              <w:rPr>
                <w:rFonts w:hint="eastAsia"/>
                <w:sz w:val="21"/>
                <w:szCs w:val="21"/>
              </w:rPr>
              <w:t>污染源</w:t>
            </w:r>
          </w:p>
        </w:tc>
        <w:tc>
          <w:tcPr>
            <w:tcW w:w="1138" w:type="dxa"/>
            <w:gridSpan w:val="2"/>
            <w:shd w:val="clear" w:color="auto" w:fill="9ED3A3" w:themeFill="background1" w:themeFillShade="D8"/>
            <w:vAlign w:val="center"/>
          </w:tcPr>
          <w:p w14:paraId="57D48161">
            <w:pPr>
              <w:pStyle w:val="756"/>
              <w:rPr>
                <w:sz w:val="21"/>
                <w:szCs w:val="21"/>
              </w:rPr>
            </w:pPr>
            <w:r>
              <w:rPr>
                <w:rFonts w:hint="eastAsia"/>
                <w:sz w:val="21"/>
                <w:szCs w:val="21"/>
              </w:rPr>
              <w:t>污染物</w:t>
            </w:r>
          </w:p>
        </w:tc>
        <w:tc>
          <w:tcPr>
            <w:tcW w:w="1021" w:type="dxa"/>
            <w:gridSpan w:val="2"/>
            <w:shd w:val="clear" w:color="auto" w:fill="9ED3A3" w:themeFill="background1" w:themeFillShade="D8"/>
            <w:vAlign w:val="center"/>
          </w:tcPr>
          <w:p w14:paraId="54A6BD7A">
            <w:pPr>
              <w:pStyle w:val="756"/>
              <w:rPr>
                <w:sz w:val="21"/>
                <w:szCs w:val="21"/>
              </w:rPr>
            </w:pPr>
            <w:r>
              <w:rPr>
                <w:rFonts w:hint="eastAsia"/>
                <w:sz w:val="21"/>
                <w:szCs w:val="21"/>
              </w:rPr>
              <w:t>排放形式</w:t>
            </w:r>
          </w:p>
        </w:tc>
        <w:tc>
          <w:tcPr>
            <w:tcW w:w="3730" w:type="dxa"/>
            <w:gridSpan w:val="4"/>
            <w:shd w:val="clear" w:color="auto" w:fill="9ED3A3" w:themeFill="background1" w:themeFillShade="D8"/>
            <w:vAlign w:val="center"/>
          </w:tcPr>
          <w:p w14:paraId="48BA79CC">
            <w:pPr>
              <w:pStyle w:val="756"/>
              <w:rPr>
                <w:sz w:val="21"/>
                <w:szCs w:val="21"/>
              </w:rPr>
            </w:pPr>
            <w:r>
              <w:rPr>
                <w:rFonts w:hint="eastAsia"/>
                <w:sz w:val="21"/>
                <w:szCs w:val="21"/>
              </w:rPr>
              <w:t>防治措施</w:t>
            </w:r>
          </w:p>
        </w:tc>
        <w:tc>
          <w:tcPr>
            <w:tcW w:w="850" w:type="dxa"/>
            <w:shd w:val="clear" w:color="auto" w:fill="9ED3A3" w:themeFill="background1" w:themeFillShade="D8"/>
            <w:vAlign w:val="center"/>
          </w:tcPr>
          <w:p w14:paraId="3AB24081">
            <w:pPr>
              <w:pStyle w:val="756"/>
              <w:rPr>
                <w:sz w:val="21"/>
                <w:szCs w:val="21"/>
              </w:rPr>
            </w:pPr>
            <w:r>
              <w:rPr>
                <w:rFonts w:hint="eastAsia"/>
                <w:sz w:val="21"/>
                <w:szCs w:val="21"/>
              </w:rPr>
              <w:t>排放量（t/a）</w:t>
            </w:r>
          </w:p>
        </w:tc>
        <w:tc>
          <w:tcPr>
            <w:tcW w:w="1167" w:type="dxa"/>
            <w:gridSpan w:val="2"/>
            <w:shd w:val="clear" w:color="auto" w:fill="9ED3A3" w:themeFill="background1" w:themeFillShade="D8"/>
            <w:vAlign w:val="center"/>
          </w:tcPr>
          <w:p w14:paraId="45045113">
            <w:pPr>
              <w:pStyle w:val="756"/>
              <w:rPr>
                <w:sz w:val="21"/>
                <w:szCs w:val="21"/>
              </w:rPr>
            </w:pPr>
            <w:r>
              <w:rPr>
                <w:rFonts w:hint="eastAsia"/>
                <w:sz w:val="21"/>
                <w:szCs w:val="21"/>
              </w:rPr>
              <w:t>排放浓度（mg/m</w:t>
            </w:r>
            <w:r>
              <w:rPr>
                <w:rFonts w:hint="eastAsia"/>
                <w:sz w:val="21"/>
                <w:szCs w:val="21"/>
                <w:vertAlign w:val="superscript"/>
              </w:rPr>
              <w:t>3</w:t>
            </w:r>
            <w:r>
              <w:rPr>
                <w:rFonts w:hint="eastAsia"/>
                <w:sz w:val="21"/>
                <w:szCs w:val="21"/>
              </w:rPr>
              <w:t>）</w:t>
            </w:r>
          </w:p>
        </w:tc>
        <w:tc>
          <w:tcPr>
            <w:tcW w:w="1117" w:type="dxa"/>
            <w:gridSpan w:val="2"/>
            <w:shd w:val="clear" w:color="auto" w:fill="9ED3A3" w:themeFill="background1" w:themeFillShade="D8"/>
            <w:vAlign w:val="center"/>
          </w:tcPr>
          <w:p w14:paraId="5DA746A1">
            <w:pPr>
              <w:pStyle w:val="756"/>
              <w:rPr>
                <w:sz w:val="21"/>
                <w:szCs w:val="21"/>
              </w:rPr>
            </w:pPr>
            <w:r>
              <w:rPr>
                <w:rFonts w:hint="eastAsia"/>
                <w:sz w:val="21"/>
                <w:szCs w:val="21"/>
              </w:rPr>
              <w:t>排放速率（kg/h）</w:t>
            </w:r>
          </w:p>
        </w:tc>
        <w:tc>
          <w:tcPr>
            <w:tcW w:w="2366" w:type="dxa"/>
            <w:gridSpan w:val="2"/>
            <w:shd w:val="clear" w:color="auto" w:fill="9ED3A3" w:themeFill="background1" w:themeFillShade="D8"/>
            <w:vAlign w:val="center"/>
          </w:tcPr>
          <w:p w14:paraId="20B8816E">
            <w:pPr>
              <w:pStyle w:val="756"/>
              <w:rPr>
                <w:sz w:val="21"/>
                <w:szCs w:val="21"/>
              </w:rPr>
            </w:pPr>
            <w:r>
              <w:rPr>
                <w:rFonts w:hint="eastAsia"/>
                <w:sz w:val="21"/>
                <w:szCs w:val="21"/>
              </w:rPr>
              <w:t>执行标准</w:t>
            </w:r>
          </w:p>
        </w:tc>
        <w:tc>
          <w:tcPr>
            <w:tcW w:w="1147" w:type="dxa"/>
            <w:shd w:val="clear" w:color="auto" w:fill="9ED3A3" w:themeFill="background1" w:themeFillShade="D8"/>
            <w:vAlign w:val="center"/>
          </w:tcPr>
          <w:p w14:paraId="3B100AA1">
            <w:pPr>
              <w:pStyle w:val="756"/>
              <w:rPr>
                <w:sz w:val="21"/>
                <w:szCs w:val="21"/>
              </w:rPr>
            </w:pPr>
            <w:r>
              <w:rPr>
                <w:rFonts w:hint="eastAsia"/>
                <w:sz w:val="21"/>
                <w:szCs w:val="21"/>
              </w:rPr>
              <w:t>排放限值</w:t>
            </w:r>
          </w:p>
        </w:tc>
      </w:tr>
      <w:tr w14:paraId="111D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29" w:type="dxa"/>
            <w:vMerge w:val="restart"/>
            <w:vAlign w:val="center"/>
          </w:tcPr>
          <w:p w14:paraId="75B0EFDA">
            <w:pPr>
              <w:pStyle w:val="756"/>
              <w:rPr>
                <w:b w:val="0"/>
                <w:bCs/>
                <w:sz w:val="21"/>
                <w:szCs w:val="21"/>
              </w:rPr>
            </w:pPr>
            <w:r>
              <w:rPr>
                <w:rFonts w:hint="eastAsia"/>
                <w:b w:val="0"/>
                <w:bCs/>
                <w:sz w:val="21"/>
                <w:szCs w:val="21"/>
              </w:rPr>
              <w:t>废气</w:t>
            </w:r>
          </w:p>
        </w:tc>
        <w:tc>
          <w:tcPr>
            <w:tcW w:w="1255" w:type="dxa"/>
            <w:vMerge w:val="restart"/>
            <w:vAlign w:val="center"/>
          </w:tcPr>
          <w:p w14:paraId="40F85C71">
            <w:pPr>
              <w:pStyle w:val="756"/>
              <w:rPr>
                <w:b w:val="0"/>
                <w:bCs/>
                <w:sz w:val="21"/>
                <w:szCs w:val="21"/>
              </w:rPr>
            </w:pPr>
            <w:r>
              <w:rPr>
                <w:rFonts w:hint="eastAsia"/>
                <w:b w:val="0"/>
                <w:bCs/>
                <w:sz w:val="21"/>
                <w:szCs w:val="21"/>
              </w:rPr>
              <w:t>鸡舍</w:t>
            </w:r>
          </w:p>
        </w:tc>
        <w:tc>
          <w:tcPr>
            <w:tcW w:w="1138" w:type="dxa"/>
            <w:gridSpan w:val="2"/>
            <w:vAlign w:val="center"/>
          </w:tcPr>
          <w:p w14:paraId="42E42FE0">
            <w:pPr>
              <w:pStyle w:val="756"/>
              <w:rPr>
                <w:b w:val="0"/>
                <w:bCs/>
                <w:sz w:val="21"/>
                <w:szCs w:val="21"/>
              </w:rPr>
            </w:pPr>
            <w:r>
              <w:rPr>
                <w:b w:val="0"/>
                <w:bCs/>
                <w:sz w:val="21"/>
                <w:szCs w:val="21"/>
              </w:rPr>
              <w:t>NH</w:t>
            </w:r>
            <w:r>
              <w:rPr>
                <w:b w:val="0"/>
                <w:bCs/>
                <w:sz w:val="21"/>
                <w:szCs w:val="21"/>
                <w:vertAlign w:val="subscript"/>
              </w:rPr>
              <w:t>3</w:t>
            </w:r>
          </w:p>
        </w:tc>
        <w:tc>
          <w:tcPr>
            <w:tcW w:w="1021" w:type="dxa"/>
            <w:gridSpan w:val="2"/>
            <w:vMerge w:val="restart"/>
            <w:vAlign w:val="center"/>
          </w:tcPr>
          <w:p w14:paraId="5CAF1267">
            <w:pPr>
              <w:pStyle w:val="756"/>
              <w:rPr>
                <w:b w:val="0"/>
                <w:bCs/>
                <w:sz w:val="21"/>
                <w:szCs w:val="21"/>
              </w:rPr>
            </w:pPr>
            <w:r>
              <w:rPr>
                <w:rFonts w:hint="eastAsia"/>
                <w:b w:val="0"/>
                <w:bCs/>
                <w:sz w:val="21"/>
                <w:szCs w:val="21"/>
              </w:rPr>
              <w:t>无组织</w:t>
            </w:r>
          </w:p>
        </w:tc>
        <w:tc>
          <w:tcPr>
            <w:tcW w:w="3730" w:type="dxa"/>
            <w:gridSpan w:val="4"/>
            <w:vMerge w:val="restart"/>
            <w:vAlign w:val="center"/>
          </w:tcPr>
          <w:p w14:paraId="6DA4E6B5">
            <w:pPr>
              <w:pStyle w:val="756"/>
              <w:rPr>
                <w:b w:val="0"/>
                <w:bCs/>
                <w:sz w:val="21"/>
                <w:szCs w:val="21"/>
              </w:rPr>
            </w:pPr>
            <w:r>
              <w:rPr>
                <w:rFonts w:hint="eastAsia"/>
                <w:b w:val="0"/>
                <w:bCs/>
                <w:sz w:val="21"/>
                <w:szCs w:val="21"/>
              </w:rPr>
              <w:t>干清粪的方式，每天及时对鸡舍内的鸡粪进行清理，对鸡舍消毒除臭处理，并在鸡舍四周以及各鸡舍之间的空地进行绿化，安装水雾吸附装置</w:t>
            </w:r>
          </w:p>
        </w:tc>
        <w:tc>
          <w:tcPr>
            <w:tcW w:w="850" w:type="dxa"/>
            <w:vAlign w:val="center"/>
          </w:tcPr>
          <w:p w14:paraId="3EEE06EF">
            <w:pPr>
              <w:pStyle w:val="756"/>
              <w:rPr>
                <w:b w:val="0"/>
                <w:bCs/>
                <w:sz w:val="21"/>
                <w:szCs w:val="21"/>
              </w:rPr>
            </w:pPr>
            <w:r>
              <w:rPr>
                <w:rFonts w:hint="eastAsia"/>
                <w:b w:val="0"/>
                <w:bCs/>
                <w:sz w:val="21"/>
                <w:szCs w:val="21"/>
              </w:rPr>
              <w:t>53.8</w:t>
            </w:r>
          </w:p>
        </w:tc>
        <w:tc>
          <w:tcPr>
            <w:tcW w:w="1167" w:type="dxa"/>
            <w:gridSpan w:val="2"/>
            <w:vAlign w:val="center"/>
          </w:tcPr>
          <w:p w14:paraId="041D4CF8">
            <w:pPr>
              <w:pStyle w:val="756"/>
              <w:rPr>
                <w:b w:val="0"/>
                <w:bCs/>
                <w:sz w:val="21"/>
                <w:szCs w:val="21"/>
              </w:rPr>
            </w:pPr>
            <w:r>
              <w:rPr>
                <w:rFonts w:hint="eastAsia"/>
                <w:b w:val="0"/>
                <w:bCs/>
                <w:sz w:val="21"/>
                <w:szCs w:val="21"/>
              </w:rPr>
              <w:t>1.02</w:t>
            </w:r>
          </w:p>
        </w:tc>
        <w:tc>
          <w:tcPr>
            <w:tcW w:w="1117" w:type="dxa"/>
            <w:gridSpan w:val="2"/>
            <w:vAlign w:val="center"/>
          </w:tcPr>
          <w:p w14:paraId="5A818AD4">
            <w:pPr>
              <w:pStyle w:val="756"/>
              <w:rPr>
                <w:b w:val="0"/>
                <w:bCs/>
                <w:sz w:val="21"/>
                <w:szCs w:val="21"/>
              </w:rPr>
            </w:pPr>
            <w:r>
              <w:rPr>
                <w:rFonts w:hint="eastAsia"/>
                <w:b w:val="0"/>
                <w:bCs/>
                <w:sz w:val="21"/>
                <w:szCs w:val="21"/>
              </w:rPr>
              <w:t>6.14</w:t>
            </w:r>
          </w:p>
        </w:tc>
        <w:tc>
          <w:tcPr>
            <w:tcW w:w="2366" w:type="dxa"/>
            <w:gridSpan w:val="2"/>
            <w:vMerge w:val="restart"/>
            <w:vAlign w:val="center"/>
          </w:tcPr>
          <w:p w14:paraId="08D11A9D">
            <w:pPr>
              <w:pStyle w:val="756"/>
              <w:rPr>
                <w:b w:val="0"/>
                <w:bCs/>
                <w:sz w:val="21"/>
                <w:szCs w:val="21"/>
              </w:rPr>
            </w:pPr>
            <w:r>
              <w:rPr>
                <w:rFonts w:hint="eastAsia"/>
                <w:b w:val="0"/>
                <w:bCs/>
                <w:sz w:val="21"/>
                <w:szCs w:val="21"/>
              </w:rPr>
              <w:t>NH3、H2S《恶臭污染物排放标准》(GB14554-93)表1二级中新扩改建标准限值及表2中相关要求、臭气浓度执行《畜禽养殖业污染物排放标准》（GB18596-2001）表7中的标准要求；颗粒物执行《大气污染物综合排放标准》（GB16297-1996）表2最高允许排放浓度限值</w:t>
            </w:r>
          </w:p>
        </w:tc>
        <w:tc>
          <w:tcPr>
            <w:tcW w:w="1147" w:type="dxa"/>
            <w:vAlign w:val="center"/>
          </w:tcPr>
          <w:p w14:paraId="16DE0CE8">
            <w:pPr>
              <w:pStyle w:val="756"/>
              <w:rPr>
                <w:b w:val="0"/>
                <w:bCs/>
                <w:sz w:val="21"/>
                <w:szCs w:val="21"/>
              </w:rPr>
            </w:pPr>
            <w:r>
              <w:rPr>
                <w:rFonts w:hint="eastAsia"/>
                <w:b w:val="0"/>
                <w:bCs/>
                <w:sz w:val="21"/>
                <w:szCs w:val="21"/>
              </w:rPr>
              <w:t>1.5mg/m</w:t>
            </w:r>
            <w:r>
              <w:rPr>
                <w:rFonts w:hint="eastAsia"/>
                <w:b w:val="0"/>
                <w:bCs/>
                <w:sz w:val="21"/>
                <w:szCs w:val="21"/>
                <w:vertAlign w:val="superscript"/>
              </w:rPr>
              <w:t>3</w:t>
            </w:r>
          </w:p>
        </w:tc>
      </w:tr>
      <w:tr w14:paraId="0759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29" w:type="dxa"/>
            <w:vMerge w:val="continue"/>
            <w:vAlign w:val="center"/>
          </w:tcPr>
          <w:p w14:paraId="49553605">
            <w:pPr>
              <w:pStyle w:val="756"/>
              <w:rPr>
                <w:b w:val="0"/>
                <w:bCs/>
                <w:sz w:val="21"/>
                <w:szCs w:val="21"/>
              </w:rPr>
            </w:pPr>
          </w:p>
        </w:tc>
        <w:tc>
          <w:tcPr>
            <w:tcW w:w="1255" w:type="dxa"/>
            <w:vMerge w:val="continue"/>
            <w:vAlign w:val="center"/>
          </w:tcPr>
          <w:p w14:paraId="07961C61">
            <w:pPr>
              <w:pStyle w:val="756"/>
              <w:rPr>
                <w:b w:val="0"/>
                <w:bCs/>
                <w:sz w:val="21"/>
                <w:szCs w:val="21"/>
              </w:rPr>
            </w:pPr>
          </w:p>
        </w:tc>
        <w:tc>
          <w:tcPr>
            <w:tcW w:w="1138" w:type="dxa"/>
            <w:gridSpan w:val="2"/>
            <w:vAlign w:val="center"/>
          </w:tcPr>
          <w:p w14:paraId="54FAA729">
            <w:pPr>
              <w:pStyle w:val="756"/>
              <w:rPr>
                <w:b w:val="0"/>
                <w:bCs/>
                <w:sz w:val="21"/>
                <w:szCs w:val="21"/>
              </w:rPr>
            </w:pPr>
            <w:r>
              <w:rPr>
                <w:b w:val="0"/>
                <w:bCs/>
                <w:sz w:val="21"/>
                <w:szCs w:val="21"/>
              </w:rPr>
              <w:t>H</w:t>
            </w:r>
            <w:r>
              <w:rPr>
                <w:b w:val="0"/>
                <w:bCs/>
                <w:sz w:val="21"/>
                <w:szCs w:val="21"/>
                <w:vertAlign w:val="subscript"/>
              </w:rPr>
              <w:t>2</w:t>
            </w:r>
            <w:r>
              <w:rPr>
                <w:b w:val="0"/>
                <w:bCs/>
                <w:sz w:val="21"/>
                <w:szCs w:val="21"/>
              </w:rPr>
              <w:t>S</w:t>
            </w:r>
          </w:p>
        </w:tc>
        <w:tc>
          <w:tcPr>
            <w:tcW w:w="1021" w:type="dxa"/>
            <w:gridSpan w:val="2"/>
            <w:vMerge w:val="continue"/>
            <w:vAlign w:val="center"/>
          </w:tcPr>
          <w:p w14:paraId="2CE0A291">
            <w:pPr>
              <w:pStyle w:val="756"/>
              <w:rPr>
                <w:b w:val="0"/>
                <w:bCs/>
                <w:sz w:val="21"/>
                <w:szCs w:val="21"/>
              </w:rPr>
            </w:pPr>
          </w:p>
        </w:tc>
        <w:tc>
          <w:tcPr>
            <w:tcW w:w="3730" w:type="dxa"/>
            <w:gridSpan w:val="4"/>
            <w:vMerge w:val="continue"/>
            <w:vAlign w:val="center"/>
          </w:tcPr>
          <w:p w14:paraId="233506F2">
            <w:pPr>
              <w:pStyle w:val="756"/>
              <w:rPr>
                <w:b w:val="0"/>
                <w:bCs/>
                <w:sz w:val="21"/>
                <w:szCs w:val="21"/>
              </w:rPr>
            </w:pPr>
          </w:p>
        </w:tc>
        <w:tc>
          <w:tcPr>
            <w:tcW w:w="850" w:type="dxa"/>
            <w:vAlign w:val="center"/>
          </w:tcPr>
          <w:p w14:paraId="5CD59C73">
            <w:pPr>
              <w:pStyle w:val="756"/>
              <w:rPr>
                <w:b w:val="0"/>
                <w:bCs/>
                <w:sz w:val="21"/>
                <w:szCs w:val="21"/>
              </w:rPr>
            </w:pPr>
            <w:r>
              <w:rPr>
                <w:rFonts w:hint="eastAsia"/>
                <w:b w:val="0"/>
                <w:bCs/>
                <w:sz w:val="21"/>
                <w:szCs w:val="21"/>
              </w:rPr>
              <w:t>2.69</w:t>
            </w:r>
          </w:p>
        </w:tc>
        <w:tc>
          <w:tcPr>
            <w:tcW w:w="1167" w:type="dxa"/>
            <w:gridSpan w:val="2"/>
            <w:vAlign w:val="center"/>
          </w:tcPr>
          <w:p w14:paraId="77FE26A1">
            <w:pPr>
              <w:pStyle w:val="756"/>
              <w:rPr>
                <w:b w:val="0"/>
                <w:bCs/>
                <w:sz w:val="21"/>
                <w:szCs w:val="21"/>
              </w:rPr>
            </w:pPr>
            <w:r>
              <w:rPr>
                <w:rFonts w:hint="eastAsia"/>
                <w:b w:val="0"/>
                <w:bCs/>
                <w:sz w:val="21"/>
                <w:szCs w:val="21"/>
              </w:rPr>
              <w:t>0.051</w:t>
            </w:r>
          </w:p>
        </w:tc>
        <w:tc>
          <w:tcPr>
            <w:tcW w:w="1117" w:type="dxa"/>
            <w:gridSpan w:val="2"/>
            <w:vAlign w:val="center"/>
          </w:tcPr>
          <w:p w14:paraId="1C24B3B8">
            <w:pPr>
              <w:pStyle w:val="756"/>
              <w:rPr>
                <w:b w:val="0"/>
                <w:bCs/>
                <w:sz w:val="21"/>
                <w:szCs w:val="21"/>
              </w:rPr>
            </w:pPr>
            <w:r>
              <w:rPr>
                <w:rFonts w:hint="eastAsia"/>
                <w:b w:val="0"/>
                <w:bCs/>
                <w:sz w:val="21"/>
                <w:szCs w:val="21"/>
              </w:rPr>
              <w:t>0.31</w:t>
            </w:r>
          </w:p>
        </w:tc>
        <w:tc>
          <w:tcPr>
            <w:tcW w:w="2366" w:type="dxa"/>
            <w:gridSpan w:val="2"/>
            <w:vMerge w:val="continue"/>
            <w:vAlign w:val="center"/>
          </w:tcPr>
          <w:p w14:paraId="69B892C5">
            <w:pPr>
              <w:pStyle w:val="756"/>
              <w:rPr>
                <w:b w:val="0"/>
                <w:bCs/>
                <w:sz w:val="21"/>
                <w:szCs w:val="21"/>
              </w:rPr>
            </w:pPr>
          </w:p>
        </w:tc>
        <w:tc>
          <w:tcPr>
            <w:tcW w:w="1147" w:type="dxa"/>
            <w:vAlign w:val="center"/>
          </w:tcPr>
          <w:p w14:paraId="1097CF04">
            <w:pPr>
              <w:pStyle w:val="756"/>
              <w:rPr>
                <w:b w:val="0"/>
                <w:bCs/>
                <w:sz w:val="21"/>
                <w:szCs w:val="21"/>
              </w:rPr>
            </w:pPr>
            <w:r>
              <w:rPr>
                <w:rFonts w:hint="eastAsia"/>
                <w:b w:val="0"/>
                <w:bCs/>
                <w:sz w:val="21"/>
                <w:szCs w:val="21"/>
              </w:rPr>
              <w:t>0.06mg/m</w:t>
            </w:r>
            <w:r>
              <w:rPr>
                <w:rFonts w:hint="eastAsia"/>
                <w:b w:val="0"/>
                <w:bCs/>
                <w:sz w:val="21"/>
                <w:szCs w:val="21"/>
                <w:vertAlign w:val="superscript"/>
              </w:rPr>
              <w:t>3</w:t>
            </w:r>
          </w:p>
        </w:tc>
      </w:tr>
      <w:tr w14:paraId="4703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dxa"/>
            <w:vMerge w:val="continue"/>
            <w:vAlign w:val="center"/>
          </w:tcPr>
          <w:p w14:paraId="2848158C">
            <w:pPr>
              <w:pStyle w:val="756"/>
              <w:rPr>
                <w:b w:val="0"/>
                <w:bCs/>
                <w:sz w:val="21"/>
                <w:szCs w:val="21"/>
              </w:rPr>
            </w:pPr>
          </w:p>
        </w:tc>
        <w:tc>
          <w:tcPr>
            <w:tcW w:w="1255" w:type="dxa"/>
            <w:vMerge w:val="restart"/>
            <w:vAlign w:val="center"/>
          </w:tcPr>
          <w:p w14:paraId="4525D22D">
            <w:pPr>
              <w:pStyle w:val="756"/>
              <w:rPr>
                <w:b w:val="0"/>
                <w:bCs/>
                <w:sz w:val="21"/>
                <w:szCs w:val="21"/>
              </w:rPr>
            </w:pPr>
            <w:r>
              <w:rPr>
                <w:rFonts w:hint="eastAsia"/>
                <w:b w:val="0"/>
                <w:bCs/>
                <w:sz w:val="21"/>
                <w:szCs w:val="21"/>
              </w:rPr>
              <w:t>污水处理站</w:t>
            </w:r>
          </w:p>
        </w:tc>
        <w:tc>
          <w:tcPr>
            <w:tcW w:w="1138" w:type="dxa"/>
            <w:gridSpan w:val="2"/>
            <w:vAlign w:val="center"/>
          </w:tcPr>
          <w:p w14:paraId="3B14A34E">
            <w:pPr>
              <w:pStyle w:val="756"/>
              <w:rPr>
                <w:b w:val="0"/>
                <w:bCs/>
                <w:sz w:val="21"/>
                <w:szCs w:val="21"/>
              </w:rPr>
            </w:pPr>
            <w:r>
              <w:rPr>
                <w:b w:val="0"/>
                <w:bCs/>
                <w:sz w:val="21"/>
                <w:szCs w:val="21"/>
              </w:rPr>
              <w:t>NH</w:t>
            </w:r>
            <w:r>
              <w:rPr>
                <w:b w:val="0"/>
                <w:bCs/>
                <w:sz w:val="21"/>
                <w:szCs w:val="21"/>
                <w:vertAlign w:val="subscript"/>
              </w:rPr>
              <w:t>3</w:t>
            </w:r>
          </w:p>
        </w:tc>
        <w:tc>
          <w:tcPr>
            <w:tcW w:w="1021" w:type="dxa"/>
            <w:gridSpan w:val="2"/>
            <w:vMerge w:val="restart"/>
            <w:vAlign w:val="center"/>
          </w:tcPr>
          <w:p w14:paraId="2F6E3AAE">
            <w:pPr>
              <w:pStyle w:val="756"/>
              <w:rPr>
                <w:b w:val="0"/>
                <w:bCs/>
                <w:sz w:val="21"/>
                <w:szCs w:val="21"/>
              </w:rPr>
            </w:pPr>
            <w:r>
              <w:rPr>
                <w:rFonts w:hint="eastAsia"/>
                <w:b w:val="0"/>
                <w:bCs/>
                <w:sz w:val="21"/>
                <w:szCs w:val="21"/>
              </w:rPr>
              <w:t>有组织</w:t>
            </w:r>
          </w:p>
        </w:tc>
        <w:tc>
          <w:tcPr>
            <w:tcW w:w="3730" w:type="dxa"/>
            <w:gridSpan w:val="4"/>
            <w:vMerge w:val="restart"/>
            <w:vAlign w:val="center"/>
          </w:tcPr>
          <w:p w14:paraId="22B55DE5">
            <w:pPr>
              <w:pStyle w:val="756"/>
              <w:rPr>
                <w:b w:val="0"/>
                <w:bCs/>
                <w:sz w:val="21"/>
                <w:szCs w:val="21"/>
              </w:rPr>
            </w:pPr>
            <w:r>
              <w:rPr>
                <w:rFonts w:hint="eastAsia"/>
                <w:b w:val="0"/>
                <w:bCs/>
                <w:sz w:val="21"/>
                <w:szCs w:val="21"/>
              </w:rPr>
              <w:t>活性离子氧除臭</w:t>
            </w:r>
          </w:p>
        </w:tc>
        <w:tc>
          <w:tcPr>
            <w:tcW w:w="850" w:type="dxa"/>
            <w:vAlign w:val="center"/>
          </w:tcPr>
          <w:p w14:paraId="0624E0CA">
            <w:pPr>
              <w:pStyle w:val="756"/>
              <w:rPr>
                <w:b w:val="0"/>
                <w:bCs/>
                <w:sz w:val="21"/>
                <w:szCs w:val="21"/>
              </w:rPr>
            </w:pPr>
            <w:r>
              <w:rPr>
                <w:rFonts w:hint="eastAsia"/>
                <w:b w:val="0"/>
                <w:bCs/>
                <w:sz w:val="21"/>
                <w:szCs w:val="21"/>
              </w:rPr>
              <w:t>0.0513</w:t>
            </w:r>
          </w:p>
        </w:tc>
        <w:tc>
          <w:tcPr>
            <w:tcW w:w="1167" w:type="dxa"/>
            <w:gridSpan w:val="2"/>
            <w:vAlign w:val="center"/>
          </w:tcPr>
          <w:p w14:paraId="02CBE26D">
            <w:pPr>
              <w:pStyle w:val="756"/>
              <w:rPr>
                <w:b w:val="0"/>
                <w:bCs/>
                <w:sz w:val="21"/>
                <w:szCs w:val="21"/>
              </w:rPr>
            </w:pPr>
            <w:r>
              <w:rPr>
                <w:rFonts w:hint="eastAsia"/>
                <w:b w:val="0"/>
                <w:bCs/>
                <w:sz w:val="21"/>
                <w:szCs w:val="21"/>
              </w:rPr>
              <w:t>0.00019</w:t>
            </w:r>
          </w:p>
        </w:tc>
        <w:tc>
          <w:tcPr>
            <w:tcW w:w="1117" w:type="dxa"/>
            <w:gridSpan w:val="2"/>
            <w:vAlign w:val="center"/>
          </w:tcPr>
          <w:p w14:paraId="1C56EDAB">
            <w:pPr>
              <w:pStyle w:val="756"/>
              <w:rPr>
                <w:b w:val="0"/>
                <w:bCs/>
                <w:sz w:val="21"/>
                <w:szCs w:val="21"/>
              </w:rPr>
            </w:pPr>
            <w:r>
              <w:rPr>
                <w:rFonts w:hint="eastAsia"/>
                <w:b w:val="0"/>
                <w:bCs/>
                <w:sz w:val="21"/>
                <w:szCs w:val="21"/>
              </w:rPr>
              <w:t>0.0019</w:t>
            </w:r>
          </w:p>
        </w:tc>
        <w:tc>
          <w:tcPr>
            <w:tcW w:w="2366" w:type="dxa"/>
            <w:gridSpan w:val="2"/>
            <w:vMerge w:val="continue"/>
            <w:vAlign w:val="center"/>
          </w:tcPr>
          <w:p w14:paraId="4CEF5ECD">
            <w:pPr>
              <w:pStyle w:val="756"/>
              <w:rPr>
                <w:b w:val="0"/>
                <w:bCs/>
                <w:sz w:val="21"/>
                <w:szCs w:val="21"/>
              </w:rPr>
            </w:pPr>
          </w:p>
        </w:tc>
        <w:tc>
          <w:tcPr>
            <w:tcW w:w="1147" w:type="dxa"/>
            <w:vAlign w:val="center"/>
          </w:tcPr>
          <w:p w14:paraId="4FECA9C9">
            <w:pPr>
              <w:pStyle w:val="756"/>
              <w:rPr>
                <w:b w:val="0"/>
                <w:bCs/>
                <w:sz w:val="21"/>
                <w:szCs w:val="21"/>
              </w:rPr>
            </w:pPr>
            <w:r>
              <w:rPr>
                <w:rFonts w:hint="eastAsia"/>
                <w:b w:val="0"/>
                <w:bCs/>
                <w:sz w:val="21"/>
                <w:szCs w:val="21"/>
              </w:rPr>
              <w:t>4.9kg/h</w:t>
            </w:r>
          </w:p>
        </w:tc>
      </w:tr>
      <w:tr w14:paraId="0530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429" w:type="dxa"/>
            <w:vMerge w:val="continue"/>
            <w:vAlign w:val="center"/>
          </w:tcPr>
          <w:p w14:paraId="6B240F18">
            <w:pPr>
              <w:pStyle w:val="756"/>
              <w:rPr>
                <w:b w:val="0"/>
                <w:bCs/>
                <w:sz w:val="21"/>
                <w:szCs w:val="21"/>
              </w:rPr>
            </w:pPr>
          </w:p>
        </w:tc>
        <w:tc>
          <w:tcPr>
            <w:tcW w:w="1255" w:type="dxa"/>
            <w:vMerge w:val="continue"/>
            <w:vAlign w:val="center"/>
          </w:tcPr>
          <w:p w14:paraId="51816FCB">
            <w:pPr>
              <w:pStyle w:val="756"/>
              <w:rPr>
                <w:b w:val="0"/>
                <w:bCs/>
                <w:sz w:val="21"/>
                <w:szCs w:val="21"/>
              </w:rPr>
            </w:pPr>
          </w:p>
        </w:tc>
        <w:tc>
          <w:tcPr>
            <w:tcW w:w="1138" w:type="dxa"/>
            <w:gridSpan w:val="2"/>
            <w:vAlign w:val="center"/>
          </w:tcPr>
          <w:p w14:paraId="66EEE378">
            <w:pPr>
              <w:pStyle w:val="756"/>
              <w:rPr>
                <w:b w:val="0"/>
                <w:bCs/>
                <w:sz w:val="21"/>
                <w:szCs w:val="21"/>
              </w:rPr>
            </w:pPr>
            <w:r>
              <w:rPr>
                <w:b w:val="0"/>
                <w:bCs/>
                <w:sz w:val="21"/>
                <w:szCs w:val="21"/>
              </w:rPr>
              <w:t>H</w:t>
            </w:r>
            <w:r>
              <w:rPr>
                <w:b w:val="0"/>
                <w:bCs/>
                <w:sz w:val="21"/>
                <w:szCs w:val="21"/>
                <w:vertAlign w:val="subscript"/>
              </w:rPr>
              <w:t>2</w:t>
            </w:r>
            <w:r>
              <w:rPr>
                <w:b w:val="0"/>
                <w:bCs/>
                <w:sz w:val="21"/>
                <w:szCs w:val="21"/>
              </w:rPr>
              <w:t>S</w:t>
            </w:r>
          </w:p>
        </w:tc>
        <w:tc>
          <w:tcPr>
            <w:tcW w:w="1021" w:type="dxa"/>
            <w:gridSpan w:val="2"/>
            <w:vMerge w:val="continue"/>
            <w:vAlign w:val="center"/>
          </w:tcPr>
          <w:p w14:paraId="1A54A0B1">
            <w:pPr>
              <w:pStyle w:val="756"/>
              <w:rPr>
                <w:b w:val="0"/>
                <w:bCs/>
                <w:sz w:val="21"/>
                <w:szCs w:val="21"/>
              </w:rPr>
            </w:pPr>
          </w:p>
        </w:tc>
        <w:tc>
          <w:tcPr>
            <w:tcW w:w="3730" w:type="dxa"/>
            <w:gridSpan w:val="4"/>
            <w:vMerge w:val="continue"/>
            <w:vAlign w:val="center"/>
          </w:tcPr>
          <w:p w14:paraId="71E0B4A5">
            <w:pPr>
              <w:pStyle w:val="756"/>
              <w:rPr>
                <w:b w:val="0"/>
                <w:bCs/>
                <w:sz w:val="21"/>
                <w:szCs w:val="21"/>
              </w:rPr>
            </w:pPr>
          </w:p>
        </w:tc>
        <w:tc>
          <w:tcPr>
            <w:tcW w:w="850" w:type="dxa"/>
            <w:vAlign w:val="center"/>
          </w:tcPr>
          <w:p w14:paraId="2AB69A50">
            <w:pPr>
              <w:pStyle w:val="756"/>
              <w:rPr>
                <w:b w:val="0"/>
                <w:bCs/>
                <w:sz w:val="21"/>
                <w:szCs w:val="21"/>
              </w:rPr>
            </w:pPr>
            <w:r>
              <w:rPr>
                <w:rFonts w:hint="eastAsia"/>
                <w:b w:val="0"/>
                <w:bCs/>
                <w:sz w:val="21"/>
                <w:szCs w:val="21"/>
              </w:rPr>
              <w:t>0.0019</w:t>
            </w:r>
          </w:p>
        </w:tc>
        <w:tc>
          <w:tcPr>
            <w:tcW w:w="1167" w:type="dxa"/>
            <w:gridSpan w:val="2"/>
            <w:vAlign w:val="center"/>
          </w:tcPr>
          <w:p w14:paraId="3E4CFB5C">
            <w:pPr>
              <w:pStyle w:val="756"/>
              <w:rPr>
                <w:b w:val="0"/>
                <w:bCs/>
                <w:sz w:val="21"/>
                <w:szCs w:val="21"/>
              </w:rPr>
            </w:pPr>
            <w:r>
              <w:rPr>
                <w:rFonts w:hint="eastAsia"/>
                <w:b w:val="0"/>
                <w:bCs/>
                <w:sz w:val="21"/>
                <w:szCs w:val="21"/>
              </w:rPr>
              <w:t>0.00002</w:t>
            </w:r>
          </w:p>
        </w:tc>
        <w:tc>
          <w:tcPr>
            <w:tcW w:w="1117" w:type="dxa"/>
            <w:gridSpan w:val="2"/>
            <w:vAlign w:val="center"/>
          </w:tcPr>
          <w:p w14:paraId="213EFCDA">
            <w:pPr>
              <w:pStyle w:val="756"/>
              <w:rPr>
                <w:b w:val="0"/>
                <w:bCs/>
                <w:sz w:val="21"/>
                <w:szCs w:val="21"/>
              </w:rPr>
            </w:pPr>
            <w:r>
              <w:rPr>
                <w:rFonts w:hint="eastAsia"/>
                <w:b w:val="0"/>
                <w:bCs/>
                <w:sz w:val="21"/>
                <w:szCs w:val="21"/>
              </w:rPr>
              <w:t>0.0002</w:t>
            </w:r>
          </w:p>
        </w:tc>
        <w:tc>
          <w:tcPr>
            <w:tcW w:w="2366" w:type="dxa"/>
            <w:gridSpan w:val="2"/>
            <w:vMerge w:val="continue"/>
            <w:vAlign w:val="center"/>
          </w:tcPr>
          <w:p w14:paraId="0A47BAA3">
            <w:pPr>
              <w:pStyle w:val="756"/>
              <w:rPr>
                <w:b w:val="0"/>
                <w:bCs/>
                <w:sz w:val="21"/>
                <w:szCs w:val="21"/>
              </w:rPr>
            </w:pPr>
          </w:p>
        </w:tc>
        <w:tc>
          <w:tcPr>
            <w:tcW w:w="1147" w:type="dxa"/>
            <w:vAlign w:val="center"/>
          </w:tcPr>
          <w:p w14:paraId="5DAB0821">
            <w:pPr>
              <w:pStyle w:val="756"/>
              <w:rPr>
                <w:b w:val="0"/>
                <w:bCs/>
                <w:sz w:val="21"/>
                <w:szCs w:val="21"/>
              </w:rPr>
            </w:pPr>
            <w:r>
              <w:rPr>
                <w:rFonts w:hint="eastAsia"/>
                <w:b w:val="0"/>
                <w:bCs/>
                <w:sz w:val="21"/>
                <w:szCs w:val="21"/>
              </w:rPr>
              <w:t>0.33kg/h</w:t>
            </w:r>
          </w:p>
        </w:tc>
      </w:tr>
      <w:tr w14:paraId="7C30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429" w:type="dxa"/>
            <w:vMerge w:val="continue"/>
            <w:vAlign w:val="center"/>
          </w:tcPr>
          <w:p w14:paraId="15AD43C7">
            <w:pPr>
              <w:pStyle w:val="756"/>
              <w:rPr>
                <w:b w:val="0"/>
                <w:bCs/>
                <w:sz w:val="21"/>
                <w:szCs w:val="21"/>
              </w:rPr>
            </w:pPr>
          </w:p>
        </w:tc>
        <w:tc>
          <w:tcPr>
            <w:tcW w:w="1255" w:type="dxa"/>
            <w:vMerge w:val="continue"/>
            <w:vAlign w:val="center"/>
          </w:tcPr>
          <w:p w14:paraId="58DE0EAB">
            <w:pPr>
              <w:pStyle w:val="756"/>
              <w:rPr>
                <w:b w:val="0"/>
                <w:bCs/>
                <w:sz w:val="21"/>
                <w:szCs w:val="21"/>
              </w:rPr>
            </w:pPr>
          </w:p>
        </w:tc>
        <w:tc>
          <w:tcPr>
            <w:tcW w:w="1138" w:type="dxa"/>
            <w:gridSpan w:val="2"/>
            <w:vAlign w:val="center"/>
          </w:tcPr>
          <w:p w14:paraId="1A474327">
            <w:pPr>
              <w:pStyle w:val="756"/>
              <w:rPr>
                <w:b w:val="0"/>
                <w:bCs/>
                <w:sz w:val="21"/>
                <w:szCs w:val="21"/>
              </w:rPr>
            </w:pPr>
            <w:r>
              <w:rPr>
                <w:b w:val="0"/>
                <w:bCs/>
                <w:sz w:val="21"/>
                <w:szCs w:val="21"/>
              </w:rPr>
              <w:t>NH</w:t>
            </w:r>
            <w:r>
              <w:rPr>
                <w:b w:val="0"/>
                <w:bCs/>
                <w:sz w:val="21"/>
                <w:szCs w:val="21"/>
                <w:vertAlign w:val="subscript"/>
              </w:rPr>
              <w:t>3</w:t>
            </w:r>
          </w:p>
        </w:tc>
        <w:tc>
          <w:tcPr>
            <w:tcW w:w="1021" w:type="dxa"/>
            <w:gridSpan w:val="2"/>
            <w:vMerge w:val="restart"/>
            <w:vAlign w:val="center"/>
          </w:tcPr>
          <w:p w14:paraId="2E76B0D8">
            <w:pPr>
              <w:pStyle w:val="756"/>
              <w:rPr>
                <w:b w:val="0"/>
                <w:bCs/>
                <w:sz w:val="21"/>
                <w:szCs w:val="21"/>
              </w:rPr>
            </w:pPr>
            <w:r>
              <w:rPr>
                <w:rFonts w:hint="eastAsia"/>
                <w:b w:val="0"/>
                <w:bCs/>
                <w:sz w:val="21"/>
                <w:szCs w:val="21"/>
              </w:rPr>
              <w:t>无组织</w:t>
            </w:r>
          </w:p>
        </w:tc>
        <w:tc>
          <w:tcPr>
            <w:tcW w:w="3730" w:type="dxa"/>
            <w:gridSpan w:val="4"/>
            <w:vMerge w:val="restart"/>
            <w:vAlign w:val="center"/>
          </w:tcPr>
          <w:p w14:paraId="45685EC3">
            <w:pPr>
              <w:pStyle w:val="756"/>
              <w:rPr>
                <w:b w:val="0"/>
                <w:bCs/>
                <w:sz w:val="21"/>
                <w:szCs w:val="21"/>
              </w:rPr>
            </w:pPr>
            <w:r>
              <w:rPr>
                <w:rFonts w:hint="eastAsia"/>
                <w:b w:val="0"/>
                <w:bCs/>
                <w:sz w:val="21"/>
                <w:szCs w:val="21"/>
              </w:rPr>
              <w:t>封闭式车间、设备</w:t>
            </w:r>
          </w:p>
        </w:tc>
        <w:tc>
          <w:tcPr>
            <w:tcW w:w="850" w:type="dxa"/>
            <w:vAlign w:val="center"/>
          </w:tcPr>
          <w:p w14:paraId="6DB91FE1">
            <w:pPr>
              <w:pStyle w:val="756"/>
              <w:rPr>
                <w:b w:val="0"/>
                <w:bCs/>
                <w:sz w:val="21"/>
                <w:szCs w:val="21"/>
              </w:rPr>
            </w:pPr>
            <w:r>
              <w:rPr>
                <w:rFonts w:hint="eastAsia"/>
                <w:b w:val="0"/>
                <w:bCs/>
                <w:sz w:val="21"/>
                <w:szCs w:val="21"/>
              </w:rPr>
              <w:t>0.0027</w:t>
            </w:r>
          </w:p>
        </w:tc>
        <w:tc>
          <w:tcPr>
            <w:tcW w:w="1167" w:type="dxa"/>
            <w:gridSpan w:val="2"/>
            <w:vAlign w:val="center"/>
          </w:tcPr>
          <w:p w14:paraId="31239347">
            <w:pPr>
              <w:pStyle w:val="756"/>
              <w:rPr>
                <w:b w:val="0"/>
                <w:bCs/>
                <w:sz w:val="21"/>
                <w:szCs w:val="21"/>
              </w:rPr>
            </w:pPr>
            <w:r>
              <w:rPr>
                <w:rFonts w:hint="eastAsia"/>
                <w:b w:val="0"/>
                <w:bCs/>
                <w:sz w:val="21"/>
                <w:szCs w:val="21"/>
              </w:rPr>
              <w:t>0.0003</w:t>
            </w:r>
          </w:p>
        </w:tc>
        <w:tc>
          <w:tcPr>
            <w:tcW w:w="1117" w:type="dxa"/>
            <w:gridSpan w:val="2"/>
            <w:vAlign w:val="center"/>
          </w:tcPr>
          <w:p w14:paraId="24775CD2">
            <w:pPr>
              <w:pStyle w:val="756"/>
              <w:rPr>
                <w:b w:val="0"/>
                <w:bCs/>
                <w:sz w:val="21"/>
                <w:szCs w:val="21"/>
              </w:rPr>
            </w:pPr>
            <w:r>
              <w:rPr>
                <w:rFonts w:hint="eastAsia"/>
                <w:b w:val="0"/>
                <w:bCs/>
                <w:sz w:val="21"/>
                <w:szCs w:val="21"/>
              </w:rPr>
              <w:t>0.00031</w:t>
            </w:r>
          </w:p>
        </w:tc>
        <w:tc>
          <w:tcPr>
            <w:tcW w:w="2366" w:type="dxa"/>
            <w:gridSpan w:val="2"/>
            <w:vMerge w:val="continue"/>
            <w:vAlign w:val="center"/>
          </w:tcPr>
          <w:p w14:paraId="1D256E3D">
            <w:pPr>
              <w:pStyle w:val="756"/>
              <w:rPr>
                <w:b w:val="0"/>
                <w:bCs/>
                <w:sz w:val="21"/>
                <w:szCs w:val="21"/>
              </w:rPr>
            </w:pPr>
          </w:p>
        </w:tc>
        <w:tc>
          <w:tcPr>
            <w:tcW w:w="1147" w:type="dxa"/>
            <w:vAlign w:val="center"/>
          </w:tcPr>
          <w:p w14:paraId="44AC6AC0">
            <w:pPr>
              <w:pStyle w:val="756"/>
              <w:rPr>
                <w:b w:val="0"/>
                <w:bCs/>
                <w:sz w:val="21"/>
                <w:szCs w:val="21"/>
              </w:rPr>
            </w:pPr>
            <w:r>
              <w:rPr>
                <w:rFonts w:hint="eastAsia"/>
                <w:b w:val="0"/>
                <w:bCs/>
                <w:sz w:val="21"/>
                <w:szCs w:val="21"/>
              </w:rPr>
              <w:t>1.5mg/m</w:t>
            </w:r>
            <w:r>
              <w:rPr>
                <w:rFonts w:hint="eastAsia"/>
                <w:b w:val="0"/>
                <w:bCs/>
                <w:sz w:val="21"/>
                <w:szCs w:val="21"/>
                <w:vertAlign w:val="superscript"/>
              </w:rPr>
              <w:t>3</w:t>
            </w:r>
          </w:p>
        </w:tc>
      </w:tr>
      <w:tr w14:paraId="548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dxa"/>
            <w:vMerge w:val="continue"/>
            <w:vAlign w:val="center"/>
          </w:tcPr>
          <w:p w14:paraId="3AC12743">
            <w:pPr>
              <w:pStyle w:val="756"/>
              <w:rPr>
                <w:b w:val="0"/>
                <w:bCs/>
                <w:sz w:val="21"/>
                <w:szCs w:val="21"/>
              </w:rPr>
            </w:pPr>
          </w:p>
        </w:tc>
        <w:tc>
          <w:tcPr>
            <w:tcW w:w="1255" w:type="dxa"/>
            <w:vMerge w:val="continue"/>
            <w:vAlign w:val="center"/>
          </w:tcPr>
          <w:p w14:paraId="605C6C02">
            <w:pPr>
              <w:pStyle w:val="756"/>
              <w:rPr>
                <w:b w:val="0"/>
                <w:bCs/>
                <w:sz w:val="21"/>
                <w:szCs w:val="21"/>
              </w:rPr>
            </w:pPr>
          </w:p>
        </w:tc>
        <w:tc>
          <w:tcPr>
            <w:tcW w:w="1138" w:type="dxa"/>
            <w:gridSpan w:val="2"/>
            <w:vAlign w:val="center"/>
          </w:tcPr>
          <w:p w14:paraId="1A6F3351">
            <w:pPr>
              <w:pStyle w:val="756"/>
              <w:rPr>
                <w:b w:val="0"/>
                <w:bCs/>
                <w:sz w:val="21"/>
                <w:szCs w:val="21"/>
              </w:rPr>
            </w:pPr>
            <w:r>
              <w:rPr>
                <w:b w:val="0"/>
                <w:bCs/>
                <w:sz w:val="21"/>
                <w:szCs w:val="21"/>
              </w:rPr>
              <w:t>H</w:t>
            </w:r>
            <w:r>
              <w:rPr>
                <w:b w:val="0"/>
                <w:bCs/>
                <w:sz w:val="21"/>
                <w:szCs w:val="21"/>
                <w:vertAlign w:val="subscript"/>
              </w:rPr>
              <w:t>2</w:t>
            </w:r>
            <w:r>
              <w:rPr>
                <w:b w:val="0"/>
                <w:bCs/>
                <w:sz w:val="21"/>
                <w:szCs w:val="21"/>
              </w:rPr>
              <w:t>S</w:t>
            </w:r>
          </w:p>
        </w:tc>
        <w:tc>
          <w:tcPr>
            <w:tcW w:w="1021" w:type="dxa"/>
            <w:gridSpan w:val="2"/>
            <w:vMerge w:val="continue"/>
            <w:vAlign w:val="center"/>
          </w:tcPr>
          <w:p w14:paraId="7316FF20">
            <w:pPr>
              <w:pStyle w:val="756"/>
              <w:rPr>
                <w:b w:val="0"/>
                <w:bCs/>
                <w:sz w:val="21"/>
                <w:szCs w:val="21"/>
              </w:rPr>
            </w:pPr>
          </w:p>
        </w:tc>
        <w:tc>
          <w:tcPr>
            <w:tcW w:w="3730" w:type="dxa"/>
            <w:gridSpan w:val="4"/>
            <w:vMerge w:val="continue"/>
            <w:vAlign w:val="center"/>
          </w:tcPr>
          <w:p w14:paraId="5E0CF50E">
            <w:pPr>
              <w:pStyle w:val="756"/>
              <w:rPr>
                <w:b w:val="0"/>
                <w:bCs/>
                <w:sz w:val="21"/>
                <w:szCs w:val="21"/>
              </w:rPr>
            </w:pPr>
          </w:p>
        </w:tc>
        <w:tc>
          <w:tcPr>
            <w:tcW w:w="850" w:type="dxa"/>
            <w:vAlign w:val="center"/>
          </w:tcPr>
          <w:p w14:paraId="12622E6A">
            <w:pPr>
              <w:pStyle w:val="756"/>
              <w:rPr>
                <w:b w:val="0"/>
                <w:bCs/>
                <w:sz w:val="21"/>
                <w:szCs w:val="21"/>
              </w:rPr>
            </w:pPr>
            <w:r>
              <w:rPr>
                <w:rFonts w:hint="eastAsia"/>
                <w:b w:val="0"/>
                <w:bCs/>
                <w:sz w:val="21"/>
                <w:szCs w:val="21"/>
              </w:rPr>
              <w:t>0.0001</w:t>
            </w:r>
          </w:p>
        </w:tc>
        <w:tc>
          <w:tcPr>
            <w:tcW w:w="1167" w:type="dxa"/>
            <w:gridSpan w:val="2"/>
            <w:vAlign w:val="center"/>
          </w:tcPr>
          <w:p w14:paraId="4725455C">
            <w:pPr>
              <w:pStyle w:val="756"/>
              <w:rPr>
                <w:b w:val="0"/>
                <w:bCs/>
                <w:sz w:val="21"/>
                <w:szCs w:val="21"/>
              </w:rPr>
            </w:pPr>
            <w:r>
              <w:rPr>
                <w:rFonts w:hint="eastAsia"/>
                <w:b w:val="0"/>
                <w:bCs/>
                <w:sz w:val="21"/>
                <w:szCs w:val="21"/>
              </w:rPr>
              <w:t>0.00001</w:t>
            </w:r>
          </w:p>
        </w:tc>
        <w:tc>
          <w:tcPr>
            <w:tcW w:w="1117" w:type="dxa"/>
            <w:gridSpan w:val="2"/>
            <w:vAlign w:val="center"/>
          </w:tcPr>
          <w:p w14:paraId="209D0656">
            <w:pPr>
              <w:pStyle w:val="756"/>
              <w:rPr>
                <w:b w:val="0"/>
                <w:bCs/>
                <w:sz w:val="21"/>
                <w:szCs w:val="21"/>
              </w:rPr>
            </w:pPr>
            <w:r>
              <w:rPr>
                <w:rFonts w:hint="eastAsia"/>
                <w:b w:val="0"/>
                <w:bCs/>
                <w:sz w:val="21"/>
                <w:szCs w:val="21"/>
              </w:rPr>
              <w:t>0.00001</w:t>
            </w:r>
          </w:p>
        </w:tc>
        <w:tc>
          <w:tcPr>
            <w:tcW w:w="2366" w:type="dxa"/>
            <w:gridSpan w:val="2"/>
            <w:vMerge w:val="continue"/>
            <w:vAlign w:val="center"/>
          </w:tcPr>
          <w:p w14:paraId="2F486D41">
            <w:pPr>
              <w:pStyle w:val="756"/>
              <w:rPr>
                <w:b w:val="0"/>
                <w:bCs/>
                <w:sz w:val="21"/>
                <w:szCs w:val="21"/>
              </w:rPr>
            </w:pPr>
          </w:p>
        </w:tc>
        <w:tc>
          <w:tcPr>
            <w:tcW w:w="1147" w:type="dxa"/>
            <w:vAlign w:val="center"/>
          </w:tcPr>
          <w:p w14:paraId="097554A9">
            <w:pPr>
              <w:pStyle w:val="756"/>
              <w:rPr>
                <w:b w:val="0"/>
                <w:bCs/>
                <w:sz w:val="21"/>
                <w:szCs w:val="21"/>
              </w:rPr>
            </w:pPr>
            <w:r>
              <w:rPr>
                <w:rFonts w:hint="eastAsia"/>
                <w:b w:val="0"/>
                <w:bCs/>
                <w:sz w:val="21"/>
                <w:szCs w:val="21"/>
              </w:rPr>
              <w:t>0.06mg/m</w:t>
            </w:r>
            <w:r>
              <w:rPr>
                <w:rFonts w:hint="eastAsia"/>
                <w:b w:val="0"/>
                <w:bCs/>
                <w:sz w:val="21"/>
                <w:szCs w:val="21"/>
                <w:vertAlign w:val="superscript"/>
              </w:rPr>
              <w:t>3</w:t>
            </w:r>
          </w:p>
        </w:tc>
      </w:tr>
      <w:tr w14:paraId="3099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429" w:type="dxa"/>
            <w:vMerge w:val="continue"/>
            <w:vAlign w:val="center"/>
          </w:tcPr>
          <w:p w14:paraId="3CAE43F6">
            <w:pPr>
              <w:pStyle w:val="756"/>
              <w:rPr>
                <w:b w:val="0"/>
                <w:bCs/>
                <w:sz w:val="21"/>
                <w:szCs w:val="21"/>
              </w:rPr>
            </w:pPr>
          </w:p>
        </w:tc>
        <w:tc>
          <w:tcPr>
            <w:tcW w:w="1255" w:type="dxa"/>
            <w:vMerge w:val="restart"/>
            <w:vAlign w:val="center"/>
          </w:tcPr>
          <w:p w14:paraId="4984B077">
            <w:pPr>
              <w:pStyle w:val="756"/>
              <w:rPr>
                <w:b w:val="0"/>
                <w:bCs/>
                <w:sz w:val="21"/>
                <w:szCs w:val="21"/>
              </w:rPr>
            </w:pPr>
            <w:r>
              <w:rPr>
                <w:rFonts w:hint="eastAsia"/>
                <w:b w:val="0"/>
                <w:bCs/>
                <w:sz w:val="21"/>
                <w:szCs w:val="21"/>
              </w:rPr>
              <w:t>有机肥加工车间（DA002）</w:t>
            </w:r>
          </w:p>
        </w:tc>
        <w:tc>
          <w:tcPr>
            <w:tcW w:w="1138" w:type="dxa"/>
            <w:gridSpan w:val="2"/>
            <w:vAlign w:val="center"/>
          </w:tcPr>
          <w:p w14:paraId="5ECA1C01">
            <w:pPr>
              <w:pStyle w:val="756"/>
              <w:rPr>
                <w:b w:val="0"/>
                <w:bCs/>
                <w:sz w:val="21"/>
                <w:szCs w:val="21"/>
              </w:rPr>
            </w:pPr>
            <w:r>
              <w:rPr>
                <w:rFonts w:hint="eastAsia"/>
                <w:b w:val="0"/>
                <w:bCs/>
                <w:sz w:val="21"/>
                <w:szCs w:val="21"/>
              </w:rPr>
              <w:t>PM</w:t>
            </w:r>
            <w:r>
              <w:rPr>
                <w:rFonts w:hint="eastAsia"/>
                <w:b w:val="0"/>
                <w:bCs/>
                <w:sz w:val="21"/>
                <w:szCs w:val="21"/>
                <w:vertAlign w:val="subscript"/>
              </w:rPr>
              <w:t>10</w:t>
            </w:r>
          </w:p>
        </w:tc>
        <w:tc>
          <w:tcPr>
            <w:tcW w:w="1021" w:type="dxa"/>
            <w:gridSpan w:val="2"/>
            <w:vMerge w:val="restart"/>
            <w:vAlign w:val="center"/>
          </w:tcPr>
          <w:p w14:paraId="56FF7312">
            <w:pPr>
              <w:pStyle w:val="756"/>
              <w:rPr>
                <w:b w:val="0"/>
                <w:bCs/>
                <w:sz w:val="21"/>
                <w:szCs w:val="21"/>
              </w:rPr>
            </w:pPr>
            <w:r>
              <w:rPr>
                <w:rFonts w:hint="eastAsia"/>
                <w:b w:val="0"/>
                <w:bCs/>
                <w:sz w:val="21"/>
                <w:szCs w:val="21"/>
              </w:rPr>
              <w:t>有组织</w:t>
            </w:r>
          </w:p>
        </w:tc>
        <w:tc>
          <w:tcPr>
            <w:tcW w:w="3730" w:type="dxa"/>
            <w:gridSpan w:val="4"/>
            <w:vMerge w:val="restart"/>
            <w:vAlign w:val="center"/>
          </w:tcPr>
          <w:p w14:paraId="399EBB00">
            <w:pPr>
              <w:pStyle w:val="756"/>
              <w:rPr>
                <w:b w:val="0"/>
                <w:bCs/>
                <w:sz w:val="21"/>
                <w:szCs w:val="21"/>
              </w:rPr>
            </w:pPr>
            <w:r>
              <w:rPr>
                <w:rFonts w:hint="eastAsia"/>
                <w:b w:val="0"/>
                <w:bCs/>
                <w:sz w:val="21"/>
                <w:szCs w:val="21"/>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进行排放</w:t>
            </w:r>
          </w:p>
        </w:tc>
        <w:tc>
          <w:tcPr>
            <w:tcW w:w="850" w:type="dxa"/>
            <w:vAlign w:val="center"/>
          </w:tcPr>
          <w:p w14:paraId="6ABEF213">
            <w:pPr>
              <w:pStyle w:val="756"/>
              <w:rPr>
                <w:b w:val="0"/>
                <w:bCs/>
                <w:sz w:val="21"/>
                <w:szCs w:val="21"/>
              </w:rPr>
            </w:pPr>
            <w:r>
              <w:rPr>
                <w:rFonts w:hint="eastAsia"/>
                <w:b w:val="0"/>
                <w:bCs/>
                <w:sz w:val="21"/>
                <w:szCs w:val="21"/>
              </w:rPr>
              <w:t>0.054</w:t>
            </w:r>
          </w:p>
        </w:tc>
        <w:tc>
          <w:tcPr>
            <w:tcW w:w="1167" w:type="dxa"/>
            <w:gridSpan w:val="2"/>
            <w:vAlign w:val="center"/>
          </w:tcPr>
          <w:p w14:paraId="3630BF56">
            <w:pPr>
              <w:pStyle w:val="756"/>
              <w:rPr>
                <w:b w:val="0"/>
                <w:bCs/>
                <w:sz w:val="21"/>
                <w:szCs w:val="21"/>
              </w:rPr>
            </w:pPr>
            <w:r>
              <w:rPr>
                <w:rFonts w:hint="eastAsia"/>
                <w:b w:val="0"/>
                <w:bCs/>
                <w:sz w:val="21"/>
                <w:szCs w:val="21"/>
              </w:rPr>
              <w:t>2</w:t>
            </w:r>
          </w:p>
        </w:tc>
        <w:tc>
          <w:tcPr>
            <w:tcW w:w="1117" w:type="dxa"/>
            <w:gridSpan w:val="2"/>
            <w:vAlign w:val="center"/>
          </w:tcPr>
          <w:p w14:paraId="7BC3C24D">
            <w:pPr>
              <w:pStyle w:val="756"/>
              <w:rPr>
                <w:b w:val="0"/>
                <w:bCs/>
                <w:sz w:val="21"/>
                <w:szCs w:val="21"/>
              </w:rPr>
            </w:pPr>
            <w:r>
              <w:rPr>
                <w:rFonts w:hint="eastAsia"/>
                <w:b w:val="0"/>
                <w:bCs/>
                <w:sz w:val="21"/>
                <w:szCs w:val="21"/>
              </w:rPr>
              <w:t>0.02</w:t>
            </w:r>
          </w:p>
        </w:tc>
        <w:tc>
          <w:tcPr>
            <w:tcW w:w="2366" w:type="dxa"/>
            <w:gridSpan w:val="2"/>
            <w:vMerge w:val="continue"/>
            <w:vAlign w:val="center"/>
          </w:tcPr>
          <w:p w14:paraId="0988F315">
            <w:pPr>
              <w:pStyle w:val="756"/>
              <w:rPr>
                <w:b w:val="0"/>
                <w:bCs/>
                <w:sz w:val="21"/>
                <w:szCs w:val="21"/>
              </w:rPr>
            </w:pPr>
          </w:p>
        </w:tc>
        <w:tc>
          <w:tcPr>
            <w:tcW w:w="1147" w:type="dxa"/>
            <w:vAlign w:val="center"/>
          </w:tcPr>
          <w:p w14:paraId="76BBEE9C">
            <w:pPr>
              <w:pStyle w:val="756"/>
              <w:rPr>
                <w:b w:val="0"/>
                <w:bCs/>
                <w:sz w:val="21"/>
                <w:szCs w:val="21"/>
              </w:rPr>
            </w:pPr>
            <w:r>
              <w:rPr>
                <w:rFonts w:hint="eastAsia"/>
                <w:b w:val="0"/>
                <w:bCs/>
                <w:sz w:val="21"/>
                <w:szCs w:val="21"/>
              </w:rPr>
              <w:t>120mg/m</w:t>
            </w:r>
            <w:r>
              <w:rPr>
                <w:rFonts w:hint="eastAsia"/>
                <w:b w:val="0"/>
                <w:bCs/>
                <w:sz w:val="21"/>
                <w:szCs w:val="21"/>
                <w:vertAlign w:val="superscript"/>
              </w:rPr>
              <w:t>3</w:t>
            </w:r>
          </w:p>
        </w:tc>
      </w:tr>
      <w:tr w14:paraId="0B74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29" w:type="dxa"/>
            <w:vMerge w:val="continue"/>
            <w:vAlign w:val="center"/>
          </w:tcPr>
          <w:p w14:paraId="77454812">
            <w:pPr>
              <w:pStyle w:val="756"/>
              <w:rPr>
                <w:b w:val="0"/>
                <w:bCs/>
                <w:sz w:val="21"/>
                <w:szCs w:val="21"/>
              </w:rPr>
            </w:pPr>
          </w:p>
        </w:tc>
        <w:tc>
          <w:tcPr>
            <w:tcW w:w="1255" w:type="dxa"/>
            <w:vMerge w:val="continue"/>
            <w:vAlign w:val="center"/>
          </w:tcPr>
          <w:p w14:paraId="2E28F52E">
            <w:pPr>
              <w:pStyle w:val="756"/>
              <w:rPr>
                <w:b w:val="0"/>
                <w:bCs/>
                <w:sz w:val="21"/>
                <w:szCs w:val="21"/>
              </w:rPr>
            </w:pPr>
          </w:p>
        </w:tc>
        <w:tc>
          <w:tcPr>
            <w:tcW w:w="1138" w:type="dxa"/>
            <w:gridSpan w:val="2"/>
            <w:vAlign w:val="center"/>
          </w:tcPr>
          <w:p w14:paraId="7D5B324F">
            <w:pPr>
              <w:pStyle w:val="756"/>
              <w:rPr>
                <w:b w:val="0"/>
                <w:bCs/>
                <w:sz w:val="21"/>
                <w:szCs w:val="21"/>
              </w:rPr>
            </w:pPr>
            <w:r>
              <w:rPr>
                <w:b w:val="0"/>
                <w:bCs/>
                <w:sz w:val="21"/>
                <w:szCs w:val="21"/>
              </w:rPr>
              <w:t>NH</w:t>
            </w:r>
            <w:r>
              <w:rPr>
                <w:b w:val="0"/>
                <w:bCs/>
                <w:sz w:val="21"/>
                <w:szCs w:val="21"/>
                <w:vertAlign w:val="subscript"/>
              </w:rPr>
              <w:t>3</w:t>
            </w:r>
          </w:p>
        </w:tc>
        <w:tc>
          <w:tcPr>
            <w:tcW w:w="1021" w:type="dxa"/>
            <w:gridSpan w:val="2"/>
            <w:vMerge w:val="continue"/>
            <w:vAlign w:val="center"/>
          </w:tcPr>
          <w:p w14:paraId="4CE6F4C1">
            <w:pPr>
              <w:pStyle w:val="756"/>
              <w:rPr>
                <w:b w:val="0"/>
                <w:bCs/>
                <w:sz w:val="21"/>
                <w:szCs w:val="21"/>
              </w:rPr>
            </w:pPr>
          </w:p>
        </w:tc>
        <w:tc>
          <w:tcPr>
            <w:tcW w:w="3730" w:type="dxa"/>
            <w:gridSpan w:val="4"/>
            <w:vMerge w:val="continue"/>
            <w:vAlign w:val="center"/>
          </w:tcPr>
          <w:p w14:paraId="599ECC55">
            <w:pPr>
              <w:pStyle w:val="756"/>
              <w:rPr>
                <w:b w:val="0"/>
                <w:bCs/>
                <w:sz w:val="21"/>
                <w:szCs w:val="21"/>
              </w:rPr>
            </w:pPr>
          </w:p>
        </w:tc>
        <w:tc>
          <w:tcPr>
            <w:tcW w:w="850" w:type="dxa"/>
            <w:vAlign w:val="center"/>
          </w:tcPr>
          <w:p w14:paraId="0BC4CBE0">
            <w:pPr>
              <w:pStyle w:val="756"/>
              <w:rPr>
                <w:b w:val="0"/>
                <w:bCs/>
                <w:sz w:val="21"/>
                <w:szCs w:val="21"/>
              </w:rPr>
            </w:pPr>
            <w:r>
              <w:rPr>
                <w:rFonts w:hint="eastAsia"/>
                <w:b w:val="0"/>
                <w:bCs/>
                <w:sz w:val="21"/>
                <w:szCs w:val="21"/>
              </w:rPr>
              <w:t>0.48</w:t>
            </w:r>
          </w:p>
        </w:tc>
        <w:tc>
          <w:tcPr>
            <w:tcW w:w="1167" w:type="dxa"/>
            <w:gridSpan w:val="2"/>
            <w:vAlign w:val="center"/>
          </w:tcPr>
          <w:p w14:paraId="562A0ECC">
            <w:pPr>
              <w:pStyle w:val="756"/>
              <w:rPr>
                <w:b w:val="0"/>
                <w:bCs/>
                <w:sz w:val="21"/>
                <w:szCs w:val="21"/>
              </w:rPr>
            </w:pPr>
            <w:r>
              <w:rPr>
                <w:rFonts w:hint="eastAsia"/>
                <w:b w:val="0"/>
                <w:bCs/>
                <w:sz w:val="21"/>
                <w:szCs w:val="21"/>
              </w:rPr>
              <w:t>5.48</w:t>
            </w:r>
          </w:p>
        </w:tc>
        <w:tc>
          <w:tcPr>
            <w:tcW w:w="1117" w:type="dxa"/>
            <w:gridSpan w:val="2"/>
            <w:vAlign w:val="center"/>
          </w:tcPr>
          <w:p w14:paraId="2FCDC257">
            <w:pPr>
              <w:pStyle w:val="756"/>
              <w:rPr>
                <w:b w:val="0"/>
                <w:bCs/>
                <w:sz w:val="21"/>
                <w:szCs w:val="21"/>
              </w:rPr>
            </w:pPr>
            <w:r>
              <w:rPr>
                <w:rFonts w:hint="eastAsia"/>
                <w:b w:val="0"/>
                <w:bCs/>
                <w:sz w:val="21"/>
                <w:szCs w:val="21"/>
              </w:rPr>
              <w:t>0.055</w:t>
            </w:r>
          </w:p>
        </w:tc>
        <w:tc>
          <w:tcPr>
            <w:tcW w:w="2366" w:type="dxa"/>
            <w:gridSpan w:val="2"/>
            <w:vMerge w:val="continue"/>
            <w:vAlign w:val="center"/>
          </w:tcPr>
          <w:p w14:paraId="6C2ADECB">
            <w:pPr>
              <w:pStyle w:val="756"/>
              <w:rPr>
                <w:b w:val="0"/>
                <w:bCs/>
                <w:sz w:val="21"/>
                <w:szCs w:val="21"/>
              </w:rPr>
            </w:pPr>
          </w:p>
        </w:tc>
        <w:tc>
          <w:tcPr>
            <w:tcW w:w="1147" w:type="dxa"/>
            <w:vAlign w:val="center"/>
          </w:tcPr>
          <w:p w14:paraId="5B87F1CB">
            <w:pPr>
              <w:pStyle w:val="756"/>
              <w:rPr>
                <w:b w:val="0"/>
                <w:bCs/>
                <w:sz w:val="21"/>
                <w:szCs w:val="21"/>
              </w:rPr>
            </w:pPr>
            <w:r>
              <w:rPr>
                <w:rFonts w:hint="eastAsia"/>
                <w:b w:val="0"/>
                <w:bCs/>
                <w:sz w:val="21"/>
                <w:szCs w:val="21"/>
              </w:rPr>
              <w:t>4.9kg/h</w:t>
            </w:r>
          </w:p>
        </w:tc>
      </w:tr>
      <w:tr w14:paraId="65BF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29" w:type="dxa"/>
            <w:vMerge w:val="continue"/>
            <w:vAlign w:val="center"/>
          </w:tcPr>
          <w:p w14:paraId="73C5ECF5">
            <w:pPr>
              <w:pStyle w:val="756"/>
              <w:rPr>
                <w:b w:val="0"/>
                <w:bCs/>
                <w:sz w:val="21"/>
                <w:szCs w:val="21"/>
              </w:rPr>
            </w:pPr>
          </w:p>
        </w:tc>
        <w:tc>
          <w:tcPr>
            <w:tcW w:w="1255" w:type="dxa"/>
            <w:vMerge w:val="continue"/>
            <w:vAlign w:val="center"/>
          </w:tcPr>
          <w:p w14:paraId="76D1D799">
            <w:pPr>
              <w:pStyle w:val="756"/>
              <w:rPr>
                <w:b w:val="0"/>
                <w:bCs/>
                <w:sz w:val="21"/>
                <w:szCs w:val="21"/>
              </w:rPr>
            </w:pPr>
          </w:p>
        </w:tc>
        <w:tc>
          <w:tcPr>
            <w:tcW w:w="1138" w:type="dxa"/>
            <w:gridSpan w:val="2"/>
            <w:vAlign w:val="center"/>
          </w:tcPr>
          <w:p w14:paraId="37EDFA71">
            <w:pPr>
              <w:pStyle w:val="756"/>
              <w:rPr>
                <w:b w:val="0"/>
                <w:bCs/>
                <w:sz w:val="21"/>
                <w:szCs w:val="21"/>
              </w:rPr>
            </w:pPr>
            <w:r>
              <w:rPr>
                <w:b w:val="0"/>
                <w:bCs/>
                <w:sz w:val="21"/>
                <w:szCs w:val="21"/>
              </w:rPr>
              <w:t>H</w:t>
            </w:r>
            <w:r>
              <w:rPr>
                <w:b w:val="0"/>
                <w:bCs/>
                <w:sz w:val="21"/>
                <w:szCs w:val="21"/>
                <w:vertAlign w:val="subscript"/>
              </w:rPr>
              <w:t>2</w:t>
            </w:r>
            <w:r>
              <w:rPr>
                <w:b w:val="0"/>
                <w:bCs/>
                <w:sz w:val="21"/>
                <w:szCs w:val="21"/>
              </w:rPr>
              <w:t>S</w:t>
            </w:r>
          </w:p>
        </w:tc>
        <w:tc>
          <w:tcPr>
            <w:tcW w:w="1021" w:type="dxa"/>
            <w:gridSpan w:val="2"/>
            <w:vMerge w:val="continue"/>
            <w:vAlign w:val="center"/>
          </w:tcPr>
          <w:p w14:paraId="7DF86EA0">
            <w:pPr>
              <w:pStyle w:val="756"/>
              <w:rPr>
                <w:b w:val="0"/>
                <w:bCs/>
                <w:sz w:val="21"/>
                <w:szCs w:val="21"/>
              </w:rPr>
            </w:pPr>
          </w:p>
        </w:tc>
        <w:tc>
          <w:tcPr>
            <w:tcW w:w="3730" w:type="dxa"/>
            <w:gridSpan w:val="4"/>
            <w:vMerge w:val="continue"/>
            <w:vAlign w:val="center"/>
          </w:tcPr>
          <w:p w14:paraId="532735EA">
            <w:pPr>
              <w:pStyle w:val="756"/>
              <w:rPr>
                <w:b w:val="0"/>
                <w:bCs/>
                <w:sz w:val="21"/>
                <w:szCs w:val="21"/>
              </w:rPr>
            </w:pPr>
          </w:p>
        </w:tc>
        <w:tc>
          <w:tcPr>
            <w:tcW w:w="850" w:type="dxa"/>
            <w:vAlign w:val="center"/>
          </w:tcPr>
          <w:p w14:paraId="36F510E8">
            <w:pPr>
              <w:pStyle w:val="756"/>
              <w:rPr>
                <w:b w:val="0"/>
                <w:bCs/>
                <w:sz w:val="21"/>
                <w:szCs w:val="21"/>
              </w:rPr>
            </w:pPr>
            <w:r>
              <w:rPr>
                <w:rFonts w:hint="eastAsia"/>
                <w:b w:val="0"/>
                <w:bCs/>
                <w:sz w:val="21"/>
                <w:szCs w:val="21"/>
              </w:rPr>
              <w:t>0.048</w:t>
            </w:r>
          </w:p>
        </w:tc>
        <w:tc>
          <w:tcPr>
            <w:tcW w:w="1167" w:type="dxa"/>
            <w:gridSpan w:val="2"/>
            <w:vAlign w:val="center"/>
          </w:tcPr>
          <w:p w14:paraId="4172F236">
            <w:pPr>
              <w:pStyle w:val="756"/>
              <w:rPr>
                <w:b w:val="0"/>
                <w:bCs/>
                <w:sz w:val="21"/>
                <w:szCs w:val="21"/>
              </w:rPr>
            </w:pPr>
            <w:r>
              <w:rPr>
                <w:rFonts w:hint="eastAsia"/>
                <w:b w:val="0"/>
                <w:bCs/>
                <w:sz w:val="21"/>
                <w:szCs w:val="21"/>
              </w:rPr>
              <w:t>0.55</w:t>
            </w:r>
          </w:p>
        </w:tc>
        <w:tc>
          <w:tcPr>
            <w:tcW w:w="1117" w:type="dxa"/>
            <w:gridSpan w:val="2"/>
            <w:vAlign w:val="center"/>
          </w:tcPr>
          <w:p w14:paraId="4A765261">
            <w:pPr>
              <w:pStyle w:val="756"/>
              <w:rPr>
                <w:b w:val="0"/>
                <w:bCs/>
                <w:sz w:val="21"/>
                <w:szCs w:val="21"/>
              </w:rPr>
            </w:pPr>
            <w:r>
              <w:rPr>
                <w:rFonts w:hint="eastAsia"/>
                <w:b w:val="0"/>
                <w:bCs/>
                <w:sz w:val="21"/>
                <w:szCs w:val="21"/>
              </w:rPr>
              <w:t>0.0055</w:t>
            </w:r>
          </w:p>
        </w:tc>
        <w:tc>
          <w:tcPr>
            <w:tcW w:w="2366" w:type="dxa"/>
            <w:gridSpan w:val="2"/>
            <w:vMerge w:val="continue"/>
            <w:vAlign w:val="center"/>
          </w:tcPr>
          <w:p w14:paraId="1E23F997">
            <w:pPr>
              <w:pStyle w:val="756"/>
              <w:rPr>
                <w:b w:val="0"/>
                <w:bCs/>
                <w:sz w:val="21"/>
                <w:szCs w:val="21"/>
              </w:rPr>
            </w:pPr>
          </w:p>
        </w:tc>
        <w:tc>
          <w:tcPr>
            <w:tcW w:w="1147" w:type="dxa"/>
            <w:vAlign w:val="center"/>
          </w:tcPr>
          <w:p w14:paraId="0C66D9BE">
            <w:pPr>
              <w:pStyle w:val="756"/>
              <w:rPr>
                <w:b w:val="0"/>
                <w:bCs/>
                <w:sz w:val="21"/>
                <w:szCs w:val="21"/>
              </w:rPr>
            </w:pPr>
            <w:r>
              <w:rPr>
                <w:rFonts w:hint="eastAsia"/>
                <w:b w:val="0"/>
                <w:bCs/>
                <w:sz w:val="21"/>
                <w:szCs w:val="21"/>
              </w:rPr>
              <w:t>0.33kg/h</w:t>
            </w:r>
          </w:p>
        </w:tc>
      </w:tr>
      <w:tr w14:paraId="3E95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29" w:type="dxa"/>
            <w:vMerge w:val="continue"/>
            <w:vAlign w:val="center"/>
          </w:tcPr>
          <w:p w14:paraId="22D2C599">
            <w:pPr>
              <w:pStyle w:val="756"/>
              <w:rPr>
                <w:b w:val="0"/>
                <w:bCs/>
                <w:sz w:val="21"/>
                <w:szCs w:val="21"/>
              </w:rPr>
            </w:pPr>
          </w:p>
        </w:tc>
        <w:tc>
          <w:tcPr>
            <w:tcW w:w="1255" w:type="dxa"/>
            <w:vAlign w:val="center"/>
          </w:tcPr>
          <w:p w14:paraId="710A93C2">
            <w:pPr>
              <w:pStyle w:val="756"/>
              <w:rPr>
                <w:b w:val="0"/>
                <w:bCs/>
                <w:sz w:val="21"/>
                <w:szCs w:val="21"/>
              </w:rPr>
            </w:pPr>
            <w:r>
              <w:rPr>
                <w:rFonts w:hint="eastAsia"/>
                <w:b w:val="0"/>
                <w:bCs/>
                <w:sz w:val="21"/>
                <w:szCs w:val="21"/>
              </w:rPr>
              <w:t>饲料加工车间（DA001）</w:t>
            </w:r>
          </w:p>
        </w:tc>
        <w:tc>
          <w:tcPr>
            <w:tcW w:w="1138" w:type="dxa"/>
            <w:gridSpan w:val="2"/>
            <w:vAlign w:val="center"/>
          </w:tcPr>
          <w:p w14:paraId="085A122B">
            <w:pPr>
              <w:pStyle w:val="756"/>
              <w:rPr>
                <w:b w:val="0"/>
                <w:bCs/>
                <w:sz w:val="21"/>
                <w:szCs w:val="21"/>
              </w:rPr>
            </w:pPr>
            <w:r>
              <w:rPr>
                <w:rFonts w:hint="eastAsia"/>
                <w:b w:val="0"/>
                <w:bCs/>
                <w:sz w:val="21"/>
                <w:szCs w:val="21"/>
              </w:rPr>
              <w:t>PM</w:t>
            </w:r>
            <w:r>
              <w:rPr>
                <w:rFonts w:hint="eastAsia"/>
                <w:b w:val="0"/>
                <w:bCs/>
                <w:sz w:val="21"/>
                <w:szCs w:val="21"/>
                <w:vertAlign w:val="subscript"/>
              </w:rPr>
              <w:t>10</w:t>
            </w:r>
          </w:p>
        </w:tc>
        <w:tc>
          <w:tcPr>
            <w:tcW w:w="1021" w:type="dxa"/>
            <w:gridSpan w:val="2"/>
            <w:vAlign w:val="center"/>
          </w:tcPr>
          <w:p w14:paraId="073DB7B6">
            <w:pPr>
              <w:pStyle w:val="756"/>
              <w:rPr>
                <w:b w:val="0"/>
                <w:bCs/>
                <w:sz w:val="21"/>
                <w:szCs w:val="21"/>
              </w:rPr>
            </w:pPr>
            <w:r>
              <w:rPr>
                <w:rFonts w:hint="eastAsia"/>
                <w:b w:val="0"/>
                <w:bCs/>
                <w:sz w:val="21"/>
                <w:szCs w:val="21"/>
              </w:rPr>
              <w:t>有组织</w:t>
            </w:r>
          </w:p>
        </w:tc>
        <w:tc>
          <w:tcPr>
            <w:tcW w:w="3730" w:type="dxa"/>
            <w:gridSpan w:val="4"/>
            <w:vAlign w:val="center"/>
          </w:tcPr>
          <w:p w14:paraId="49C9F57D">
            <w:pPr>
              <w:pStyle w:val="756"/>
              <w:rPr>
                <w:b w:val="0"/>
                <w:bCs/>
                <w:sz w:val="21"/>
                <w:szCs w:val="21"/>
              </w:rPr>
            </w:pPr>
            <w:r>
              <w:rPr>
                <w:rFonts w:hint="eastAsia"/>
                <w:b w:val="0"/>
                <w:bCs/>
                <w:sz w:val="21"/>
                <w:szCs w:val="21"/>
              </w:rPr>
              <w:t>饲料加工过程中产生的颗粒物经集尘罩+布袋除尘器处理后经15m排气筒排放</w:t>
            </w:r>
          </w:p>
        </w:tc>
        <w:tc>
          <w:tcPr>
            <w:tcW w:w="850" w:type="dxa"/>
            <w:vAlign w:val="center"/>
          </w:tcPr>
          <w:p w14:paraId="611CC133">
            <w:pPr>
              <w:pStyle w:val="756"/>
              <w:rPr>
                <w:b w:val="0"/>
                <w:bCs/>
                <w:sz w:val="21"/>
                <w:szCs w:val="21"/>
              </w:rPr>
            </w:pPr>
            <w:r>
              <w:rPr>
                <w:rFonts w:hint="eastAsia"/>
                <w:b w:val="0"/>
                <w:bCs/>
                <w:sz w:val="21"/>
                <w:szCs w:val="21"/>
              </w:rPr>
              <w:t>0.0224</w:t>
            </w:r>
          </w:p>
        </w:tc>
        <w:tc>
          <w:tcPr>
            <w:tcW w:w="1167" w:type="dxa"/>
            <w:gridSpan w:val="2"/>
            <w:vAlign w:val="center"/>
          </w:tcPr>
          <w:p w14:paraId="3E11713E">
            <w:pPr>
              <w:pStyle w:val="756"/>
              <w:rPr>
                <w:b w:val="0"/>
                <w:bCs/>
                <w:sz w:val="21"/>
                <w:szCs w:val="21"/>
              </w:rPr>
            </w:pPr>
            <w:r>
              <w:rPr>
                <w:rFonts w:hint="eastAsia"/>
                <w:b w:val="0"/>
                <w:bCs/>
                <w:sz w:val="21"/>
                <w:szCs w:val="21"/>
              </w:rPr>
              <w:t>2.34</w:t>
            </w:r>
          </w:p>
        </w:tc>
        <w:tc>
          <w:tcPr>
            <w:tcW w:w="1117" w:type="dxa"/>
            <w:gridSpan w:val="2"/>
            <w:vAlign w:val="center"/>
          </w:tcPr>
          <w:p w14:paraId="521EB18F">
            <w:pPr>
              <w:pStyle w:val="756"/>
              <w:rPr>
                <w:b w:val="0"/>
                <w:bCs/>
                <w:sz w:val="21"/>
                <w:szCs w:val="21"/>
              </w:rPr>
            </w:pPr>
            <w:r>
              <w:rPr>
                <w:rFonts w:hint="eastAsia"/>
                <w:b w:val="0"/>
                <w:bCs/>
                <w:sz w:val="21"/>
                <w:szCs w:val="21"/>
              </w:rPr>
              <w:t>0.00934</w:t>
            </w:r>
          </w:p>
        </w:tc>
        <w:tc>
          <w:tcPr>
            <w:tcW w:w="2366" w:type="dxa"/>
            <w:gridSpan w:val="2"/>
            <w:vAlign w:val="center"/>
          </w:tcPr>
          <w:p w14:paraId="0D1289AF">
            <w:pPr>
              <w:pStyle w:val="756"/>
              <w:rPr>
                <w:b w:val="0"/>
                <w:bCs/>
                <w:sz w:val="21"/>
                <w:szCs w:val="21"/>
              </w:rPr>
            </w:pPr>
            <w:r>
              <w:rPr>
                <w:rFonts w:hint="eastAsia"/>
                <w:b w:val="0"/>
                <w:bCs/>
                <w:sz w:val="21"/>
                <w:szCs w:val="21"/>
              </w:rPr>
              <w:t>《大气污染物综合排放标准》（GB16297-1996）表2最高允许排放浓度限值</w:t>
            </w:r>
          </w:p>
        </w:tc>
        <w:tc>
          <w:tcPr>
            <w:tcW w:w="1147" w:type="dxa"/>
            <w:vAlign w:val="center"/>
          </w:tcPr>
          <w:p w14:paraId="0A86F0BA">
            <w:pPr>
              <w:pStyle w:val="756"/>
              <w:rPr>
                <w:b w:val="0"/>
                <w:bCs/>
                <w:sz w:val="21"/>
                <w:szCs w:val="21"/>
              </w:rPr>
            </w:pPr>
            <w:r>
              <w:rPr>
                <w:rFonts w:hint="eastAsia"/>
                <w:b w:val="0"/>
                <w:bCs/>
                <w:sz w:val="21"/>
                <w:szCs w:val="21"/>
              </w:rPr>
              <w:t>120mg/m</w:t>
            </w:r>
            <w:r>
              <w:rPr>
                <w:rFonts w:hint="eastAsia"/>
                <w:b w:val="0"/>
                <w:bCs/>
                <w:sz w:val="21"/>
                <w:szCs w:val="21"/>
                <w:vertAlign w:val="superscript"/>
              </w:rPr>
              <w:t>3</w:t>
            </w:r>
          </w:p>
        </w:tc>
      </w:tr>
      <w:tr w14:paraId="45CB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29" w:type="dxa"/>
            <w:vMerge w:val="continue"/>
            <w:vAlign w:val="center"/>
          </w:tcPr>
          <w:p w14:paraId="0590730F">
            <w:pPr>
              <w:pStyle w:val="756"/>
              <w:rPr>
                <w:b w:val="0"/>
                <w:bCs/>
                <w:sz w:val="21"/>
                <w:szCs w:val="21"/>
              </w:rPr>
            </w:pPr>
          </w:p>
        </w:tc>
        <w:tc>
          <w:tcPr>
            <w:tcW w:w="1255" w:type="dxa"/>
            <w:vAlign w:val="center"/>
          </w:tcPr>
          <w:p w14:paraId="73E0DC59">
            <w:pPr>
              <w:pStyle w:val="756"/>
              <w:rPr>
                <w:b w:val="0"/>
                <w:bCs/>
                <w:sz w:val="21"/>
                <w:szCs w:val="21"/>
              </w:rPr>
            </w:pPr>
            <w:r>
              <w:rPr>
                <w:rFonts w:hint="eastAsia"/>
                <w:b w:val="0"/>
                <w:bCs/>
                <w:sz w:val="21"/>
                <w:szCs w:val="21"/>
              </w:rPr>
              <w:t>食堂（DA003）</w:t>
            </w:r>
          </w:p>
        </w:tc>
        <w:tc>
          <w:tcPr>
            <w:tcW w:w="1138" w:type="dxa"/>
            <w:gridSpan w:val="2"/>
            <w:vAlign w:val="center"/>
          </w:tcPr>
          <w:p w14:paraId="6564FA53">
            <w:pPr>
              <w:pStyle w:val="756"/>
              <w:rPr>
                <w:b w:val="0"/>
                <w:bCs/>
                <w:sz w:val="21"/>
                <w:szCs w:val="21"/>
              </w:rPr>
            </w:pPr>
            <w:r>
              <w:rPr>
                <w:rFonts w:hint="eastAsia"/>
                <w:b w:val="0"/>
                <w:bCs/>
                <w:sz w:val="21"/>
                <w:szCs w:val="21"/>
              </w:rPr>
              <w:t>油烟</w:t>
            </w:r>
          </w:p>
        </w:tc>
        <w:tc>
          <w:tcPr>
            <w:tcW w:w="1021" w:type="dxa"/>
            <w:gridSpan w:val="2"/>
            <w:vAlign w:val="center"/>
          </w:tcPr>
          <w:p w14:paraId="1739DD86">
            <w:pPr>
              <w:pStyle w:val="756"/>
              <w:rPr>
                <w:b w:val="0"/>
                <w:bCs/>
                <w:sz w:val="21"/>
                <w:szCs w:val="21"/>
              </w:rPr>
            </w:pPr>
            <w:r>
              <w:rPr>
                <w:rFonts w:hint="eastAsia"/>
                <w:b w:val="0"/>
                <w:bCs/>
                <w:sz w:val="21"/>
                <w:szCs w:val="21"/>
              </w:rPr>
              <w:t>有组织</w:t>
            </w:r>
          </w:p>
        </w:tc>
        <w:tc>
          <w:tcPr>
            <w:tcW w:w="3730" w:type="dxa"/>
            <w:gridSpan w:val="4"/>
            <w:vAlign w:val="center"/>
          </w:tcPr>
          <w:p w14:paraId="133024AF">
            <w:pPr>
              <w:pStyle w:val="756"/>
              <w:rPr>
                <w:b w:val="0"/>
                <w:bCs/>
                <w:sz w:val="21"/>
                <w:szCs w:val="21"/>
              </w:rPr>
            </w:pPr>
            <w:r>
              <w:rPr>
                <w:b w:val="0"/>
                <w:bCs/>
                <w:sz w:val="21"/>
                <w:szCs w:val="21"/>
              </w:rPr>
              <w:t>经油烟净化装置净化后引至屋顶排放</w:t>
            </w:r>
          </w:p>
        </w:tc>
        <w:tc>
          <w:tcPr>
            <w:tcW w:w="850" w:type="dxa"/>
            <w:vAlign w:val="center"/>
          </w:tcPr>
          <w:p w14:paraId="7D907BAF">
            <w:pPr>
              <w:pStyle w:val="756"/>
              <w:rPr>
                <w:b w:val="0"/>
                <w:bCs/>
                <w:sz w:val="21"/>
                <w:szCs w:val="21"/>
              </w:rPr>
            </w:pPr>
            <w:r>
              <w:rPr>
                <w:b w:val="0"/>
                <w:bCs/>
                <w:sz w:val="21"/>
                <w:szCs w:val="21"/>
              </w:rPr>
              <w:t>0.01125</w:t>
            </w:r>
          </w:p>
        </w:tc>
        <w:tc>
          <w:tcPr>
            <w:tcW w:w="1167" w:type="dxa"/>
            <w:gridSpan w:val="2"/>
            <w:vAlign w:val="center"/>
          </w:tcPr>
          <w:p w14:paraId="0A45D5E0">
            <w:pPr>
              <w:pStyle w:val="756"/>
              <w:rPr>
                <w:b w:val="0"/>
                <w:bCs/>
                <w:sz w:val="21"/>
                <w:szCs w:val="21"/>
              </w:rPr>
            </w:pPr>
            <w:r>
              <w:rPr>
                <w:rFonts w:hint="eastAsia"/>
                <w:b w:val="0"/>
                <w:bCs/>
                <w:sz w:val="21"/>
                <w:szCs w:val="21"/>
              </w:rPr>
              <w:t>0.53</w:t>
            </w:r>
          </w:p>
        </w:tc>
        <w:tc>
          <w:tcPr>
            <w:tcW w:w="1117" w:type="dxa"/>
            <w:gridSpan w:val="2"/>
            <w:vAlign w:val="center"/>
          </w:tcPr>
          <w:p w14:paraId="1F9CFEC9">
            <w:pPr>
              <w:pStyle w:val="756"/>
              <w:rPr>
                <w:b w:val="0"/>
                <w:bCs/>
                <w:sz w:val="21"/>
                <w:szCs w:val="21"/>
              </w:rPr>
            </w:pPr>
            <w:r>
              <w:rPr>
                <w:rFonts w:hint="eastAsia"/>
                <w:b w:val="0"/>
                <w:bCs/>
                <w:sz w:val="21"/>
                <w:szCs w:val="21"/>
              </w:rPr>
              <w:t>0.00525</w:t>
            </w:r>
          </w:p>
        </w:tc>
        <w:tc>
          <w:tcPr>
            <w:tcW w:w="2366" w:type="dxa"/>
            <w:gridSpan w:val="2"/>
            <w:vAlign w:val="center"/>
          </w:tcPr>
          <w:p w14:paraId="764A870A">
            <w:pPr>
              <w:pStyle w:val="756"/>
              <w:rPr>
                <w:b w:val="0"/>
                <w:bCs/>
                <w:sz w:val="21"/>
                <w:szCs w:val="21"/>
              </w:rPr>
            </w:pPr>
            <w:r>
              <w:rPr>
                <w:b w:val="0"/>
                <w:bCs/>
                <w:sz w:val="21"/>
                <w:szCs w:val="21"/>
              </w:rPr>
              <w:t>《饮食业油烟排放标准》（GB18483-2001）</w:t>
            </w:r>
          </w:p>
        </w:tc>
        <w:tc>
          <w:tcPr>
            <w:tcW w:w="1147" w:type="dxa"/>
            <w:vAlign w:val="center"/>
          </w:tcPr>
          <w:p w14:paraId="21940029">
            <w:pPr>
              <w:pStyle w:val="756"/>
              <w:rPr>
                <w:b w:val="0"/>
                <w:bCs/>
                <w:sz w:val="21"/>
                <w:szCs w:val="21"/>
              </w:rPr>
            </w:pPr>
            <w:r>
              <w:rPr>
                <w:rFonts w:hint="eastAsia"/>
                <w:b w:val="0"/>
                <w:bCs/>
                <w:sz w:val="21"/>
                <w:szCs w:val="21"/>
              </w:rPr>
              <w:t>2.0mg/m</w:t>
            </w:r>
            <w:r>
              <w:rPr>
                <w:rFonts w:hint="eastAsia"/>
                <w:b w:val="0"/>
                <w:bCs/>
                <w:sz w:val="21"/>
                <w:szCs w:val="21"/>
                <w:vertAlign w:val="superscript"/>
              </w:rPr>
              <w:t>3</w:t>
            </w:r>
          </w:p>
        </w:tc>
      </w:tr>
      <w:tr w14:paraId="7981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29" w:type="dxa"/>
            <w:vMerge w:val="continue"/>
            <w:vAlign w:val="center"/>
          </w:tcPr>
          <w:p w14:paraId="6FF1B1CC">
            <w:pPr>
              <w:pStyle w:val="756"/>
              <w:rPr>
                <w:b w:val="0"/>
                <w:bCs/>
                <w:sz w:val="21"/>
                <w:szCs w:val="21"/>
              </w:rPr>
            </w:pPr>
          </w:p>
        </w:tc>
        <w:tc>
          <w:tcPr>
            <w:tcW w:w="1255" w:type="dxa"/>
            <w:vMerge w:val="restart"/>
            <w:vAlign w:val="center"/>
          </w:tcPr>
          <w:p w14:paraId="257A8B80">
            <w:pPr>
              <w:pStyle w:val="756"/>
              <w:rPr>
                <w:b w:val="0"/>
                <w:bCs/>
                <w:sz w:val="21"/>
                <w:szCs w:val="21"/>
              </w:rPr>
            </w:pPr>
            <w:r>
              <w:rPr>
                <w:rFonts w:hint="eastAsia"/>
                <w:b w:val="0"/>
                <w:bCs/>
                <w:sz w:val="21"/>
                <w:szCs w:val="21"/>
              </w:rPr>
              <w:t>锅炉房（两用一备，DA004）</w:t>
            </w:r>
          </w:p>
        </w:tc>
        <w:tc>
          <w:tcPr>
            <w:tcW w:w="1138" w:type="dxa"/>
            <w:gridSpan w:val="2"/>
            <w:vAlign w:val="center"/>
          </w:tcPr>
          <w:p w14:paraId="39835E9B">
            <w:pPr>
              <w:pStyle w:val="756"/>
              <w:rPr>
                <w:b w:val="0"/>
                <w:bCs/>
                <w:sz w:val="21"/>
                <w:szCs w:val="21"/>
              </w:rPr>
            </w:pPr>
            <w:r>
              <w:rPr>
                <w:rFonts w:hint="eastAsia"/>
                <w:b w:val="0"/>
                <w:bCs/>
                <w:sz w:val="21"/>
                <w:szCs w:val="21"/>
              </w:rPr>
              <w:t>PM</w:t>
            </w:r>
            <w:r>
              <w:rPr>
                <w:rFonts w:hint="eastAsia"/>
                <w:b w:val="0"/>
                <w:bCs/>
                <w:sz w:val="21"/>
                <w:szCs w:val="21"/>
                <w:vertAlign w:val="subscript"/>
              </w:rPr>
              <w:t>10</w:t>
            </w:r>
          </w:p>
        </w:tc>
        <w:tc>
          <w:tcPr>
            <w:tcW w:w="1021" w:type="dxa"/>
            <w:gridSpan w:val="2"/>
            <w:vMerge w:val="restart"/>
            <w:vAlign w:val="center"/>
          </w:tcPr>
          <w:p w14:paraId="5EE6E872">
            <w:pPr>
              <w:pStyle w:val="756"/>
              <w:rPr>
                <w:b w:val="0"/>
                <w:bCs/>
                <w:sz w:val="21"/>
                <w:szCs w:val="21"/>
              </w:rPr>
            </w:pPr>
            <w:r>
              <w:rPr>
                <w:rFonts w:hint="eastAsia"/>
                <w:b w:val="0"/>
                <w:bCs/>
                <w:sz w:val="21"/>
                <w:szCs w:val="21"/>
              </w:rPr>
              <w:t>有组织</w:t>
            </w:r>
          </w:p>
        </w:tc>
        <w:tc>
          <w:tcPr>
            <w:tcW w:w="3730" w:type="dxa"/>
            <w:gridSpan w:val="4"/>
            <w:vMerge w:val="restart"/>
            <w:vAlign w:val="center"/>
          </w:tcPr>
          <w:p w14:paraId="28DE5ADE">
            <w:pPr>
              <w:pStyle w:val="756"/>
              <w:rPr>
                <w:b w:val="0"/>
                <w:bCs/>
                <w:sz w:val="21"/>
                <w:szCs w:val="21"/>
              </w:rPr>
            </w:pPr>
            <w:r>
              <w:rPr>
                <w:rFonts w:hint="eastAsia"/>
                <w:b w:val="0"/>
                <w:bCs/>
                <w:sz w:val="21"/>
                <w:szCs w:val="21"/>
              </w:rPr>
              <w:t>低氮燃烧+8m排气筒排放</w:t>
            </w:r>
          </w:p>
        </w:tc>
        <w:tc>
          <w:tcPr>
            <w:tcW w:w="850" w:type="dxa"/>
            <w:vAlign w:val="center"/>
          </w:tcPr>
          <w:p w14:paraId="7962A571">
            <w:pPr>
              <w:pStyle w:val="756"/>
              <w:rPr>
                <w:b w:val="0"/>
                <w:bCs/>
                <w:sz w:val="21"/>
                <w:szCs w:val="21"/>
              </w:rPr>
            </w:pPr>
            <w:r>
              <w:rPr>
                <w:rFonts w:hint="eastAsia"/>
                <w:b w:val="0"/>
                <w:bCs/>
                <w:sz w:val="21"/>
                <w:szCs w:val="21"/>
              </w:rPr>
              <w:t>0.036</w:t>
            </w:r>
          </w:p>
        </w:tc>
        <w:tc>
          <w:tcPr>
            <w:tcW w:w="1167" w:type="dxa"/>
            <w:gridSpan w:val="2"/>
            <w:vAlign w:val="center"/>
          </w:tcPr>
          <w:p w14:paraId="3C7079C7">
            <w:pPr>
              <w:pStyle w:val="756"/>
              <w:rPr>
                <w:b w:val="0"/>
                <w:bCs/>
                <w:sz w:val="21"/>
                <w:szCs w:val="21"/>
              </w:rPr>
            </w:pPr>
            <w:r>
              <w:rPr>
                <w:rFonts w:hint="eastAsia"/>
                <w:b w:val="0"/>
                <w:bCs/>
                <w:sz w:val="21"/>
                <w:szCs w:val="21"/>
              </w:rPr>
              <w:t>10.14</w:t>
            </w:r>
          </w:p>
        </w:tc>
        <w:tc>
          <w:tcPr>
            <w:tcW w:w="1117" w:type="dxa"/>
            <w:gridSpan w:val="2"/>
            <w:vAlign w:val="center"/>
          </w:tcPr>
          <w:p w14:paraId="4C2C5716">
            <w:pPr>
              <w:pStyle w:val="756"/>
              <w:rPr>
                <w:b w:val="0"/>
                <w:bCs/>
                <w:sz w:val="21"/>
                <w:szCs w:val="21"/>
              </w:rPr>
            </w:pPr>
            <w:r>
              <w:rPr>
                <w:rFonts w:hint="eastAsia"/>
                <w:b w:val="0"/>
                <w:bCs/>
                <w:sz w:val="21"/>
                <w:szCs w:val="21"/>
              </w:rPr>
              <w:t>0.019</w:t>
            </w:r>
          </w:p>
        </w:tc>
        <w:tc>
          <w:tcPr>
            <w:tcW w:w="2366" w:type="dxa"/>
            <w:gridSpan w:val="2"/>
            <w:vMerge w:val="restart"/>
            <w:vAlign w:val="center"/>
          </w:tcPr>
          <w:p w14:paraId="05C3A6A5">
            <w:pPr>
              <w:pStyle w:val="756"/>
              <w:rPr>
                <w:b w:val="0"/>
                <w:bCs/>
                <w:sz w:val="21"/>
                <w:szCs w:val="21"/>
              </w:rPr>
            </w:pPr>
            <w:r>
              <w:rPr>
                <w:rFonts w:hint="eastAsia"/>
                <w:b w:val="0"/>
                <w:bCs/>
                <w:sz w:val="21"/>
                <w:szCs w:val="21"/>
              </w:rPr>
              <w:t>《锅炉大气污染物排放标准》（GB13271-2014）中燃气锅炉特别排放限值要求</w:t>
            </w:r>
          </w:p>
        </w:tc>
        <w:tc>
          <w:tcPr>
            <w:tcW w:w="1147" w:type="dxa"/>
            <w:vAlign w:val="center"/>
          </w:tcPr>
          <w:p w14:paraId="0ADFF1A8">
            <w:pPr>
              <w:pStyle w:val="756"/>
              <w:rPr>
                <w:b w:val="0"/>
                <w:bCs/>
                <w:sz w:val="21"/>
                <w:szCs w:val="21"/>
              </w:rPr>
            </w:pPr>
            <w:r>
              <w:rPr>
                <w:rFonts w:hint="eastAsia"/>
                <w:b w:val="0"/>
                <w:bCs/>
                <w:sz w:val="21"/>
                <w:szCs w:val="21"/>
              </w:rPr>
              <w:t>20mg/m</w:t>
            </w:r>
            <w:r>
              <w:rPr>
                <w:rFonts w:hint="eastAsia"/>
                <w:b w:val="0"/>
                <w:bCs/>
                <w:sz w:val="21"/>
                <w:szCs w:val="21"/>
                <w:vertAlign w:val="superscript"/>
              </w:rPr>
              <w:t>3</w:t>
            </w:r>
          </w:p>
        </w:tc>
      </w:tr>
      <w:tr w14:paraId="7A68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29" w:type="dxa"/>
            <w:vMerge w:val="continue"/>
            <w:vAlign w:val="center"/>
          </w:tcPr>
          <w:p w14:paraId="0DE48BDE">
            <w:pPr>
              <w:pStyle w:val="756"/>
              <w:rPr>
                <w:b w:val="0"/>
                <w:bCs/>
                <w:sz w:val="21"/>
                <w:szCs w:val="21"/>
              </w:rPr>
            </w:pPr>
          </w:p>
        </w:tc>
        <w:tc>
          <w:tcPr>
            <w:tcW w:w="1255" w:type="dxa"/>
            <w:vMerge w:val="continue"/>
            <w:vAlign w:val="center"/>
          </w:tcPr>
          <w:p w14:paraId="251A4936">
            <w:pPr>
              <w:pStyle w:val="756"/>
              <w:rPr>
                <w:b w:val="0"/>
                <w:bCs/>
                <w:sz w:val="21"/>
                <w:szCs w:val="21"/>
              </w:rPr>
            </w:pPr>
          </w:p>
        </w:tc>
        <w:tc>
          <w:tcPr>
            <w:tcW w:w="1138" w:type="dxa"/>
            <w:gridSpan w:val="2"/>
            <w:vAlign w:val="center"/>
          </w:tcPr>
          <w:p w14:paraId="11607989">
            <w:pPr>
              <w:pStyle w:val="756"/>
              <w:rPr>
                <w:b w:val="0"/>
                <w:bCs/>
                <w:sz w:val="21"/>
                <w:szCs w:val="21"/>
              </w:rPr>
            </w:pPr>
            <w:r>
              <w:rPr>
                <w:rFonts w:hint="eastAsia"/>
                <w:b w:val="0"/>
                <w:bCs/>
                <w:sz w:val="21"/>
                <w:szCs w:val="21"/>
              </w:rPr>
              <w:t>NO</w:t>
            </w:r>
            <w:r>
              <w:rPr>
                <w:rFonts w:hint="eastAsia"/>
                <w:b w:val="0"/>
                <w:bCs/>
                <w:sz w:val="21"/>
                <w:szCs w:val="21"/>
                <w:vertAlign w:val="subscript"/>
              </w:rPr>
              <w:t>X</w:t>
            </w:r>
          </w:p>
        </w:tc>
        <w:tc>
          <w:tcPr>
            <w:tcW w:w="1021" w:type="dxa"/>
            <w:gridSpan w:val="2"/>
            <w:vMerge w:val="continue"/>
            <w:vAlign w:val="center"/>
          </w:tcPr>
          <w:p w14:paraId="53D3FA1E">
            <w:pPr>
              <w:pStyle w:val="756"/>
              <w:rPr>
                <w:b w:val="0"/>
                <w:bCs/>
                <w:sz w:val="21"/>
                <w:szCs w:val="21"/>
              </w:rPr>
            </w:pPr>
          </w:p>
        </w:tc>
        <w:tc>
          <w:tcPr>
            <w:tcW w:w="3730" w:type="dxa"/>
            <w:gridSpan w:val="4"/>
            <w:vMerge w:val="continue"/>
            <w:vAlign w:val="center"/>
          </w:tcPr>
          <w:p w14:paraId="66264D8A">
            <w:pPr>
              <w:pStyle w:val="756"/>
              <w:rPr>
                <w:b w:val="0"/>
                <w:bCs/>
                <w:sz w:val="21"/>
                <w:szCs w:val="21"/>
              </w:rPr>
            </w:pPr>
          </w:p>
        </w:tc>
        <w:tc>
          <w:tcPr>
            <w:tcW w:w="850" w:type="dxa"/>
            <w:vAlign w:val="center"/>
          </w:tcPr>
          <w:p w14:paraId="62537B47">
            <w:pPr>
              <w:pStyle w:val="756"/>
              <w:rPr>
                <w:b w:val="0"/>
                <w:bCs/>
                <w:sz w:val="21"/>
                <w:szCs w:val="21"/>
              </w:rPr>
            </w:pPr>
            <w:r>
              <w:rPr>
                <w:rFonts w:hint="eastAsia"/>
                <w:b w:val="0"/>
                <w:bCs/>
                <w:sz w:val="21"/>
                <w:szCs w:val="21"/>
              </w:rPr>
              <w:t>0.357</w:t>
            </w:r>
          </w:p>
        </w:tc>
        <w:tc>
          <w:tcPr>
            <w:tcW w:w="1167" w:type="dxa"/>
            <w:gridSpan w:val="2"/>
            <w:vAlign w:val="center"/>
          </w:tcPr>
          <w:p w14:paraId="64D4CED0">
            <w:pPr>
              <w:pStyle w:val="756"/>
              <w:rPr>
                <w:b w:val="0"/>
                <w:bCs/>
                <w:sz w:val="21"/>
                <w:szCs w:val="21"/>
              </w:rPr>
            </w:pPr>
            <w:r>
              <w:rPr>
                <w:rFonts w:hint="eastAsia"/>
                <w:b w:val="0"/>
                <w:bCs/>
                <w:sz w:val="21"/>
                <w:szCs w:val="21"/>
              </w:rPr>
              <w:t>100</w:t>
            </w:r>
          </w:p>
        </w:tc>
        <w:tc>
          <w:tcPr>
            <w:tcW w:w="1117" w:type="dxa"/>
            <w:gridSpan w:val="2"/>
            <w:vAlign w:val="center"/>
          </w:tcPr>
          <w:p w14:paraId="4C5BBE52">
            <w:pPr>
              <w:pStyle w:val="756"/>
              <w:rPr>
                <w:b w:val="0"/>
                <w:bCs/>
                <w:sz w:val="21"/>
                <w:szCs w:val="21"/>
              </w:rPr>
            </w:pPr>
            <w:r>
              <w:rPr>
                <w:rFonts w:hint="eastAsia"/>
                <w:b w:val="0"/>
                <w:bCs/>
                <w:sz w:val="21"/>
                <w:szCs w:val="21"/>
              </w:rPr>
              <w:t>0.19</w:t>
            </w:r>
          </w:p>
        </w:tc>
        <w:tc>
          <w:tcPr>
            <w:tcW w:w="2366" w:type="dxa"/>
            <w:gridSpan w:val="2"/>
            <w:vMerge w:val="continue"/>
            <w:vAlign w:val="center"/>
          </w:tcPr>
          <w:p w14:paraId="1EB551FC">
            <w:pPr>
              <w:pStyle w:val="756"/>
              <w:rPr>
                <w:b w:val="0"/>
                <w:bCs/>
                <w:sz w:val="21"/>
                <w:szCs w:val="21"/>
              </w:rPr>
            </w:pPr>
          </w:p>
        </w:tc>
        <w:tc>
          <w:tcPr>
            <w:tcW w:w="1147" w:type="dxa"/>
            <w:vAlign w:val="center"/>
          </w:tcPr>
          <w:p w14:paraId="2F2DB239">
            <w:pPr>
              <w:pStyle w:val="756"/>
              <w:rPr>
                <w:b w:val="0"/>
                <w:bCs/>
                <w:sz w:val="21"/>
                <w:szCs w:val="21"/>
              </w:rPr>
            </w:pPr>
            <w:r>
              <w:rPr>
                <w:rFonts w:hint="eastAsia"/>
                <w:b w:val="0"/>
                <w:bCs/>
                <w:sz w:val="21"/>
                <w:szCs w:val="21"/>
              </w:rPr>
              <w:t>50mg/m</w:t>
            </w:r>
            <w:r>
              <w:rPr>
                <w:rFonts w:hint="eastAsia"/>
                <w:b w:val="0"/>
                <w:bCs/>
                <w:sz w:val="21"/>
                <w:szCs w:val="21"/>
                <w:vertAlign w:val="superscript"/>
              </w:rPr>
              <w:t>3</w:t>
            </w:r>
          </w:p>
        </w:tc>
      </w:tr>
      <w:tr w14:paraId="6969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429" w:type="dxa"/>
            <w:vMerge w:val="continue"/>
            <w:vAlign w:val="center"/>
          </w:tcPr>
          <w:p w14:paraId="0C573989">
            <w:pPr>
              <w:pStyle w:val="756"/>
              <w:rPr>
                <w:b w:val="0"/>
                <w:bCs/>
                <w:sz w:val="21"/>
                <w:szCs w:val="21"/>
              </w:rPr>
            </w:pPr>
          </w:p>
        </w:tc>
        <w:tc>
          <w:tcPr>
            <w:tcW w:w="1255" w:type="dxa"/>
            <w:vMerge w:val="restart"/>
            <w:vAlign w:val="center"/>
          </w:tcPr>
          <w:p w14:paraId="4125D682">
            <w:pPr>
              <w:pStyle w:val="756"/>
              <w:rPr>
                <w:b w:val="0"/>
                <w:bCs/>
                <w:sz w:val="21"/>
                <w:szCs w:val="21"/>
              </w:rPr>
            </w:pPr>
            <w:r>
              <w:rPr>
                <w:rFonts w:hint="eastAsia"/>
                <w:b w:val="0"/>
                <w:bCs/>
                <w:sz w:val="21"/>
                <w:szCs w:val="21"/>
              </w:rPr>
              <w:t>锅炉房（两用一备，DA005）</w:t>
            </w:r>
          </w:p>
        </w:tc>
        <w:tc>
          <w:tcPr>
            <w:tcW w:w="1138" w:type="dxa"/>
            <w:gridSpan w:val="2"/>
            <w:vAlign w:val="center"/>
          </w:tcPr>
          <w:p w14:paraId="241C4CDD">
            <w:pPr>
              <w:pStyle w:val="756"/>
              <w:rPr>
                <w:b w:val="0"/>
                <w:bCs/>
                <w:sz w:val="21"/>
                <w:szCs w:val="21"/>
              </w:rPr>
            </w:pPr>
            <w:r>
              <w:rPr>
                <w:rFonts w:hint="eastAsia"/>
                <w:b w:val="0"/>
                <w:bCs/>
                <w:sz w:val="21"/>
                <w:szCs w:val="21"/>
              </w:rPr>
              <w:t>PM</w:t>
            </w:r>
            <w:r>
              <w:rPr>
                <w:rFonts w:hint="eastAsia"/>
                <w:b w:val="0"/>
                <w:bCs/>
                <w:sz w:val="21"/>
                <w:szCs w:val="21"/>
                <w:vertAlign w:val="subscript"/>
              </w:rPr>
              <w:t>10</w:t>
            </w:r>
          </w:p>
        </w:tc>
        <w:tc>
          <w:tcPr>
            <w:tcW w:w="1021" w:type="dxa"/>
            <w:gridSpan w:val="2"/>
            <w:vMerge w:val="restart"/>
            <w:vAlign w:val="center"/>
          </w:tcPr>
          <w:p w14:paraId="68D5E43C">
            <w:pPr>
              <w:pStyle w:val="756"/>
              <w:rPr>
                <w:b w:val="0"/>
                <w:bCs/>
                <w:sz w:val="21"/>
                <w:szCs w:val="21"/>
              </w:rPr>
            </w:pPr>
            <w:r>
              <w:rPr>
                <w:rFonts w:hint="eastAsia"/>
                <w:b w:val="0"/>
                <w:bCs/>
                <w:sz w:val="21"/>
                <w:szCs w:val="21"/>
              </w:rPr>
              <w:t>有组织</w:t>
            </w:r>
          </w:p>
        </w:tc>
        <w:tc>
          <w:tcPr>
            <w:tcW w:w="3730" w:type="dxa"/>
            <w:gridSpan w:val="4"/>
            <w:vMerge w:val="restart"/>
            <w:vAlign w:val="center"/>
          </w:tcPr>
          <w:p w14:paraId="0B0DAAFD">
            <w:pPr>
              <w:pStyle w:val="756"/>
              <w:rPr>
                <w:b w:val="0"/>
                <w:bCs/>
                <w:sz w:val="21"/>
                <w:szCs w:val="21"/>
              </w:rPr>
            </w:pPr>
            <w:r>
              <w:rPr>
                <w:rFonts w:hint="eastAsia"/>
                <w:b w:val="0"/>
                <w:bCs/>
                <w:sz w:val="21"/>
                <w:szCs w:val="21"/>
              </w:rPr>
              <w:t>低氮燃烧+8m排气筒排放</w:t>
            </w:r>
          </w:p>
        </w:tc>
        <w:tc>
          <w:tcPr>
            <w:tcW w:w="850" w:type="dxa"/>
            <w:vAlign w:val="center"/>
          </w:tcPr>
          <w:p w14:paraId="73870E6F">
            <w:pPr>
              <w:pStyle w:val="756"/>
              <w:rPr>
                <w:b w:val="0"/>
                <w:bCs/>
                <w:sz w:val="21"/>
                <w:szCs w:val="21"/>
              </w:rPr>
            </w:pPr>
            <w:r>
              <w:rPr>
                <w:rFonts w:hint="eastAsia"/>
                <w:b w:val="0"/>
                <w:bCs/>
                <w:sz w:val="21"/>
                <w:szCs w:val="21"/>
              </w:rPr>
              <w:t>0.036</w:t>
            </w:r>
          </w:p>
        </w:tc>
        <w:tc>
          <w:tcPr>
            <w:tcW w:w="1167" w:type="dxa"/>
            <w:gridSpan w:val="2"/>
            <w:vAlign w:val="center"/>
          </w:tcPr>
          <w:p w14:paraId="34885DAC">
            <w:pPr>
              <w:pStyle w:val="756"/>
              <w:rPr>
                <w:b w:val="0"/>
                <w:bCs/>
                <w:sz w:val="21"/>
                <w:szCs w:val="21"/>
              </w:rPr>
            </w:pPr>
            <w:r>
              <w:rPr>
                <w:rFonts w:hint="eastAsia"/>
                <w:b w:val="0"/>
                <w:bCs/>
                <w:sz w:val="21"/>
                <w:szCs w:val="21"/>
              </w:rPr>
              <w:t>10.14</w:t>
            </w:r>
          </w:p>
        </w:tc>
        <w:tc>
          <w:tcPr>
            <w:tcW w:w="1117" w:type="dxa"/>
            <w:gridSpan w:val="2"/>
            <w:vAlign w:val="center"/>
          </w:tcPr>
          <w:p w14:paraId="61EE7EFC">
            <w:pPr>
              <w:pStyle w:val="756"/>
              <w:rPr>
                <w:b w:val="0"/>
                <w:bCs/>
                <w:sz w:val="21"/>
                <w:szCs w:val="21"/>
              </w:rPr>
            </w:pPr>
            <w:r>
              <w:rPr>
                <w:rFonts w:hint="eastAsia"/>
                <w:b w:val="0"/>
                <w:bCs/>
                <w:sz w:val="21"/>
                <w:szCs w:val="21"/>
              </w:rPr>
              <w:t>0.019</w:t>
            </w:r>
          </w:p>
        </w:tc>
        <w:tc>
          <w:tcPr>
            <w:tcW w:w="2366" w:type="dxa"/>
            <w:gridSpan w:val="2"/>
            <w:vMerge w:val="continue"/>
            <w:vAlign w:val="center"/>
          </w:tcPr>
          <w:p w14:paraId="648A9B9C">
            <w:pPr>
              <w:pStyle w:val="756"/>
              <w:rPr>
                <w:b w:val="0"/>
                <w:bCs/>
                <w:sz w:val="21"/>
                <w:szCs w:val="21"/>
              </w:rPr>
            </w:pPr>
          </w:p>
        </w:tc>
        <w:tc>
          <w:tcPr>
            <w:tcW w:w="1147" w:type="dxa"/>
            <w:vAlign w:val="center"/>
          </w:tcPr>
          <w:p w14:paraId="3053F9F6">
            <w:pPr>
              <w:pStyle w:val="756"/>
              <w:rPr>
                <w:b w:val="0"/>
                <w:bCs/>
                <w:sz w:val="21"/>
                <w:szCs w:val="21"/>
              </w:rPr>
            </w:pPr>
            <w:r>
              <w:rPr>
                <w:rFonts w:hint="eastAsia"/>
                <w:b w:val="0"/>
                <w:bCs/>
                <w:sz w:val="21"/>
                <w:szCs w:val="21"/>
              </w:rPr>
              <w:t>20mg/m</w:t>
            </w:r>
            <w:r>
              <w:rPr>
                <w:rFonts w:hint="eastAsia"/>
                <w:b w:val="0"/>
                <w:bCs/>
                <w:sz w:val="21"/>
                <w:szCs w:val="21"/>
                <w:vertAlign w:val="superscript"/>
              </w:rPr>
              <w:t>3</w:t>
            </w:r>
          </w:p>
        </w:tc>
      </w:tr>
      <w:tr w14:paraId="4D27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dxa"/>
            <w:vMerge w:val="continue"/>
            <w:vAlign w:val="center"/>
          </w:tcPr>
          <w:p w14:paraId="0BF0DB2B">
            <w:pPr>
              <w:pStyle w:val="756"/>
              <w:rPr>
                <w:b w:val="0"/>
                <w:bCs/>
                <w:sz w:val="21"/>
                <w:szCs w:val="21"/>
              </w:rPr>
            </w:pPr>
          </w:p>
        </w:tc>
        <w:tc>
          <w:tcPr>
            <w:tcW w:w="1255" w:type="dxa"/>
            <w:vMerge w:val="continue"/>
            <w:vAlign w:val="center"/>
          </w:tcPr>
          <w:p w14:paraId="6DD8D484">
            <w:pPr>
              <w:pStyle w:val="756"/>
              <w:rPr>
                <w:b w:val="0"/>
                <w:bCs/>
                <w:sz w:val="21"/>
                <w:szCs w:val="21"/>
              </w:rPr>
            </w:pPr>
          </w:p>
        </w:tc>
        <w:tc>
          <w:tcPr>
            <w:tcW w:w="1138" w:type="dxa"/>
            <w:gridSpan w:val="2"/>
            <w:vAlign w:val="center"/>
          </w:tcPr>
          <w:p w14:paraId="49E17C1E">
            <w:pPr>
              <w:pStyle w:val="756"/>
              <w:rPr>
                <w:b w:val="0"/>
                <w:bCs/>
                <w:sz w:val="21"/>
                <w:szCs w:val="21"/>
              </w:rPr>
            </w:pPr>
            <w:r>
              <w:rPr>
                <w:rFonts w:hint="eastAsia"/>
                <w:b w:val="0"/>
                <w:bCs/>
                <w:sz w:val="21"/>
                <w:szCs w:val="21"/>
              </w:rPr>
              <w:t>NO</w:t>
            </w:r>
            <w:r>
              <w:rPr>
                <w:rFonts w:hint="eastAsia"/>
                <w:b w:val="0"/>
                <w:bCs/>
                <w:sz w:val="21"/>
                <w:szCs w:val="21"/>
                <w:vertAlign w:val="subscript"/>
              </w:rPr>
              <w:t>X</w:t>
            </w:r>
          </w:p>
        </w:tc>
        <w:tc>
          <w:tcPr>
            <w:tcW w:w="1021" w:type="dxa"/>
            <w:gridSpan w:val="2"/>
            <w:vMerge w:val="continue"/>
            <w:vAlign w:val="center"/>
          </w:tcPr>
          <w:p w14:paraId="7C035D31">
            <w:pPr>
              <w:pStyle w:val="756"/>
              <w:rPr>
                <w:b w:val="0"/>
                <w:bCs/>
                <w:sz w:val="21"/>
                <w:szCs w:val="21"/>
              </w:rPr>
            </w:pPr>
          </w:p>
        </w:tc>
        <w:tc>
          <w:tcPr>
            <w:tcW w:w="3730" w:type="dxa"/>
            <w:gridSpan w:val="4"/>
            <w:vMerge w:val="continue"/>
            <w:vAlign w:val="center"/>
          </w:tcPr>
          <w:p w14:paraId="4CAEF147">
            <w:pPr>
              <w:pStyle w:val="756"/>
              <w:rPr>
                <w:b w:val="0"/>
                <w:bCs/>
                <w:sz w:val="21"/>
                <w:szCs w:val="21"/>
              </w:rPr>
            </w:pPr>
          </w:p>
        </w:tc>
        <w:tc>
          <w:tcPr>
            <w:tcW w:w="850" w:type="dxa"/>
            <w:vAlign w:val="center"/>
          </w:tcPr>
          <w:p w14:paraId="7EF5D0C9">
            <w:pPr>
              <w:pStyle w:val="756"/>
              <w:rPr>
                <w:b w:val="0"/>
                <w:bCs/>
                <w:sz w:val="21"/>
                <w:szCs w:val="21"/>
              </w:rPr>
            </w:pPr>
            <w:r>
              <w:rPr>
                <w:rFonts w:hint="eastAsia"/>
                <w:b w:val="0"/>
                <w:bCs/>
                <w:sz w:val="21"/>
                <w:szCs w:val="21"/>
              </w:rPr>
              <w:t>0.357</w:t>
            </w:r>
          </w:p>
        </w:tc>
        <w:tc>
          <w:tcPr>
            <w:tcW w:w="1167" w:type="dxa"/>
            <w:gridSpan w:val="2"/>
            <w:vAlign w:val="center"/>
          </w:tcPr>
          <w:p w14:paraId="0C881C23">
            <w:pPr>
              <w:pStyle w:val="756"/>
              <w:rPr>
                <w:b w:val="0"/>
                <w:bCs/>
                <w:sz w:val="21"/>
                <w:szCs w:val="21"/>
              </w:rPr>
            </w:pPr>
            <w:r>
              <w:rPr>
                <w:rFonts w:hint="eastAsia"/>
                <w:b w:val="0"/>
                <w:bCs/>
                <w:sz w:val="21"/>
                <w:szCs w:val="21"/>
              </w:rPr>
              <w:t>100</w:t>
            </w:r>
          </w:p>
        </w:tc>
        <w:tc>
          <w:tcPr>
            <w:tcW w:w="1117" w:type="dxa"/>
            <w:gridSpan w:val="2"/>
            <w:vAlign w:val="center"/>
          </w:tcPr>
          <w:p w14:paraId="4883AC76">
            <w:pPr>
              <w:pStyle w:val="756"/>
              <w:rPr>
                <w:b w:val="0"/>
                <w:bCs/>
                <w:sz w:val="21"/>
                <w:szCs w:val="21"/>
              </w:rPr>
            </w:pPr>
            <w:r>
              <w:rPr>
                <w:rFonts w:hint="eastAsia"/>
                <w:b w:val="0"/>
                <w:bCs/>
                <w:sz w:val="21"/>
                <w:szCs w:val="21"/>
              </w:rPr>
              <w:t>0.19</w:t>
            </w:r>
          </w:p>
        </w:tc>
        <w:tc>
          <w:tcPr>
            <w:tcW w:w="2366" w:type="dxa"/>
            <w:gridSpan w:val="2"/>
            <w:vMerge w:val="continue"/>
            <w:vAlign w:val="center"/>
          </w:tcPr>
          <w:p w14:paraId="3D153F38">
            <w:pPr>
              <w:pStyle w:val="756"/>
              <w:rPr>
                <w:b w:val="0"/>
                <w:bCs/>
                <w:sz w:val="21"/>
                <w:szCs w:val="21"/>
              </w:rPr>
            </w:pPr>
          </w:p>
        </w:tc>
        <w:tc>
          <w:tcPr>
            <w:tcW w:w="1147" w:type="dxa"/>
            <w:vAlign w:val="center"/>
          </w:tcPr>
          <w:p w14:paraId="67B69D5C">
            <w:pPr>
              <w:pStyle w:val="756"/>
              <w:rPr>
                <w:b w:val="0"/>
                <w:bCs/>
                <w:sz w:val="21"/>
                <w:szCs w:val="21"/>
              </w:rPr>
            </w:pPr>
            <w:r>
              <w:rPr>
                <w:rFonts w:hint="eastAsia"/>
                <w:b w:val="0"/>
                <w:bCs/>
                <w:sz w:val="21"/>
                <w:szCs w:val="21"/>
              </w:rPr>
              <w:t>50mg/m</w:t>
            </w:r>
            <w:r>
              <w:rPr>
                <w:rFonts w:hint="eastAsia"/>
                <w:b w:val="0"/>
                <w:bCs/>
                <w:sz w:val="21"/>
                <w:szCs w:val="21"/>
                <w:vertAlign w:val="superscript"/>
              </w:rPr>
              <w:t>3</w:t>
            </w:r>
          </w:p>
        </w:tc>
      </w:tr>
      <w:tr w14:paraId="032A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29" w:type="dxa"/>
            <w:shd w:val="clear" w:color="auto" w:fill="9ED3A3" w:themeFill="background1" w:themeFillShade="D8"/>
            <w:vAlign w:val="center"/>
          </w:tcPr>
          <w:p w14:paraId="4480FA7D">
            <w:pPr>
              <w:pStyle w:val="756"/>
              <w:rPr>
                <w:sz w:val="21"/>
                <w:szCs w:val="21"/>
              </w:rPr>
            </w:pPr>
            <w:r>
              <w:rPr>
                <w:rFonts w:hint="eastAsia"/>
                <w:sz w:val="21"/>
                <w:szCs w:val="21"/>
              </w:rPr>
              <w:t>项目</w:t>
            </w:r>
          </w:p>
        </w:tc>
        <w:tc>
          <w:tcPr>
            <w:tcW w:w="2393" w:type="dxa"/>
            <w:gridSpan w:val="3"/>
            <w:shd w:val="clear" w:color="auto" w:fill="9ED3A3" w:themeFill="background1" w:themeFillShade="D8"/>
            <w:vAlign w:val="center"/>
          </w:tcPr>
          <w:p w14:paraId="37242A9A">
            <w:pPr>
              <w:pStyle w:val="756"/>
              <w:rPr>
                <w:sz w:val="21"/>
                <w:szCs w:val="21"/>
              </w:rPr>
            </w:pPr>
            <w:r>
              <w:rPr>
                <w:rFonts w:hint="eastAsia"/>
                <w:sz w:val="21"/>
                <w:szCs w:val="21"/>
              </w:rPr>
              <w:t>来源</w:t>
            </w:r>
          </w:p>
        </w:tc>
        <w:tc>
          <w:tcPr>
            <w:tcW w:w="2690" w:type="dxa"/>
            <w:gridSpan w:val="4"/>
            <w:shd w:val="clear" w:color="auto" w:fill="9ED3A3" w:themeFill="background1" w:themeFillShade="D8"/>
            <w:vAlign w:val="center"/>
          </w:tcPr>
          <w:p w14:paraId="70AE3749">
            <w:pPr>
              <w:pStyle w:val="756"/>
              <w:rPr>
                <w:sz w:val="21"/>
                <w:szCs w:val="21"/>
              </w:rPr>
            </w:pPr>
            <w:r>
              <w:rPr>
                <w:rFonts w:hint="eastAsia"/>
                <w:sz w:val="21"/>
                <w:szCs w:val="21"/>
              </w:rPr>
              <w:t>污染物</w:t>
            </w:r>
          </w:p>
        </w:tc>
        <w:tc>
          <w:tcPr>
            <w:tcW w:w="1383" w:type="dxa"/>
            <w:shd w:val="clear" w:color="auto" w:fill="9ED3A3" w:themeFill="background1" w:themeFillShade="D8"/>
            <w:vAlign w:val="center"/>
          </w:tcPr>
          <w:p w14:paraId="217EB966">
            <w:pPr>
              <w:pStyle w:val="756"/>
              <w:rPr>
                <w:sz w:val="21"/>
                <w:szCs w:val="21"/>
              </w:rPr>
            </w:pPr>
            <w:r>
              <w:rPr>
                <w:rFonts w:hint="eastAsia"/>
                <w:sz w:val="21"/>
                <w:szCs w:val="21"/>
              </w:rPr>
              <w:t>产生量（m</w:t>
            </w:r>
            <w:r>
              <w:rPr>
                <w:rFonts w:hint="eastAsia"/>
                <w:sz w:val="21"/>
                <w:szCs w:val="21"/>
                <w:vertAlign w:val="superscript"/>
              </w:rPr>
              <w:t>3</w:t>
            </w:r>
            <w:r>
              <w:rPr>
                <w:rFonts w:hint="eastAsia"/>
                <w:sz w:val="21"/>
                <w:szCs w:val="21"/>
              </w:rPr>
              <w:t>/a）</w:t>
            </w:r>
          </w:p>
        </w:tc>
        <w:tc>
          <w:tcPr>
            <w:tcW w:w="3708" w:type="dxa"/>
            <w:gridSpan w:val="5"/>
            <w:shd w:val="clear" w:color="auto" w:fill="9ED3A3" w:themeFill="background1" w:themeFillShade="D8"/>
            <w:vAlign w:val="center"/>
          </w:tcPr>
          <w:p w14:paraId="5A488BD8">
            <w:pPr>
              <w:pStyle w:val="756"/>
              <w:rPr>
                <w:sz w:val="21"/>
                <w:szCs w:val="21"/>
              </w:rPr>
            </w:pPr>
            <w:r>
              <w:rPr>
                <w:rFonts w:hint="eastAsia"/>
                <w:sz w:val="21"/>
                <w:szCs w:val="21"/>
              </w:rPr>
              <w:t>去向</w:t>
            </w:r>
          </w:p>
        </w:tc>
        <w:tc>
          <w:tcPr>
            <w:tcW w:w="3617" w:type="dxa"/>
            <w:gridSpan w:val="4"/>
            <w:shd w:val="clear" w:color="auto" w:fill="9ED3A3" w:themeFill="background1" w:themeFillShade="D8"/>
            <w:vAlign w:val="center"/>
          </w:tcPr>
          <w:p w14:paraId="072122AA">
            <w:pPr>
              <w:pStyle w:val="756"/>
              <w:rPr>
                <w:sz w:val="21"/>
                <w:szCs w:val="21"/>
              </w:rPr>
            </w:pPr>
            <w:r>
              <w:rPr>
                <w:rFonts w:hint="eastAsia"/>
                <w:sz w:val="21"/>
                <w:szCs w:val="21"/>
              </w:rPr>
              <w:t>执行标准</w:t>
            </w:r>
          </w:p>
        </w:tc>
      </w:tr>
      <w:tr w14:paraId="0DFB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429" w:type="dxa"/>
            <w:vMerge w:val="restart"/>
            <w:vAlign w:val="center"/>
          </w:tcPr>
          <w:p w14:paraId="6199CD74">
            <w:pPr>
              <w:pStyle w:val="756"/>
              <w:rPr>
                <w:b w:val="0"/>
                <w:bCs/>
                <w:sz w:val="21"/>
                <w:szCs w:val="21"/>
              </w:rPr>
            </w:pPr>
            <w:r>
              <w:rPr>
                <w:rFonts w:hint="eastAsia"/>
                <w:b w:val="0"/>
                <w:bCs/>
                <w:sz w:val="21"/>
                <w:szCs w:val="21"/>
              </w:rPr>
              <w:t>废水</w:t>
            </w:r>
          </w:p>
        </w:tc>
        <w:tc>
          <w:tcPr>
            <w:tcW w:w="2393" w:type="dxa"/>
            <w:gridSpan w:val="3"/>
            <w:vAlign w:val="center"/>
          </w:tcPr>
          <w:p w14:paraId="22AB1628">
            <w:pPr>
              <w:pStyle w:val="756"/>
              <w:rPr>
                <w:b w:val="0"/>
                <w:bCs/>
                <w:sz w:val="21"/>
                <w:szCs w:val="21"/>
              </w:rPr>
            </w:pPr>
            <w:r>
              <w:rPr>
                <w:rFonts w:hint="eastAsia"/>
                <w:b w:val="0"/>
                <w:bCs/>
                <w:sz w:val="21"/>
                <w:szCs w:val="21"/>
              </w:rPr>
              <w:t>职工生活污水</w:t>
            </w:r>
          </w:p>
        </w:tc>
        <w:tc>
          <w:tcPr>
            <w:tcW w:w="2690" w:type="dxa"/>
            <w:gridSpan w:val="4"/>
            <w:vAlign w:val="center"/>
          </w:tcPr>
          <w:p w14:paraId="24C3B2D5">
            <w:pPr>
              <w:pStyle w:val="756"/>
              <w:rPr>
                <w:b w:val="0"/>
                <w:bCs/>
                <w:sz w:val="21"/>
                <w:szCs w:val="21"/>
              </w:rPr>
            </w:pPr>
            <w:r>
              <w:rPr>
                <w:rFonts w:hint="eastAsia"/>
                <w:b w:val="0"/>
                <w:bCs/>
                <w:sz w:val="21"/>
                <w:szCs w:val="21"/>
              </w:rPr>
              <w:t>pH、SS、COD、BOD</w:t>
            </w:r>
          </w:p>
        </w:tc>
        <w:tc>
          <w:tcPr>
            <w:tcW w:w="1383" w:type="dxa"/>
            <w:vAlign w:val="center"/>
          </w:tcPr>
          <w:p w14:paraId="2498CDFD">
            <w:pPr>
              <w:pStyle w:val="756"/>
              <w:rPr>
                <w:b w:val="0"/>
                <w:bCs/>
                <w:sz w:val="21"/>
                <w:szCs w:val="21"/>
              </w:rPr>
            </w:pPr>
            <w:r>
              <w:rPr>
                <w:rFonts w:hint="eastAsia"/>
                <w:b w:val="0"/>
                <w:bCs/>
                <w:sz w:val="21"/>
                <w:szCs w:val="21"/>
              </w:rPr>
              <w:t>1314</w:t>
            </w:r>
          </w:p>
        </w:tc>
        <w:tc>
          <w:tcPr>
            <w:tcW w:w="3708" w:type="dxa"/>
            <w:gridSpan w:val="5"/>
            <w:vMerge w:val="restart"/>
            <w:vAlign w:val="center"/>
          </w:tcPr>
          <w:p w14:paraId="3812134E">
            <w:pPr>
              <w:pStyle w:val="756"/>
              <w:rPr>
                <w:b w:val="0"/>
                <w:bCs/>
                <w:sz w:val="21"/>
                <w:szCs w:val="21"/>
              </w:rPr>
            </w:pPr>
            <w:r>
              <w:rPr>
                <w:rFonts w:hint="eastAsia"/>
                <w:b w:val="0"/>
                <w:bCs/>
                <w:sz w:val="21"/>
                <w:szCs w:val="21"/>
              </w:rPr>
              <w:t>送入污水处理站处理后用于厂区绿化、鸡舍冲洗、湿帘降温和洒水抑尘</w:t>
            </w:r>
          </w:p>
        </w:tc>
        <w:tc>
          <w:tcPr>
            <w:tcW w:w="3617" w:type="dxa"/>
            <w:gridSpan w:val="4"/>
            <w:vMerge w:val="restart"/>
            <w:vAlign w:val="center"/>
          </w:tcPr>
          <w:p w14:paraId="78952ACB">
            <w:pPr>
              <w:pStyle w:val="756"/>
              <w:rPr>
                <w:b w:val="0"/>
                <w:bCs/>
                <w:sz w:val="21"/>
                <w:szCs w:val="21"/>
              </w:rPr>
            </w:pPr>
            <w:r>
              <w:rPr>
                <w:rFonts w:hint="eastAsia"/>
                <w:b w:val="0"/>
                <w:bCs/>
                <w:sz w:val="21"/>
                <w:szCs w:val="21"/>
              </w:rPr>
              <w:t>《城市污水再生利用城市杂用水水质》（GB/T 18920-2020）中城市绿化限值要求</w:t>
            </w:r>
          </w:p>
        </w:tc>
      </w:tr>
      <w:tr w14:paraId="6D44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29" w:type="dxa"/>
            <w:vMerge w:val="continue"/>
            <w:vAlign w:val="center"/>
          </w:tcPr>
          <w:p w14:paraId="287C8E85">
            <w:pPr>
              <w:pStyle w:val="756"/>
              <w:rPr>
                <w:b w:val="0"/>
                <w:bCs/>
                <w:sz w:val="21"/>
                <w:szCs w:val="21"/>
              </w:rPr>
            </w:pPr>
          </w:p>
        </w:tc>
        <w:tc>
          <w:tcPr>
            <w:tcW w:w="2393" w:type="dxa"/>
            <w:gridSpan w:val="3"/>
            <w:vAlign w:val="center"/>
          </w:tcPr>
          <w:p w14:paraId="6C767EC7">
            <w:pPr>
              <w:pStyle w:val="756"/>
              <w:rPr>
                <w:b w:val="0"/>
                <w:bCs/>
                <w:sz w:val="21"/>
                <w:szCs w:val="21"/>
              </w:rPr>
            </w:pPr>
            <w:r>
              <w:rPr>
                <w:rFonts w:hint="eastAsia"/>
                <w:b w:val="0"/>
                <w:bCs/>
                <w:sz w:val="21"/>
                <w:szCs w:val="21"/>
              </w:rPr>
              <w:t>鸡舍冲洗废水</w:t>
            </w:r>
          </w:p>
        </w:tc>
        <w:tc>
          <w:tcPr>
            <w:tcW w:w="2690" w:type="dxa"/>
            <w:gridSpan w:val="4"/>
            <w:vAlign w:val="center"/>
          </w:tcPr>
          <w:p w14:paraId="622406F4">
            <w:pPr>
              <w:pStyle w:val="756"/>
              <w:rPr>
                <w:b w:val="0"/>
                <w:bCs/>
                <w:sz w:val="21"/>
                <w:szCs w:val="21"/>
              </w:rPr>
            </w:pPr>
            <w:r>
              <w:rPr>
                <w:rFonts w:hint="eastAsia"/>
                <w:b w:val="0"/>
                <w:bCs/>
                <w:sz w:val="21"/>
                <w:szCs w:val="21"/>
              </w:rPr>
              <w:t>pH、SS、COD、BOD</w:t>
            </w:r>
          </w:p>
        </w:tc>
        <w:tc>
          <w:tcPr>
            <w:tcW w:w="1383" w:type="dxa"/>
            <w:vAlign w:val="center"/>
          </w:tcPr>
          <w:p w14:paraId="2410E84C">
            <w:pPr>
              <w:pStyle w:val="756"/>
              <w:rPr>
                <w:b w:val="0"/>
                <w:bCs/>
                <w:sz w:val="21"/>
                <w:szCs w:val="21"/>
              </w:rPr>
            </w:pPr>
            <w:r>
              <w:rPr>
                <w:rFonts w:hint="eastAsia"/>
                <w:b w:val="0"/>
                <w:bCs/>
                <w:sz w:val="21"/>
                <w:szCs w:val="21"/>
              </w:rPr>
              <w:t>1215</w:t>
            </w:r>
          </w:p>
        </w:tc>
        <w:tc>
          <w:tcPr>
            <w:tcW w:w="3708" w:type="dxa"/>
            <w:gridSpan w:val="5"/>
            <w:vMerge w:val="continue"/>
            <w:vAlign w:val="center"/>
          </w:tcPr>
          <w:p w14:paraId="454951B2">
            <w:pPr>
              <w:pStyle w:val="756"/>
              <w:rPr>
                <w:b w:val="0"/>
                <w:bCs/>
                <w:sz w:val="21"/>
                <w:szCs w:val="21"/>
              </w:rPr>
            </w:pPr>
          </w:p>
        </w:tc>
        <w:tc>
          <w:tcPr>
            <w:tcW w:w="3617" w:type="dxa"/>
            <w:gridSpan w:val="4"/>
            <w:vMerge w:val="continue"/>
            <w:vAlign w:val="center"/>
          </w:tcPr>
          <w:p w14:paraId="151DE523">
            <w:pPr>
              <w:pStyle w:val="756"/>
              <w:rPr>
                <w:b w:val="0"/>
                <w:bCs/>
                <w:sz w:val="21"/>
                <w:szCs w:val="21"/>
              </w:rPr>
            </w:pPr>
          </w:p>
        </w:tc>
      </w:tr>
      <w:tr w14:paraId="7C58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29" w:type="dxa"/>
            <w:vMerge w:val="continue"/>
            <w:vAlign w:val="center"/>
          </w:tcPr>
          <w:p w14:paraId="451E198B">
            <w:pPr>
              <w:pStyle w:val="756"/>
              <w:rPr>
                <w:b w:val="0"/>
                <w:bCs/>
                <w:sz w:val="21"/>
                <w:szCs w:val="21"/>
              </w:rPr>
            </w:pPr>
          </w:p>
        </w:tc>
        <w:tc>
          <w:tcPr>
            <w:tcW w:w="2393" w:type="dxa"/>
            <w:gridSpan w:val="3"/>
            <w:vAlign w:val="center"/>
          </w:tcPr>
          <w:p w14:paraId="405BAF3C">
            <w:pPr>
              <w:pStyle w:val="756"/>
              <w:rPr>
                <w:b w:val="0"/>
                <w:bCs/>
                <w:sz w:val="21"/>
                <w:szCs w:val="21"/>
              </w:rPr>
            </w:pPr>
            <w:r>
              <w:rPr>
                <w:rFonts w:hint="eastAsia"/>
                <w:b w:val="0"/>
                <w:bCs/>
                <w:sz w:val="21"/>
                <w:szCs w:val="21"/>
              </w:rPr>
              <w:t>有机肥发酵渗滤液</w:t>
            </w:r>
          </w:p>
        </w:tc>
        <w:tc>
          <w:tcPr>
            <w:tcW w:w="2690" w:type="dxa"/>
            <w:gridSpan w:val="4"/>
            <w:vAlign w:val="center"/>
          </w:tcPr>
          <w:p w14:paraId="235B411A">
            <w:pPr>
              <w:pStyle w:val="756"/>
              <w:rPr>
                <w:b w:val="0"/>
                <w:bCs/>
                <w:sz w:val="21"/>
                <w:szCs w:val="21"/>
              </w:rPr>
            </w:pPr>
            <w:r>
              <w:rPr>
                <w:rFonts w:hint="eastAsia"/>
                <w:b w:val="0"/>
                <w:bCs/>
                <w:sz w:val="21"/>
                <w:szCs w:val="21"/>
              </w:rPr>
              <w:t>pH、SS、COD、BOD</w:t>
            </w:r>
          </w:p>
        </w:tc>
        <w:tc>
          <w:tcPr>
            <w:tcW w:w="1383" w:type="dxa"/>
            <w:vAlign w:val="center"/>
          </w:tcPr>
          <w:p w14:paraId="6B25AA93">
            <w:pPr>
              <w:pStyle w:val="756"/>
              <w:rPr>
                <w:b w:val="0"/>
                <w:bCs/>
                <w:sz w:val="21"/>
                <w:szCs w:val="21"/>
              </w:rPr>
            </w:pPr>
            <w:r>
              <w:rPr>
                <w:rFonts w:hint="eastAsia"/>
                <w:b w:val="0"/>
                <w:bCs/>
                <w:sz w:val="21"/>
                <w:szCs w:val="21"/>
              </w:rPr>
              <w:t>17049</w:t>
            </w:r>
          </w:p>
        </w:tc>
        <w:tc>
          <w:tcPr>
            <w:tcW w:w="3708" w:type="dxa"/>
            <w:gridSpan w:val="5"/>
            <w:vMerge w:val="continue"/>
            <w:vAlign w:val="center"/>
          </w:tcPr>
          <w:p w14:paraId="59F01F43">
            <w:pPr>
              <w:pStyle w:val="756"/>
              <w:rPr>
                <w:b w:val="0"/>
                <w:bCs/>
                <w:sz w:val="21"/>
                <w:szCs w:val="21"/>
              </w:rPr>
            </w:pPr>
          </w:p>
        </w:tc>
        <w:tc>
          <w:tcPr>
            <w:tcW w:w="3617" w:type="dxa"/>
            <w:gridSpan w:val="4"/>
            <w:vMerge w:val="continue"/>
            <w:vAlign w:val="center"/>
          </w:tcPr>
          <w:p w14:paraId="4D5F587D">
            <w:pPr>
              <w:pStyle w:val="756"/>
              <w:rPr>
                <w:b w:val="0"/>
                <w:bCs/>
                <w:sz w:val="21"/>
                <w:szCs w:val="21"/>
              </w:rPr>
            </w:pPr>
          </w:p>
        </w:tc>
      </w:tr>
      <w:tr w14:paraId="4BB2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29" w:type="dxa"/>
            <w:vMerge w:val="continue"/>
            <w:vAlign w:val="center"/>
          </w:tcPr>
          <w:p w14:paraId="129FDA53">
            <w:pPr>
              <w:pStyle w:val="756"/>
              <w:rPr>
                <w:b w:val="0"/>
                <w:bCs/>
                <w:sz w:val="21"/>
                <w:szCs w:val="21"/>
              </w:rPr>
            </w:pPr>
          </w:p>
        </w:tc>
        <w:tc>
          <w:tcPr>
            <w:tcW w:w="2393" w:type="dxa"/>
            <w:gridSpan w:val="3"/>
            <w:vAlign w:val="center"/>
          </w:tcPr>
          <w:p w14:paraId="275D0932">
            <w:pPr>
              <w:pStyle w:val="756"/>
              <w:rPr>
                <w:b w:val="0"/>
                <w:bCs/>
                <w:sz w:val="21"/>
                <w:szCs w:val="21"/>
              </w:rPr>
            </w:pPr>
            <w:r>
              <w:rPr>
                <w:rFonts w:hint="eastAsia"/>
                <w:b w:val="0"/>
                <w:bCs/>
                <w:sz w:val="21"/>
                <w:szCs w:val="21"/>
              </w:rPr>
              <w:t>软化水设备废水</w:t>
            </w:r>
          </w:p>
        </w:tc>
        <w:tc>
          <w:tcPr>
            <w:tcW w:w="2690" w:type="dxa"/>
            <w:gridSpan w:val="4"/>
            <w:vAlign w:val="center"/>
          </w:tcPr>
          <w:p w14:paraId="7EF8A1B1">
            <w:pPr>
              <w:pStyle w:val="756"/>
              <w:rPr>
                <w:b w:val="0"/>
                <w:bCs/>
                <w:sz w:val="21"/>
                <w:szCs w:val="21"/>
              </w:rPr>
            </w:pPr>
            <w:r>
              <w:rPr>
                <w:rFonts w:hint="eastAsia"/>
                <w:b w:val="0"/>
                <w:bCs/>
                <w:sz w:val="21"/>
                <w:szCs w:val="21"/>
              </w:rPr>
              <w:t>pH、Ca</w:t>
            </w:r>
            <w:r>
              <w:rPr>
                <w:rFonts w:hint="eastAsia"/>
                <w:b w:val="0"/>
                <w:bCs/>
                <w:sz w:val="21"/>
                <w:szCs w:val="21"/>
                <w:vertAlign w:val="superscript"/>
              </w:rPr>
              <w:t>2+</w:t>
            </w:r>
            <w:r>
              <w:rPr>
                <w:rFonts w:hint="eastAsia"/>
                <w:b w:val="0"/>
                <w:bCs/>
                <w:sz w:val="21"/>
                <w:szCs w:val="21"/>
              </w:rPr>
              <w:t>、Mg</w:t>
            </w:r>
            <w:r>
              <w:rPr>
                <w:rFonts w:hint="eastAsia"/>
                <w:b w:val="0"/>
                <w:bCs/>
                <w:sz w:val="21"/>
                <w:szCs w:val="21"/>
                <w:vertAlign w:val="superscript"/>
              </w:rPr>
              <w:t>2+</w:t>
            </w:r>
          </w:p>
        </w:tc>
        <w:tc>
          <w:tcPr>
            <w:tcW w:w="1383" w:type="dxa"/>
            <w:vAlign w:val="center"/>
          </w:tcPr>
          <w:p w14:paraId="443FC877">
            <w:pPr>
              <w:pStyle w:val="756"/>
              <w:rPr>
                <w:b w:val="0"/>
                <w:bCs/>
                <w:sz w:val="21"/>
                <w:szCs w:val="21"/>
              </w:rPr>
            </w:pPr>
            <w:r>
              <w:rPr>
                <w:rFonts w:hint="eastAsia"/>
                <w:b w:val="0"/>
                <w:bCs/>
                <w:sz w:val="21"/>
                <w:szCs w:val="21"/>
              </w:rPr>
              <w:t>385</w:t>
            </w:r>
          </w:p>
        </w:tc>
        <w:tc>
          <w:tcPr>
            <w:tcW w:w="3708" w:type="dxa"/>
            <w:gridSpan w:val="5"/>
            <w:vMerge w:val="continue"/>
            <w:vAlign w:val="center"/>
          </w:tcPr>
          <w:p w14:paraId="65CB123D">
            <w:pPr>
              <w:pStyle w:val="756"/>
              <w:rPr>
                <w:b w:val="0"/>
                <w:bCs/>
                <w:sz w:val="21"/>
                <w:szCs w:val="21"/>
              </w:rPr>
            </w:pPr>
          </w:p>
        </w:tc>
        <w:tc>
          <w:tcPr>
            <w:tcW w:w="3617" w:type="dxa"/>
            <w:gridSpan w:val="4"/>
            <w:vMerge w:val="continue"/>
            <w:vAlign w:val="center"/>
          </w:tcPr>
          <w:p w14:paraId="3CB984D0">
            <w:pPr>
              <w:pStyle w:val="756"/>
              <w:rPr>
                <w:b w:val="0"/>
                <w:bCs/>
                <w:sz w:val="21"/>
                <w:szCs w:val="21"/>
              </w:rPr>
            </w:pPr>
          </w:p>
        </w:tc>
      </w:tr>
      <w:tr w14:paraId="015A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29" w:type="dxa"/>
            <w:shd w:val="clear" w:color="auto" w:fill="9ED3A3" w:themeFill="background1" w:themeFillShade="D8"/>
            <w:vAlign w:val="center"/>
          </w:tcPr>
          <w:p w14:paraId="06826BA5">
            <w:pPr>
              <w:pStyle w:val="756"/>
              <w:rPr>
                <w:b w:val="0"/>
                <w:bCs/>
                <w:sz w:val="21"/>
                <w:szCs w:val="21"/>
              </w:rPr>
            </w:pPr>
            <w:r>
              <w:rPr>
                <w:rFonts w:hint="eastAsia"/>
                <w:b w:val="0"/>
                <w:bCs/>
                <w:sz w:val="21"/>
                <w:szCs w:val="21"/>
              </w:rPr>
              <w:t>项目</w:t>
            </w:r>
          </w:p>
        </w:tc>
        <w:tc>
          <w:tcPr>
            <w:tcW w:w="2393" w:type="dxa"/>
            <w:gridSpan w:val="3"/>
            <w:shd w:val="clear" w:color="auto" w:fill="9ED3A3" w:themeFill="background1" w:themeFillShade="D8"/>
            <w:vAlign w:val="center"/>
          </w:tcPr>
          <w:p w14:paraId="5EA61BC6">
            <w:pPr>
              <w:pStyle w:val="756"/>
              <w:rPr>
                <w:b w:val="0"/>
                <w:bCs/>
                <w:sz w:val="21"/>
                <w:szCs w:val="21"/>
              </w:rPr>
            </w:pPr>
            <w:r>
              <w:rPr>
                <w:rFonts w:hint="eastAsia"/>
                <w:b w:val="0"/>
                <w:bCs/>
                <w:sz w:val="21"/>
                <w:szCs w:val="21"/>
              </w:rPr>
              <w:t>来源</w:t>
            </w:r>
          </w:p>
        </w:tc>
        <w:tc>
          <w:tcPr>
            <w:tcW w:w="4073" w:type="dxa"/>
            <w:gridSpan w:val="5"/>
            <w:shd w:val="clear" w:color="auto" w:fill="9ED3A3" w:themeFill="background1" w:themeFillShade="D8"/>
            <w:vAlign w:val="center"/>
          </w:tcPr>
          <w:p w14:paraId="5D18A486">
            <w:pPr>
              <w:pStyle w:val="756"/>
              <w:rPr>
                <w:b w:val="0"/>
                <w:bCs/>
                <w:sz w:val="21"/>
                <w:szCs w:val="21"/>
              </w:rPr>
            </w:pPr>
            <w:r>
              <w:rPr>
                <w:rFonts w:hint="eastAsia"/>
                <w:b w:val="0"/>
                <w:bCs/>
                <w:sz w:val="21"/>
                <w:szCs w:val="21"/>
              </w:rPr>
              <w:t>污染物</w:t>
            </w:r>
          </w:p>
        </w:tc>
        <w:tc>
          <w:tcPr>
            <w:tcW w:w="2015" w:type="dxa"/>
            <w:gridSpan w:val="3"/>
            <w:shd w:val="clear" w:color="auto" w:fill="9ED3A3" w:themeFill="background1" w:themeFillShade="D8"/>
            <w:vAlign w:val="center"/>
          </w:tcPr>
          <w:p w14:paraId="6CCDB7AB">
            <w:pPr>
              <w:pStyle w:val="756"/>
              <w:rPr>
                <w:b w:val="0"/>
                <w:bCs/>
                <w:sz w:val="21"/>
                <w:szCs w:val="21"/>
              </w:rPr>
            </w:pPr>
            <w:r>
              <w:rPr>
                <w:rFonts w:hint="eastAsia"/>
                <w:b w:val="0"/>
                <w:bCs/>
                <w:sz w:val="21"/>
                <w:szCs w:val="21"/>
              </w:rPr>
              <w:t>防治措施</w:t>
            </w:r>
          </w:p>
        </w:tc>
        <w:tc>
          <w:tcPr>
            <w:tcW w:w="3636" w:type="dxa"/>
            <w:gridSpan w:val="4"/>
            <w:shd w:val="clear" w:color="auto" w:fill="9ED3A3" w:themeFill="background1" w:themeFillShade="D8"/>
            <w:vAlign w:val="center"/>
          </w:tcPr>
          <w:p w14:paraId="17ECBDA8">
            <w:pPr>
              <w:pStyle w:val="756"/>
              <w:rPr>
                <w:b w:val="0"/>
                <w:bCs/>
                <w:sz w:val="21"/>
                <w:szCs w:val="21"/>
              </w:rPr>
            </w:pPr>
            <w:r>
              <w:rPr>
                <w:rFonts w:hint="eastAsia"/>
                <w:b w:val="0"/>
                <w:bCs/>
                <w:sz w:val="21"/>
                <w:szCs w:val="21"/>
              </w:rPr>
              <w:t>执行标准</w:t>
            </w:r>
          </w:p>
        </w:tc>
        <w:tc>
          <w:tcPr>
            <w:tcW w:w="1674" w:type="dxa"/>
            <w:gridSpan w:val="2"/>
            <w:shd w:val="clear" w:color="auto" w:fill="9ED3A3" w:themeFill="background1" w:themeFillShade="D8"/>
            <w:vAlign w:val="center"/>
          </w:tcPr>
          <w:p w14:paraId="4633A1CF">
            <w:pPr>
              <w:pStyle w:val="756"/>
              <w:rPr>
                <w:b w:val="0"/>
                <w:bCs/>
                <w:sz w:val="21"/>
                <w:szCs w:val="21"/>
              </w:rPr>
            </w:pPr>
            <w:r>
              <w:rPr>
                <w:rFonts w:hint="eastAsia"/>
                <w:b w:val="0"/>
                <w:bCs/>
                <w:sz w:val="21"/>
                <w:szCs w:val="21"/>
              </w:rPr>
              <w:t>排放限值</w:t>
            </w:r>
          </w:p>
        </w:tc>
      </w:tr>
      <w:tr w14:paraId="439B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29" w:type="dxa"/>
            <w:vMerge w:val="restart"/>
            <w:vAlign w:val="center"/>
          </w:tcPr>
          <w:p w14:paraId="1D2DA6A1">
            <w:pPr>
              <w:pStyle w:val="756"/>
              <w:rPr>
                <w:b w:val="0"/>
                <w:bCs/>
                <w:sz w:val="21"/>
                <w:szCs w:val="21"/>
              </w:rPr>
            </w:pPr>
            <w:r>
              <w:rPr>
                <w:rFonts w:hint="eastAsia"/>
                <w:b w:val="0"/>
                <w:bCs/>
                <w:sz w:val="21"/>
                <w:szCs w:val="21"/>
              </w:rPr>
              <w:t>噪声</w:t>
            </w:r>
          </w:p>
        </w:tc>
        <w:tc>
          <w:tcPr>
            <w:tcW w:w="2393" w:type="dxa"/>
            <w:gridSpan w:val="3"/>
            <w:vAlign w:val="center"/>
          </w:tcPr>
          <w:p w14:paraId="65B3637C">
            <w:pPr>
              <w:pStyle w:val="756"/>
              <w:rPr>
                <w:b w:val="0"/>
                <w:bCs/>
                <w:sz w:val="21"/>
                <w:szCs w:val="21"/>
              </w:rPr>
            </w:pPr>
            <w:r>
              <w:rPr>
                <w:rFonts w:hint="eastAsia"/>
                <w:b w:val="0"/>
                <w:bCs/>
                <w:sz w:val="21"/>
                <w:szCs w:val="21"/>
              </w:rPr>
              <w:t>机械设备</w:t>
            </w:r>
          </w:p>
        </w:tc>
        <w:tc>
          <w:tcPr>
            <w:tcW w:w="4073" w:type="dxa"/>
            <w:gridSpan w:val="5"/>
            <w:vMerge w:val="restart"/>
            <w:vAlign w:val="center"/>
          </w:tcPr>
          <w:p w14:paraId="501BC142">
            <w:pPr>
              <w:pStyle w:val="756"/>
              <w:rPr>
                <w:b w:val="0"/>
                <w:bCs/>
                <w:sz w:val="21"/>
                <w:szCs w:val="21"/>
              </w:rPr>
            </w:pPr>
            <w:r>
              <w:rPr>
                <w:rFonts w:hint="eastAsia"/>
                <w:b w:val="0"/>
                <w:bCs/>
                <w:sz w:val="21"/>
                <w:szCs w:val="21"/>
              </w:rPr>
              <w:t>等效连续A声级</w:t>
            </w:r>
          </w:p>
        </w:tc>
        <w:tc>
          <w:tcPr>
            <w:tcW w:w="2015" w:type="dxa"/>
            <w:gridSpan w:val="3"/>
            <w:vMerge w:val="restart"/>
            <w:vAlign w:val="center"/>
          </w:tcPr>
          <w:p w14:paraId="1CAED968">
            <w:pPr>
              <w:pStyle w:val="756"/>
              <w:rPr>
                <w:b w:val="0"/>
                <w:bCs/>
                <w:sz w:val="21"/>
                <w:szCs w:val="21"/>
              </w:rPr>
            </w:pPr>
            <w:r>
              <w:rPr>
                <w:rFonts w:hint="eastAsia"/>
                <w:b w:val="0"/>
                <w:bCs/>
                <w:sz w:val="21"/>
                <w:szCs w:val="21"/>
              </w:rPr>
              <w:t>采取减振、隔声、合理布局等降噪措</w:t>
            </w:r>
          </w:p>
        </w:tc>
        <w:tc>
          <w:tcPr>
            <w:tcW w:w="3636" w:type="dxa"/>
            <w:gridSpan w:val="4"/>
            <w:vMerge w:val="restart"/>
            <w:vAlign w:val="center"/>
          </w:tcPr>
          <w:p w14:paraId="4B330364">
            <w:pPr>
              <w:pStyle w:val="756"/>
              <w:rPr>
                <w:b w:val="0"/>
                <w:bCs/>
                <w:sz w:val="21"/>
                <w:szCs w:val="21"/>
              </w:rPr>
            </w:pPr>
            <w:r>
              <w:rPr>
                <w:rFonts w:hint="eastAsia"/>
                <w:b w:val="0"/>
                <w:bCs/>
                <w:sz w:val="21"/>
                <w:szCs w:val="21"/>
              </w:rPr>
              <w:t>《工业企业厂界环境噪声排放标准》（GB12348-2008）中2类标准</w:t>
            </w:r>
          </w:p>
        </w:tc>
        <w:tc>
          <w:tcPr>
            <w:tcW w:w="1674" w:type="dxa"/>
            <w:gridSpan w:val="2"/>
            <w:vMerge w:val="restart"/>
            <w:vAlign w:val="center"/>
          </w:tcPr>
          <w:p w14:paraId="19B43C80">
            <w:pPr>
              <w:pStyle w:val="756"/>
              <w:rPr>
                <w:b w:val="0"/>
                <w:bCs/>
                <w:sz w:val="21"/>
                <w:szCs w:val="21"/>
              </w:rPr>
            </w:pPr>
            <w:r>
              <w:rPr>
                <w:rFonts w:hint="eastAsia"/>
                <w:b w:val="0"/>
                <w:bCs/>
                <w:sz w:val="21"/>
                <w:szCs w:val="21"/>
              </w:rPr>
              <w:t>昼间60dB(A)</w:t>
            </w:r>
          </w:p>
          <w:p w14:paraId="31A0F99A">
            <w:pPr>
              <w:pStyle w:val="756"/>
              <w:rPr>
                <w:b w:val="0"/>
                <w:bCs/>
                <w:sz w:val="21"/>
                <w:szCs w:val="21"/>
              </w:rPr>
            </w:pPr>
            <w:r>
              <w:rPr>
                <w:rFonts w:hint="eastAsia"/>
                <w:b w:val="0"/>
                <w:bCs/>
                <w:sz w:val="21"/>
                <w:szCs w:val="21"/>
              </w:rPr>
              <w:t>夜间50dB(A)</w:t>
            </w:r>
          </w:p>
        </w:tc>
      </w:tr>
      <w:tr w14:paraId="4C0B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29" w:type="dxa"/>
            <w:vMerge w:val="continue"/>
            <w:vAlign w:val="center"/>
          </w:tcPr>
          <w:p w14:paraId="60798E9C">
            <w:pPr>
              <w:pStyle w:val="756"/>
              <w:rPr>
                <w:b w:val="0"/>
                <w:bCs/>
                <w:sz w:val="21"/>
                <w:szCs w:val="21"/>
              </w:rPr>
            </w:pPr>
          </w:p>
        </w:tc>
        <w:tc>
          <w:tcPr>
            <w:tcW w:w="2393" w:type="dxa"/>
            <w:gridSpan w:val="3"/>
            <w:vAlign w:val="center"/>
          </w:tcPr>
          <w:p w14:paraId="64758088">
            <w:pPr>
              <w:pStyle w:val="756"/>
              <w:rPr>
                <w:b w:val="0"/>
                <w:bCs/>
                <w:sz w:val="21"/>
                <w:szCs w:val="21"/>
              </w:rPr>
            </w:pPr>
            <w:r>
              <w:rPr>
                <w:rFonts w:hint="eastAsia"/>
                <w:b w:val="0"/>
                <w:bCs/>
                <w:sz w:val="21"/>
                <w:szCs w:val="21"/>
              </w:rPr>
              <w:t>鸡只</w:t>
            </w:r>
          </w:p>
        </w:tc>
        <w:tc>
          <w:tcPr>
            <w:tcW w:w="4073" w:type="dxa"/>
            <w:gridSpan w:val="5"/>
            <w:vMerge w:val="continue"/>
            <w:vAlign w:val="center"/>
          </w:tcPr>
          <w:p w14:paraId="1C142AAC">
            <w:pPr>
              <w:pStyle w:val="756"/>
              <w:rPr>
                <w:b w:val="0"/>
                <w:bCs/>
                <w:sz w:val="21"/>
                <w:szCs w:val="21"/>
              </w:rPr>
            </w:pPr>
          </w:p>
        </w:tc>
        <w:tc>
          <w:tcPr>
            <w:tcW w:w="2015" w:type="dxa"/>
            <w:gridSpan w:val="3"/>
            <w:vMerge w:val="continue"/>
            <w:vAlign w:val="center"/>
          </w:tcPr>
          <w:p w14:paraId="4F816D3E">
            <w:pPr>
              <w:pStyle w:val="756"/>
              <w:rPr>
                <w:b w:val="0"/>
                <w:bCs/>
                <w:sz w:val="21"/>
                <w:szCs w:val="21"/>
              </w:rPr>
            </w:pPr>
          </w:p>
        </w:tc>
        <w:tc>
          <w:tcPr>
            <w:tcW w:w="3636" w:type="dxa"/>
            <w:gridSpan w:val="4"/>
            <w:vMerge w:val="continue"/>
            <w:vAlign w:val="center"/>
          </w:tcPr>
          <w:p w14:paraId="0C24220D">
            <w:pPr>
              <w:pStyle w:val="756"/>
              <w:rPr>
                <w:b w:val="0"/>
                <w:bCs/>
                <w:sz w:val="21"/>
                <w:szCs w:val="21"/>
              </w:rPr>
            </w:pPr>
          </w:p>
        </w:tc>
        <w:tc>
          <w:tcPr>
            <w:tcW w:w="1674" w:type="dxa"/>
            <w:gridSpan w:val="2"/>
            <w:vMerge w:val="continue"/>
            <w:vAlign w:val="center"/>
          </w:tcPr>
          <w:p w14:paraId="12850987">
            <w:pPr>
              <w:pStyle w:val="756"/>
              <w:rPr>
                <w:b w:val="0"/>
                <w:bCs/>
                <w:sz w:val="21"/>
                <w:szCs w:val="21"/>
              </w:rPr>
            </w:pPr>
          </w:p>
        </w:tc>
      </w:tr>
      <w:tr w14:paraId="3AA2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shd w:val="clear" w:color="auto" w:fill="9ED3A3" w:themeFill="background1" w:themeFillShade="D8"/>
            <w:vAlign w:val="center"/>
          </w:tcPr>
          <w:p w14:paraId="268CBBE7">
            <w:pPr>
              <w:pStyle w:val="756"/>
              <w:rPr>
                <w:b w:val="0"/>
                <w:bCs/>
                <w:sz w:val="21"/>
                <w:szCs w:val="21"/>
              </w:rPr>
            </w:pPr>
            <w:r>
              <w:rPr>
                <w:rFonts w:hint="eastAsia"/>
                <w:b w:val="0"/>
                <w:bCs/>
                <w:sz w:val="21"/>
                <w:szCs w:val="21"/>
              </w:rPr>
              <w:t>项目</w:t>
            </w:r>
          </w:p>
        </w:tc>
        <w:tc>
          <w:tcPr>
            <w:tcW w:w="1443" w:type="dxa"/>
            <w:gridSpan w:val="2"/>
            <w:shd w:val="clear" w:color="auto" w:fill="9ED3A3" w:themeFill="background1" w:themeFillShade="D8"/>
            <w:vAlign w:val="center"/>
          </w:tcPr>
          <w:p w14:paraId="66AFE4B4">
            <w:pPr>
              <w:pStyle w:val="756"/>
              <w:rPr>
                <w:b w:val="0"/>
                <w:bCs/>
                <w:sz w:val="21"/>
                <w:szCs w:val="21"/>
              </w:rPr>
            </w:pPr>
            <w:r>
              <w:rPr>
                <w:rFonts w:hint="eastAsia"/>
                <w:b w:val="0"/>
                <w:bCs/>
                <w:sz w:val="21"/>
                <w:szCs w:val="21"/>
              </w:rPr>
              <w:t>污染源</w:t>
            </w:r>
          </w:p>
        </w:tc>
        <w:tc>
          <w:tcPr>
            <w:tcW w:w="1446" w:type="dxa"/>
            <w:gridSpan w:val="2"/>
            <w:shd w:val="clear" w:color="auto" w:fill="9ED3A3" w:themeFill="background1" w:themeFillShade="D8"/>
            <w:vAlign w:val="center"/>
          </w:tcPr>
          <w:p w14:paraId="1C5BAEA5">
            <w:pPr>
              <w:pStyle w:val="756"/>
              <w:rPr>
                <w:b w:val="0"/>
                <w:bCs/>
                <w:sz w:val="21"/>
                <w:szCs w:val="21"/>
              </w:rPr>
            </w:pPr>
            <w:r>
              <w:rPr>
                <w:rFonts w:hint="eastAsia"/>
                <w:b w:val="0"/>
                <w:bCs/>
                <w:sz w:val="21"/>
                <w:szCs w:val="21"/>
              </w:rPr>
              <w:t>污染物</w:t>
            </w:r>
          </w:p>
        </w:tc>
        <w:tc>
          <w:tcPr>
            <w:tcW w:w="1537" w:type="dxa"/>
            <w:gridSpan w:val="2"/>
            <w:shd w:val="clear" w:color="auto" w:fill="9ED3A3" w:themeFill="background1" w:themeFillShade="D8"/>
            <w:vAlign w:val="center"/>
          </w:tcPr>
          <w:p w14:paraId="42324B0A">
            <w:pPr>
              <w:pStyle w:val="756"/>
              <w:rPr>
                <w:b w:val="0"/>
                <w:bCs/>
                <w:sz w:val="21"/>
                <w:szCs w:val="21"/>
              </w:rPr>
            </w:pPr>
            <w:r>
              <w:rPr>
                <w:rFonts w:hint="eastAsia"/>
                <w:b w:val="0"/>
                <w:bCs/>
                <w:sz w:val="21"/>
                <w:szCs w:val="21"/>
              </w:rPr>
              <w:t>产生量（t/a）</w:t>
            </w:r>
          </w:p>
        </w:tc>
        <w:tc>
          <w:tcPr>
            <w:tcW w:w="4055" w:type="dxa"/>
            <w:gridSpan w:val="5"/>
            <w:shd w:val="clear" w:color="auto" w:fill="9ED3A3" w:themeFill="background1" w:themeFillShade="D8"/>
            <w:vAlign w:val="center"/>
          </w:tcPr>
          <w:p w14:paraId="3A1C9AC5">
            <w:pPr>
              <w:pStyle w:val="756"/>
              <w:rPr>
                <w:b w:val="0"/>
                <w:bCs/>
                <w:sz w:val="21"/>
                <w:szCs w:val="21"/>
              </w:rPr>
            </w:pPr>
            <w:r>
              <w:rPr>
                <w:rFonts w:hint="eastAsia"/>
                <w:b w:val="0"/>
                <w:bCs/>
                <w:sz w:val="21"/>
                <w:szCs w:val="21"/>
              </w:rPr>
              <w:t>去向</w:t>
            </w:r>
          </w:p>
        </w:tc>
        <w:tc>
          <w:tcPr>
            <w:tcW w:w="5310" w:type="dxa"/>
            <w:gridSpan w:val="6"/>
            <w:shd w:val="clear" w:color="auto" w:fill="9ED3A3" w:themeFill="background1" w:themeFillShade="D8"/>
            <w:vAlign w:val="center"/>
          </w:tcPr>
          <w:p w14:paraId="401192BC">
            <w:pPr>
              <w:pStyle w:val="756"/>
              <w:rPr>
                <w:b w:val="0"/>
                <w:bCs/>
                <w:sz w:val="21"/>
                <w:szCs w:val="21"/>
              </w:rPr>
            </w:pPr>
            <w:r>
              <w:rPr>
                <w:rFonts w:hint="eastAsia"/>
                <w:b w:val="0"/>
                <w:bCs/>
                <w:sz w:val="21"/>
                <w:szCs w:val="21"/>
              </w:rPr>
              <w:t>执行标准</w:t>
            </w:r>
          </w:p>
        </w:tc>
      </w:tr>
      <w:tr w14:paraId="729B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vMerge w:val="restart"/>
            <w:vAlign w:val="center"/>
          </w:tcPr>
          <w:p w14:paraId="2CAFB5B0">
            <w:pPr>
              <w:pStyle w:val="756"/>
              <w:rPr>
                <w:b w:val="0"/>
                <w:bCs/>
                <w:sz w:val="21"/>
                <w:szCs w:val="21"/>
              </w:rPr>
            </w:pPr>
            <w:r>
              <w:rPr>
                <w:rFonts w:hint="eastAsia"/>
                <w:b w:val="0"/>
                <w:bCs/>
                <w:sz w:val="21"/>
                <w:szCs w:val="21"/>
              </w:rPr>
              <w:t>固体废物</w:t>
            </w:r>
          </w:p>
        </w:tc>
        <w:tc>
          <w:tcPr>
            <w:tcW w:w="1443" w:type="dxa"/>
            <w:gridSpan w:val="2"/>
            <w:vAlign w:val="center"/>
          </w:tcPr>
          <w:p w14:paraId="00498606">
            <w:pPr>
              <w:pStyle w:val="756"/>
              <w:rPr>
                <w:b w:val="0"/>
                <w:bCs/>
                <w:sz w:val="21"/>
                <w:szCs w:val="21"/>
              </w:rPr>
            </w:pPr>
            <w:r>
              <w:rPr>
                <w:rFonts w:hint="eastAsia"/>
                <w:b w:val="0"/>
                <w:bCs/>
                <w:sz w:val="21"/>
                <w:szCs w:val="21"/>
              </w:rPr>
              <w:t>防疫、治疗过程</w:t>
            </w:r>
          </w:p>
        </w:tc>
        <w:tc>
          <w:tcPr>
            <w:tcW w:w="1446" w:type="dxa"/>
            <w:gridSpan w:val="2"/>
            <w:vAlign w:val="center"/>
          </w:tcPr>
          <w:p w14:paraId="2C068B10">
            <w:pPr>
              <w:pStyle w:val="756"/>
              <w:rPr>
                <w:b w:val="0"/>
                <w:bCs/>
                <w:sz w:val="21"/>
                <w:szCs w:val="21"/>
              </w:rPr>
            </w:pPr>
            <w:r>
              <w:rPr>
                <w:rFonts w:hint="eastAsia"/>
                <w:b w:val="0"/>
                <w:bCs/>
                <w:sz w:val="21"/>
                <w:szCs w:val="21"/>
              </w:rPr>
              <w:t>诊疗废弃物</w:t>
            </w:r>
          </w:p>
        </w:tc>
        <w:tc>
          <w:tcPr>
            <w:tcW w:w="1537" w:type="dxa"/>
            <w:gridSpan w:val="2"/>
            <w:vAlign w:val="center"/>
          </w:tcPr>
          <w:p w14:paraId="5D4E9CD3">
            <w:pPr>
              <w:pStyle w:val="756"/>
              <w:rPr>
                <w:b w:val="0"/>
                <w:bCs/>
                <w:sz w:val="21"/>
                <w:szCs w:val="21"/>
              </w:rPr>
            </w:pPr>
            <w:r>
              <w:rPr>
                <w:rFonts w:hint="eastAsia"/>
                <w:b w:val="0"/>
                <w:bCs/>
                <w:sz w:val="21"/>
                <w:szCs w:val="21"/>
              </w:rPr>
              <w:t>0.05</w:t>
            </w:r>
          </w:p>
        </w:tc>
        <w:tc>
          <w:tcPr>
            <w:tcW w:w="4055" w:type="dxa"/>
            <w:gridSpan w:val="5"/>
            <w:vAlign w:val="center"/>
          </w:tcPr>
          <w:p w14:paraId="5CDBDC75">
            <w:pPr>
              <w:pStyle w:val="756"/>
              <w:rPr>
                <w:b w:val="0"/>
                <w:bCs/>
                <w:sz w:val="21"/>
                <w:szCs w:val="21"/>
              </w:rPr>
            </w:pPr>
            <w:r>
              <w:rPr>
                <w:rFonts w:hint="eastAsia"/>
                <w:b w:val="0"/>
                <w:bCs/>
                <w:sz w:val="21"/>
                <w:szCs w:val="21"/>
              </w:rPr>
              <w:t>暂存于诊疗废弃物暂存间，最终交由有资质单位拉运处置</w:t>
            </w:r>
          </w:p>
        </w:tc>
        <w:tc>
          <w:tcPr>
            <w:tcW w:w="5310" w:type="dxa"/>
            <w:gridSpan w:val="6"/>
            <w:vAlign w:val="center"/>
          </w:tcPr>
          <w:p w14:paraId="2A105CCE">
            <w:pPr>
              <w:pStyle w:val="756"/>
              <w:rPr>
                <w:b w:val="0"/>
                <w:bCs/>
                <w:sz w:val="21"/>
                <w:szCs w:val="21"/>
              </w:rPr>
            </w:pPr>
            <w:r>
              <w:rPr>
                <w:rFonts w:hint="eastAsia"/>
                <w:b w:val="0"/>
                <w:bCs/>
                <w:sz w:val="21"/>
                <w:szCs w:val="21"/>
              </w:rPr>
              <w:t>《危险废物贮存污染物控制标准》（GB18597-2023）</w:t>
            </w:r>
          </w:p>
        </w:tc>
      </w:tr>
      <w:tr w14:paraId="65BF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vMerge w:val="continue"/>
            <w:vAlign w:val="center"/>
          </w:tcPr>
          <w:p w14:paraId="2534728D">
            <w:pPr>
              <w:pStyle w:val="756"/>
              <w:rPr>
                <w:b w:val="0"/>
                <w:bCs/>
                <w:sz w:val="21"/>
                <w:szCs w:val="21"/>
              </w:rPr>
            </w:pPr>
          </w:p>
        </w:tc>
        <w:tc>
          <w:tcPr>
            <w:tcW w:w="1443" w:type="dxa"/>
            <w:gridSpan w:val="2"/>
            <w:vMerge w:val="restart"/>
            <w:vAlign w:val="center"/>
          </w:tcPr>
          <w:p w14:paraId="7BF2F6E5">
            <w:pPr>
              <w:pStyle w:val="756"/>
              <w:rPr>
                <w:b w:val="0"/>
                <w:bCs/>
                <w:sz w:val="21"/>
                <w:szCs w:val="21"/>
              </w:rPr>
            </w:pPr>
            <w:r>
              <w:rPr>
                <w:rFonts w:hint="eastAsia"/>
                <w:b w:val="0"/>
                <w:bCs/>
                <w:sz w:val="21"/>
                <w:szCs w:val="21"/>
              </w:rPr>
              <w:t>养殖过程</w:t>
            </w:r>
          </w:p>
        </w:tc>
        <w:tc>
          <w:tcPr>
            <w:tcW w:w="1446" w:type="dxa"/>
            <w:gridSpan w:val="2"/>
            <w:vAlign w:val="center"/>
          </w:tcPr>
          <w:p w14:paraId="18A18BDA">
            <w:pPr>
              <w:pStyle w:val="756"/>
              <w:rPr>
                <w:b w:val="0"/>
                <w:bCs/>
                <w:sz w:val="21"/>
                <w:szCs w:val="21"/>
              </w:rPr>
            </w:pPr>
            <w:r>
              <w:rPr>
                <w:rFonts w:hint="eastAsia"/>
                <w:b w:val="0"/>
                <w:bCs/>
                <w:sz w:val="21"/>
                <w:szCs w:val="21"/>
              </w:rPr>
              <w:t>病死鸡、解剖鸡</w:t>
            </w:r>
          </w:p>
        </w:tc>
        <w:tc>
          <w:tcPr>
            <w:tcW w:w="1537" w:type="dxa"/>
            <w:gridSpan w:val="2"/>
            <w:vAlign w:val="center"/>
          </w:tcPr>
          <w:p w14:paraId="165BB77C">
            <w:pPr>
              <w:pStyle w:val="756"/>
              <w:rPr>
                <w:b w:val="0"/>
                <w:bCs/>
                <w:sz w:val="21"/>
                <w:szCs w:val="21"/>
              </w:rPr>
            </w:pPr>
            <w:r>
              <w:rPr>
                <w:rFonts w:hint="eastAsia"/>
                <w:b w:val="0"/>
                <w:bCs/>
                <w:sz w:val="21"/>
                <w:szCs w:val="21"/>
              </w:rPr>
              <w:t>3.6</w:t>
            </w:r>
          </w:p>
        </w:tc>
        <w:tc>
          <w:tcPr>
            <w:tcW w:w="4055" w:type="dxa"/>
            <w:gridSpan w:val="5"/>
            <w:vAlign w:val="center"/>
          </w:tcPr>
          <w:p w14:paraId="23388BD4">
            <w:pPr>
              <w:pStyle w:val="756"/>
              <w:rPr>
                <w:b w:val="0"/>
                <w:bCs/>
                <w:sz w:val="21"/>
                <w:szCs w:val="21"/>
              </w:rPr>
            </w:pPr>
            <w:r>
              <w:rPr>
                <w:rFonts w:hint="eastAsia"/>
                <w:b w:val="0"/>
                <w:bCs/>
                <w:sz w:val="21"/>
                <w:szCs w:val="21"/>
              </w:rPr>
              <w:t>暂存于冷柜，最终交由有资质单位拉运处置</w:t>
            </w:r>
          </w:p>
        </w:tc>
        <w:tc>
          <w:tcPr>
            <w:tcW w:w="5310" w:type="dxa"/>
            <w:gridSpan w:val="6"/>
            <w:vAlign w:val="center"/>
          </w:tcPr>
          <w:p w14:paraId="18C19B9C">
            <w:pPr>
              <w:pStyle w:val="756"/>
              <w:rPr>
                <w:b w:val="0"/>
                <w:bCs/>
                <w:sz w:val="21"/>
                <w:szCs w:val="21"/>
              </w:rPr>
            </w:pPr>
            <w:r>
              <w:rPr>
                <w:rFonts w:hint="eastAsia"/>
                <w:b w:val="0"/>
                <w:bCs/>
                <w:sz w:val="21"/>
                <w:szCs w:val="21"/>
              </w:rPr>
              <w:t>《病害畜禽和病害畜禽产品无害化处理管理办法》（中华人民共和国农业农村部令2022年第3号）和《畜禽养殖业污染防治技术规范》（HJ/T81-2001）</w:t>
            </w:r>
          </w:p>
        </w:tc>
      </w:tr>
      <w:tr w14:paraId="4DBE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dxa"/>
            <w:vMerge w:val="continue"/>
            <w:vAlign w:val="center"/>
          </w:tcPr>
          <w:p w14:paraId="7D4874BB">
            <w:pPr>
              <w:pStyle w:val="756"/>
              <w:rPr>
                <w:b w:val="0"/>
                <w:bCs/>
                <w:sz w:val="21"/>
                <w:szCs w:val="21"/>
              </w:rPr>
            </w:pPr>
          </w:p>
        </w:tc>
        <w:tc>
          <w:tcPr>
            <w:tcW w:w="1443" w:type="dxa"/>
            <w:gridSpan w:val="2"/>
            <w:vMerge w:val="continue"/>
            <w:vAlign w:val="center"/>
          </w:tcPr>
          <w:p w14:paraId="7458F9F1">
            <w:pPr>
              <w:pStyle w:val="756"/>
              <w:rPr>
                <w:b w:val="0"/>
                <w:bCs/>
                <w:sz w:val="21"/>
                <w:szCs w:val="21"/>
              </w:rPr>
            </w:pPr>
          </w:p>
        </w:tc>
        <w:tc>
          <w:tcPr>
            <w:tcW w:w="1446" w:type="dxa"/>
            <w:gridSpan w:val="2"/>
            <w:vAlign w:val="center"/>
          </w:tcPr>
          <w:p w14:paraId="305DE427">
            <w:pPr>
              <w:pStyle w:val="756"/>
              <w:rPr>
                <w:b w:val="0"/>
                <w:bCs/>
                <w:sz w:val="21"/>
                <w:szCs w:val="21"/>
              </w:rPr>
            </w:pPr>
            <w:r>
              <w:rPr>
                <w:rFonts w:hint="eastAsia"/>
                <w:b w:val="0"/>
                <w:bCs/>
                <w:sz w:val="21"/>
                <w:szCs w:val="21"/>
              </w:rPr>
              <w:t>鸡粪、饲料残渣、掉落羽毛</w:t>
            </w:r>
          </w:p>
        </w:tc>
        <w:tc>
          <w:tcPr>
            <w:tcW w:w="1537" w:type="dxa"/>
            <w:gridSpan w:val="2"/>
            <w:vAlign w:val="center"/>
          </w:tcPr>
          <w:p w14:paraId="5107E640">
            <w:pPr>
              <w:pStyle w:val="756"/>
              <w:rPr>
                <w:b w:val="0"/>
                <w:bCs/>
                <w:sz w:val="21"/>
                <w:szCs w:val="21"/>
              </w:rPr>
            </w:pPr>
            <w:r>
              <w:rPr>
                <w:rFonts w:hint="eastAsia"/>
                <w:b w:val="0"/>
                <w:bCs/>
                <w:sz w:val="21"/>
                <w:szCs w:val="21"/>
              </w:rPr>
              <w:t>11880.75</w:t>
            </w:r>
          </w:p>
        </w:tc>
        <w:tc>
          <w:tcPr>
            <w:tcW w:w="4055" w:type="dxa"/>
            <w:gridSpan w:val="5"/>
            <w:vMerge w:val="restart"/>
            <w:vAlign w:val="center"/>
          </w:tcPr>
          <w:p w14:paraId="5201B890">
            <w:pPr>
              <w:pStyle w:val="756"/>
              <w:rPr>
                <w:b w:val="0"/>
                <w:bCs/>
                <w:sz w:val="21"/>
                <w:szCs w:val="21"/>
              </w:rPr>
            </w:pPr>
            <w:r>
              <w:rPr>
                <w:rFonts w:hint="eastAsia"/>
                <w:b w:val="0"/>
                <w:bCs/>
                <w:sz w:val="21"/>
                <w:szCs w:val="21"/>
              </w:rPr>
              <w:t>送至有机肥加工车间制肥</w:t>
            </w:r>
          </w:p>
        </w:tc>
        <w:tc>
          <w:tcPr>
            <w:tcW w:w="5310" w:type="dxa"/>
            <w:gridSpan w:val="6"/>
            <w:vAlign w:val="center"/>
          </w:tcPr>
          <w:p w14:paraId="48AE0240">
            <w:pPr>
              <w:pStyle w:val="756"/>
              <w:rPr>
                <w:b w:val="0"/>
                <w:bCs/>
                <w:sz w:val="21"/>
                <w:szCs w:val="21"/>
              </w:rPr>
            </w:pPr>
            <w:r>
              <w:rPr>
                <w:rFonts w:hint="eastAsia"/>
                <w:b w:val="0"/>
                <w:bCs/>
                <w:sz w:val="21"/>
                <w:szCs w:val="21"/>
              </w:rPr>
              <w:t>《畜禽粪便无害化处理技术规范》（GB/T36195-2018）和《畜禽粪便还田技术规范》（GB/T25246-2010）</w:t>
            </w:r>
          </w:p>
        </w:tc>
      </w:tr>
      <w:tr w14:paraId="2427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vMerge w:val="continue"/>
            <w:vAlign w:val="center"/>
          </w:tcPr>
          <w:p w14:paraId="3F020F4C">
            <w:pPr>
              <w:pStyle w:val="756"/>
              <w:rPr>
                <w:b w:val="0"/>
                <w:bCs/>
                <w:sz w:val="21"/>
                <w:szCs w:val="21"/>
              </w:rPr>
            </w:pPr>
          </w:p>
        </w:tc>
        <w:tc>
          <w:tcPr>
            <w:tcW w:w="1443" w:type="dxa"/>
            <w:gridSpan w:val="2"/>
            <w:vMerge w:val="continue"/>
            <w:vAlign w:val="center"/>
          </w:tcPr>
          <w:p w14:paraId="14D81879">
            <w:pPr>
              <w:pStyle w:val="756"/>
              <w:rPr>
                <w:b w:val="0"/>
                <w:bCs/>
                <w:sz w:val="21"/>
                <w:szCs w:val="21"/>
              </w:rPr>
            </w:pPr>
          </w:p>
        </w:tc>
        <w:tc>
          <w:tcPr>
            <w:tcW w:w="1446" w:type="dxa"/>
            <w:gridSpan w:val="2"/>
            <w:vAlign w:val="center"/>
          </w:tcPr>
          <w:p w14:paraId="528E5C94">
            <w:pPr>
              <w:pStyle w:val="756"/>
              <w:rPr>
                <w:b w:val="0"/>
                <w:bCs/>
                <w:sz w:val="21"/>
                <w:szCs w:val="21"/>
              </w:rPr>
            </w:pPr>
            <w:r>
              <w:rPr>
                <w:rFonts w:hint="eastAsia"/>
                <w:b w:val="0"/>
                <w:bCs/>
                <w:sz w:val="21"/>
                <w:szCs w:val="21"/>
              </w:rPr>
              <w:t>不合格蛋</w:t>
            </w:r>
          </w:p>
        </w:tc>
        <w:tc>
          <w:tcPr>
            <w:tcW w:w="1537" w:type="dxa"/>
            <w:gridSpan w:val="2"/>
            <w:vAlign w:val="center"/>
          </w:tcPr>
          <w:p w14:paraId="2588A235">
            <w:pPr>
              <w:pStyle w:val="756"/>
              <w:rPr>
                <w:b w:val="0"/>
                <w:bCs/>
                <w:sz w:val="21"/>
                <w:szCs w:val="21"/>
              </w:rPr>
            </w:pPr>
            <w:r>
              <w:rPr>
                <w:rFonts w:hint="eastAsia"/>
                <w:b w:val="0"/>
                <w:bCs/>
                <w:sz w:val="21"/>
                <w:szCs w:val="21"/>
              </w:rPr>
              <w:t>181.8</w:t>
            </w:r>
          </w:p>
        </w:tc>
        <w:tc>
          <w:tcPr>
            <w:tcW w:w="4055" w:type="dxa"/>
            <w:gridSpan w:val="5"/>
            <w:vMerge w:val="continue"/>
            <w:vAlign w:val="center"/>
          </w:tcPr>
          <w:p w14:paraId="32F747F3">
            <w:pPr>
              <w:pStyle w:val="756"/>
              <w:rPr>
                <w:b w:val="0"/>
                <w:bCs/>
                <w:sz w:val="21"/>
                <w:szCs w:val="21"/>
              </w:rPr>
            </w:pPr>
          </w:p>
        </w:tc>
        <w:tc>
          <w:tcPr>
            <w:tcW w:w="5310" w:type="dxa"/>
            <w:gridSpan w:val="6"/>
            <w:vMerge w:val="restart"/>
            <w:vAlign w:val="center"/>
          </w:tcPr>
          <w:p w14:paraId="52D537A4">
            <w:pPr>
              <w:pStyle w:val="756"/>
              <w:rPr>
                <w:b w:val="0"/>
                <w:bCs/>
                <w:sz w:val="21"/>
                <w:szCs w:val="21"/>
              </w:rPr>
            </w:pPr>
            <w:r>
              <w:rPr>
                <w:rFonts w:hint="eastAsia"/>
                <w:b w:val="0"/>
                <w:bCs/>
                <w:sz w:val="21"/>
                <w:szCs w:val="21"/>
              </w:rPr>
              <w:t>《一般工业固体废物贮存和填埋污染控制标准》（GB18599-2020）</w:t>
            </w:r>
          </w:p>
        </w:tc>
      </w:tr>
      <w:tr w14:paraId="270D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vMerge w:val="continue"/>
            <w:vAlign w:val="center"/>
          </w:tcPr>
          <w:p w14:paraId="5BC0FB26">
            <w:pPr>
              <w:pStyle w:val="756"/>
              <w:rPr>
                <w:b w:val="0"/>
                <w:bCs/>
                <w:sz w:val="21"/>
                <w:szCs w:val="21"/>
              </w:rPr>
            </w:pPr>
          </w:p>
        </w:tc>
        <w:tc>
          <w:tcPr>
            <w:tcW w:w="1443" w:type="dxa"/>
            <w:gridSpan w:val="2"/>
            <w:vAlign w:val="center"/>
          </w:tcPr>
          <w:p w14:paraId="41A53D6F">
            <w:pPr>
              <w:pStyle w:val="756"/>
              <w:rPr>
                <w:b w:val="0"/>
                <w:bCs/>
                <w:sz w:val="21"/>
                <w:szCs w:val="21"/>
              </w:rPr>
            </w:pPr>
            <w:r>
              <w:rPr>
                <w:rFonts w:hint="eastAsia"/>
                <w:b w:val="0"/>
                <w:bCs/>
                <w:sz w:val="21"/>
                <w:szCs w:val="21"/>
              </w:rPr>
              <w:t>污水处理站</w:t>
            </w:r>
          </w:p>
        </w:tc>
        <w:tc>
          <w:tcPr>
            <w:tcW w:w="1446" w:type="dxa"/>
            <w:gridSpan w:val="2"/>
            <w:vAlign w:val="center"/>
          </w:tcPr>
          <w:p w14:paraId="3F00FCD5">
            <w:pPr>
              <w:pStyle w:val="756"/>
              <w:rPr>
                <w:b w:val="0"/>
                <w:bCs/>
                <w:sz w:val="21"/>
                <w:szCs w:val="21"/>
              </w:rPr>
            </w:pPr>
            <w:r>
              <w:rPr>
                <w:rFonts w:hint="eastAsia"/>
                <w:b w:val="0"/>
                <w:bCs/>
                <w:sz w:val="21"/>
                <w:szCs w:val="21"/>
              </w:rPr>
              <w:t>污泥</w:t>
            </w:r>
          </w:p>
        </w:tc>
        <w:tc>
          <w:tcPr>
            <w:tcW w:w="1537" w:type="dxa"/>
            <w:gridSpan w:val="2"/>
            <w:vAlign w:val="center"/>
          </w:tcPr>
          <w:p w14:paraId="0BF80EFB">
            <w:pPr>
              <w:pStyle w:val="756"/>
              <w:rPr>
                <w:b w:val="0"/>
                <w:bCs/>
                <w:sz w:val="21"/>
                <w:szCs w:val="21"/>
              </w:rPr>
            </w:pPr>
            <w:r>
              <w:rPr>
                <w:rFonts w:hint="eastAsia"/>
                <w:b w:val="0"/>
                <w:bCs/>
                <w:sz w:val="21"/>
                <w:szCs w:val="21"/>
              </w:rPr>
              <w:t>500</w:t>
            </w:r>
          </w:p>
        </w:tc>
        <w:tc>
          <w:tcPr>
            <w:tcW w:w="4055" w:type="dxa"/>
            <w:gridSpan w:val="5"/>
            <w:vMerge w:val="continue"/>
            <w:vAlign w:val="center"/>
          </w:tcPr>
          <w:p w14:paraId="7FCFBEA5">
            <w:pPr>
              <w:pStyle w:val="756"/>
              <w:rPr>
                <w:b w:val="0"/>
                <w:bCs/>
                <w:sz w:val="21"/>
                <w:szCs w:val="21"/>
              </w:rPr>
            </w:pPr>
          </w:p>
        </w:tc>
        <w:tc>
          <w:tcPr>
            <w:tcW w:w="5310" w:type="dxa"/>
            <w:gridSpan w:val="6"/>
            <w:vMerge w:val="continue"/>
            <w:vAlign w:val="center"/>
          </w:tcPr>
          <w:p w14:paraId="2802FD5F">
            <w:pPr>
              <w:pStyle w:val="756"/>
              <w:rPr>
                <w:b w:val="0"/>
                <w:bCs/>
                <w:sz w:val="21"/>
                <w:szCs w:val="21"/>
              </w:rPr>
            </w:pPr>
          </w:p>
        </w:tc>
      </w:tr>
      <w:tr w14:paraId="337A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vMerge w:val="continue"/>
            <w:vAlign w:val="center"/>
          </w:tcPr>
          <w:p w14:paraId="24EE67FA">
            <w:pPr>
              <w:pStyle w:val="756"/>
              <w:rPr>
                <w:b w:val="0"/>
                <w:bCs/>
                <w:sz w:val="21"/>
                <w:szCs w:val="21"/>
              </w:rPr>
            </w:pPr>
          </w:p>
        </w:tc>
        <w:tc>
          <w:tcPr>
            <w:tcW w:w="1443" w:type="dxa"/>
            <w:gridSpan w:val="2"/>
            <w:vAlign w:val="center"/>
          </w:tcPr>
          <w:p w14:paraId="41A58BAC">
            <w:pPr>
              <w:pStyle w:val="756"/>
              <w:rPr>
                <w:b w:val="0"/>
                <w:bCs/>
                <w:sz w:val="21"/>
                <w:szCs w:val="21"/>
              </w:rPr>
            </w:pPr>
            <w:r>
              <w:rPr>
                <w:rFonts w:hint="eastAsia"/>
                <w:b w:val="0"/>
                <w:bCs/>
                <w:sz w:val="21"/>
                <w:szCs w:val="21"/>
              </w:rPr>
              <w:t>饲料、有机肥加工</w:t>
            </w:r>
          </w:p>
        </w:tc>
        <w:tc>
          <w:tcPr>
            <w:tcW w:w="1446" w:type="dxa"/>
            <w:gridSpan w:val="2"/>
            <w:vAlign w:val="center"/>
          </w:tcPr>
          <w:p w14:paraId="24ED3F63">
            <w:pPr>
              <w:pStyle w:val="756"/>
              <w:rPr>
                <w:b w:val="0"/>
                <w:bCs/>
                <w:sz w:val="21"/>
                <w:szCs w:val="21"/>
              </w:rPr>
            </w:pPr>
            <w:r>
              <w:rPr>
                <w:rFonts w:hint="eastAsia"/>
                <w:b w:val="0"/>
                <w:bCs/>
                <w:sz w:val="21"/>
                <w:szCs w:val="21"/>
              </w:rPr>
              <w:t>除尘灰</w:t>
            </w:r>
          </w:p>
        </w:tc>
        <w:tc>
          <w:tcPr>
            <w:tcW w:w="1537" w:type="dxa"/>
            <w:gridSpan w:val="2"/>
            <w:vAlign w:val="center"/>
          </w:tcPr>
          <w:p w14:paraId="3467BB9A">
            <w:pPr>
              <w:pStyle w:val="756"/>
              <w:rPr>
                <w:b w:val="0"/>
                <w:bCs/>
                <w:sz w:val="21"/>
                <w:szCs w:val="21"/>
              </w:rPr>
            </w:pPr>
            <w:r>
              <w:rPr>
                <w:rFonts w:hint="eastAsia"/>
                <w:b w:val="0"/>
                <w:bCs/>
                <w:sz w:val="21"/>
                <w:szCs w:val="21"/>
              </w:rPr>
              <w:t>7.56</w:t>
            </w:r>
          </w:p>
        </w:tc>
        <w:tc>
          <w:tcPr>
            <w:tcW w:w="4055" w:type="dxa"/>
            <w:gridSpan w:val="5"/>
            <w:vAlign w:val="center"/>
          </w:tcPr>
          <w:p w14:paraId="2C88D414">
            <w:pPr>
              <w:pStyle w:val="756"/>
              <w:rPr>
                <w:b w:val="0"/>
                <w:bCs/>
                <w:sz w:val="21"/>
                <w:szCs w:val="21"/>
              </w:rPr>
            </w:pPr>
            <w:r>
              <w:rPr>
                <w:rFonts w:hint="eastAsia"/>
                <w:b w:val="0"/>
                <w:bCs/>
                <w:sz w:val="21"/>
                <w:szCs w:val="21"/>
              </w:rPr>
              <w:t>分别回用于饲料加工和有机肥制肥</w:t>
            </w:r>
          </w:p>
        </w:tc>
        <w:tc>
          <w:tcPr>
            <w:tcW w:w="5310" w:type="dxa"/>
            <w:gridSpan w:val="6"/>
            <w:vMerge w:val="continue"/>
            <w:vAlign w:val="center"/>
          </w:tcPr>
          <w:p w14:paraId="686737BA">
            <w:pPr>
              <w:pStyle w:val="756"/>
              <w:rPr>
                <w:b w:val="0"/>
                <w:bCs/>
                <w:sz w:val="21"/>
                <w:szCs w:val="21"/>
              </w:rPr>
            </w:pPr>
          </w:p>
        </w:tc>
      </w:tr>
      <w:tr w14:paraId="432E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vMerge w:val="continue"/>
            <w:vAlign w:val="center"/>
          </w:tcPr>
          <w:p w14:paraId="7A5BC0C1">
            <w:pPr>
              <w:pStyle w:val="756"/>
              <w:rPr>
                <w:b w:val="0"/>
                <w:bCs/>
                <w:sz w:val="21"/>
                <w:szCs w:val="21"/>
              </w:rPr>
            </w:pPr>
          </w:p>
        </w:tc>
        <w:tc>
          <w:tcPr>
            <w:tcW w:w="1443" w:type="dxa"/>
            <w:gridSpan w:val="2"/>
            <w:vAlign w:val="center"/>
          </w:tcPr>
          <w:p w14:paraId="2EA11951">
            <w:pPr>
              <w:pStyle w:val="756"/>
              <w:rPr>
                <w:b w:val="0"/>
                <w:bCs/>
                <w:sz w:val="21"/>
                <w:szCs w:val="21"/>
              </w:rPr>
            </w:pPr>
            <w:r>
              <w:rPr>
                <w:rFonts w:hint="eastAsia"/>
                <w:b w:val="0"/>
                <w:bCs/>
                <w:sz w:val="21"/>
                <w:szCs w:val="21"/>
              </w:rPr>
              <w:t>软化水制备</w:t>
            </w:r>
          </w:p>
        </w:tc>
        <w:tc>
          <w:tcPr>
            <w:tcW w:w="1446" w:type="dxa"/>
            <w:gridSpan w:val="2"/>
            <w:vAlign w:val="center"/>
          </w:tcPr>
          <w:p w14:paraId="76C2D7C3">
            <w:pPr>
              <w:pStyle w:val="756"/>
              <w:rPr>
                <w:b w:val="0"/>
                <w:bCs/>
                <w:sz w:val="21"/>
                <w:szCs w:val="21"/>
              </w:rPr>
            </w:pPr>
            <w:r>
              <w:rPr>
                <w:rFonts w:hint="eastAsia"/>
                <w:b w:val="0"/>
                <w:bCs/>
                <w:sz w:val="21"/>
                <w:szCs w:val="21"/>
              </w:rPr>
              <w:t>离子交换树脂</w:t>
            </w:r>
          </w:p>
        </w:tc>
        <w:tc>
          <w:tcPr>
            <w:tcW w:w="1537" w:type="dxa"/>
            <w:gridSpan w:val="2"/>
            <w:vAlign w:val="center"/>
          </w:tcPr>
          <w:p w14:paraId="0AC5BDD3">
            <w:pPr>
              <w:pStyle w:val="756"/>
              <w:rPr>
                <w:b w:val="0"/>
                <w:bCs/>
                <w:sz w:val="21"/>
                <w:szCs w:val="21"/>
              </w:rPr>
            </w:pPr>
            <w:r>
              <w:rPr>
                <w:rFonts w:hint="eastAsia"/>
                <w:b w:val="0"/>
                <w:bCs/>
                <w:sz w:val="21"/>
                <w:szCs w:val="21"/>
              </w:rPr>
              <w:t>0.092t/5a</w:t>
            </w:r>
          </w:p>
        </w:tc>
        <w:tc>
          <w:tcPr>
            <w:tcW w:w="4055" w:type="dxa"/>
            <w:gridSpan w:val="5"/>
            <w:vAlign w:val="center"/>
          </w:tcPr>
          <w:p w14:paraId="10FA8975">
            <w:pPr>
              <w:pStyle w:val="756"/>
              <w:rPr>
                <w:b w:val="0"/>
                <w:bCs/>
                <w:sz w:val="21"/>
                <w:szCs w:val="21"/>
              </w:rPr>
            </w:pPr>
            <w:r>
              <w:rPr>
                <w:rFonts w:hint="eastAsia"/>
                <w:b w:val="0"/>
                <w:bCs/>
                <w:sz w:val="21"/>
                <w:szCs w:val="21"/>
              </w:rPr>
              <w:t>由检修厂家回收</w:t>
            </w:r>
          </w:p>
        </w:tc>
        <w:tc>
          <w:tcPr>
            <w:tcW w:w="5310" w:type="dxa"/>
            <w:gridSpan w:val="6"/>
            <w:vMerge w:val="continue"/>
            <w:vAlign w:val="center"/>
          </w:tcPr>
          <w:p w14:paraId="47EA223C">
            <w:pPr>
              <w:pStyle w:val="756"/>
              <w:rPr>
                <w:b w:val="0"/>
                <w:bCs/>
                <w:sz w:val="21"/>
                <w:szCs w:val="21"/>
              </w:rPr>
            </w:pPr>
          </w:p>
        </w:tc>
      </w:tr>
      <w:tr w14:paraId="6B70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429" w:type="dxa"/>
            <w:vMerge w:val="continue"/>
            <w:vAlign w:val="center"/>
          </w:tcPr>
          <w:p w14:paraId="255736FF">
            <w:pPr>
              <w:pStyle w:val="756"/>
              <w:rPr>
                <w:b w:val="0"/>
                <w:bCs/>
                <w:sz w:val="21"/>
                <w:szCs w:val="21"/>
              </w:rPr>
            </w:pPr>
          </w:p>
        </w:tc>
        <w:tc>
          <w:tcPr>
            <w:tcW w:w="1443" w:type="dxa"/>
            <w:gridSpan w:val="2"/>
            <w:vAlign w:val="center"/>
          </w:tcPr>
          <w:p w14:paraId="6EDAE41C">
            <w:pPr>
              <w:pStyle w:val="756"/>
              <w:rPr>
                <w:b w:val="0"/>
                <w:bCs/>
                <w:sz w:val="21"/>
                <w:szCs w:val="21"/>
              </w:rPr>
            </w:pPr>
            <w:r>
              <w:rPr>
                <w:rFonts w:hint="eastAsia"/>
                <w:b w:val="0"/>
                <w:bCs/>
                <w:sz w:val="21"/>
                <w:szCs w:val="21"/>
              </w:rPr>
              <w:t>职工生活活动</w:t>
            </w:r>
          </w:p>
        </w:tc>
        <w:tc>
          <w:tcPr>
            <w:tcW w:w="1446" w:type="dxa"/>
            <w:gridSpan w:val="2"/>
            <w:vAlign w:val="center"/>
          </w:tcPr>
          <w:p w14:paraId="21EEA938">
            <w:pPr>
              <w:pStyle w:val="756"/>
              <w:rPr>
                <w:b w:val="0"/>
                <w:bCs/>
                <w:sz w:val="21"/>
                <w:szCs w:val="21"/>
              </w:rPr>
            </w:pPr>
            <w:r>
              <w:rPr>
                <w:rFonts w:hint="eastAsia"/>
                <w:b w:val="0"/>
                <w:bCs/>
                <w:sz w:val="21"/>
                <w:szCs w:val="21"/>
              </w:rPr>
              <w:t>生活垃圾</w:t>
            </w:r>
          </w:p>
        </w:tc>
        <w:tc>
          <w:tcPr>
            <w:tcW w:w="1537" w:type="dxa"/>
            <w:gridSpan w:val="2"/>
            <w:vAlign w:val="center"/>
          </w:tcPr>
          <w:p w14:paraId="51A5E25B">
            <w:pPr>
              <w:pStyle w:val="756"/>
              <w:rPr>
                <w:b w:val="0"/>
                <w:bCs/>
                <w:sz w:val="21"/>
                <w:szCs w:val="21"/>
              </w:rPr>
            </w:pPr>
            <w:r>
              <w:rPr>
                <w:rFonts w:hint="eastAsia"/>
                <w:b w:val="0"/>
                <w:bCs/>
                <w:sz w:val="21"/>
                <w:szCs w:val="21"/>
              </w:rPr>
              <w:t>9.125</w:t>
            </w:r>
          </w:p>
        </w:tc>
        <w:tc>
          <w:tcPr>
            <w:tcW w:w="4055" w:type="dxa"/>
            <w:gridSpan w:val="5"/>
            <w:vAlign w:val="center"/>
          </w:tcPr>
          <w:p w14:paraId="673756B0">
            <w:pPr>
              <w:pStyle w:val="756"/>
              <w:rPr>
                <w:b w:val="0"/>
                <w:bCs/>
                <w:sz w:val="21"/>
                <w:szCs w:val="21"/>
              </w:rPr>
            </w:pPr>
            <w:r>
              <w:rPr>
                <w:rFonts w:hint="eastAsia"/>
                <w:b w:val="0"/>
                <w:bCs/>
                <w:sz w:val="21"/>
                <w:szCs w:val="21"/>
              </w:rPr>
              <w:t>由垃圾桶收集定期送至附近垃圾回收站点</w:t>
            </w:r>
          </w:p>
        </w:tc>
        <w:tc>
          <w:tcPr>
            <w:tcW w:w="5310" w:type="dxa"/>
            <w:gridSpan w:val="6"/>
            <w:vMerge w:val="continue"/>
            <w:vAlign w:val="center"/>
          </w:tcPr>
          <w:p w14:paraId="6F0D54A6">
            <w:pPr>
              <w:pStyle w:val="756"/>
              <w:rPr>
                <w:b w:val="0"/>
                <w:bCs/>
                <w:sz w:val="21"/>
                <w:szCs w:val="21"/>
              </w:rPr>
            </w:pPr>
          </w:p>
        </w:tc>
      </w:tr>
    </w:tbl>
    <w:p w14:paraId="182BD8CD">
      <w:pPr>
        <w:pStyle w:val="2"/>
      </w:pPr>
    </w:p>
    <w:p w14:paraId="219A3556">
      <w:pPr>
        <w:pStyle w:val="4"/>
        <w:ind w:firstLine="400"/>
        <w:sectPr>
          <w:pgSz w:w="16840" w:h="11907" w:orient="landscape"/>
          <w:pgMar w:top="1417" w:right="1418" w:bottom="1417" w:left="1418" w:header="964" w:footer="964" w:gutter="0"/>
          <w:cols w:space="0" w:num="1"/>
          <w:docGrid w:linePitch="326" w:charSpace="0"/>
        </w:sectPr>
      </w:pPr>
    </w:p>
    <w:p w14:paraId="633D1FDC">
      <w:pPr>
        <w:pStyle w:val="756"/>
      </w:pPr>
      <w:r>
        <w:t>表9.1-</w:t>
      </w:r>
      <w:r>
        <w:rPr>
          <w:rFonts w:hint="eastAsia"/>
        </w:rPr>
        <w:t>2</w:t>
      </w:r>
      <w:r>
        <w:t xml:space="preserve">  项目污染物防治措施一览表</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
        <w:gridCol w:w="916"/>
        <w:gridCol w:w="1536"/>
        <w:gridCol w:w="4457"/>
        <w:gridCol w:w="996"/>
        <w:gridCol w:w="5837"/>
      </w:tblGrid>
      <w:tr w14:paraId="67C8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Align w:val="center"/>
          </w:tcPr>
          <w:p w14:paraId="39502A9E">
            <w:pPr>
              <w:pStyle w:val="751"/>
              <w:rPr>
                <w:color w:val="auto"/>
              </w:rPr>
            </w:pPr>
            <w:r>
              <w:rPr>
                <w:color w:val="auto"/>
              </w:rPr>
              <w:t>项目</w:t>
            </w:r>
          </w:p>
        </w:tc>
        <w:tc>
          <w:tcPr>
            <w:tcW w:w="322" w:type="pct"/>
            <w:vAlign w:val="center"/>
          </w:tcPr>
          <w:p w14:paraId="36661622">
            <w:pPr>
              <w:pStyle w:val="751"/>
              <w:rPr>
                <w:color w:val="auto"/>
              </w:rPr>
            </w:pPr>
            <w:r>
              <w:rPr>
                <w:color w:val="auto"/>
              </w:rPr>
              <w:t>污染环节</w:t>
            </w:r>
          </w:p>
        </w:tc>
        <w:tc>
          <w:tcPr>
            <w:tcW w:w="540" w:type="pct"/>
            <w:vAlign w:val="center"/>
          </w:tcPr>
          <w:p w14:paraId="6C1C8A5E">
            <w:pPr>
              <w:pStyle w:val="751"/>
              <w:rPr>
                <w:color w:val="auto"/>
              </w:rPr>
            </w:pPr>
            <w:r>
              <w:rPr>
                <w:color w:val="auto"/>
              </w:rPr>
              <w:t>污染物</w:t>
            </w:r>
          </w:p>
        </w:tc>
        <w:tc>
          <w:tcPr>
            <w:tcW w:w="1567" w:type="pct"/>
            <w:vAlign w:val="center"/>
          </w:tcPr>
          <w:p w14:paraId="7DC2A29B">
            <w:pPr>
              <w:pStyle w:val="751"/>
              <w:rPr>
                <w:color w:val="auto"/>
              </w:rPr>
            </w:pPr>
            <w:r>
              <w:rPr>
                <w:color w:val="auto"/>
              </w:rPr>
              <w:t>主要防治措施</w:t>
            </w:r>
          </w:p>
        </w:tc>
        <w:tc>
          <w:tcPr>
            <w:tcW w:w="350" w:type="pct"/>
            <w:vAlign w:val="center"/>
          </w:tcPr>
          <w:p w14:paraId="76DB1FEE">
            <w:pPr>
              <w:pStyle w:val="751"/>
              <w:rPr>
                <w:color w:val="auto"/>
              </w:rPr>
            </w:pPr>
            <w:r>
              <w:rPr>
                <w:color w:val="auto"/>
              </w:rPr>
              <w:t>治理效率</w:t>
            </w:r>
          </w:p>
        </w:tc>
        <w:tc>
          <w:tcPr>
            <w:tcW w:w="2052" w:type="pct"/>
            <w:vAlign w:val="center"/>
          </w:tcPr>
          <w:p w14:paraId="48692AA3">
            <w:pPr>
              <w:pStyle w:val="751"/>
              <w:rPr>
                <w:color w:val="auto"/>
              </w:rPr>
            </w:pPr>
            <w:r>
              <w:rPr>
                <w:color w:val="auto"/>
              </w:rPr>
              <w:t>达标情况</w:t>
            </w:r>
          </w:p>
        </w:tc>
      </w:tr>
      <w:tr w14:paraId="1FC0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restart"/>
            <w:vAlign w:val="center"/>
          </w:tcPr>
          <w:p w14:paraId="00196144">
            <w:pPr>
              <w:pStyle w:val="751"/>
              <w:rPr>
                <w:color w:val="auto"/>
              </w:rPr>
            </w:pPr>
            <w:r>
              <w:rPr>
                <w:color w:val="auto"/>
              </w:rPr>
              <w:t>废气</w:t>
            </w:r>
          </w:p>
        </w:tc>
        <w:tc>
          <w:tcPr>
            <w:tcW w:w="322" w:type="pct"/>
            <w:vAlign w:val="center"/>
          </w:tcPr>
          <w:p w14:paraId="24E84073">
            <w:pPr>
              <w:pStyle w:val="751"/>
              <w:rPr>
                <w:color w:val="auto"/>
              </w:rPr>
            </w:pPr>
            <w:r>
              <w:rPr>
                <w:color w:val="auto"/>
              </w:rPr>
              <w:t>鸡舍</w:t>
            </w:r>
          </w:p>
        </w:tc>
        <w:tc>
          <w:tcPr>
            <w:tcW w:w="540" w:type="pct"/>
            <w:vMerge w:val="restart"/>
            <w:vAlign w:val="center"/>
          </w:tcPr>
          <w:p w14:paraId="7E975088">
            <w:pPr>
              <w:pStyle w:val="751"/>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1567" w:type="pct"/>
            <w:vAlign w:val="center"/>
          </w:tcPr>
          <w:p w14:paraId="6BB63EEE">
            <w:pPr>
              <w:pStyle w:val="751"/>
              <w:jc w:val="both"/>
              <w:rPr>
                <w:color w:val="auto"/>
              </w:rPr>
            </w:pPr>
            <w:r>
              <w:rPr>
                <w:bCs/>
                <w:color w:val="auto"/>
              </w:rPr>
              <w:t>干清粪的方式，每天及时对鸡舍内的鸡粪进行清理，对鸡舍消毒除臭处理，并在鸡舍四周以及各鸡舍之间的空地进行绿化</w:t>
            </w:r>
            <w:r>
              <w:rPr>
                <w:rFonts w:hint="eastAsia"/>
                <w:bCs/>
                <w:color w:val="auto"/>
              </w:rPr>
              <w:t>，安装水雾吸附装置</w:t>
            </w:r>
          </w:p>
        </w:tc>
        <w:tc>
          <w:tcPr>
            <w:tcW w:w="350" w:type="pct"/>
            <w:vAlign w:val="center"/>
          </w:tcPr>
          <w:p w14:paraId="69F1DA5E">
            <w:pPr>
              <w:pStyle w:val="751"/>
              <w:rPr>
                <w:color w:val="auto"/>
              </w:rPr>
            </w:pPr>
            <w:r>
              <w:rPr>
                <w:color w:val="auto"/>
              </w:rPr>
              <w:t>--</w:t>
            </w:r>
          </w:p>
        </w:tc>
        <w:tc>
          <w:tcPr>
            <w:tcW w:w="2052" w:type="pct"/>
            <w:vMerge w:val="restart"/>
            <w:vAlign w:val="center"/>
          </w:tcPr>
          <w:p w14:paraId="4BB41FD3">
            <w:pPr>
              <w:pStyle w:val="751"/>
              <w:rPr>
                <w:color w:val="auto"/>
              </w:rPr>
            </w:pPr>
            <w:r>
              <w:rPr>
                <w:color w:val="auto"/>
              </w:rPr>
              <w:t>NH</w:t>
            </w:r>
            <w:r>
              <w:rPr>
                <w:color w:val="auto"/>
                <w:vertAlign w:val="subscript"/>
              </w:rPr>
              <w:t>3</w:t>
            </w:r>
            <w:r>
              <w:rPr>
                <w:color w:val="auto"/>
              </w:rPr>
              <w:t>、H</w:t>
            </w:r>
            <w:r>
              <w:rPr>
                <w:color w:val="auto"/>
                <w:vertAlign w:val="subscript"/>
              </w:rPr>
              <w:t>2</w:t>
            </w:r>
            <w:r>
              <w:rPr>
                <w:color w:val="auto"/>
              </w:rPr>
              <w:t>S《恶臭污染物排放标准》(GB14554-93)表1二级中新扩改建标准限值及表2中相关要求、臭气浓度执行《畜禽养殖业污染物排放标准》（GB18596-2001）表7中的标准要求</w:t>
            </w:r>
            <w:r>
              <w:rPr>
                <w:rFonts w:hint="eastAsia"/>
                <w:color w:val="auto"/>
              </w:rPr>
              <w:t>；颗粒物执行</w:t>
            </w:r>
            <w:r>
              <w:rPr>
                <w:color w:val="auto"/>
              </w:rPr>
              <w:t>《大气污染物综合排放标准》（GB16297-1996）表2最高允许排放浓度限值</w:t>
            </w:r>
          </w:p>
        </w:tc>
      </w:tr>
      <w:tr w14:paraId="09C4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47AC956D">
            <w:pPr>
              <w:pStyle w:val="751"/>
              <w:rPr>
                <w:color w:val="auto"/>
              </w:rPr>
            </w:pPr>
          </w:p>
        </w:tc>
        <w:tc>
          <w:tcPr>
            <w:tcW w:w="322" w:type="pct"/>
            <w:vAlign w:val="center"/>
          </w:tcPr>
          <w:p w14:paraId="7BA78318">
            <w:pPr>
              <w:pStyle w:val="751"/>
              <w:rPr>
                <w:color w:val="auto"/>
              </w:rPr>
            </w:pPr>
            <w:r>
              <w:rPr>
                <w:color w:val="auto"/>
              </w:rPr>
              <w:t>有机肥加工</w:t>
            </w:r>
          </w:p>
        </w:tc>
        <w:tc>
          <w:tcPr>
            <w:tcW w:w="540" w:type="pct"/>
            <w:vMerge w:val="continue"/>
            <w:vAlign w:val="center"/>
          </w:tcPr>
          <w:p w14:paraId="2E991D9D">
            <w:pPr>
              <w:pStyle w:val="751"/>
              <w:rPr>
                <w:color w:val="auto"/>
              </w:rPr>
            </w:pPr>
          </w:p>
        </w:tc>
        <w:tc>
          <w:tcPr>
            <w:tcW w:w="1567" w:type="pct"/>
            <w:vAlign w:val="center"/>
          </w:tcPr>
          <w:p w14:paraId="29656E97">
            <w:pPr>
              <w:pStyle w:val="751"/>
              <w:jc w:val="both"/>
              <w:rPr>
                <w:color w:val="auto"/>
              </w:rPr>
            </w:pPr>
            <w:r>
              <w:rPr>
                <w:rFonts w:hint="eastAsia"/>
                <w:color w:val="auto"/>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tc>
        <w:tc>
          <w:tcPr>
            <w:tcW w:w="350" w:type="pct"/>
            <w:vAlign w:val="center"/>
          </w:tcPr>
          <w:p w14:paraId="4BDE654E">
            <w:pPr>
              <w:pStyle w:val="751"/>
              <w:rPr>
                <w:color w:val="auto"/>
              </w:rPr>
            </w:pPr>
            <w:r>
              <w:rPr>
                <w:color w:val="auto"/>
              </w:rPr>
              <w:t>去除效率</w:t>
            </w:r>
            <w:r>
              <w:rPr>
                <w:rFonts w:hint="eastAsia"/>
                <w:color w:val="auto"/>
              </w:rPr>
              <w:t>5</w:t>
            </w:r>
            <w:r>
              <w:rPr>
                <w:color w:val="auto"/>
              </w:rPr>
              <w:t>0%</w:t>
            </w:r>
          </w:p>
        </w:tc>
        <w:tc>
          <w:tcPr>
            <w:tcW w:w="2052" w:type="pct"/>
            <w:vMerge w:val="continue"/>
            <w:vAlign w:val="center"/>
          </w:tcPr>
          <w:p w14:paraId="3E71A6B4">
            <w:pPr>
              <w:pStyle w:val="751"/>
              <w:rPr>
                <w:color w:val="auto"/>
              </w:rPr>
            </w:pPr>
          </w:p>
        </w:tc>
      </w:tr>
      <w:tr w14:paraId="6D21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025CF10A">
            <w:pPr>
              <w:pStyle w:val="751"/>
              <w:rPr>
                <w:color w:val="auto"/>
              </w:rPr>
            </w:pPr>
          </w:p>
        </w:tc>
        <w:tc>
          <w:tcPr>
            <w:tcW w:w="322" w:type="pct"/>
            <w:vAlign w:val="center"/>
          </w:tcPr>
          <w:p w14:paraId="2EA63EAE">
            <w:pPr>
              <w:pStyle w:val="751"/>
              <w:rPr>
                <w:color w:val="auto"/>
              </w:rPr>
            </w:pPr>
            <w:r>
              <w:rPr>
                <w:rFonts w:hint="eastAsia"/>
                <w:color w:val="auto"/>
              </w:rPr>
              <w:t>污水处理站</w:t>
            </w:r>
          </w:p>
        </w:tc>
        <w:tc>
          <w:tcPr>
            <w:tcW w:w="540" w:type="pct"/>
            <w:vAlign w:val="center"/>
          </w:tcPr>
          <w:p w14:paraId="62EE0795">
            <w:pPr>
              <w:pStyle w:val="751"/>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1567" w:type="pct"/>
            <w:vAlign w:val="center"/>
          </w:tcPr>
          <w:p w14:paraId="2F0D8D13">
            <w:pPr>
              <w:pStyle w:val="751"/>
              <w:rPr>
                <w:color w:val="auto"/>
              </w:rPr>
            </w:pPr>
            <w:r>
              <w:rPr>
                <w:rFonts w:hint="eastAsia"/>
                <w:bCs/>
                <w:color w:val="auto"/>
              </w:rPr>
              <w:t>活性离子氧除臭；封闭式车间、设备</w:t>
            </w:r>
          </w:p>
        </w:tc>
        <w:tc>
          <w:tcPr>
            <w:tcW w:w="350" w:type="pct"/>
            <w:vAlign w:val="center"/>
          </w:tcPr>
          <w:p w14:paraId="5600C569">
            <w:pPr>
              <w:pStyle w:val="751"/>
              <w:rPr>
                <w:color w:val="auto"/>
              </w:rPr>
            </w:pPr>
            <w:r>
              <w:rPr>
                <w:color w:val="auto"/>
              </w:rPr>
              <w:t>去除效率</w:t>
            </w:r>
            <w:r>
              <w:rPr>
                <w:rFonts w:hint="eastAsia"/>
                <w:color w:val="auto"/>
              </w:rPr>
              <w:t>9</w:t>
            </w:r>
            <w:r>
              <w:rPr>
                <w:color w:val="auto"/>
              </w:rPr>
              <w:t>0%</w:t>
            </w:r>
          </w:p>
        </w:tc>
        <w:tc>
          <w:tcPr>
            <w:tcW w:w="2052" w:type="pct"/>
            <w:vMerge w:val="continue"/>
            <w:vAlign w:val="center"/>
          </w:tcPr>
          <w:p w14:paraId="2BFB7DE9">
            <w:pPr>
              <w:pStyle w:val="751"/>
              <w:rPr>
                <w:color w:val="auto"/>
              </w:rPr>
            </w:pPr>
          </w:p>
        </w:tc>
      </w:tr>
      <w:tr w14:paraId="1292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0C1A5418">
            <w:pPr>
              <w:pStyle w:val="751"/>
              <w:rPr>
                <w:color w:val="auto"/>
              </w:rPr>
            </w:pPr>
          </w:p>
        </w:tc>
        <w:tc>
          <w:tcPr>
            <w:tcW w:w="322" w:type="pct"/>
            <w:vAlign w:val="center"/>
          </w:tcPr>
          <w:p w14:paraId="7702601D">
            <w:pPr>
              <w:pStyle w:val="751"/>
              <w:rPr>
                <w:color w:val="auto"/>
              </w:rPr>
            </w:pPr>
            <w:r>
              <w:rPr>
                <w:color w:val="auto"/>
              </w:rPr>
              <w:t>饲料加工</w:t>
            </w:r>
          </w:p>
        </w:tc>
        <w:tc>
          <w:tcPr>
            <w:tcW w:w="540" w:type="pct"/>
            <w:vAlign w:val="center"/>
          </w:tcPr>
          <w:p w14:paraId="3A43494E">
            <w:pPr>
              <w:pStyle w:val="751"/>
              <w:rPr>
                <w:color w:val="auto"/>
              </w:rPr>
            </w:pPr>
            <w:r>
              <w:rPr>
                <w:color w:val="auto"/>
              </w:rPr>
              <w:t>粉尘</w:t>
            </w:r>
          </w:p>
        </w:tc>
        <w:tc>
          <w:tcPr>
            <w:tcW w:w="1567" w:type="pct"/>
            <w:vAlign w:val="center"/>
          </w:tcPr>
          <w:p w14:paraId="6BBC04D8">
            <w:pPr>
              <w:pStyle w:val="751"/>
              <w:rPr>
                <w:color w:val="auto"/>
              </w:rPr>
            </w:pPr>
            <w:r>
              <w:rPr>
                <w:color w:val="auto"/>
              </w:rPr>
              <w:t>饲料加工过程中产生的颗粒物经</w:t>
            </w:r>
            <w:r>
              <w:rPr>
                <w:rFonts w:hint="eastAsia"/>
                <w:color w:val="auto"/>
              </w:rPr>
              <w:t>集尘罩+</w:t>
            </w:r>
            <w:r>
              <w:rPr>
                <w:color w:val="auto"/>
              </w:rPr>
              <w:t>布袋除尘器处理后经</w:t>
            </w:r>
            <w:r>
              <w:rPr>
                <w:rFonts w:hint="eastAsia"/>
                <w:color w:val="auto"/>
              </w:rPr>
              <w:t>15m</w:t>
            </w:r>
            <w:r>
              <w:rPr>
                <w:color w:val="auto"/>
              </w:rPr>
              <w:t>排气筒</w:t>
            </w:r>
            <w:r>
              <w:rPr>
                <w:rFonts w:hint="eastAsia"/>
                <w:color w:val="auto"/>
              </w:rPr>
              <w:t>（DA001）</w:t>
            </w:r>
            <w:r>
              <w:rPr>
                <w:color w:val="auto"/>
              </w:rPr>
              <w:t>排放</w:t>
            </w:r>
          </w:p>
        </w:tc>
        <w:tc>
          <w:tcPr>
            <w:tcW w:w="350" w:type="pct"/>
            <w:vAlign w:val="center"/>
          </w:tcPr>
          <w:p w14:paraId="0C0D6BDE">
            <w:pPr>
              <w:pStyle w:val="751"/>
              <w:rPr>
                <w:color w:val="auto"/>
              </w:rPr>
            </w:pPr>
            <w:r>
              <w:rPr>
                <w:color w:val="auto"/>
              </w:rPr>
              <w:t>去除效率99%</w:t>
            </w:r>
          </w:p>
        </w:tc>
        <w:tc>
          <w:tcPr>
            <w:tcW w:w="2052" w:type="pct"/>
            <w:vAlign w:val="center"/>
          </w:tcPr>
          <w:p w14:paraId="0C62291A">
            <w:pPr>
              <w:pStyle w:val="751"/>
              <w:rPr>
                <w:color w:val="auto"/>
              </w:rPr>
            </w:pPr>
            <w:r>
              <w:rPr>
                <w:color w:val="auto"/>
              </w:rPr>
              <w:t>《大气污染物综合排放标准》（GB16297-1996）表2最高允许排放浓度限值</w:t>
            </w:r>
          </w:p>
        </w:tc>
      </w:tr>
      <w:tr w14:paraId="1D33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29D2BB82">
            <w:pPr>
              <w:pStyle w:val="751"/>
              <w:rPr>
                <w:color w:val="auto"/>
              </w:rPr>
            </w:pPr>
          </w:p>
        </w:tc>
        <w:tc>
          <w:tcPr>
            <w:tcW w:w="322" w:type="pct"/>
            <w:vAlign w:val="center"/>
          </w:tcPr>
          <w:p w14:paraId="20A39D4C">
            <w:pPr>
              <w:pStyle w:val="751"/>
              <w:rPr>
                <w:color w:val="auto"/>
              </w:rPr>
            </w:pPr>
            <w:r>
              <w:rPr>
                <w:color w:val="auto"/>
              </w:rPr>
              <w:t>锅炉废气</w:t>
            </w:r>
          </w:p>
        </w:tc>
        <w:tc>
          <w:tcPr>
            <w:tcW w:w="540" w:type="pct"/>
            <w:vAlign w:val="center"/>
          </w:tcPr>
          <w:p w14:paraId="166A333A">
            <w:pPr>
              <w:pStyle w:val="751"/>
              <w:rPr>
                <w:color w:val="auto"/>
              </w:rPr>
            </w:pPr>
            <w:r>
              <w:rPr>
                <w:color w:val="auto"/>
              </w:rPr>
              <w:t>NO</w:t>
            </w:r>
            <w:r>
              <w:rPr>
                <w:color w:val="auto"/>
                <w:vertAlign w:val="subscript"/>
              </w:rPr>
              <w:t>X</w:t>
            </w:r>
            <w:r>
              <w:rPr>
                <w:color w:val="auto"/>
              </w:rPr>
              <w:t>、</w:t>
            </w:r>
            <w:r>
              <w:rPr>
                <w:rFonts w:hint="eastAsia"/>
                <w:color w:val="auto"/>
              </w:rPr>
              <w:t>PM</w:t>
            </w:r>
            <w:r>
              <w:rPr>
                <w:rFonts w:hint="eastAsia"/>
                <w:color w:val="auto"/>
                <w:vertAlign w:val="subscript"/>
              </w:rPr>
              <w:t>10</w:t>
            </w:r>
          </w:p>
        </w:tc>
        <w:tc>
          <w:tcPr>
            <w:tcW w:w="1567" w:type="pct"/>
            <w:vAlign w:val="center"/>
          </w:tcPr>
          <w:p w14:paraId="7E8618DE">
            <w:pPr>
              <w:pStyle w:val="751"/>
              <w:rPr>
                <w:color w:val="auto"/>
              </w:rPr>
            </w:pPr>
            <w:r>
              <w:rPr>
                <w:rFonts w:hint="eastAsia"/>
                <w:color w:val="auto"/>
              </w:rPr>
              <w:t>低氮燃烧+8</w:t>
            </w:r>
            <w:r>
              <w:rPr>
                <w:color w:val="auto"/>
              </w:rPr>
              <w:t>m排气筒</w:t>
            </w:r>
            <w:r>
              <w:rPr>
                <w:rFonts w:hint="eastAsia"/>
                <w:color w:val="auto"/>
              </w:rPr>
              <w:t>DA004、DA005、DA006</w:t>
            </w:r>
          </w:p>
        </w:tc>
        <w:tc>
          <w:tcPr>
            <w:tcW w:w="350" w:type="pct"/>
            <w:vAlign w:val="center"/>
          </w:tcPr>
          <w:p w14:paraId="249CD5E6">
            <w:pPr>
              <w:pStyle w:val="751"/>
              <w:rPr>
                <w:color w:val="auto"/>
              </w:rPr>
            </w:pPr>
            <w:r>
              <w:rPr>
                <w:color w:val="auto"/>
              </w:rPr>
              <w:t>去除效率</w:t>
            </w:r>
            <w:r>
              <w:rPr>
                <w:rFonts w:hint="eastAsia"/>
                <w:color w:val="auto"/>
              </w:rPr>
              <w:t>30%</w:t>
            </w:r>
          </w:p>
        </w:tc>
        <w:tc>
          <w:tcPr>
            <w:tcW w:w="2052" w:type="pct"/>
            <w:vAlign w:val="center"/>
          </w:tcPr>
          <w:p w14:paraId="1B26748F">
            <w:pPr>
              <w:pStyle w:val="751"/>
              <w:rPr>
                <w:color w:val="auto"/>
              </w:rPr>
            </w:pPr>
            <w:r>
              <w:rPr>
                <w:color w:val="auto"/>
              </w:rPr>
              <w:t>《锅炉大气污染物排放标准》（GB13271-2014）中燃气锅炉</w:t>
            </w:r>
            <w:r>
              <w:rPr>
                <w:rFonts w:hint="eastAsia"/>
                <w:color w:val="auto"/>
              </w:rPr>
              <w:t>特别排放限值</w:t>
            </w:r>
            <w:r>
              <w:rPr>
                <w:color w:val="auto"/>
              </w:rPr>
              <w:t>要求</w:t>
            </w:r>
          </w:p>
        </w:tc>
      </w:tr>
      <w:tr w14:paraId="70B2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1A1A098B">
            <w:pPr>
              <w:pStyle w:val="751"/>
              <w:rPr>
                <w:color w:val="auto"/>
              </w:rPr>
            </w:pPr>
          </w:p>
        </w:tc>
        <w:tc>
          <w:tcPr>
            <w:tcW w:w="322" w:type="pct"/>
            <w:vAlign w:val="center"/>
          </w:tcPr>
          <w:p w14:paraId="3EAB196C">
            <w:pPr>
              <w:pStyle w:val="751"/>
              <w:rPr>
                <w:color w:val="auto"/>
              </w:rPr>
            </w:pPr>
            <w:r>
              <w:rPr>
                <w:color w:val="auto"/>
              </w:rPr>
              <w:t>食堂油烟</w:t>
            </w:r>
          </w:p>
        </w:tc>
        <w:tc>
          <w:tcPr>
            <w:tcW w:w="540" w:type="pct"/>
            <w:vAlign w:val="center"/>
          </w:tcPr>
          <w:p w14:paraId="301E5ADC">
            <w:pPr>
              <w:pStyle w:val="751"/>
              <w:rPr>
                <w:color w:val="auto"/>
              </w:rPr>
            </w:pPr>
            <w:r>
              <w:rPr>
                <w:color w:val="auto"/>
              </w:rPr>
              <w:t>油烟</w:t>
            </w:r>
          </w:p>
        </w:tc>
        <w:tc>
          <w:tcPr>
            <w:tcW w:w="1567" w:type="pct"/>
            <w:vAlign w:val="center"/>
          </w:tcPr>
          <w:p w14:paraId="17F92891">
            <w:pPr>
              <w:pStyle w:val="751"/>
              <w:rPr>
                <w:color w:val="auto"/>
              </w:rPr>
            </w:pPr>
            <w:r>
              <w:rPr>
                <w:color w:val="auto"/>
              </w:rPr>
              <w:t>经油烟净化装置净化后引至屋顶排放</w:t>
            </w:r>
            <w:r>
              <w:rPr>
                <w:rFonts w:hint="eastAsia"/>
                <w:color w:val="auto"/>
              </w:rPr>
              <w:t>DA003</w:t>
            </w:r>
          </w:p>
        </w:tc>
        <w:tc>
          <w:tcPr>
            <w:tcW w:w="350" w:type="pct"/>
            <w:vAlign w:val="center"/>
          </w:tcPr>
          <w:p w14:paraId="11CEB3C4">
            <w:pPr>
              <w:pStyle w:val="751"/>
              <w:rPr>
                <w:color w:val="auto"/>
              </w:rPr>
            </w:pPr>
            <w:r>
              <w:rPr>
                <w:color w:val="auto"/>
              </w:rPr>
              <w:t>去除效率60%</w:t>
            </w:r>
          </w:p>
        </w:tc>
        <w:tc>
          <w:tcPr>
            <w:tcW w:w="2052" w:type="pct"/>
            <w:vAlign w:val="center"/>
          </w:tcPr>
          <w:p w14:paraId="6D6C2DC9">
            <w:pPr>
              <w:pStyle w:val="751"/>
              <w:rPr>
                <w:color w:val="auto"/>
              </w:rPr>
            </w:pPr>
            <w:r>
              <w:rPr>
                <w:color w:val="auto"/>
              </w:rPr>
              <w:t>《饮食业油烟排放标准》（GB18483-2001）</w:t>
            </w:r>
          </w:p>
        </w:tc>
      </w:tr>
      <w:tr w14:paraId="3231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restart"/>
            <w:vAlign w:val="center"/>
          </w:tcPr>
          <w:p w14:paraId="2653E675">
            <w:pPr>
              <w:pStyle w:val="751"/>
              <w:rPr>
                <w:color w:val="auto"/>
              </w:rPr>
            </w:pPr>
            <w:r>
              <w:rPr>
                <w:color w:val="auto"/>
              </w:rPr>
              <w:t>废水</w:t>
            </w:r>
          </w:p>
        </w:tc>
        <w:tc>
          <w:tcPr>
            <w:tcW w:w="322" w:type="pct"/>
            <w:vAlign w:val="center"/>
          </w:tcPr>
          <w:p w14:paraId="7E26553F">
            <w:pPr>
              <w:pStyle w:val="751"/>
              <w:rPr>
                <w:color w:val="auto"/>
              </w:rPr>
            </w:pPr>
            <w:r>
              <w:rPr>
                <w:color w:val="auto"/>
              </w:rPr>
              <w:t>生产废水</w:t>
            </w:r>
          </w:p>
        </w:tc>
        <w:tc>
          <w:tcPr>
            <w:tcW w:w="540" w:type="pct"/>
            <w:vAlign w:val="center"/>
          </w:tcPr>
          <w:p w14:paraId="41060999">
            <w:pPr>
              <w:pStyle w:val="751"/>
              <w:rPr>
                <w:color w:val="auto"/>
              </w:rPr>
            </w:pPr>
            <w:r>
              <w:rPr>
                <w:color w:val="auto"/>
              </w:rPr>
              <w:t>COD、BOD、SS、NH</w:t>
            </w:r>
            <w:r>
              <w:rPr>
                <w:color w:val="auto"/>
                <w:vertAlign w:val="subscript"/>
              </w:rPr>
              <w:t>3</w:t>
            </w:r>
            <w:r>
              <w:rPr>
                <w:color w:val="auto"/>
              </w:rPr>
              <w:t>-N、</w:t>
            </w:r>
          </w:p>
        </w:tc>
        <w:tc>
          <w:tcPr>
            <w:tcW w:w="1567" w:type="pct"/>
            <w:vAlign w:val="center"/>
          </w:tcPr>
          <w:p w14:paraId="7C9820E1">
            <w:pPr>
              <w:pStyle w:val="751"/>
              <w:rPr>
                <w:color w:val="auto"/>
              </w:rPr>
            </w:pPr>
            <w:r>
              <w:rPr>
                <w:rFonts w:hint="eastAsia"/>
                <w:color w:val="auto"/>
              </w:rPr>
              <w:t>有机肥发酵渗滤液、</w:t>
            </w:r>
            <w:r>
              <w:rPr>
                <w:bCs/>
                <w:color w:val="auto"/>
              </w:rPr>
              <w:t>鸡舍冲洗废水</w:t>
            </w:r>
            <w:r>
              <w:rPr>
                <w:rFonts w:hint="eastAsia"/>
                <w:bCs/>
                <w:color w:val="auto"/>
              </w:rPr>
              <w:t>、软化器废水</w:t>
            </w:r>
            <w:r>
              <w:rPr>
                <w:bCs/>
                <w:color w:val="auto"/>
              </w:rPr>
              <w:t>经</w:t>
            </w:r>
            <w:r>
              <w:rPr>
                <w:rFonts w:hint="eastAsia"/>
                <w:bCs/>
                <w:color w:val="auto"/>
              </w:rPr>
              <w:t>污水站</w:t>
            </w:r>
            <w:r>
              <w:rPr>
                <w:bCs/>
                <w:color w:val="auto"/>
              </w:rPr>
              <w:t>处理</w:t>
            </w:r>
            <w:r>
              <w:rPr>
                <w:rFonts w:hint="eastAsia"/>
                <w:bCs/>
                <w:color w:val="auto"/>
              </w:rPr>
              <w:t>后用于</w:t>
            </w:r>
            <w:r>
              <w:rPr>
                <w:rFonts w:hint="eastAsia"/>
                <w:color w:val="auto"/>
              </w:rPr>
              <w:t>厂区绿化、鸡舍冲洗、湿帘降温和洒水抑尘</w:t>
            </w:r>
          </w:p>
        </w:tc>
        <w:tc>
          <w:tcPr>
            <w:tcW w:w="350" w:type="pct"/>
            <w:vMerge w:val="restart"/>
            <w:vAlign w:val="center"/>
          </w:tcPr>
          <w:p w14:paraId="29FCF96D">
            <w:pPr>
              <w:pStyle w:val="751"/>
              <w:rPr>
                <w:color w:val="auto"/>
              </w:rPr>
            </w:pPr>
            <w:r>
              <w:rPr>
                <w:color w:val="auto"/>
              </w:rPr>
              <w:t>—</w:t>
            </w:r>
          </w:p>
        </w:tc>
        <w:tc>
          <w:tcPr>
            <w:tcW w:w="2052" w:type="pct"/>
            <w:vMerge w:val="restart"/>
            <w:vAlign w:val="center"/>
          </w:tcPr>
          <w:p w14:paraId="7EEDEF8B">
            <w:pPr>
              <w:pStyle w:val="751"/>
              <w:rPr>
                <w:color w:val="auto"/>
              </w:rPr>
            </w:pPr>
            <w:r>
              <w:rPr>
                <w:color w:val="auto"/>
              </w:rPr>
              <w:t>《城市污水再生利用城市杂用水水质》（GB/T 18920-2020）</w:t>
            </w:r>
            <w:r>
              <w:rPr>
                <w:rFonts w:hint="eastAsia"/>
                <w:color w:val="auto"/>
              </w:rPr>
              <w:t>城市绿化</w:t>
            </w:r>
          </w:p>
        </w:tc>
      </w:tr>
      <w:tr w14:paraId="33BD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761A30AE">
            <w:pPr>
              <w:pStyle w:val="751"/>
              <w:rPr>
                <w:color w:val="auto"/>
              </w:rPr>
            </w:pPr>
          </w:p>
        </w:tc>
        <w:tc>
          <w:tcPr>
            <w:tcW w:w="322" w:type="pct"/>
            <w:vAlign w:val="center"/>
          </w:tcPr>
          <w:p w14:paraId="35453EB9">
            <w:pPr>
              <w:pStyle w:val="751"/>
              <w:rPr>
                <w:color w:val="auto"/>
              </w:rPr>
            </w:pPr>
            <w:r>
              <w:rPr>
                <w:color w:val="auto"/>
              </w:rPr>
              <w:t>生活污水</w:t>
            </w:r>
          </w:p>
        </w:tc>
        <w:tc>
          <w:tcPr>
            <w:tcW w:w="540" w:type="pct"/>
            <w:vAlign w:val="center"/>
          </w:tcPr>
          <w:p w14:paraId="2BE323B4">
            <w:pPr>
              <w:pStyle w:val="751"/>
              <w:rPr>
                <w:color w:val="auto"/>
              </w:rPr>
            </w:pPr>
            <w:r>
              <w:rPr>
                <w:color w:val="auto"/>
              </w:rPr>
              <w:t>COD、BOD、SS、NH</w:t>
            </w:r>
            <w:r>
              <w:rPr>
                <w:color w:val="auto"/>
                <w:vertAlign w:val="subscript"/>
              </w:rPr>
              <w:t>3</w:t>
            </w:r>
            <w:r>
              <w:rPr>
                <w:color w:val="auto"/>
              </w:rPr>
              <w:t>-N</w:t>
            </w:r>
          </w:p>
        </w:tc>
        <w:tc>
          <w:tcPr>
            <w:tcW w:w="1567" w:type="pct"/>
            <w:vAlign w:val="center"/>
          </w:tcPr>
          <w:p w14:paraId="495BD799">
            <w:pPr>
              <w:pStyle w:val="751"/>
              <w:rPr>
                <w:color w:val="auto"/>
              </w:rPr>
            </w:pPr>
            <w:r>
              <w:rPr>
                <w:color w:val="auto"/>
              </w:rPr>
              <w:t>食堂废水经隔油后和生活污水经管道送入</w:t>
            </w:r>
            <w:r>
              <w:rPr>
                <w:rFonts w:hint="eastAsia"/>
                <w:color w:val="auto"/>
              </w:rPr>
              <w:t>污水站</w:t>
            </w:r>
            <w:r>
              <w:rPr>
                <w:color w:val="auto"/>
              </w:rPr>
              <w:t>处理</w:t>
            </w:r>
            <w:r>
              <w:rPr>
                <w:rFonts w:hint="eastAsia"/>
                <w:bCs/>
                <w:color w:val="auto"/>
              </w:rPr>
              <w:t>后用于</w:t>
            </w:r>
            <w:r>
              <w:rPr>
                <w:rFonts w:hint="eastAsia"/>
                <w:color w:val="auto"/>
              </w:rPr>
              <w:t>厂区绿化、鸡舍冲洗、湿帘降温和洒水抑尘</w:t>
            </w:r>
          </w:p>
        </w:tc>
        <w:tc>
          <w:tcPr>
            <w:tcW w:w="350" w:type="pct"/>
            <w:vMerge w:val="continue"/>
            <w:vAlign w:val="center"/>
          </w:tcPr>
          <w:p w14:paraId="345847C7">
            <w:pPr>
              <w:pStyle w:val="751"/>
              <w:rPr>
                <w:color w:val="auto"/>
              </w:rPr>
            </w:pPr>
          </w:p>
        </w:tc>
        <w:tc>
          <w:tcPr>
            <w:tcW w:w="2052" w:type="pct"/>
            <w:vMerge w:val="continue"/>
            <w:vAlign w:val="center"/>
          </w:tcPr>
          <w:p w14:paraId="13DC4835">
            <w:pPr>
              <w:pStyle w:val="751"/>
              <w:rPr>
                <w:color w:val="auto"/>
              </w:rPr>
            </w:pPr>
          </w:p>
        </w:tc>
      </w:tr>
      <w:tr w14:paraId="3F2A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restart"/>
            <w:vAlign w:val="center"/>
          </w:tcPr>
          <w:p w14:paraId="3160A627">
            <w:pPr>
              <w:pStyle w:val="751"/>
              <w:rPr>
                <w:color w:val="auto"/>
              </w:rPr>
            </w:pPr>
            <w:r>
              <w:rPr>
                <w:color w:val="auto"/>
              </w:rPr>
              <w:t>固废</w:t>
            </w:r>
          </w:p>
        </w:tc>
        <w:tc>
          <w:tcPr>
            <w:tcW w:w="322" w:type="pct"/>
            <w:vAlign w:val="center"/>
          </w:tcPr>
          <w:p w14:paraId="2AA0C952">
            <w:pPr>
              <w:pStyle w:val="751"/>
              <w:rPr>
                <w:color w:val="auto"/>
              </w:rPr>
            </w:pPr>
            <w:r>
              <w:rPr>
                <w:color w:val="auto"/>
              </w:rPr>
              <w:t>鸡舍</w:t>
            </w:r>
          </w:p>
        </w:tc>
        <w:tc>
          <w:tcPr>
            <w:tcW w:w="540" w:type="pct"/>
            <w:vAlign w:val="center"/>
          </w:tcPr>
          <w:p w14:paraId="19966378">
            <w:pPr>
              <w:pStyle w:val="751"/>
              <w:rPr>
                <w:color w:val="auto"/>
              </w:rPr>
            </w:pPr>
            <w:r>
              <w:rPr>
                <w:color w:val="auto"/>
              </w:rPr>
              <w:t>鸡舍鸡粪、鸡毛、残渣</w:t>
            </w:r>
          </w:p>
        </w:tc>
        <w:tc>
          <w:tcPr>
            <w:tcW w:w="1567" w:type="pct"/>
            <w:vAlign w:val="center"/>
          </w:tcPr>
          <w:p w14:paraId="4626676E">
            <w:pPr>
              <w:pStyle w:val="751"/>
              <w:rPr>
                <w:color w:val="auto"/>
              </w:rPr>
            </w:pPr>
            <w:r>
              <w:rPr>
                <w:color w:val="auto"/>
              </w:rPr>
              <w:t>用作有机肥制作原料</w:t>
            </w:r>
          </w:p>
        </w:tc>
        <w:tc>
          <w:tcPr>
            <w:tcW w:w="350" w:type="pct"/>
            <w:vAlign w:val="center"/>
          </w:tcPr>
          <w:p w14:paraId="739EF6E0">
            <w:pPr>
              <w:pStyle w:val="751"/>
              <w:rPr>
                <w:color w:val="auto"/>
              </w:rPr>
            </w:pPr>
            <w:r>
              <w:rPr>
                <w:color w:val="auto"/>
              </w:rPr>
              <w:t>—</w:t>
            </w:r>
          </w:p>
        </w:tc>
        <w:tc>
          <w:tcPr>
            <w:tcW w:w="2052" w:type="pct"/>
            <w:vAlign w:val="center"/>
          </w:tcPr>
          <w:p w14:paraId="6C16B6B4">
            <w:pPr>
              <w:pStyle w:val="751"/>
              <w:rPr>
                <w:color w:val="auto"/>
              </w:rPr>
            </w:pPr>
            <w:r>
              <w:rPr>
                <w:color w:val="auto"/>
              </w:rPr>
              <w:t>《畜禽养殖业污染物排放标准》（GB18596-2001）中表6</w:t>
            </w:r>
          </w:p>
        </w:tc>
      </w:tr>
      <w:tr w14:paraId="389F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480A9BB0">
            <w:pPr>
              <w:pStyle w:val="751"/>
              <w:rPr>
                <w:color w:val="auto"/>
              </w:rPr>
            </w:pPr>
          </w:p>
        </w:tc>
        <w:tc>
          <w:tcPr>
            <w:tcW w:w="322" w:type="pct"/>
            <w:vAlign w:val="center"/>
          </w:tcPr>
          <w:p w14:paraId="7507B4E9">
            <w:pPr>
              <w:pStyle w:val="751"/>
              <w:rPr>
                <w:color w:val="auto"/>
              </w:rPr>
            </w:pPr>
            <w:r>
              <w:rPr>
                <w:color w:val="auto"/>
              </w:rPr>
              <w:t>产品库</w:t>
            </w:r>
          </w:p>
        </w:tc>
        <w:tc>
          <w:tcPr>
            <w:tcW w:w="540" w:type="pct"/>
            <w:vAlign w:val="center"/>
          </w:tcPr>
          <w:p w14:paraId="0FBC93C3">
            <w:pPr>
              <w:pStyle w:val="751"/>
              <w:rPr>
                <w:color w:val="auto"/>
              </w:rPr>
            </w:pPr>
            <w:r>
              <w:rPr>
                <w:color w:val="auto"/>
              </w:rPr>
              <w:t>不合格蛋</w:t>
            </w:r>
          </w:p>
        </w:tc>
        <w:tc>
          <w:tcPr>
            <w:tcW w:w="1567" w:type="pct"/>
            <w:vAlign w:val="center"/>
          </w:tcPr>
          <w:p w14:paraId="0C3FCC7E">
            <w:pPr>
              <w:pStyle w:val="751"/>
              <w:rPr>
                <w:color w:val="auto"/>
              </w:rPr>
            </w:pPr>
            <w:r>
              <w:rPr>
                <w:color w:val="auto"/>
              </w:rPr>
              <w:t>收集后</w:t>
            </w:r>
            <w:r>
              <w:rPr>
                <w:rFonts w:hint="eastAsia"/>
                <w:color w:val="auto"/>
              </w:rPr>
              <w:t>送至有机肥交给你车间生产有机肥</w:t>
            </w:r>
          </w:p>
        </w:tc>
        <w:tc>
          <w:tcPr>
            <w:tcW w:w="350" w:type="pct"/>
            <w:vAlign w:val="center"/>
          </w:tcPr>
          <w:p w14:paraId="40D75FB6">
            <w:pPr>
              <w:pStyle w:val="751"/>
              <w:rPr>
                <w:color w:val="auto"/>
              </w:rPr>
            </w:pPr>
            <w:r>
              <w:rPr>
                <w:color w:val="auto"/>
              </w:rPr>
              <w:t>—</w:t>
            </w:r>
          </w:p>
        </w:tc>
        <w:tc>
          <w:tcPr>
            <w:tcW w:w="2052" w:type="pct"/>
            <w:vAlign w:val="center"/>
          </w:tcPr>
          <w:p w14:paraId="0017E343">
            <w:pPr>
              <w:pStyle w:val="751"/>
              <w:rPr>
                <w:color w:val="auto"/>
              </w:rPr>
            </w:pPr>
            <w:r>
              <w:rPr>
                <w:color w:val="auto"/>
              </w:rPr>
              <w:t>—</w:t>
            </w:r>
          </w:p>
        </w:tc>
      </w:tr>
      <w:tr w14:paraId="2BBD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49EDB708">
            <w:pPr>
              <w:pStyle w:val="751"/>
              <w:rPr>
                <w:color w:val="auto"/>
              </w:rPr>
            </w:pPr>
          </w:p>
        </w:tc>
        <w:tc>
          <w:tcPr>
            <w:tcW w:w="322" w:type="pct"/>
            <w:vAlign w:val="center"/>
          </w:tcPr>
          <w:p w14:paraId="1616FDDC">
            <w:pPr>
              <w:pStyle w:val="751"/>
              <w:rPr>
                <w:color w:val="auto"/>
              </w:rPr>
            </w:pPr>
            <w:r>
              <w:rPr>
                <w:color w:val="auto"/>
              </w:rPr>
              <w:t>饲料车间</w:t>
            </w:r>
          </w:p>
        </w:tc>
        <w:tc>
          <w:tcPr>
            <w:tcW w:w="540" w:type="pct"/>
            <w:vAlign w:val="center"/>
          </w:tcPr>
          <w:p w14:paraId="643059B5">
            <w:pPr>
              <w:pStyle w:val="751"/>
              <w:rPr>
                <w:color w:val="auto"/>
              </w:rPr>
            </w:pPr>
            <w:r>
              <w:rPr>
                <w:color w:val="auto"/>
              </w:rPr>
              <w:t>除尘灰</w:t>
            </w:r>
          </w:p>
        </w:tc>
        <w:tc>
          <w:tcPr>
            <w:tcW w:w="1567" w:type="pct"/>
            <w:vAlign w:val="center"/>
          </w:tcPr>
          <w:p w14:paraId="61434ED7">
            <w:pPr>
              <w:pStyle w:val="751"/>
              <w:rPr>
                <w:color w:val="auto"/>
              </w:rPr>
            </w:pPr>
            <w:r>
              <w:rPr>
                <w:color w:val="auto"/>
              </w:rPr>
              <w:t>回收作为饲料使用</w:t>
            </w:r>
          </w:p>
        </w:tc>
        <w:tc>
          <w:tcPr>
            <w:tcW w:w="350" w:type="pct"/>
            <w:vAlign w:val="center"/>
          </w:tcPr>
          <w:p w14:paraId="3E4C6191">
            <w:pPr>
              <w:pStyle w:val="751"/>
              <w:rPr>
                <w:color w:val="auto"/>
              </w:rPr>
            </w:pPr>
            <w:r>
              <w:rPr>
                <w:color w:val="auto"/>
              </w:rPr>
              <w:t>—</w:t>
            </w:r>
          </w:p>
        </w:tc>
        <w:tc>
          <w:tcPr>
            <w:tcW w:w="2052" w:type="pct"/>
            <w:vAlign w:val="center"/>
          </w:tcPr>
          <w:p w14:paraId="74C02559">
            <w:pPr>
              <w:pStyle w:val="751"/>
              <w:rPr>
                <w:color w:val="auto"/>
              </w:rPr>
            </w:pPr>
            <w:r>
              <w:rPr>
                <w:color w:val="auto"/>
              </w:rPr>
              <w:t>—</w:t>
            </w:r>
          </w:p>
        </w:tc>
      </w:tr>
      <w:tr w14:paraId="4940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2EF4E14F">
            <w:pPr>
              <w:pStyle w:val="751"/>
              <w:rPr>
                <w:color w:val="000000" w:themeColor="text1"/>
                <w14:textFill>
                  <w14:solidFill>
                    <w14:schemeClr w14:val="tx1"/>
                  </w14:solidFill>
                </w14:textFill>
              </w:rPr>
            </w:pPr>
          </w:p>
        </w:tc>
        <w:tc>
          <w:tcPr>
            <w:tcW w:w="322" w:type="pct"/>
            <w:vAlign w:val="center"/>
          </w:tcPr>
          <w:p w14:paraId="5CEB5150">
            <w:pPr>
              <w:pStyle w:val="751"/>
              <w:rPr>
                <w:color w:val="000000" w:themeColor="text1"/>
                <w14:textFill>
                  <w14:solidFill>
                    <w14:schemeClr w14:val="tx1"/>
                  </w14:solidFill>
                </w14:textFill>
              </w:rPr>
            </w:pPr>
            <w:r>
              <w:rPr>
                <w:rFonts w:hint="eastAsia"/>
                <w:color w:val="000000" w:themeColor="text1"/>
                <w14:textFill>
                  <w14:solidFill>
                    <w14:schemeClr w14:val="tx1"/>
                  </w14:solidFill>
                </w14:textFill>
              </w:rPr>
              <w:t>有机肥加工车间</w:t>
            </w:r>
          </w:p>
        </w:tc>
        <w:tc>
          <w:tcPr>
            <w:tcW w:w="540" w:type="pct"/>
            <w:vAlign w:val="center"/>
          </w:tcPr>
          <w:p w14:paraId="6EEAE996">
            <w:pPr>
              <w:pStyle w:val="751"/>
              <w:rPr>
                <w:color w:val="000000" w:themeColor="text1"/>
                <w14:textFill>
                  <w14:solidFill>
                    <w14:schemeClr w14:val="tx1"/>
                  </w14:solidFill>
                </w14:textFill>
              </w:rPr>
            </w:pPr>
            <w:r>
              <w:rPr>
                <w:rFonts w:hint="eastAsia"/>
                <w:color w:val="000000" w:themeColor="text1"/>
                <w14:textFill>
                  <w14:solidFill>
                    <w14:schemeClr w14:val="tx1"/>
                  </w14:solidFill>
                </w14:textFill>
              </w:rPr>
              <w:t>除尘灰</w:t>
            </w:r>
          </w:p>
        </w:tc>
        <w:tc>
          <w:tcPr>
            <w:tcW w:w="1567" w:type="pct"/>
            <w:vAlign w:val="center"/>
          </w:tcPr>
          <w:p w14:paraId="545640BB">
            <w:pPr>
              <w:pStyle w:val="751"/>
              <w:rPr>
                <w:color w:val="000000" w:themeColor="text1"/>
                <w14:textFill>
                  <w14:solidFill>
                    <w14:schemeClr w14:val="tx1"/>
                  </w14:solidFill>
                </w14:textFill>
              </w:rPr>
            </w:pPr>
            <w:r>
              <w:rPr>
                <w:rFonts w:hint="eastAsia"/>
                <w:color w:val="000000" w:themeColor="text1"/>
                <w14:textFill>
                  <w14:solidFill>
                    <w14:schemeClr w14:val="tx1"/>
                  </w14:solidFill>
                </w14:textFill>
              </w:rPr>
              <w:t>回收作为有机肥生产原料使用</w:t>
            </w:r>
          </w:p>
        </w:tc>
        <w:tc>
          <w:tcPr>
            <w:tcW w:w="350" w:type="pct"/>
            <w:vAlign w:val="center"/>
          </w:tcPr>
          <w:p w14:paraId="281ABA79">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c>
          <w:tcPr>
            <w:tcW w:w="2052" w:type="pct"/>
            <w:vAlign w:val="center"/>
          </w:tcPr>
          <w:p w14:paraId="4B099230">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r>
      <w:tr w14:paraId="3428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3975A3E2">
            <w:pPr>
              <w:pStyle w:val="751"/>
              <w:rPr>
                <w:color w:val="000000" w:themeColor="text1"/>
                <w14:textFill>
                  <w14:solidFill>
                    <w14:schemeClr w14:val="tx1"/>
                  </w14:solidFill>
                </w14:textFill>
              </w:rPr>
            </w:pPr>
          </w:p>
        </w:tc>
        <w:tc>
          <w:tcPr>
            <w:tcW w:w="322" w:type="pct"/>
            <w:vAlign w:val="center"/>
          </w:tcPr>
          <w:p w14:paraId="3A370E94">
            <w:pPr>
              <w:pStyle w:val="751"/>
              <w:rPr>
                <w:color w:val="000000" w:themeColor="text1"/>
                <w14:textFill>
                  <w14:solidFill>
                    <w14:schemeClr w14:val="tx1"/>
                  </w14:solidFill>
                </w14:textFill>
              </w:rPr>
            </w:pPr>
            <w:r>
              <w:rPr>
                <w:color w:val="000000" w:themeColor="text1"/>
                <w14:textFill>
                  <w14:solidFill>
                    <w14:schemeClr w14:val="tx1"/>
                  </w14:solidFill>
                </w14:textFill>
              </w:rPr>
              <w:t>防疫</w:t>
            </w:r>
          </w:p>
        </w:tc>
        <w:tc>
          <w:tcPr>
            <w:tcW w:w="540" w:type="pct"/>
            <w:vAlign w:val="center"/>
          </w:tcPr>
          <w:p w14:paraId="5E580B54">
            <w:pPr>
              <w:pStyle w:val="751"/>
              <w:rPr>
                <w:color w:val="000000" w:themeColor="text1"/>
                <w14:textFill>
                  <w14:solidFill>
                    <w14:schemeClr w14:val="tx1"/>
                  </w14:solidFill>
                </w14:textFill>
              </w:rPr>
            </w:pPr>
            <w:r>
              <w:rPr>
                <w:color w:val="000000" w:themeColor="text1"/>
                <w14:textFill>
                  <w14:solidFill>
                    <w14:schemeClr w14:val="tx1"/>
                  </w14:solidFill>
                </w14:textFill>
              </w:rPr>
              <w:t>医疗废物</w:t>
            </w:r>
          </w:p>
        </w:tc>
        <w:tc>
          <w:tcPr>
            <w:tcW w:w="1567" w:type="pct"/>
            <w:vAlign w:val="center"/>
          </w:tcPr>
          <w:p w14:paraId="0E943E23">
            <w:pPr>
              <w:pStyle w:val="751"/>
              <w:rPr>
                <w:color w:val="000000" w:themeColor="text1"/>
                <w14:textFill>
                  <w14:solidFill>
                    <w14:schemeClr w14:val="tx1"/>
                  </w14:solidFill>
                </w14:textFill>
              </w:rPr>
            </w:pPr>
            <w:r>
              <w:rPr>
                <w:color w:val="000000" w:themeColor="text1"/>
                <w14:textFill>
                  <w14:solidFill>
                    <w14:schemeClr w14:val="tx1"/>
                  </w14:solidFill>
                </w14:textFill>
              </w:rPr>
              <w:t>设置</w:t>
            </w:r>
            <w:r>
              <w:rPr>
                <w:rFonts w:hint="eastAsia"/>
                <w:color w:val="000000" w:themeColor="text1"/>
                <w14:textFill>
                  <w14:solidFill>
                    <w14:schemeClr w14:val="tx1"/>
                  </w14:solidFill>
                </w14:textFill>
              </w:rPr>
              <w:t>诊疗废物暂存间</w:t>
            </w:r>
            <w:r>
              <w:rPr>
                <w:color w:val="000000" w:themeColor="text1"/>
                <w14:textFill>
                  <w14:solidFill>
                    <w14:schemeClr w14:val="tx1"/>
                  </w14:solidFill>
                </w14:textFill>
              </w:rPr>
              <w:t>，</w:t>
            </w:r>
            <w:r>
              <w:rPr>
                <w:color w:val="000000" w:themeColor="text1"/>
                <w:kern w:val="21"/>
                <w14:textFill>
                  <w14:solidFill>
                    <w14:schemeClr w14:val="tx1"/>
                  </w14:solidFill>
                </w14:textFill>
              </w:rPr>
              <w:t>按照《危险废物贮存污染控制标准》（（GB18597-2023</w:t>
            </w:r>
            <w:r>
              <w:rPr>
                <w:rFonts w:hint="eastAsia"/>
                <w:color w:val="000000" w:themeColor="text1"/>
                <w:kern w:val="21"/>
                <w14:textFill>
                  <w14:solidFill>
                    <w14:schemeClr w14:val="tx1"/>
                  </w14:solidFill>
                </w14:textFill>
              </w:rPr>
              <w:t>）</w:t>
            </w:r>
            <w:r>
              <w:rPr>
                <w:color w:val="000000" w:themeColor="text1"/>
                <w:kern w:val="21"/>
                <w14:textFill>
                  <w14:solidFill>
                    <w14:schemeClr w14:val="tx1"/>
                  </w14:solidFill>
                </w14:textFill>
              </w:rPr>
              <w:t>要求管理、建设</w:t>
            </w:r>
          </w:p>
        </w:tc>
        <w:tc>
          <w:tcPr>
            <w:tcW w:w="350" w:type="pct"/>
            <w:vAlign w:val="center"/>
          </w:tcPr>
          <w:p w14:paraId="3B653C92">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c>
          <w:tcPr>
            <w:tcW w:w="2052" w:type="pct"/>
            <w:vAlign w:val="center"/>
          </w:tcPr>
          <w:p w14:paraId="3010BE8E">
            <w:pPr>
              <w:pStyle w:val="751"/>
              <w:rPr>
                <w:color w:val="000000" w:themeColor="text1"/>
                <w14:textFill>
                  <w14:solidFill>
                    <w14:schemeClr w14:val="tx1"/>
                  </w14:solidFill>
                </w14:textFill>
              </w:rPr>
            </w:pPr>
            <w:r>
              <w:rPr>
                <w:color w:val="000000" w:themeColor="text1"/>
                <w:kern w:val="21"/>
                <w14:textFill>
                  <w14:solidFill>
                    <w14:schemeClr w14:val="tx1"/>
                  </w14:solidFill>
                </w14:textFill>
              </w:rPr>
              <w:t>《危险废物贮存污染控制标准》（GB18597-2023</w:t>
            </w:r>
            <w:r>
              <w:rPr>
                <w:rFonts w:hint="eastAsia"/>
                <w:color w:val="000000" w:themeColor="text1"/>
                <w:kern w:val="21"/>
                <w14:textFill>
                  <w14:solidFill>
                    <w14:schemeClr w14:val="tx1"/>
                  </w14:solidFill>
                </w14:textFill>
              </w:rPr>
              <w:t>）</w:t>
            </w:r>
          </w:p>
        </w:tc>
      </w:tr>
      <w:tr w14:paraId="081E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74BC1889">
            <w:pPr>
              <w:pStyle w:val="751"/>
              <w:rPr>
                <w:color w:val="000000" w:themeColor="text1"/>
                <w14:textFill>
                  <w14:solidFill>
                    <w14:schemeClr w14:val="tx1"/>
                  </w14:solidFill>
                </w14:textFill>
              </w:rPr>
            </w:pPr>
          </w:p>
        </w:tc>
        <w:tc>
          <w:tcPr>
            <w:tcW w:w="322" w:type="pct"/>
            <w:vAlign w:val="center"/>
          </w:tcPr>
          <w:p w14:paraId="5BEEB719">
            <w:pPr>
              <w:pStyle w:val="751"/>
              <w:rPr>
                <w:color w:val="000000" w:themeColor="text1"/>
                <w14:textFill>
                  <w14:solidFill>
                    <w14:schemeClr w14:val="tx1"/>
                  </w14:solidFill>
                </w14:textFill>
              </w:rPr>
            </w:pPr>
            <w:r>
              <w:rPr>
                <w:color w:val="000000" w:themeColor="text1"/>
                <w14:textFill>
                  <w14:solidFill>
                    <w14:schemeClr w14:val="tx1"/>
                  </w14:solidFill>
                </w14:textFill>
              </w:rPr>
              <w:t>病死鸡</w:t>
            </w:r>
          </w:p>
        </w:tc>
        <w:tc>
          <w:tcPr>
            <w:tcW w:w="540" w:type="pct"/>
            <w:vAlign w:val="center"/>
          </w:tcPr>
          <w:p w14:paraId="59BBE20E">
            <w:pPr>
              <w:pStyle w:val="751"/>
              <w:rPr>
                <w:color w:val="000000" w:themeColor="text1"/>
                <w14:textFill>
                  <w14:solidFill>
                    <w14:schemeClr w14:val="tx1"/>
                  </w14:solidFill>
                </w14:textFill>
              </w:rPr>
            </w:pPr>
            <w:r>
              <w:rPr>
                <w:color w:val="000000" w:themeColor="text1"/>
                <w14:textFill>
                  <w14:solidFill>
                    <w14:schemeClr w14:val="tx1"/>
                  </w14:solidFill>
                </w14:textFill>
              </w:rPr>
              <w:t>病死鸡</w:t>
            </w:r>
          </w:p>
        </w:tc>
        <w:tc>
          <w:tcPr>
            <w:tcW w:w="1567" w:type="pct"/>
            <w:vAlign w:val="center"/>
          </w:tcPr>
          <w:p w14:paraId="18985C36">
            <w:pPr>
              <w:pStyle w:val="751"/>
              <w:rPr>
                <w:color w:val="000000" w:themeColor="text1"/>
                <w14:textFill>
                  <w14:solidFill>
                    <w14:schemeClr w14:val="tx1"/>
                  </w14:solidFill>
                </w14:textFill>
              </w:rPr>
            </w:pPr>
            <w:r>
              <w:rPr>
                <w:color w:val="000000" w:themeColor="text1"/>
                <w14:textFill>
                  <w14:solidFill>
                    <w14:schemeClr w14:val="tx1"/>
                  </w14:solidFill>
                </w14:textFill>
              </w:rPr>
              <w:t>病死鸡按照动物卫生防疫部门管理要求进行无害化处理</w:t>
            </w:r>
          </w:p>
        </w:tc>
        <w:tc>
          <w:tcPr>
            <w:tcW w:w="350" w:type="pct"/>
            <w:vAlign w:val="center"/>
          </w:tcPr>
          <w:p w14:paraId="43F41C60">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c>
          <w:tcPr>
            <w:tcW w:w="2052" w:type="pct"/>
            <w:vAlign w:val="center"/>
          </w:tcPr>
          <w:p w14:paraId="03F2B437">
            <w:pPr>
              <w:pStyle w:val="751"/>
              <w:rPr>
                <w:color w:val="000000" w:themeColor="text1"/>
                <w14:textFill>
                  <w14:solidFill>
                    <w14:schemeClr w14:val="tx1"/>
                  </w14:solidFill>
                </w14:textFill>
              </w:rPr>
            </w:pPr>
            <w:r>
              <w:rPr>
                <w:color w:val="000000" w:themeColor="text1"/>
                <w14:textFill>
                  <w14:solidFill>
                    <w14:schemeClr w14:val="tx1"/>
                  </w14:solidFill>
                </w14:textFill>
              </w:rPr>
              <w:t>《病害动物和病害动物产品生物安全处理规程》（GB16548-2006）和《畜禽养殖业污染防治技术规范》（HJ/T81-2001）</w:t>
            </w:r>
          </w:p>
        </w:tc>
      </w:tr>
      <w:tr w14:paraId="1CCC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12425540">
            <w:pPr>
              <w:pStyle w:val="751"/>
              <w:rPr>
                <w:color w:val="000000" w:themeColor="text1"/>
                <w14:textFill>
                  <w14:solidFill>
                    <w14:schemeClr w14:val="tx1"/>
                  </w14:solidFill>
                </w14:textFill>
              </w:rPr>
            </w:pPr>
          </w:p>
        </w:tc>
        <w:tc>
          <w:tcPr>
            <w:tcW w:w="322" w:type="pct"/>
            <w:vAlign w:val="center"/>
          </w:tcPr>
          <w:p w14:paraId="1145D2F1">
            <w:pPr>
              <w:pStyle w:val="751"/>
              <w:rPr>
                <w:color w:val="000000" w:themeColor="text1"/>
                <w14:textFill>
                  <w14:solidFill>
                    <w14:schemeClr w14:val="tx1"/>
                  </w14:solidFill>
                </w14:textFill>
              </w:rPr>
            </w:pPr>
            <w:r>
              <w:rPr>
                <w:color w:val="000000" w:themeColor="text1"/>
                <w14:textFill>
                  <w14:solidFill>
                    <w14:schemeClr w14:val="tx1"/>
                  </w14:solidFill>
                </w14:textFill>
              </w:rPr>
              <w:t>污水处理</w:t>
            </w:r>
          </w:p>
        </w:tc>
        <w:tc>
          <w:tcPr>
            <w:tcW w:w="540" w:type="pct"/>
            <w:vAlign w:val="center"/>
          </w:tcPr>
          <w:p w14:paraId="24C93215">
            <w:pPr>
              <w:pStyle w:val="751"/>
              <w:rPr>
                <w:color w:val="000000" w:themeColor="text1"/>
                <w14:textFill>
                  <w14:solidFill>
                    <w14:schemeClr w14:val="tx1"/>
                  </w14:solidFill>
                </w14:textFill>
              </w:rPr>
            </w:pPr>
            <w:r>
              <w:rPr>
                <w:rFonts w:hint="eastAsia"/>
                <w:color w:val="000000" w:themeColor="text1"/>
                <w14:textFill>
                  <w14:solidFill>
                    <w14:schemeClr w14:val="tx1"/>
                  </w14:solidFill>
                </w14:textFill>
              </w:rPr>
              <w:t>污泥</w:t>
            </w:r>
          </w:p>
        </w:tc>
        <w:tc>
          <w:tcPr>
            <w:tcW w:w="1567" w:type="pct"/>
            <w:vAlign w:val="center"/>
          </w:tcPr>
          <w:p w14:paraId="374F38C1">
            <w:pPr>
              <w:pStyle w:val="751"/>
              <w:rPr>
                <w:color w:val="000000" w:themeColor="text1"/>
                <w14:textFill>
                  <w14:solidFill>
                    <w14:schemeClr w14:val="tx1"/>
                  </w14:solidFill>
                </w14:textFill>
              </w:rPr>
            </w:pPr>
            <w:r>
              <w:rPr>
                <w:color w:val="000000" w:themeColor="text1"/>
                <w14:textFill>
                  <w14:solidFill>
                    <w14:schemeClr w14:val="tx1"/>
                  </w14:solidFill>
                </w14:textFill>
              </w:rPr>
              <w:t>送至有机肥加工车间制肥</w:t>
            </w:r>
          </w:p>
        </w:tc>
        <w:tc>
          <w:tcPr>
            <w:tcW w:w="350" w:type="pct"/>
            <w:vAlign w:val="center"/>
          </w:tcPr>
          <w:p w14:paraId="515B5E4A">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c>
          <w:tcPr>
            <w:tcW w:w="2052" w:type="pct"/>
            <w:vAlign w:val="center"/>
          </w:tcPr>
          <w:p w14:paraId="789812BC">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r>
      <w:tr w14:paraId="3E53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3A8B1079">
            <w:pPr>
              <w:pStyle w:val="751"/>
              <w:rPr>
                <w:color w:val="000000" w:themeColor="text1"/>
                <w14:textFill>
                  <w14:solidFill>
                    <w14:schemeClr w14:val="tx1"/>
                  </w14:solidFill>
                </w14:textFill>
              </w:rPr>
            </w:pPr>
          </w:p>
        </w:tc>
        <w:tc>
          <w:tcPr>
            <w:tcW w:w="322" w:type="pct"/>
            <w:vAlign w:val="center"/>
          </w:tcPr>
          <w:p w14:paraId="411C410C">
            <w:pPr>
              <w:pStyle w:val="751"/>
              <w:rPr>
                <w:color w:val="000000" w:themeColor="text1"/>
                <w14:textFill>
                  <w14:solidFill>
                    <w14:schemeClr w14:val="tx1"/>
                  </w14:solidFill>
                </w14:textFill>
              </w:rPr>
            </w:pPr>
            <w:r>
              <w:rPr>
                <w:rFonts w:hint="eastAsia"/>
                <w:color w:val="000000" w:themeColor="text1"/>
                <w14:textFill>
                  <w14:solidFill>
                    <w14:schemeClr w14:val="tx1"/>
                  </w14:solidFill>
                </w14:textFill>
              </w:rPr>
              <w:t>软水设备</w:t>
            </w:r>
          </w:p>
        </w:tc>
        <w:tc>
          <w:tcPr>
            <w:tcW w:w="540" w:type="pct"/>
            <w:vAlign w:val="center"/>
          </w:tcPr>
          <w:p w14:paraId="0BE43ED0">
            <w:pPr>
              <w:pStyle w:val="751"/>
              <w:rPr>
                <w:color w:val="000000" w:themeColor="text1"/>
                <w14:textFill>
                  <w14:solidFill>
                    <w14:schemeClr w14:val="tx1"/>
                  </w14:solidFill>
                </w14:textFill>
              </w:rPr>
            </w:pPr>
            <w:r>
              <w:rPr>
                <w:rFonts w:hint="eastAsia"/>
                <w:color w:val="000000" w:themeColor="text1"/>
                <w14:textFill>
                  <w14:solidFill>
                    <w14:schemeClr w14:val="tx1"/>
                  </w14:solidFill>
                </w14:textFill>
              </w:rPr>
              <w:t>废树脂</w:t>
            </w:r>
          </w:p>
        </w:tc>
        <w:tc>
          <w:tcPr>
            <w:tcW w:w="1567" w:type="pct"/>
            <w:vAlign w:val="center"/>
          </w:tcPr>
          <w:p w14:paraId="572FFBF7">
            <w:pPr>
              <w:pStyle w:val="751"/>
              <w:rPr>
                <w:color w:val="000000" w:themeColor="text1"/>
                <w14:textFill>
                  <w14:solidFill>
                    <w14:schemeClr w14:val="tx1"/>
                  </w14:solidFill>
                </w14:textFill>
              </w:rPr>
            </w:pPr>
            <w:r>
              <w:rPr>
                <w:color w:val="000000" w:themeColor="text1"/>
                <w14:textFill>
                  <w14:solidFill>
                    <w14:schemeClr w14:val="tx1"/>
                  </w14:solidFill>
                </w14:textFill>
              </w:rPr>
              <w:t>厂家回收</w:t>
            </w:r>
          </w:p>
        </w:tc>
        <w:tc>
          <w:tcPr>
            <w:tcW w:w="350" w:type="pct"/>
            <w:vAlign w:val="center"/>
          </w:tcPr>
          <w:p w14:paraId="4CB15574">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c>
          <w:tcPr>
            <w:tcW w:w="2052" w:type="pct"/>
            <w:vAlign w:val="center"/>
          </w:tcPr>
          <w:p w14:paraId="6947581A">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r>
      <w:tr w14:paraId="2A83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Merge w:val="continue"/>
            <w:vAlign w:val="center"/>
          </w:tcPr>
          <w:p w14:paraId="22ABC77E">
            <w:pPr>
              <w:pStyle w:val="751"/>
              <w:rPr>
                <w:color w:val="000000" w:themeColor="text1"/>
                <w14:textFill>
                  <w14:solidFill>
                    <w14:schemeClr w14:val="tx1"/>
                  </w14:solidFill>
                </w14:textFill>
              </w:rPr>
            </w:pPr>
          </w:p>
        </w:tc>
        <w:tc>
          <w:tcPr>
            <w:tcW w:w="322" w:type="pct"/>
            <w:vAlign w:val="center"/>
          </w:tcPr>
          <w:p w14:paraId="70527AAC">
            <w:pPr>
              <w:pStyle w:val="751"/>
              <w:rPr>
                <w:color w:val="000000" w:themeColor="text1"/>
                <w14:textFill>
                  <w14:solidFill>
                    <w14:schemeClr w14:val="tx1"/>
                  </w14:solidFill>
                </w14:textFill>
              </w:rPr>
            </w:pPr>
            <w:r>
              <w:rPr>
                <w:color w:val="000000" w:themeColor="text1"/>
                <w14:textFill>
                  <w14:solidFill>
                    <w14:schemeClr w14:val="tx1"/>
                  </w14:solidFill>
                </w14:textFill>
              </w:rPr>
              <w:t>职工</w:t>
            </w:r>
          </w:p>
        </w:tc>
        <w:tc>
          <w:tcPr>
            <w:tcW w:w="540" w:type="pct"/>
            <w:vAlign w:val="center"/>
          </w:tcPr>
          <w:p w14:paraId="1D5447D7">
            <w:pPr>
              <w:pStyle w:val="751"/>
              <w:rPr>
                <w:color w:val="000000" w:themeColor="text1"/>
                <w14:textFill>
                  <w14:solidFill>
                    <w14:schemeClr w14:val="tx1"/>
                  </w14:solidFill>
                </w14:textFill>
              </w:rPr>
            </w:pPr>
            <w:r>
              <w:rPr>
                <w:color w:val="000000" w:themeColor="text1"/>
                <w14:textFill>
                  <w14:solidFill>
                    <w14:schemeClr w14:val="tx1"/>
                  </w14:solidFill>
                </w14:textFill>
              </w:rPr>
              <w:t>生活垃圾</w:t>
            </w:r>
          </w:p>
        </w:tc>
        <w:tc>
          <w:tcPr>
            <w:tcW w:w="1567" w:type="pct"/>
            <w:vAlign w:val="center"/>
          </w:tcPr>
          <w:p w14:paraId="2DC7F537">
            <w:pPr>
              <w:pStyle w:val="751"/>
              <w:rPr>
                <w:color w:val="000000" w:themeColor="text1"/>
                <w14:textFill>
                  <w14:solidFill>
                    <w14:schemeClr w14:val="tx1"/>
                  </w14:solidFill>
                </w14:textFill>
              </w:rPr>
            </w:pPr>
            <w:r>
              <w:rPr>
                <w:color w:val="000000" w:themeColor="text1"/>
                <w14:textFill>
                  <w14:solidFill>
                    <w14:schemeClr w14:val="tx1"/>
                  </w14:solidFill>
                </w14:textFill>
              </w:rPr>
              <w:t>生活垃圾集中收集后，送当地政府部门指定地点进行处理</w:t>
            </w:r>
          </w:p>
        </w:tc>
        <w:tc>
          <w:tcPr>
            <w:tcW w:w="350" w:type="pct"/>
            <w:vAlign w:val="center"/>
          </w:tcPr>
          <w:p w14:paraId="0967745B">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c>
          <w:tcPr>
            <w:tcW w:w="2052" w:type="pct"/>
            <w:vAlign w:val="center"/>
          </w:tcPr>
          <w:p w14:paraId="1F4BB6B2">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r>
      <w:tr w14:paraId="08C3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 w:type="pct"/>
            <w:vAlign w:val="center"/>
          </w:tcPr>
          <w:p w14:paraId="253C69B0">
            <w:pPr>
              <w:pStyle w:val="751"/>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322" w:type="pct"/>
            <w:vAlign w:val="center"/>
          </w:tcPr>
          <w:p w14:paraId="03237FE1">
            <w:pPr>
              <w:pStyle w:val="751"/>
              <w:rPr>
                <w:color w:val="000000" w:themeColor="text1"/>
                <w14:textFill>
                  <w14:solidFill>
                    <w14:schemeClr w14:val="tx1"/>
                  </w14:solidFill>
                </w14:textFill>
              </w:rPr>
            </w:pPr>
            <w:r>
              <w:rPr>
                <w:color w:val="000000" w:themeColor="text1"/>
                <w14:textFill>
                  <w14:solidFill>
                    <w14:schemeClr w14:val="tx1"/>
                  </w14:solidFill>
                </w14:textFill>
              </w:rPr>
              <w:t>各类设备、鸡只</w:t>
            </w:r>
          </w:p>
        </w:tc>
        <w:tc>
          <w:tcPr>
            <w:tcW w:w="540" w:type="pct"/>
            <w:vAlign w:val="center"/>
          </w:tcPr>
          <w:p w14:paraId="0D81FE48">
            <w:pPr>
              <w:pStyle w:val="751"/>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1567" w:type="pct"/>
            <w:vAlign w:val="center"/>
          </w:tcPr>
          <w:p w14:paraId="33BBD2E6">
            <w:pPr>
              <w:pStyle w:val="751"/>
              <w:rPr>
                <w:color w:val="000000" w:themeColor="text1"/>
                <w14:textFill>
                  <w14:solidFill>
                    <w14:schemeClr w14:val="tx1"/>
                  </w14:solidFill>
                </w14:textFill>
              </w:rPr>
            </w:pPr>
            <w:r>
              <w:rPr>
                <w:color w:val="000000" w:themeColor="text1"/>
                <w14:textFill>
                  <w14:solidFill>
                    <w14:schemeClr w14:val="tx1"/>
                  </w14:solidFill>
                </w14:textFill>
              </w:rPr>
              <w:t>采取减振、隔声、合理布局等降噪措施</w:t>
            </w:r>
          </w:p>
        </w:tc>
        <w:tc>
          <w:tcPr>
            <w:tcW w:w="350" w:type="pct"/>
            <w:vAlign w:val="center"/>
          </w:tcPr>
          <w:p w14:paraId="080BD0E2">
            <w:pPr>
              <w:pStyle w:val="751"/>
              <w:rPr>
                <w:color w:val="000000" w:themeColor="text1"/>
                <w14:textFill>
                  <w14:solidFill>
                    <w14:schemeClr w14:val="tx1"/>
                  </w14:solidFill>
                </w14:textFill>
              </w:rPr>
            </w:pPr>
            <w:r>
              <w:rPr>
                <w:color w:val="000000" w:themeColor="text1"/>
                <w14:textFill>
                  <w14:solidFill>
                    <w14:schemeClr w14:val="tx1"/>
                  </w14:solidFill>
                </w14:textFill>
              </w:rPr>
              <w:t>—</w:t>
            </w:r>
          </w:p>
        </w:tc>
        <w:tc>
          <w:tcPr>
            <w:tcW w:w="2052" w:type="pct"/>
            <w:vAlign w:val="center"/>
          </w:tcPr>
          <w:p w14:paraId="2655FC97">
            <w:pPr>
              <w:pStyle w:val="751"/>
              <w:rPr>
                <w:color w:val="000000" w:themeColor="text1"/>
                <w14:textFill>
                  <w14:solidFill>
                    <w14:schemeClr w14:val="tx1"/>
                  </w14:solidFill>
                </w14:textFill>
              </w:rPr>
            </w:pPr>
            <w:r>
              <w:rPr>
                <w:color w:val="000000" w:themeColor="text1"/>
                <w14:textFill>
                  <w14:solidFill>
                    <w14:schemeClr w14:val="tx1"/>
                  </w14:solidFill>
                </w14:textFill>
              </w:rPr>
              <w:t>《工业企业厂界环境噪声排放标准》（GB12348-2008）中2类标准</w:t>
            </w:r>
          </w:p>
        </w:tc>
      </w:tr>
    </w:tbl>
    <w:p w14:paraId="7C377699">
      <w:pPr>
        <w:ind w:firstLine="480"/>
        <w:rPr>
          <w:kern w:val="0"/>
          <w:szCs w:val="24"/>
        </w:rPr>
        <w:sectPr>
          <w:pgSz w:w="16840" w:h="11907" w:orient="landscape"/>
          <w:pgMar w:top="1418" w:right="1418" w:bottom="1418" w:left="1418" w:header="964" w:footer="964" w:gutter="0"/>
          <w:cols w:space="720" w:num="1"/>
          <w:docGrid w:linePitch="326" w:charSpace="0"/>
        </w:sectPr>
      </w:pPr>
    </w:p>
    <w:p w14:paraId="701DE7CA">
      <w:pPr>
        <w:pStyle w:val="10"/>
      </w:pPr>
      <w:bookmarkStart w:id="617" w:name="_Toc166572374"/>
      <w:bookmarkStart w:id="618" w:name="_Toc36234666"/>
      <w:r>
        <w:t>9.2环境监测</w:t>
      </w:r>
      <w:bookmarkEnd w:id="617"/>
      <w:bookmarkEnd w:id="618"/>
    </w:p>
    <w:p w14:paraId="42D22A26">
      <w:pPr>
        <w:pStyle w:val="11"/>
      </w:pPr>
      <w:bookmarkStart w:id="619" w:name="_Toc166572375"/>
      <w:r>
        <w:t>9.2.1监测目的</w:t>
      </w:r>
      <w:bookmarkEnd w:id="619"/>
    </w:p>
    <w:p w14:paraId="7D818AD1">
      <w:pPr>
        <w:pStyle w:val="104"/>
      </w:pPr>
      <w:r>
        <w:t>环境监测（包括污染源监测）是企业环境保护的重要组成部分，也是企业的一项规范化制度。通过环境监测，进行数据整理分析，建立监测档案，可为污染源治理，掌握污染物排放变化规律提供依据，为上级</w:t>
      </w:r>
      <w:r>
        <w:rPr>
          <w:rFonts w:hint="eastAsia"/>
          <w:lang w:val="en-US" w:eastAsia="zh-CN"/>
        </w:rPr>
        <w:t>生态环境</w:t>
      </w:r>
      <w:r>
        <w:t>部门进行区域环境规划、管理执法提供依据。同时，环境监测也是企业实现污染物总量控制，做到清洁生产的重要保证手段之一。</w:t>
      </w:r>
    </w:p>
    <w:p w14:paraId="1DB78F20">
      <w:pPr>
        <w:pStyle w:val="104"/>
      </w:pPr>
      <w:r>
        <w:t>根据建设项目的工程影响分析认为，项目在运营过程中会引发一系列的环境问题：废气、废水、废渣等，这些都可能对当地环境造成影响，所以，运营期进行定期的监测是很有必要的。</w:t>
      </w:r>
    </w:p>
    <w:p w14:paraId="7FCB917D">
      <w:pPr>
        <w:pStyle w:val="11"/>
      </w:pPr>
      <w:bookmarkStart w:id="620" w:name="_Toc166572376"/>
      <w:r>
        <w:t>9.2.2监测机构</w:t>
      </w:r>
      <w:bookmarkEnd w:id="620"/>
    </w:p>
    <w:p w14:paraId="403BDE5D">
      <w:pPr>
        <w:pStyle w:val="104"/>
      </w:pPr>
      <w:r>
        <w:t>环境监测是环保工作的重要组成部分，它是监督检查“三废”排放情况，正确评价环境质量和处理装置性能必不可少的手段。项目监测委托有相关资质的单位进行。</w:t>
      </w:r>
    </w:p>
    <w:p w14:paraId="137662EA">
      <w:pPr>
        <w:pStyle w:val="11"/>
      </w:pPr>
      <w:bookmarkStart w:id="621" w:name="_Toc166572377"/>
      <w:r>
        <w:t>9.2.3监测计划</w:t>
      </w:r>
      <w:bookmarkEnd w:id="621"/>
    </w:p>
    <w:p w14:paraId="2E766D77">
      <w:pPr>
        <w:pStyle w:val="104"/>
      </w:pPr>
      <w:r>
        <w:t>项目按照《排污单位自行监测技术指南总则》（HJ819-2017）制定监测计划、《地下水环境监测技术规范》（HJ-T164-2004），项目运营期对项目污染物排放</w:t>
      </w:r>
      <w:r>
        <w:rPr>
          <w:rFonts w:hint="eastAsia"/>
        </w:rPr>
        <w:t>及环境质量</w:t>
      </w:r>
      <w:r>
        <w:t>进行监测，详见表9.2-1</w:t>
      </w:r>
      <w:r>
        <w:rPr>
          <w:rFonts w:hint="eastAsia"/>
        </w:rPr>
        <w:t>和表9.2-2</w:t>
      </w:r>
      <w:r>
        <w:t>。</w:t>
      </w:r>
    </w:p>
    <w:p w14:paraId="17412D75">
      <w:pPr>
        <w:pStyle w:val="756"/>
      </w:pPr>
      <w:r>
        <w:t>表9.2-1  项目</w:t>
      </w:r>
      <w:r>
        <w:rPr>
          <w:rFonts w:hint="eastAsia"/>
        </w:rPr>
        <w:t>污染源监测</w:t>
      </w:r>
      <w:r>
        <w:t>计划</w:t>
      </w:r>
    </w:p>
    <w:tbl>
      <w:tblPr>
        <w:tblStyle w:val="8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5"/>
        <w:gridCol w:w="2197"/>
        <w:gridCol w:w="2115"/>
        <w:gridCol w:w="1172"/>
        <w:gridCol w:w="3271"/>
      </w:tblGrid>
      <w:tr w14:paraId="55106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83" w:type="pct"/>
            <w:vAlign w:val="center"/>
          </w:tcPr>
          <w:p w14:paraId="7A2232DE">
            <w:pPr>
              <w:pStyle w:val="751"/>
              <w:rPr>
                <w:color w:val="auto"/>
              </w:rPr>
            </w:pPr>
            <w:r>
              <w:rPr>
                <w:rFonts w:hint="eastAsia"/>
                <w:color w:val="auto"/>
              </w:rPr>
              <w:t>类别</w:t>
            </w:r>
          </w:p>
        </w:tc>
        <w:tc>
          <w:tcPr>
            <w:tcW w:w="1183" w:type="pct"/>
            <w:vAlign w:val="center"/>
          </w:tcPr>
          <w:p w14:paraId="795ED73F">
            <w:pPr>
              <w:pStyle w:val="751"/>
              <w:rPr>
                <w:color w:val="auto"/>
              </w:rPr>
            </w:pPr>
            <w:r>
              <w:rPr>
                <w:color w:val="auto"/>
              </w:rPr>
              <w:t>监测点位</w:t>
            </w:r>
          </w:p>
        </w:tc>
        <w:tc>
          <w:tcPr>
            <w:tcW w:w="1139" w:type="pct"/>
            <w:vAlign w:val="center"/>
          </w:tcPr>
          <w:p w14:paraId="299C84CF">
            <w:pPr>
              <w:pStyle w:val="751"/>
              <w:rPr>
                <w:color w:val="auto"/>
              </w:rPr>
            </w:pPr>
            <w:r>
              <w:rPr>
                <w:color w:val="auto"/>
              </w:rPr>
              <w:t>监测项目</w:t>
            </w:r>
          </w:p>
        </w:tc>
        <w:tc>
          <w:tcPr>
            <w:tcW w:w="631" w:type="pct"/>
            <w:vAlign w:val="center"/>
          </w:tcPr>
          <w:p w14:paraId="395B06AC">
            <w:pPr>
              <w:pStyle w:val="751"/>
              <w:rPr>
                <w:color w:val="auto"/>
              </w:rPr>
            </w:pPr>
            <w:r>
              <w:rPr>
                <w:color w:val="auto"/>
              </w:rPr>
              <w:t>监测周期</w:t>
            </w:r>
          </w:p>
        </w:tc>
        <w:tc>
          <w:tcPr>
            <w:tcW w:w="1761" w:type="pct"/>
            <w:vAlign w:val="center"/>
          </w:tcPr>
          <w:p w14:paraId="7DA6897D">
            <w:pPr>
              <w:pStyle w:val="751"/>
              <w:rPr>
                <w:color w:val="auto"/>
              </w:rPr>
            </w:pPr>
            <w:r>
              <w:rPr>
                <w:rFonts w:hint="eastAsia"/>
                <w:color w:val="auto"/>
              </w:rPr>
              <w:t>执行标准</w:t>
            </w:r>
          </w:p>
        </w:tc>
      </w:tr>
      <w:tr w14:paraId="09B1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3" w:type="pct"/>
            <w:vMerge w:val="restart"/>
            <w:vAlign w:val="center"/>
          </w:tcPr>
          <w:p w14:paraId="7E928BC5">
            <w:pPr>
              <w:pStyle w:val="751"/>
              <w:rPr>
                <w:color w:val="auto"/>
              </w:rPr>
            </w:pPr>
            <w:r>
              <w:rPr>
                <w:color w:val="auto"/>
              </w:rPr>
              <w:t>废气</w:t>
            </w:r>
          </w:p>
        </w:tc>
        <w:tc>
          <w:tcPr>
            <w:tcW w:w="1183" w:type="pct"/>
            <w:vAlign w:val="center"/>
          </w:tcPr>
          <w:p w14:paraId="78A26DB4">
            <w:pPr>
              <w:pStyle w:val="751"/>
              <w:rPr>
                <w:color w:val="auto"/>
              </w:rPr>
            </w:pPr>
            <w:r>
              <w:rPr>
                <w:color w:val="auto"/>
              </w:rPr>
              <w:t>厂界外浓度最高点</w:t>
            </w:r>
          </w:p>
        </w:tc>
        <w:tc>
          <w:tcPr>
            <w:tcW w:w="1139" w:type="pct"/>
            <w:vAlign w:val="center"/>
          </w:tcPr>
          <w:p w14:paraId="0A93E7BB">
            <w:pPr>
              <w:pStyle w:val="751"/>
              <w:jc w:val="both"/>
              <w:rPr>
                <w:color w:val="auto"/>
              </w:rPr>
            </w:pPr>
            <w:r>
              <w:rPr>
                <w:color w:val="auto"/>
              </w:rPr>
              <w:t>NH</w:t>
            </w:r>
            <w:r>
              <w:rPr>
                <w:color w:val="auto"/>
                <w:vertAlign w:val="subscript"/>
              </w:rPr>
              <w:t>3</w:t>
            </w:r>
            <w:r>
              <w:rPr>
                <w:color w:val="auto"/>
              </w:rPr>
              <w:t>、H</w:t>
            </w:r>
            <w:r>
              <w:rPr>
                <w:color w:val="auto"/>
                <w:vertAlign w:val="subscript"/>
              </w:rPr>
              <w:t>2</w:t>
            </w:r>
            <w:r>
              <w:rPr>
                <w:color w:val="auto"/>
              </w:rPr>
              <w:t>S、臭气浓度、颗粒物</w:t>
            </w:r>
          </w:p>
        </w:tc>
        <w:tc>
          <w:tcPr>
            <w:tcW w:w="631" w:type="pct"/>
            <w:vAlign w:val="center"/>
          </w:tcPr>
          <w:p w14:paraId="208AB1A2">
            <w:pPr>
              <w:pStyle w:val="751"/>
              <w:rPr>
                <w:color w:val="auto"/>
              </w:rPr>
            </w:pPr>
            <w:r>
              <w:rPr>
                <w:color w:val="auto"/>
              </w:rPr>
              <w:t>1次/年</w:t>
            </w:r>
          </w:p>
        </w:tc>
        <w:tc>
          <w:tcPr>
            <w:tcW w:w="1761" w:type="pct"/>
            <w:vMerge w:val="restart"/>
            <w:vAlign w:val="center"/>
          </w:tcPr>
          <w:p w14:paraId="0A4E2FAB">
            <w:pPr>
              <w:pStyle w:val="751"/>
              <w:jc w:val="both"/>
              <w:rPr>
                <w:color w:val="auto"/>
              </w:rPr>
            </w:pPr>
            <w:r>
              <w:rPr>
                <w:color w:val="auto"/>
                <w:lang w:bidi="ar"/>
              </w:rPr>
              <w:t>硫化氢、氨执行《恶臭污染物排放标准》（</w:t>
            </w:r>
            <w:r>
              <w:rPr>
                <w:color w:val="auto"/>
              </w:rPr>
              <w:t>GB14554-93</w:t>
            </w:r>
            <w:r>
              <w:rPr>
                <w:color w:val="auto"/>
                <w:lang w:bidi="ar"/>
              </w:rPr>
              <w:t>）中</w:t>
            </w:r>
            <w:r>
              <w:rPr>
                <w:color w:val="auto"/>
              </w:rPr>
              <w:t>表1二级中新扩改建标准限值及表2中相关要求</w:t>
            </w:r>
            <w:r>
              <w:rPr>
                <w:rFonts w:hint="eastAsia"/>
                <w:color w:val="auto"/>
                <w:lang w:bidi="ar"/>
              </w:rPr>
              <w:t>；</w:t>
            </w:r>
            <w:r>
              <w:rPr>
                <w:color w:val="auto"/>
                <w:lang w:bidi="ar"/>
              </w:rPr>
              <w:t>臭气浓度执行</w:t>
            </w:r>
            <w:r>
              <w:rPr>
                <w:color w:val="auto"/>
              </w:rPr>
              <w:t>《畜禽养殖业污染物排放标准》（GB18596-2001）中表7相关要求</w:t>
            </w:r>
            <w:r>
              <w:rPr>
                <w:rFonts w:hint="eastAsia"/>
                <w:color w:val="auto"/>
              </w:rPr>
              <w:t>；颗粒物执行</w:t>
            </w:r>
            <w:r>
              <w:rPr>
                <w:color w:val="auto"/>
                <w:lang w:bidi="ar"/>
              </w:rPr>
              <w:t>《大气污染物综合排放标准》（GB16297-1996）表2中的相关标准要求</w:t>
            </w:r>
          </w:p>
        </w:tc>
      </w:tr>
      <w:tr w14:paraId="47FA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283" w:type="pct"/>
            <w:vMerge w:val="continue"/>
            <w:vAlign w:val="center"/>
          </w:tcPr>
          <w:p w14:paraId="570ADE52">
            <w:pPr>
              <w:pStyle w:val="751"/>
              <w:rPr>
                <w:color w:val="auto"/>
              </w:rPr>
            </w:pPr>
          </w:p>
        </w:tc>
        <w:tc>
          <w:tcPr>
            <w:tcW w:w="1183" w:type="pct"/>
            <w:vAlign w:val="center"/>
          </w:tcPr>
          <w:p w14:paraId="35352BB2">
            <w:pPr>
              <w:pStyle w:val="751"/>
              <w:rPr>
                <w:color w:val="auto"/>
              </w:rPr>
            </w:pPr>
            <w:r>
              <w:rPr>
                <w:color w:val="auto"/>
              </w:rPr>
              <w:t>饲料加工</w:t>
            </w:r>
            <w:r>
              <w:rPr>
                <w:rFonts w:hint="eastAsia"/>
                <w:color w:val="auto"/>
              </w:rPr>
              <w:t>D</w:t>
            </w:r>
            <w:r>
              <w:rPr>
                <w:color w:val="auto"/>
              </w:rPr>
              <w:t>A001</w:t>
            </w:r>
          </w:p>
        </w:tc>
        <w:tc>
          <w:tcPr>
            <w:tcW w:w="1139" w:type="pct"/>
            <w:vAlign w:val="center"/>
          </w:tcPr>
          <w:p w14:paraId="214077A0">
            <w:pPr>
              <w:pStyle w:val="751"/>
              <w:rPr>
                <w:color w:val="auto"/>
              </w:rPr>
            </w:pPr>
            <w:r>
              <w:rPr>
                <w:color w:val="auto"/>
              </w:rPr>
              <w:t>颗粒物</w:t>
            </w:r>
          </w:p>
        </w:tc>
        <w:tc>
          <w:tcPr>
            <w:tcW w:w="631" w:type="pct"/>
            <w:vAlign w:val="center"/>
          </w:tcPr>
          <w:p w14:paraId="63C5164F">
            <w:pPr>
              <w:pStyle w:val="751"/>
              <w:rPr>
                <w:color w:val="auto"/>
              </w:rPr>
            </w:pPr>
            <w:r>
              <w:rPr>
                <w:color w:val="auto"/>
              </w:rPr>
              <w:t>1次/年</w:t>
            </w:r>
          </w:p>
        </w:tc>
        <w:tc>
          <w:tcPr>
            <w:tcW w:w="1761" w:type="pct"/>
            <w:vMerge w:val="continue"/>
            <w:vAlign w:val="center"/>
          </w:tcPr>
          <w:p w14:paraId="093322B2">
            <w:pPr>
              <w:pStyle w:val="751"/>
              <w:rPr>
                <w:color w:val="auto"/>
              </w:rPr>
            </w:pPr>
          </w:p>
        </w:tc>
      </w:tr>
      <w:tr w14:paraId="79A2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83" w:type="pct"/>
            <w:vMerge w:val="continue"/>
            <w:vAlign w:val="center"/>
          </w:tcPr>
          <w:p w14:paraId="0C9B4111">
            <w:pPr>
              <w:pStyle w:val="751"/>
              <w:rPr>
                <w:color w:val="auto"/>
              </w:rPr>
            </w:pPr>
          </w:p>
        </w:tc>
        <w:tc>
          <w:tcPr>
            <w:tcW w:w="1183" w:type="pct"/>
            <w:vAlign w:val="center"/>
          </w:tcPr>
          <w:p w14:paraId="06C29B17">
            <w:pPr>
              <w:pStyle w:val="751"/>
              <w:rPr>
                <w:color w:val="auto"/>
              </w:rPr>
            </w:pPr>
            <w:r>
              <w:rPr>
                <w:color w:val="auto"/>
              </w:rPr>
              <w:t>有机肥</w:t>
            </w:r>
            <w:r>
              <w:rPr>
                <w:rFonts w:hint="eastAsia"/>
                <w:color w:val="auto"/>
              </w:rPr>
              <w:t>D</w:t>
            </w:r>
            <w:r>
              <w:rPr>
                <w:color w:val="auto"/>
              </w:rPr>
              <w:t>A00</w:t>
            </w:r>
            <w:r>
              <w:rPr>
                <w:rFonts w:hint="eastAsia"/>
                <w:color w:val="auto"/>
              </w:rPr>
              <w:t>2</w:t>
            </w:r>
          </w:p>
        </w:tc>
        <w:tc>
          <w:tcPr>
            <w:tcW w:w="1139" w:type="pct"/>
            <w:vAlign w:val="center"/>
          </w:tcPr>
          <w:p w14:paraId="72906EFF">
            <w:pPr>
              <w:pStyle w:val="751"/>
              <w:jc w:val="both"/>
              <w:rPr>
                <w:color w:val="auto"/>
              </w:rPr>
            </w:pPr>
            <w:r>
              <w:rPr>
                <w:color w:val="auto"/>
              </w:rPr>
              <w:t>NH</w:t>
            </w:r>
            <w:r>
              <w:rPr>
                <w:color w:val="auto"/>
                <w:vertAlign w:val="subscript"/>
              </w:rPr>
              <w:t>3</w:t>
            </w:r>
            <w:r>
              <w:rPr>
                <w:color w:val="auto"/>
              </w:rPr>
              <w:t>、H</w:t>
            </w:r>
            <w:r>
              <w:rPr>
                <w:color w:val="auto"/>
                <w:vertAlign w:val="subscript"/>
              </w:rPr>
              <w:t>2</w:t>
            </w:r>
            <w:r>
              <w:rPr>
                <w:color w:val="auto"/>
              </w:rPr>
              <w:t>S、</w:t>
            </w:r>
            <w:r>
              <w:rPr>
                <w:color w:val="auto"/>
                <w:sz w:val="22"/>
                <w:szCs w:val="22"/>
              </w:rPr>
              <w:t>臭气</w:t>
            </w:r>
            <w:r>
              <w:rPr>
                <w:color w:val="auto"/>
              </w:rPr>
              <w:t>浓度</w:t>
            </w:r>
            <w:r>
              <w:rPr>
                <w:rFonts w:hint="eastAsia"/>
                <w:color w:val="auto"/>
              </w:rPr>
              <w:t>、颗粒物</w:t>
            </w:r>
          </w:p>
        </w:tc>
        <w:tc>
          <w:tcPr>
            <w:tcW w:w="631" w:type="pct"/>
            <w:vAlign w:val="center"/>
          </w:tcPr>
          <w:p w14:paraId="6982B48D">
            <w:pPr>
              <w:pStyle w:val="751"/>
              <w:rPr>
                <w:color w:val="auto"/>
              </w:rPr>
            </w:pPr>
            <w:r>
              <w:rPr>
                <w:color w:val="auto"/>
              </w:rPr>
              <w:t>1次/年</w:t>
            </w:r>
          </w:p>
        </w:tc>
        <w:tc>
          <w:tcPr>
            <w:tcW w:w="1761" w:type="pct"/>
            <w:vMerge w:val="continue"/>
            <w:vAlign w:val="center"/>
          </w:tcPr>
          <w:p w14:paraId="3BE03A2E">
            <w:pPr>
              <w:pStyle w:val="751"/>
              <w:rPr>
                <w:color w:val="auto"/>
              </w:rPr>
            </w:pPr>
          </w:p>
        </w:tc>
      </w:tr>
      <w:tr w14:paraId="756E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83" w:type="pct"/>
            <w:vMerge w:val="continue"/>
            <w:vAlign w:val="center"/>
          </w:tcPr>
          <w:p w14:paraId="525B02CD">
            <w:pPr>
              <w:pStyle w:val="751"/>
              <w:rPr>
                <w:color w:val="auto"/>
              </w:rPr>
            </w:pPr>
          </w:p>
        </w:tc>
        <w:tc>
          <w:tcPr>
            <w:tcW w:w="1183" w:type="pct"/>
            <w:vAlign w:val="center"/>
          </w:tcPr>
          <w:p w14:paraId="0489AA35">
            <w:pPr>
              <w:pStyle w:val="751"/>
              <w:rPr>
                <w:color w:val="auto"/>
              </w:rPr>
            </w:pPr>
            <w:r>
              <w:rPr>
                <w:rFonts w:hint="eastAsia"/>
                <w:color w:val="auto"/>
              </w:rPr>
              <w:t>污水站D</w:t>
            </w:r>
            <w:r>
              <w:rPr>
                <w:color w:val="auto"/>
              </w:rPr>
              <w:t>A00</w:t>
            </w:r>
            <w:r>
              <w:rPr>
                <w:rFonts w:hint="eastAsia"/>
                <w:color w:val="auto"/>
              </w:rPr>
              <w:t>7</w:t>
            </w:r>
          </w:p>
        </w:tc>
        <w:tc>
          <w:tcPr>
            <w:tcW w:w="1139" w:type="pct"/>
            <w:vAlign w:val="center"/>
          </w:tcPr>
          <w:p w14:paraId="7F16DD29">
            <w:pPr>
              <w:pStyle w:val="751"/>
              <w:rPr>
                <w:color w:val="auto"/>
              </w:rPr>
            </w:pPr>
            <w:r>
              <w:rPr>
                <w:color w:val="auto"/>
              </w:rPr>
              <w:t>NH</w:t>
            </w:r>
            <w:r>
              <w:rPr>
                <w:color w:val="auto"/>
                <w:vertAlign w:val="subscript"/>
              </w:rPr>
              <w:t>3</w:t>
            </w:r>
            <w:r>
              <w:rPr>
                <w:color w:val="auto"/>
              </w:rPr>
              <w:t>、H</w:t>
            </w:r>
            <w:r>
              <w:rPr>
                <w:color w:val="auto"/>
                <w:vertAlign w:val="subscript"/>
              </w:rPr>
              <w:t>2</w:t>
            </w:r>
            <w:r>
              <w:rPr>
                <w:color w:val="auto"/>
              </w:rPr>
              <w:t>S、</w:t>
            </w:r>
            <w:r>
              <w:rPr>
                <w:color w:val="auto"/>
                <w:sz w:val="22"/>
                <w:szCs w:val="22"/>
              </w:rPr>
              <w:t>臭气</w:t>
            </w:r>
            <w:r>
              <w:rPr>
                <w:color w:val="auto"/>
              </w:rPr>
              <w:t>浓度</w:t>
            </w:r>
          </w:p>
        </w:tc>
        <w:tc>
          <w:tcPr>
            <w:tcW w:w="631" w:type="pct"/>
            <w:vAlign w:val="center"/>
          </w:tcPr>
          <w:p w14:paraId="01F85798">
            <w:pPr>
              <w:pStyle w:val="751"/>
              <w:rPr>
                <w:color w:val="auto"/>
              </w:rPr>
            </w:pPr>
            <w:r>
              <w:rPr>
                <w:color w:val="auto"/>
              </w:rPr>
              <w:t>1次/年</w:t>
            </w:r>
          </w:p>
        </w:tc>
        <w:tc>
          <w:tcPr>
            <w:tcW w:w="1761" w:type="pct"/>
            <w:vMerge w:val="continue"/>
            <w:vAlign w:val="center"/>
          </w:tcPr>
          <w:p w14:paraId="2855AF57">
            <w:pPr>
              <w:pStyle w:val="751"/>
              <w:rPr>
                <w:color w:val="auto"/>
              </w:rPr>
            </w:pPr>
          </w:p>
        </w:tc>
      </w:tr>
      <w:tr w14:paraId="49A7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83" w:type="pct"/>
            <w:vMerge w:val="continue"/>
            <w:vAlign w:val="center"/>
          </w:tcPr>
          <w:p w14:paraId="4C7BCA60">
            <w:pPr>
              <w:pStyle w:val="751"/>
              <w:rPr>
                <w:color w:val="auto"/>
              </w:rPr>
            </w:pPr>
          </w:p>
        </w:tc>
        <w:tc>
          <w:tcPr>
            <w:tcW w:w="1183" w:type="pct"/>
            <w:vAlign w:val="center"/>
          </w:tcPr>
          <w:p w14:paraId="3B71D74D">
            <w:pPr>
              <w:pStyle w:val="751"/>
              <w:rPr>
                <w:color w:val="auto"/>
              </w:rPr>
            </w:pPr>
            <w:r>
              <w:rPr>
                <w:color w:val="auto"/>
              </w:rPr>
              <w:t>锅炉</w:t>
            </w:r>
            <w:r>
              <w:rPr>
                <w:rFonts w:hint="eastAsia"/>
                <w:color w:val="auto"/>
              </w:rPr>
              <w:t>D</w:t>
            </w:r>
            <w:r>
              <w:rPr>
                <w:color w:val="auto"/>
              </w:rPr>
              <w:t>A00</w:t>
            </w:r>
            <w:r>
              <w:rPr>
                <w:rFonts w:hint="eastAsia"/>
                <w:color w:val="auto"/>
              </w:rPr>
              <w:t>4</w:t>
            </w:r>
          </w:p>
        </w:tc>
        <w:tc>
          <w:tcPr>
            <w:tcW w:w="1139" w:type="pct"/>
            <w:vMerge w:val="restart"/>
            <w:vAlign w:val="center"/>
          </w:tcPr>
          <w:p w14:paraId="534380B7">
            <w:pPr>
              <w:pStyle w:val="751"/>
              <w:rPr>
                <w:color w:val="auto"/>
              </w:rPr>
            </w:pPr>
            <w:r>
              <w:rPr>
                <w:rFonts w:hint="eastAsia"/>
                <w:color w:val="auto"/>
              </w:rPr>
              <w:t>PM</w:t>
            </w:r>
            <w:r>
              <w:rPr>
                <w:rFonts w:hint="eastAsia"/>
                <w:color w:val="auto"/>
                <w:vertAlign w:val="subscript"/>
              </w:rPr>
              <w:t>10</w:t>
            </w:r>
            <w:r>
              <w:rPr>
                <w:rFonts w:hint="eastAsia"/>
                <w:color w:val="auto"/>
              </w:rPr>
              <w:t>、</w:t>
            </w:r>
            <w:r>
              <w:rPr>
                <w:color w:val="auto"/>
              </w:rPr>
              <w:t>NOx</w:t>
            </w:r>
          </w:p>
        </w:tc>
        <w:tc>
          <w:tcPr>
            <w:tcW w:w="631" w:type="pct"/>
            <w:vMerge w:val="restart"/>
            <w:vAlign w:val="center"/>
          </w:tcPr>
          <w:p w14:paraId="57D84305">
            <w:pPr>
              <w:pStyle w:val="751"/>
              <w:rPr>
                <w:color w:val="auto"/>
              </w:rPr>
            </w:pPr>
            <w:r>
              <w:rPr>
                <w:color w:val="auto"/>
              </w:rPr>
              <w:t>1次/年</w:t>
            </w:r>
          </w:p>
        </w:tc>
        <w:tc>
          <w:tcPr>
            <w:tcW w:w="1761" w:type="pct"/>
            <w:vMerge w:val="restart"/>
            <w:vAlign w:val="center"/>
          </w:tcPr>
          <w:p w14:paraId="0E9AE9B7">
            <w:pPr>
              <w:pStyle w:val="751"/>
              <w:rPr>
                <w:color w:val="auto"/>
              </w:rPr>
            </w:pPr>
            <w:r>
              <w:rPr>
                <w:color w:val="auto"/>
              </w:rPr>
              <w:t>《锅炉大气污染物排放标准》（GB13271-2014）表3</w:t>
            </w:r>
          </w:p>
        </w:tc>
      </w:tr>
      <w:tr w14:paraId="6FB0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83" w:type="pct"/>
            <w:vMerge w:val="continue"/>
            <w:vAlign w:val="center"/>
          </w:tcPr>
          <w:p w14:paraId="701A048A">
            <w:pPr>
              <w:pStyle w:val="751"/>
              <w:rPr>
                <w:color w:val="auto"/>
              </w:rPr>
            </w:pPr>
          </w:p>
        </w:tc>
        <w:tc>
          <w:tcPr>
            <w:tcW w:w="1183" w:type="pct"/>
            <w:vAlign w:val="center"/>
          </w:tcPr>
          <w:p w14:paraId="7FBB0498">
            <w:pPr>
              <w:pStyle w:val="751"/>
              <w:rPr>
                <w:color w:val="auto"/>
              </w:rPr>
            </w:pPr>
            <w:r>
              <w:rPr>
                <w:color w:val="auto"/>
              </w:rPr>
              <w:t>锅炉</w:t>
            </w:r>
            <w:r>
              <w:rPr>
                <w:rFonts w:hint="eastAsia"/>
                <w:color w:val="auto"/>
              </w:rPr>
              <w:t>D</w:t>
            </w:r>
            <w:r>
              <w:rPr>
                <w:color w:val="auto"/>
              </w:rPr>
              <w:t>A00</w:t>
            </w:r>
            <w:r>
              <w:rPr>
                <w:rFonts w:hint="eastAsia"/>
                <w:color w:val="auto"/>
              </w:rPr>
              <w:t>5</w:t>
            </w:r>
          </w:p>
        </w:tc>
        <w:tc>
          <w:tcPr>
            <w:tcW w:w="1139" w:type="pct"/>
            <w:vMerge w:val="continue"/>
            <w:vAlign w:val="center"/>
          </w:tcPr>
          <w:p w14:paraId="355A00C5">
            <w:pPr>
              <w:pStyle w:val="751"/>
              <w:rPr>
                <w:color w:val="auto"/>
              </w:rPr>
            </w:pPr>
          </w:p>
        </w:tc>
        <w:tc>
          <w:tcPr>
            <w:tcW w:w="631" w:type="pct"/>
            <w:vMerge w:val="continue"/>
            <w:vAlign w:val="center"/>
          </w:tcPr>
          <w:p w14:paraId="42C20414">
            <w:pPr>
              <w:pStyle w:val="751"/>
              <w:rPr>
                <w:color w:val="auto"/>
              </w:rPr>
            </w:pPr>
          </w:p>
        </w:tc>
        <w:tc>
          <w:tcPr>
            <w:tcW w:w="1761" w:type="pct"/>
            <w:vMerge w:val="continue"/>
            <w:vAlign w:val="center"/>
          </w:tcPr>
          <w:p w14:paraId="67AB8F48">
            <w:pPr>
              <w:pStyle w:val="751"/>
              <w:rPr>
                <w:color w:val="auto"/>
              </w:rPr>
            </w:pPr>
          </w:p>
        </w:tc>
      </w:tr>
      <w:tr w14:paraId="221D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83" w:type="pct"/>
            <w:vAlign w:val="center"/>
          </w:tcPr>
          <w:p w14:paraId="7B41A1D7">
            <w:pPr>
              <w:pStyle w:val="751"/>
              <w:rPr>
                <w:color w:val="auto"/>
              </w:rPr>
            </w:pPr>
            <w:r>
              <w:rPr>
                <w:rFonts w:hint="eastAsia"/>
                <w:color w:val="auto"/>
              </w:rPr>
              <w:t>废水</w:t>
            </w:r>
          </w:p>
        </w:tc>
        <w:tc>
          <w:tcPr>
            <w:tcW w:w="1183" w:type="pct"/>
            <w:vAlign w:val="center"/>
          </w:tcPr>
          <w:p w14:paraId="3400669B">
            <w:pPr>
              <w:pStyle w:val="751"/>
              <w:rPr>
                <w:color w:val="auto"/>
              </w:rPr>
            </w:pPr>
            <w:r>
              <w:rPr>
                <w:rFonts w:hint="eastAsia"/>
                <w:color w:val="auto"/>
              </w:rPr>
              <w:t>污水处理设施进出口各1个点位</w:t>
            </w:r>
          </w:p>
        </w:tc>
        <w:tc>
          <w:tcPr>
            <w:tcW w:w="1139" w:type="pct"/>
            <w:vAlign w:val="center"/>
          </w:tcPr>
          <w:p w14:paraId="34007E04">
            <w:pPr>
              <w:pStyle w:val="751"/>
              <w:jc w:val="both"/>
              <w:rPr>
                <w:color w:val="auto"/>
              </w:rPr>
            </w:pPr>
            <w:r>
              <w:rPr>
                <w:rFonts w:hint="eastAsia"/>
                <w:color w:val="auto"/>
              </w:rPr>
              <w:t>pH、SS、COD、BOD、氨氮、总氮、总磷、总汞、总镉、总格、总砷、总铅、六价铬</w:t>
            </w:r>
          </w:p>
        </w:tc>
        <w:tc>
          <w:tcPr>
            <w:tcW w:w="631" w:type="pct"/>
            <w:vAlign w:val="center"/>
          </w:tcPr>
          <w:p w14:paraId="4878892C">
            <w:pPr>
              <w:pStyle w:val="751"/>
              <w:rPr>
                <w:color w:val="auto"/>
              </w:rPr>
            </w:pPr>
            <w:r>
              <w:rPr>
                <w:rFonts w:hint="eastAsia"/>
                <w:color w:val="auto"/>
              </w:rPr>
              <w:t>1次/季度</w:t>
            </w:r>
          </w:p>
        </w:tc>
        <w:tc>
          <w:tcPr>
            <w:tcW w:w="1761" w:type="pct"/>
            <w:vAlign w:val="center"/>
          </w:tcPr>
          <w:p w14:paraId="6304D56A">
            <w:pPr>
              <w:pStyle w:val="751"/>
              <w:rPr>
                <w:color w:val="auto"/>
              </w:rPr>
            </w:pPr>
            <w:r>
              <w:rPr>
                <w:rFonts w:hint="eastAsia"/>
                <w:color w:val="auto"/>
              </w:rPr>
              <w:t>《城市污水再生利用城市杂用水水质》（GB/T 18920-2020）中城市绿化限制要</w:t>
            </w:r>
          </w:p>
        </w:tc>
      </w:tr>
      <w:tr w14:paraId="71B6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83" w:type="pct"/>
            <w:vAlign w:val="center"/>
          </w:tcPr>
          <w:p w14:paraId="129328F6">
            <w:pPr>
              <w:pStyle w:val="751"/>
              <w:rPr>
                <w:color w:val="auto"/>
              </w:rPr>
            </w:pPr>
            <w:r>
              <w:rPr>
                <w:color w:val="auto"/>
              </w:rPr>
              <w:t>噪声</w:t>
            </w:r>
          </w:p>
        </w:tc>
        <w:tc>
          <w:tcPr>
            <w:tcW w:w="1183" w:type="pct"/>
            <w:vAlign w:val="center"/>
          </w:tcPr>
          <w:p w14:paraId="545BF4BB">
            <w:pPr>
              <w:pStyle w:val="751"/>
              <w:rPr>
                <w:color w:val="auto"/>
              </w:rPr>
            </w:pPr>
            <w:r>
              <w:rPr>
                <w:color w:val="auto"/>
              </w:rPr>
              <w:t>厂界</w:t>
            </w:r>
            <w:r>
              <w:rPr>
                <w:rFonts w:hint="eastAsia"/>
                <w:color w:val="auto"/>
              </w:rPr>
              <w:t>东南西北外1m处各1点</w:t>
            </w:r>
          </w:p>
        </w:tc>
        <w:tc>
          <w:tcPr>
            <w:tcW w:w="1139" w:type="pct"/>
            <w:vAlign w:val="center"/>
          </w:tcPr>
          <w:p w14:paraId="7B8CCBF9">
            <w:pPr>
              <w:pStyle w:val="751"/>
              <w:rPr>
                <w:color w:val="auto"/>
              </w:rPr>
            </w:pPr>
            <w:r>
              <w:rPr>
                <w:color w:val="auto"/>
              </w:rPr>
              <w:t>等效连续A声级</w:t>
            </w:r>
          </w:p>
        </w:tc>
        <w:tc>
          <w:tcPr>
            <w:tcW w:w="631" w:type="pct"/>
            <w:vAlign w:val="center"/>
          </w:tcPr>
          <w:p w14:paraId="3F61643E">
            <w:pPr>
              <w:pStyle w:val="751"/>
              <w:rPr>
                <w:color w:val="auto"/>
              </w:rPr>
            </w:pPr>
            <w:r>
              <w:rPr>
                <w:color w:val="auto"/>
              </w:rPr>
              <w:t>1次/季度</w:t>
            </w:r>
          </w:p>
        </w:tc>
        <w:tc>
          <w:tcPr>
            <w:tcW w:w="1761" w:type="pct"/>
            <w:vAlign w:val="center"/>
          </w:tcPr>
          <w:p w14:paraId="4E0AB881">
            <w:pPr>
              <w:pStyle w:val="751"/>
              <w:rPr>
                <w:color w:val="auto"/>
              </w:rPr>
            </w:pPr>
            <w:r>
              <w:rPr>
                <w:color w:val="auto"/>
              </w:rPr>
              <w:t>《工业企业厂界环境噪声排放标准》（GB12348-2008）2类标准</w:t>
            </w:r>
          </w:p>
        </w:tc>
      </w:tr>
    </w:tbl>
    <w:p w14:paraId="6FE00A4E">
      <w:pPr>
        <w:pStyle w:val="756"/>
      </w:pPr>
      <w:bookmarkStart w:id="622" w:name="_Toc36234667"/>
    </w:p>
    <w:p w14:paraId="001C9853">
      <w:pPr>
        <w:pStyle w:val="756"/>
      </w:pPr>
      <w:r>
        <w:rPr>
          <w:rFonts w:hint="eastAsia"/>
        </w:rPr>
        <w:t>表9.2-2 项目区环境质量监测计划</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1725"/>
        <w:gridCol w:w="2760"/>
        <w:gridCol w:w="1065"/>
        <w:gridCol w:w="2373"/>
      </w:tblGrid>
      <w:tr w14:paraId="7F6F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2C73C2DC">
            <w:pPr>
              <w:pStyle w:val="756"/>
              <w:rPr>
                <w:b w:val="0"/>
                <w:bCs/>
                <w:sz w:val="21"/>
                <w:szCs w:val="21"/>
              </w:rPr>
            </w:pPr>
            <w:r>
              <w:rPr>
                <w:rFonts w:hint="eastAsia"/>
                <w:b w:val="0"/>
                <w:bCs/>
                <w:sz w:val="21"/>
                <w:szCs w:val="21"/>
              </w:rPr>
              <w:t>类别</w:t>
            </w:r>
          </w:p>
        </w:tc>
        <w:tc>
          <w:tcPr>
            <w:tcW w:w="1725" w:type="dxa"/>
            <w:vAlign w:val="center"/>
          </w:tcPr>
          <w:p w14:paraId="4D2E1FE6">
            <w:pPr>
              <w:pStyle w:val="756"/>
              <w:rPr>
                <w:b w:val="0"/>
                <w:bCs/>
                <w:sz w:val="21"/>
                <w:szCs w:val="21"/>
              </w:rPr>
            </w:pPr>
            <w:r>
              <w:rPr>
                <w:rFonts w:hint="eastAsia"/>
                <w:b w:val="0"/>
                <w:bCs/>
                <w:sz w:val="21"/>
                <w:szCs w:val="21"/>
              </w:rPr>
              <w:t>监测点</w:t>
            </w:r>
          </w:p>
        </w:tc>
        <w:tc>
          <w:tcPr>
            <w:tcW w:w="2760" w:type="dxa"/>
            <w:vAlign w:val="center"/>
          </w:tcPr>
          <w:p w14:paraId="6FA5D035">
            <w:pPr>
              <w:pStyle w:val="756"/>
              <w:rPr>
                <w:b w:val="0"/>
                <w:bCs/>
                <w:sz w:val="21"/>
                <w:szCs w:val="21"/>
              </w:rPr>
            </w:pPr>
            <w:r>
              <w:rPr>
                <w:rFonts w:hint="eastAsia"/>
                <w:b w:val="0"/>
                <w:bCs/>
                <w:sz w:val="21"/>
                <w:szCs w:val="21"/>
              </w:rPr>
              <w:t>监测因子</w:t>
            </w:r>
          </w:p>
        </w:tc>
        <w:tc>
          <w:tcPr>
            <w:tcW w:w="1065" w:type="dxa"/>
            <w:vAlign w:val="center"/>
          </w:tcPr>
          <w:p w14:paraId="68CE3CAB">
            <w:pPr>
              <w:pStyle w:val="756"/>
              <w:rPr>
                <w:b w:val="0"/>
                <w:bCs/>
                <w:sz w:val="21"/>
                <w:szCs w:val="21"/>
              </w:rPr>
            </w:pPr>
            <w:r>
              <w:rPr>
                <w:rFonts w:hint="eastAsia"/>
                <w:b w:val="0"/>
                <w:bCs/>
                <w:sz w:val="21"/>
                <w:szCs w:val="21"/>
              </w:rPr>
              <w:t>监测频次</w:t>
            </w:r>
          </w:p>
        </w:tc>
        <w:tc>
          <w:tcPr>
            <w:tcW w:w="2373" w:type="dxa"/>
            <w:vAlign w:val="center"/>
          </w:tcPr>
          <w:p w14:paraId="08536499">
            <w:pPr>
              <w:pStyle w:val="756"/>
              <w:rPr>
                <w:b w:val="0"/>
                <w:bCs/>
                <w:sz w:val="21"/>
                <w:szCs w:val="21"/>
              </w:rPr>
            </w:pPr>
            <w:r>
              <w:rPr>
                <w:rFonts w:hint="eastAsia"/>
                <w:b w:val="0"/>
                <w:bCs/>
                <w:sz w:val="21"/>
                <w:szCs w:val="21"/>
              </w:rPr>
              <w:t>执行标准</w:t>
            </w:r>
          </w:p>
        </w:tc>
      </w:tr>
      <w:tr w14:paraId="39A8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64597FE2">
            <w:pPr>
              <w:pStyle w:val="756"/>
              <w:rPr>
                <w:b w:val="0"/>
                <w:bCs/>
                <w:sz w:val="21"/>
                <w:szCs w:val="21"/>
              </w:rPr>
            </w:pPr>
            <w:r>
              <w:rPr>
                <w:rFonts w:hint="eastAsia"/>
                <w:b w:val="0"/>
                <w:bCs/>
                <w:sz w:val="21"/>
                <w:szCs w:val="21"/>
              </w:rPr>
              <w:t>环境空气</w:t>
            </w:r>
          </w:p>
        </w:tc>
        <w:tc>
          <w:tcPr>
            <w:tcW w:w="1725" w:type="dxa"/>
            <w:vAlign w:val="center"/>
          </w:tcPr>
          <w:p w14:paraId="4E97AA85">
            <w:pPr>
              <w:pStyle w:val="756"/>
              <w:rPr>
                <w:b w:val="0"/>
                <w:bCs/>
                <w:sz w:val="21"/>
                <w:szCs w:val="21"/>
              </w:rPr>
            </w:pPr>
            <w:r>
              <w:rPr>
                <w:rFonts w:hint="eastAsia"/>
                <w:b w:val="0"/>
                <w:bCs/>
                <w:sz w:val="21"/>
                <w:szCs w:val="21"/>
              </w:rPr>
              <w:t>厂界下风向布设1点</w:t>
            </w:r>
          </w:p>
        </w:tc>
        <w:tc>
          <w:tcPr>
            <w:tcW w:w="2760" w:type="dxa"/>
            <w:vAlign w:val="center"/>
          </w:tcPr>
          <w:p w14:paraId="03AA722B">
            <w:pPr>
              <w:pStyle w:val="756"/>
              <w:rPr>
                <w:b w:val="0"/>
                <w:bCs/>
                <w:sz w:val="21"/>
                <w:szCs w:val="21"/>
              </w:rPr>
            </w:pPr>
            <w:r>
              <w:rPr>
                <w:b w:val="0"/>
                <w:bCs/>
                <w:sz w:val="21"/>
                <w:szCs w:val="21"/>
              </w:rPr>
              <w:t>NH</w:t>
            </w:r>
            <w:r>
              <w:rPr>
                <w:b w:val="0"/>
                <w:bCs/>
                <w:sz w:val="21"/>
                <w:szCs w:val="21"/>
                <w:vertAlign w:val="subscript"/>
              </w:rPr>
              <w:t>3</w:t>
            </w:r>
            <w:r>
              <w:rPr>
                <w:b w:val="0"/>
                <w:bCs/>
                <w:sz w:val="21"/>
                <w:szCs w:val="21"/>
              </w:rPr>
              <w:t>、H</w:t>
            </w:r>
            <w:r>
              <w:rPr>
                <w:b w:val="0"/>
                <w:bCs/>
                <w:sz w:val="21"/>
                <w:szCs w:val="21"/>
                <w:vertAlign w:val="subscript"/>
              </w:rPr>
              <w:t>2</w:t>
            </w:r>
            <w:r>
              <w:rPr>
                <w:b w:val="0"/>
                <w:bCs/>
                <w:sz w:val="21"/>
                <w:szCs w:val="21"/>
              </w:rPr>
              <w:t>S、</w:t>
            </w:r>
            <w:r>
              <w:rPr>
                <w:rFonts w:hint="eastAsia"/>
                <w:b w:val="0"/>
                <w:bCs/>
                <w:sz w:val="21"/>
                <w:szCs w:val="21"/>
              </w:rPr>
              <w:t>PM</w:t>
            </w:r>
            <w:r>
              <w:rPr>
                <w:rFonts w:hint="eastAsia"/>
                <w:b w:val="0"/>
                <w:bCs/>
                <w:sz w:val="21"/>
                <w:szCs w:val="21"/>
                <w:vertAlign w:val="subscript"/>
              </w:rPr>
              <w:t>10</w:t>
            </w:r>
          </w:p>
        </w:tc>
        <w:tc>
          <w:tcPr>
            <w:tcW w:w="1065" w:type="dxa"/>
            <w:vAlign w:val="center"/>
          </w:tcPr>
          <w:p w14:paraId="74DDC322">
            <w:pPr>
              <w:pStyle w:val="756"/>
              <w:rPr>
                <w:b w:val="0"/>
                <w:bCs/>
                <w:sz w:val="21"/>
                <w:szCs w:val="21"/>
              </w:rPr>
            </w:pPr>
            <w:r>
              <w:rPr>
                <w:rFonts w:hint="eastAsia"/>
                <w:b w:val="0"/>
                <w:bCs/>
                <w:sz w:val="21"/>
                <w:szCs w:val="21"/>
              </w:rPr>
              <w:t>1次/年</w:t>
            </w:r>
          </w:p>
        </w:tc>
        <w:tc>
          <w:tcPr>
            <w:tcW w:w="2373" w:type="dxa"/>
            <w:vAlign w:val="center"/>
          </w:tcPr>
          <w:p w14:paraId="2A9BC5E1">
            <w:pPr>
              <w:pStyle w:val="756"/>
              <w:jc w:val="both"/>
              <w:rPr>
                <w:b w:val="0"/>
                <w:bCs/>
                <w:sz w:val="21"/>
                <w:szCs w:val="21"/>
              </w:rPr>
            </w:pPr>
            <w:r>
              <w:rPr>
                <w:rFonts w:hint="eastAsia"/>
                <w:b w:val="0"/>
                <w:bCs/>
                <w:sz w:val="21"/>
                <w:szCs w:val="21"/>
              </w:rPr>
              <w:t>PM</w:t>
            </w:r>
            <w:r>
              <w:rPr>
                <w:rFonts w:hint="eastAsia"/>
                <w:b w:val="0"/>
                <w:bCs/>
                <w:sz w:val="21"/>
                <w:szCs w:val="21"/>
                <w:vertAlign w:val="subscript"/>
              </w:rPr>
              <w:t>10执行</w:t>
            </w:r>
            <w:r>
              <w:rPr>
                <w:rFonts w:hint="eastAsia"/>
                <w:b w:val="0"/>
                <w:bCs/>
                <w:sz w:val="21"/>
                <w:szCs w:val="21"/>
              </w:rPr>
              <w:t>《环境空气质量标准》（GB3095-2012）二级标准及其修改单；氨气、硫化氢参照执行《环境影响评价技术导则大气环境》（HJ2.2—2018）附录D其他污染物空气质量浓度参考限值》</w:t>
            </w:r>
          </w:p>
        </w:tc>
      </w:tr>
      <w:tr w14:paraId="08E8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38720749">
            <w:pPr>
              <w:pStyle w:val="756"/>
              <w:rPr>
                <w:b w:val="0"/>
                <w:bCs/>
                <w:sz w:val="21"/>
                <w:szCs w:val="21"/>
              </w:rPr>
            </w:pPr>
            <w:r>
              <w:rPr>
                <w:rFonts w:hint="eastAsia"/>
                <w:b w:val="0"/>
                <w:bCs/>
                <w:sz w:val="21"/>
                <w:szCs w:val="21"/>
              </w:rPr>
              <w:t>地下水</w:t>
            </w:r>
          </w:p>
        </w:tc>
        <w:tc>
          <w:tcPr>
            <w:tcW w:w="1725" w:type="dxa"/>
            <w:vAlign w:val="center"/>
          </w:tcPr>
          <w:p w14:paraId="3AA933E9">
            <w:pPr>
              <w:pStyle w:val="756"/>
              <w:rPr>
                <w:b w:val="0"/>
                <w:bCs/>
                <w:sz w:val="21"/>
                <w:szCs w:val="21"/>
              </w:rPr>
            </w:pPr>
            <w:r>
              <w:rPr>
                <w:rFonts w:hint="eastAsia"/>
                <w:b w:val="0"/>
                <w:bCs/>
                <w:sz w:val="21"/>
                <w:szCs w:val="21"/>
              </w:rPr>
              <w:t>地下水跟踪监测井</w:t>
            </w:r>
          </w:p>
        </w:tc>
        <w:tc>
          <w:tcPr>
            <w:tcW w:w="2760" w:type="dxa"/>
            <w:vAlign w:val="center"/>
          </w:tcPr>
          <w:p w14:paraId="6F584228">
            <w:pPr>
              <w:pStyle w:val="756"/>
              <w:jc w:val="both"/>
              <w:rPr>
                <w:b w:val="0"/>
                <w:bCs/>
                <w:sz w:val="21"/>
                <w:szCs w:val="21"/>
              </w:rPr>
            </w:pPr>
            <w:r>
              <w:rPr>
                <w:rFonts w:hint="eastAsia"/>
                <w:b w:val="0"/>
                <w:bCs/>
                <w:sz w:val="21"/>
                <w:szCs w:val="21"/>
              </w:rPr>
              <w:t>色、嗅和味、浑浊度、肉眼可见物、</w:t>
            </w:r>
            <w:r>
              <w:rPr>
                <w:b w:val="0"/>
                <w:bCs/>
                <w:sz w:val="21"/>
                <w:szCs w:val="21"/>
              </w:rPr>
              <w:t>pH值、</w:t>
            </w:r>
            <w:r>
              <w:rPr>
                <w:rFonts w:hint="eastAsia"/>
                <w:b w:val="0"/>
                <w:bCs/>
                <w:sz w:val="21"/>
                <w:szCs w:val="21"/>
              </w:rPr>
              <w:t>总硬度、溶解性总固体、硫酸盐、氯化物、铁、锰、铜、锌、铝、挥发性酚类、阴离子表面活性剂、耗氧量、</w:t>
            </w:r>
            <w:r>
              <w:rPr>
                <w:b w:val="0"/>
                <w:bCs/>
                <w:sz w:val="21"/>
                <w:szCs w:val="21"/>
              </w:rPr>
              <w:t>氨氮、</w:t>
            </w:r>
            <w:r>
              <w:rPr>
                <w:rFonts w:hint="eastAsia"/>
                <w:b w:val="0"/>
                <w:bCs/>
                <w:sz w:val="21"/>
                <w:szCs w:val="21"/>
              </w:rPr>
              <w:t>硫化物、钠、总大肠菌群、菌落总数、</w:t>
            </w:r>
            <w:r>
              <w:rPr>
                <w:b w:val="0"/>
                <w:bCs/>
                <w:sz w:val="21"/>
                <w:szCs w:val="21"/>
              </w:rPr>
              <w:t>硝酸盐、亚硝酸盐、氰化物、</w:t>
            </w:r>
            <w:r>
              <w:rPr>
                <w:rFonts w:hint="eastAsia"/>
                <w:b w:val="0"/>
                <w:bCs/>
                <w:sz w:val="21"/>
                <w:szCs w:val="21"/>
              </w:rPr>
              <w:t>氟化物、碘化物、汞、</w:t>
            </w:r>
            <w:r>
              <w:rPr>
                <w:b w:val="0"/>
                <w:bCs/>
                <w:sz w:val="21"/>
                <w:szCs w:val="21"/>
              </w:rPr>
              <w:t>砷、</w:t>
            </w:r>
            <w:r>
              <w:rPr>
                <w:rFonts w:hint="eastAsia"/>
                <w:b w:val="0"/>
                <w:bCs/>
                <w:sz w:val="21"/>
                <w:szCs w:val="21"/>
              </w:rPr>
              <w:t>硒</w:t>
            </w:r>
            <w:r>
              <w:rPr>
                <w:b w:val="0"/>
                <w:bCs/>
                <w:sz w:val="21"/>
                <w:szCs w:val="21"/>
              </w:rPr>
              <w:t>、</w:t>
            </w:r>
            <w:r>
              <w:rPr>
                <w:rFonts w:hint="eastAsia"/>
                <w:b w:val="0"/>
                <w:bCs/>
                <w:sz w:val="21"/>
                <w:szCs w:val="21"/>
              </w:rPr>
              <w:t>镉、铬（六价）、</w:t>
            </w:r>
            <w:r>
              <w:rPr>
                <w:b w:val="0"/>
                <w:bCs/>
                <w:sz w:val="21"/>
                <w:szCs w:val="21"/>
              </w:rPr>
              <w:t>铅、</w:t>
            </w:r>
            <w:r>
              <w:rPr>
                <w:rFonts w:hint="eastAsia"/>
                <w:b w:val="0"/>
                <w:bCs/>
                <w:sz w:val="21"/>
                <w:szCs w:val="21"/>
              </w:rPr>
              <w:t>三氯甲烷、四氯化碳、苯、甲苯</w:t>
            </w:r>
          </w:p>
        </w:tc>
        <w:tc>
          <w:tcPr>
            <w:tcW w:w="1065" w:type="dxa"/>
            <w:vAlign w:val="center"/>
          </w:tcPr>
          <w:p w14:paraId="6018F1FD">
            <w:pPr>
              <w:pStyle w:val="756"/>
              <w:rPr>
                <w:b w:val="0"/>
                <w:bCs/>
                <w:sz w:val="21"/>
                <w:szCs w:val="21"/>
              </w:rPr>
            </w:pPr>
            <w:r>
              <w:rPr>
                <w:rFonts w:hint="eastAsia"/>
                <w:b w:val="0"/>
                <w:bCs/>
                <w:sz w:val="21"/>
                <w:szCs w:val="21"/>
              </w:rPr>
              <w:t>1次/年</w:t>
            </w:r>
          </w:p>
        </w:tc>
        <w:tc>
          <w:tcPr>
            <w:tcW w:w="2373" w:type="dxa"/>
            <w:vAlign w:val="center"/>
          </w:tcPr>
          <w:p w14:paraId="4B6591D3">
            <w:pPr>
              <w:pStyle w:val="756"/>
              <w:rPr>
                <w:b w:val="0"/>
                <w:bCs/>
                <w:sz w:val="21"/>
                <w:szCs w:val="21"/>
              </w:rPr>
            </w:pPr>
            <w:r>
              <w:rPr>
                <w:rFonts w:hint="eastAsia"/>
                <w:b w:val="0"/>
                <w:bCs/>
                <w:sz w:val="21"/>
                <w:szCs w:val="21"/>
              </w:rPr>
              <w:t>《地下水质量标准》（GB/T14848-2017）Ⅲ类标准</w:t>
            </w:r>
          </w:p>
        </w:tc>
      </w:tr>
      <w:tr w14:paraId="5D69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08A60C44">
            <w:pPr>
              <w:pStyle w:val="751"/>
              <w:rPr>
                <w:color w:val="auto"/>
              </w:rPr>
            </w:pPr>
            <w:r>
              <w:rPr>
                <w:rFonts w:hint="eastAsia"/>
                <w:color w:val="auto"/>
              </w:rPr>
              <w:t>土壤</w:t>
            </w:r>
          </w:p>
        </w:tc>
        <w:tc>
          <w:tcPr>
            <w:tcW w:w="1725" w:type="dxa"/>
            <w:vAlign w:val="center"/>
          </w:tcPr>
          <w:p w14:paraId="2D6685B1">
            <w:pPr>
              <w:pStyle w:val="751"/>
              <w:rPr>
                <w:color w:val="auto"/>
              </w:rPr>
            </w:pPr>
            <w:r>
              <w:rPr>
                <w:color w:val="auto"/>
              </w:rPr>
              <w:t>污水处理设施</w:t>
            </w:r>
            <w:r>
              <w:rPr>
                <w:rFonts w:hint="eastAsia"/>
                <w:color w:val="auto"/>
              </w:rPr>
              <w:t>、有机肥加工车间、</w:t>
            </w:r>
            <w:r>
              <w:rPr>
                <w:color w:val="auto"/>
              </w:rPr>
              <w:t>鸡舍</w:t>
            </w:r>
            <w:r>
              <w:rPr>
                <w:rFonts w:hint="eastAsia"/>
                <w:color w:val="auto"/>
              </w:rPr>
              <w:t>、储水池旁各布设1个表层样</w:t>
            </w:r>
          </w:p>
        </w:tc>
        <w:tc>
          <w:tcPr>
            <w:tcW w:w="2760" w:type="dxa"/>
            <w:vAlign w:val="center"/>
          </w:tcPr>
          <w:p w14:paraId="16BE3868">
            <w:pPr>
              <w:pStyle w:val="751"/>
              <w:rPr>
                <w:color w:val="auto"/>
              </w:rPr>
            </w:pPr>
            <w:r>
              <w:rPr>
                <w:color w:val="auto"/>
              </w:rPr>
              <w:t>镉、汞、砷、铅、铬、镍、pH值、铜、锌</w:t>
            </w:r>
          </w:p>
        </w:tc>
        <w:tc>
          <w:tcPr>
            <w:tcW w:w="1065" w:type="dxa"/>
            <w:vAlign w:val="center"/>
          </w:tcPr>
          <w:p w14:paraId="6806FC15">
            <w:pPr>
              <w:pStyle w:val="751"/>
              <w:rPr>
                <w:color w:val="auto"/>
              </w:rPr>
            </w:pPr>
            <w:r>
              <w:rPr>
                <w:color w:val="auto"/>
              </w:rPr>
              <w:t>1次/</w:t>
            </w:r>
            <w:r>
              <w:rPr>
                <w:rFonts w:hint="eastAsia"/>
                <w:color w:val="auto"/>
              </w:rPr>
              <w:t>5</w:t>
            </w:r>
            <w:r>
              <w:rPr>
                <w:color w:val="auto"/>
              </w:rPr>
              <w:t>年</w:t>
            </w:r>
          </w:p>
        </w:tc>
        <w:tc>
          <w:tcPr>
            <w:tcW w:w="2373" w:type="dxa"/>
            <w:vAlign w:val="center"/>
          </w:tcPr>
          <w:p w14:paraId="522BF7B1">
            <w:pPr>
              <w:pStyle w:val="756"/>
              <w:rPr>
                <w:b w:val="0"/>
                <w:bCs/>
                <w:sz w:val="21"/>
                <w:szCs w:val="21"/>
              </w:rPr>
            </w:pPr>
            <w:r>
              <w:rPr>
                <w:rFonts w:hint="eastAsia"/>
                <w:b w:val="0"/>
                <w:bCs/>
                <w:sz w:val="21"/>
                <w:szCs w:val="21"/>
              </w:rPr>
              <w:t>《土壤环境质量农用地土壤污染风险管控标准（试行）》（GB15618-2018）中的土壤污染风险筛选值标准</w:t>
            </w:r>
          </w:p>
        </w:tc>
      </w:tr>
      <w:tr w14:paraId="74ED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2F515B8B">
            <w:pPr>
              <w:pStyle w:val="751"/>
              <w:rPr>
                <w:color w:val="auto"/>
              </w:rPr>
            </w:pPr>
            <w:r>
              <w:rPr>
                <w:rFonts w:hint="eastAsia"/>
                <w:color w:val="auto"/>
              </w:rPr>
              <w:t>生态</w:t>
            </w:r>
          </w:p>
        </w:tc>
        <w:tc>
          <w:tcPr>
            <w:tcW w:w="1725" w:type="dxa"/>
            <w:vAlign w:val="center"/>
          </w:tcPr>
          <w:p w14:paraId="766A0768">
            <w:pPr>
              <w:pStyle w:val="751"/>
              <w:rPr>
                <w:color w:val="auto"/>
              </w:rPr>
            </w:pPr>
            <w:r>
              <w:rPr>
                <w:rFonts w:hint="eastAsia"/>
                <w:color w:val="auto"/>
              </w:rPr>
              <w:t>保护植物异地移植区、自然保护区</w:t>
            </w:r>
          </w:p>
        </w:tc>
        <w:tc>
          <w:tcPr>
            <w:tcW w:w="2760" w:type="dxa"/>
            <w:vAlign w:val="center"/>
          </w:tcPr>
          <w:p w14:paraId="1FF70C63">
            <w:pPr>
              <w:pStyle w:val="751"/>
              <w:rPr>
                <w:color w:val="auto"/>
              </w:rPr>
            </w:pPr>
            <w:r>
              <w:rPr>
                <w:rFonts w:hint="eastAsia"/>
                <w:color w:val="auto"/>
              </w:rPr>
              <w:t>移植保护植物成活率、数量</w:t>
            </w:r>
          </w:p>
        </w:tc>
        <w:tc>
          <w:tcPr>
            <w:tcW w:w="1065" w:type="dxa"/>
            <w:vAlign w:val="center"/>
          </w:tcPr>
          <w:p w14:paraId="221EEBC7">
            <w:pPr>
              <w:pStyle w:val="751"/>
              <w:rPr>
                <w:color w:val="auto"/>
              </w:rPr>
            </w:pPr>
            <w:r>
              <w:rPr>
                <w:rFonts w:hint="eastAsia"/>
                <w:color w:val="auto"/>
              </w:rPr>
              <w:t>1次/年</w:t>
            </w:r>
          </w:p>
        </w:tc>
        <w:tc>
          <w:tcPr>
            <w:tcW w:w="2373" w:type="dxa"/>
            <w:vAlign w:val="center"/>
          </w:tcPr>
          <w:p w14:paraId="7A8EC297">
            <w:pPr>
              <w:pStyle w:val="756"/>
              <w:rPr>
                <w:b w:val="0"/>
                <w:bCs/>
                <w:sz w:val="21"/>
                <w:szCs w:val="21"/>
              </w:rPr>
            </w:pPr>
            <w:r>
              <w:rPr>
                <w:rFonts w:hint="eastAsia"/>
                <w:b w:val="0"/>
                <w:bCs/>
                <w:sz w:val="21"/>
                <w:szCs w:val="21"/>
              </w:rPr>
              <w:t>/</w:t>
            </w:r>
          </w:p>
        </w:tc>
      </w:tr>
    </w:tbl>
    <w:p w14:paraId="60295CD0">
      <w:pPr>
        <w:pStyle w:val="756"/>
      </w:pPr>
      <w:r>
        <w:t>表9.2-</w:t>
      </w:r>
      <w:r>
        <w:rPr>
          <w:rFonts w:hint="eastAsia"/>
        </w:rPr>
        <w:t>3</w:t>
      </w:r>
      <w:r>
        <w:t xml:space="preserve">  地下水</w:t>
      </w:r>
      <w:r>
        <w:rPr>
          <w:rFonts w:hint="eastAsia"/>
        </w:rPr>
        <w:t>跟踪</w:t>
      </w:r>
      <w:r>
        <w:t>监测</w:t>
      </w:r>
      <w:r>
        <w:rPr>
          <w:rFonts w:hint="eastAsia"/>
        </w:rPr>
        <w:t>井信息</w:t>
      </w:r>
      <w:r>
        <w:t>一览表</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333"/>
        <w:gridCol w:w="1345"/>
        <w:gridCol w:w="2953"/>
        <w:gridCol w:w="2761"/>
      </w:tblGrid>
      <w:tr w14:paraId="28BC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54A15C3A">
            <w:pPr>
              <w:pStyle w:val="751"/>
              <w:rPr>
                <w:color w:val="auto"/>
              </w:rPr>
            </w:pPr>
            <w:r>
              <w:rPr>
                <w:color w:val="auto"/>
              </w:rPr>
              <w:t>监测点</w:t>
            </w:r>
          </w:p>
        </w:tc>
        <w:tc>
          <w:tcPr>
            <w:tcW w:w="1333" w:type="dxa"/>
            <w:vAlign w:val="center"/>
          </w:tcPr>
          <w:p w14:paraId="4E9D4DEF">
            <w:pPr>
              <w:pStyle w:val="751"/>
              <w:rPr>
                <w:color w:val="auto"/>
              </w:rPr>
            </w:pPr>
            <w:r>
              <w:rPr>
                <w:color w:val="auto"/>
              </w:rPr>
              <w:t>相对位置</w:t>
            </w:r>
          </w:p>
        </w:tc>
        <w:tc>
          <w:tcPr>
            <w:tcW w:w="1345" w:type="dxa"/>
            <w:vAlign w:val="center"/>
          </w:tcPr>
          <w:p w14:paraId="3F8650BC">
            <w:pPr>
              <w:pStyle w:val="751"/>
              <w:rPr>
                <w:color w:val="auto"/>
              </w:rPr>
            </w:pPr>
            <w:r>
              <w:rPr>
                <w:color w:val="auto"/>
              </w:rPr>
              <w:t>监测层位</w:t>
            </w:r>
          </w:p>
        </w:tc>
        <w:tc>
          <w:tcPr>
            <w:tcW w:w="2953" w:type="dxa"/>
            <w:vAlign w:val="center"/>
          </w:tcPr>
          <w:p w14:paraId="35515469">
            <w:pPr>
              <w:pStyle w:val="751"/>
              <w:rPr>
                <w:color w:val="auto"/>
              </w:rPr>
            </w:pPr>
            <w:r>
              <w:rPr>
                <w:rFonts w:hint="eastAsia"/>
                <w:color w:val="auto"/>
              </w:rPr>
              <w:t>井口坐标</w:t>
            </w:r>
          </w:p>
        </w:tc>
        <w:tc>
          <w:tcPr>
            <w:tcW w:w="2761" w:type="dxa"/>
            <w:vAlign w:val="center"/>
          </w:tcPr>
          <w:p w14:paraId="70AE63B8">
            <w:pPr>
              <w:pStyle w:val="751"/>
              <w:rPr>
                <w:color w:val="auto"/>
              </w:rPr>
            </w:pPr>
            <w:r>
              <w:rPr>
                <w:color w:val="auto"/>
              </w:rPr>
              <w:t>监测井深度、结构要求</w:t>
            </w:r>
          </w:p>
        </w:tc>
      </w:tr>
      <w:tr w14:paraId="0095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6D3E9250">
            <w:pPr>
              <w:pStyle w:val="751"/>
              <w:rPr>
                <w:color w:val="auto"/>
              </w:rPr>
            </w:pPr>
            <w:r>
              <w:rPr>
                <w:rFonts w:hint="eastAsia"/>
                <w:bCs/>
                <w:color w:val="auto"/>
              </w:rPr>
              <w:t>地下水跟踪监测井</w:t>
            </w:r>
          </w:p>
        </w:tc>
        <w:tc>
          <w:tcPr>
            <w:tcW w:w="1333" w:type="dxa"/>
            <w:vAlign w:val="center"/>
          </w:tcPr>
          <w:p w14:paraId="7300A7D9">
            <w:pPr>
              <w:pStyle w:val="751"/>
              <w:rPr>
                <w:color w:val="auto"/>
              </w:rPr>
            </w:pPr>
            <w:r>
              <w:rPr>
                <w:rFonts w:hint="eastAsia"/>
                <w:color w:val="auto"/>
              </w:rPr>
              <w:t>厂区西边界</w:t>
            </w:r>
          </w:p>
        </w:tc>
        <w:tc>
          <w:tcPr>
            <w:tcW w:w="1345" w:type="dxa"/>
            <w:vAlign w:val="center"/>
          </w:tcPr>
          <w:p w14:paraId="22C970EC">
            <w:pPr>
              <w:pStyle w:val="751"/>
              <w:rPr>
                <w:color w:val="auto"/>
              </w:rPr>
            </w:pPr>
            <w:r>
              <w:rPr>
                <w:rFonts w:hint="eastAsia"/>
                <w:color w:val="auto"/>
              </w:rPr>
              <w:t>潜水含水</w:t>
            </w:r>
            <w:r>
              <w:rPr>
                <w:color w:val="auto"/>
              </w:rPr>
              <w:t>层</w:t>
            </w:r>
          </w:p>
        </w:tc>
        <w:tc>
          <w:tcPr>
            <w:tcW w:w="2953" w:type="dxa"/>
            <w:vAlign w:val="center"/>
          </w:tcPr>
          <w:p w14:paraId="536A48E9">
            <w:pPr>
              <w:pStyle w:val="751"/>
              <w:rPr>
                <w:color w:val="auto"/>
              </w:rPr>
            </w:pPr>
            <w:r>
              <w:rPr>
                <w:color w:val="auto"/>
              </w:rPr>
              <w:t>106.800847719，40.020205341</w:t>
            </w:r>
          </w:p>
        </w:tc>
        <w:tc>
          <w:tcPr>
            <w:tcW w:w="2761" w:type="dxa"/>
            <w:vAlign w:val="center"/>
          </w:tcPr>
          <w:p w14:paraId="1161000F">
            <w:pPr>
              <w:pStyle w:val="751"/>
              <w:rPr>
                <w:color w:val="auto"/>
              </w:rPr>
            </w:pPr>
            <w:r>
              <w:rPr>
                <w:color w:val="auto"/>
              </w:rPr>
              <w:t>井深50m，孔径Φ25cm，铸铁井管。</w:t>
            </w:r>
          </w:p>
        </w:tc>
      </w:tr>
    </w:tbl>
    <w:p w14:paraId="73FD1556">
      <w:pPr>
        <w:ind w:firstLine="0" w:firstLineChars="0"/>
      </w:pPr>
    </w:p>
    <w:p w14:paraId="3B7CA9C7">
      <w:pPr>
        <w:pStyle w:val="2"/>
      </w:pPr>
    </w:p>
    <w:p w14:paraId="676A7809">
      <w:pPr>
        <w:pStyle w:val="4"/>
        <w:ind w:firstLine="400"/>
        <w:sectPr>
          <w:pgSz w:w="11907" w:h="16840"/>
          <w:pgMar w:top="1418" w:right="1418" w:bottom="1418" w:left="1418" w:header="964" w:footer="964" w:gutter="0"/>
          <w:cols w:space="720" w:num="1"/>
          <w:docGrid w:linePitch="312" w:charSpace="0"/>
        </w:sectPr>
      </w:pPr>
    </w:p>
    <w:p w14:paraId="18B7D8F6">
      <w:pPr>
        <w:ind w:firstLine="0" w:firstLineChars="0"/>
        <w:jc w:val="center"/>
      </w:pPr>
      <w:r>
        <w:rPr>
          <w:rFonts w:hint="eastAsia"/>
        </w:rPr>
        <w:drawing>
          <wp:inline distT="0" distB="0" distL="114300" distR="114300">
            <wp:extent cx="6939280" cy="5277485"/>
            <wp:effectExtent l="0" t="0" r="7620" b="5715"/>
            <wp:docPr id="90" name="图片 90" descr="E:/11/养鸡/复核/图/gz.pngg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E:/11/养鸡/复核/图/gz.pnggz"/>
                    <pic:cNvPicPr>
                      <a:picLocks noChangeAspect="1"/>
                    </pic:cNvPicPr>
                  </pic:nvPicPr>
                  <pic:blipFill>
                    <a:blip r:embed="rId223"/>
                    <a:srcRect l="126" r="126"/>
                    <a:stretch>
                      <a:fillRect/>
                    </a:stretch>
                  </pic:blipFill>
                  <pic:spPr>
                    <a:xfrm>
                      <a:off x="0" y="0"/>
                      <a:ext cx="6939280" cy="5277485"/>
                    </a:xfrm>
                    <a:prstGeom prst="rect">
                      <a:avLst/>
                    </a:prstGeom>
                  </pic:spPr>
                </pic:pic>
              </a:graphicData>
            </a:graphic>
          </wp:inline>
        </w:drawing>
      </w:r>
    </w:p>
    <w:p w14:paraId="3B05EBEE">
      <w:pPr>
        <w:ind w:firstLine="0" w:firstLineChars="0"/>
        <w:jc w:val="center"/>
        <w:sectPr>
          <w:pgSz w:w="16840" w:h="11907" w:orient="landscape"/>
          <w:pgMar w:top="1418" w:right="1418" w:bottom="1418" w:left="1418" w:header="964" w:footer="964" w:gutter="0"/>
          <w:cols w:space="720" w:num="1"/>
          <w:docGrid w:linePitch="312" w:charSpace="0"/>
        </w:sectPr>
      </w:pPr>
      <w:r>
        <w:rPr>
          <w:rFonts w:hint="eastAsia"/>
          <w:b/>
          <w:bCs/>
        </w:rPr>
        <w:t>图9.2-1 项目跟踪监测布点图</w:t>
      </w:r>
    </w:p>
    <w:p w14:paraId="4D2AE420">
      <w:pPr>
        <w:pStyle w:val="10"/>
      </w:pPr>
      <w:bookmarkStart w:id="623" w:name="_Toc166572378"/>
      <w:r>
        <w:t>9.</w:t>
      </w:r>
      <w:bookmarkStart w:id="624" w:name="_Toc372978435"/>
      <w:bookmarkStart w:id="625" w:name="_Toc386096580"/>
      <w:r>
        <w:t>3排污口规范化管理</w:t>
      </w:r>
      <w:bookmarkEnd w:id="622"/>
      <w:bookmarkEnd w:id="623"/>
      <w:bookmarkEnd w:id="624"/>
      <w:bookmarkEnd w:id="625"/>
    </w:p>
    <w:p w14:paraId="3B68AB74">
      <w:pPr>
        <w:pStyle w:val="104"/>
      </w:pPr>
      <w:r>
        <w:t>1、排污口的位置必须合理确定，按环监（1996）470号文件要求进行规范化管理；</w:t>
      </w:r>
    </w:p>
    <w:p w14:paraId="2350A098">
      <w:pPr>
        <w:pStyle w:val="104"/>
      </w:pPr>
      <w:r>
        <w:t>2、排放的采样点设置应按《污染源监测技术规范》要求，设置在企业污染物总排口处。</w:t>
      </w:r>
    </w:p>
    <w:p w14:paraId="7BCCE9F7">
      <w:pPr>
        <w:pStyle w:val="10"/>
      </w:pPr>
      <w:bookmarkStart w:id="626" w:name="_Toc36234668"/>
      <w:bookmarkStart w:id="627" w:name="_Toc166572379"/>
      <w:bookmarkStart w:id="628" w:name="_Toc523226277"/>
      <w:r>
        <w:t>9.4排污许可管理</w:t>
      </w:r>
      <w:bookmarkEnd w:id="626"/>
      <w:bookmarkEnd w:id="627"/>
      <w:bookmarkEnd w:id="628"/>
    </w:p>
    <w:p w14:paraId="41F4284C">
      <w:pPr>
        <w:pStyle w:val="104"/>
      </w:pPr>
      <w:r>
        <w:rPr>
          <w:rFonts w:hint="eastAsia"/>
          <w:lang w:val="en-US" w:eastAsia="zh-CN"/>
        </w:rPr>
        <w:t>生态环境</w:t>
      </w:r>
      <w:r>
        <w:t>部办公厅于2017年11月15日发布《关于做好环境影响评价制度与排污许可制衔接相关工作的通知》（环办环评[2017]84 号）。本项目在执行环境影响评价中的相关要求的同时，应按照上述要求做好排污许可制度的衔接工作。具体要求如下：</w:t>
      </w:r>
    </w:p>
    <w:p w14:paraId="260189B5">
      <w:pPr>
        <w:pStyle w:val="104"/>
      </w:pPr>
      <w:r>
        <w:t>1、做好《建设项目环境影响评价分类管理名录》和《固定污染源排污许可分类管理名录》的衔接，按照建设项目对环境的影响程度、污染物产生量和排放量，实行统一分类管理。纳入排污许可管理的建设项目，可能造成轻度环境影响、应当编制环境影响报告表的，原则上实行排污许可简化管理。</w:t>
      </w:r>
    </w:p>
    <w:p w14:paraId="13A6C572">
      <w:pPr>
        <w:pStyle w:val="104"/>
      </w:pPr>
      <w:r>
        <w:t>2、建设项目发生实际排污行为之前，排污单位应当按照国家环境保护相关法律法规以及排污许可证申请与核发技术规范要求申请排污许可证，不得无证排污或不按证排污。环境影响报告书（表）2015年1月1日（含）后获得批准的建设项目，其环境影响报告书（表）以及审批文件中与污染物排放相关的主要内容应当纳入排污许可证。建设项目无证排污或不按证排污的，建设单位不得出具该项目验收合格的意见，验收报告中与污染物排放相关的主要内容应当纳入该项目验收完成当年排污许可证执行年报。排污许可证执行报告、台账记录以及自行监测执行情况等应作为开展建设项目环境影响后评价的重要依据。</w:t>
      </w:r>
    </w:p>
    <w:p w14:paraId="4FE77765">
      <w:pPr>
        <w:pStyle w:val="104"/>
      </w:pPr>
      <w:r>
        <w:t>3、国家将分行业制定建设项目重大变动清单。建设项目的环境影响报告书（表）经批准后，建设项目的性质、规模、地点、采用的生产工艺或者防治污染、防止生态破坏的措施发生重大变动的，建设单位应当依法重新报批环境影响评价文件，并在申请排污许可时提交重新报批的环评批复（文号）。发生变动但不属于重大变动情形的建设项目，环境影响报告书（表）2015年1月1日（含）后获得批准的，排污许可证核发部门按照污染物排放标准、总量控制要求、环境影响报告书（表）以及审批文件从严核发，其他建设项目由排污许可证核发部门按照排污许可证申请与核发技术规范要求核发。</w:t>
      </w:r>
    </w:p>
    <w:p w14:paraId="1C6944E9">
      <w:pPr>
        <w:pStyle w:val="104"/>
      </w:pPr>
      <w:r>
        <w:t>4、</w:t>
      </w:r>
      <w:r>
        <w:rPr>
          <w:rFonts w:hint="eastAsia"/>
          <w:lang w:val="en-US" w:eastAsia="zh-CN"/>
        </w:rPr>
        <w:t>生态环境</w:t>
      </w:r>
      <w:r>
        <w:t>部负责统一建设项目环评审批信息申报系统，并与全国排污许可证管理信息平台充分衔接。建设单位在报批建设项目环境影响报告书（表）时，应当登陆建设项目环评审批信息申报系统，在线填报相关信息并对信息的真实性、准确性和完整性负责。</w:t>
      </w:r>
    </w:p>
    <w:p w14:paraId="6889ECAB">
      <w:pPr>
        <w:pStyle w:val="104"/>
      </w:pPr>
      <w:r>
        <w:t>根据《排污许可管理办法（试行）》，排污单位必须持证才能排污，无证不得排污。持证排污单位须在排污许可证规定的许可排放浓度和许可排放量的范围内排放污染物，并应开展自行监测、建立台账记录、编写执行报告，确保严格落实排污许可证相关要求。</w:t>
      </w:r>
    </w:p>
    <w:p w14:paraId="49399658">
      <w:pPr>
        <w:pStyle w:val="104"/>
      </w:pPr>
      <w:r>
        <w:t>根据《固定污染源排污许可分类管理名录（2017年版）》（</w:t>
      </w:r>
      <w:r>
        <w:rPr>
          <w:rFonts w:hint="eastAsia"/>
          <w:lang w:val="en-US" w:eastAsia="zh-CN"/>
        </w:rPr>
        <w:t>生态环境</w:t>
      </w:r>
      <w:r>
        <w:t>部令部令第45号），本工程属于“一、鸡牧业03”中“1、牲鸡饲养031”，实施年限为2019年，本次环评建议企业在建成投运前，应按照畜禽养殖行业排污许可行业技术规范及时申领排污许可证。</w:t>
      </w:r>
    </w:p>
    <w:bookmarkEnd w:id="609"/>
    <w:bookmarkEnd w:id="610"/>
    <w:bookmarkEnd w:id="611"/>
    <w:bookmarkEnd w:id="612"/>
    <w:bookmarkEnd w:id="613"/>
    <w:bookmarkEnd w:id="614"/>
    <w:bookmarkEnd w:id="615"/>
    <w:p w14:paraId="5F053277">
      <w:pPr>
        <w:pStyle w:val="10"/>
      </w:pPr>
      <w:bookmarkStart w:id="629" w:name="_Toc166572380"/>
      <w:bookmarkStart w:id="630" w:name="_Toc36234669"/>
      <w:bookmarkStart w:id="631" w:name="_Toc386096585"/>
      <w:bookmarkStart w:id="632" w:name="_Toc457206670"/>
      <w:r>
        <w:t>9.5“三同时”竣工验收一览表</w:t>
      </w:r>
      <w:bookmarkEnd w:id="629"/>
      <w:bookmarkEnd w:id="630"/>
      <w:bookmarkEnd w:id="631"/>
      <w:bookmarkEnd w:id="632"/>
    </w:p>
    <w:p w14:paraId="7D24399E">
      <w:pPr>
        <w:pStyle w:val="104"/>
      </w:pPr>
      <w:r>
        <w:t>根据《建设项目竣工环境保护验收管理办法》和“三同时”管理制度，项目在试运行前，建设单位向环境保护主管部门提出竣工环境保护验收申请，项目“三同时”竣工验收一览表见表9.5-1。</w:t>
      </w:r>
    </w:p>
    <w:p w14:paraId="141FB8A9">
      <w:pPr>
        <w:pStyle w:val="756"/>
      </w:pPr>
      <w:r>
        <w:t>表9.5-1  项目环境保护竣工验收一览表</w:t>
      </w:r>
    </w:p>
    <w:tbl>
      <w:tblPr>
        <w:tblStyle w:val="82"/>
        <w:tblW w:w="53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133"/>
        <w:gridCol w:w="2308"/>
        <w:gridCol w:w="1377"/>
        <w:gridCol w:w="1188"/>
        <w:gridCol w:w="3462"/>
      </w:tblGrid>
      <w:tr w14:paraId="1D397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Align w:val="center"/>
          </w:tcPr>
          <w:p w14:paraId="24F6218D">
            <w:pPr>
              <w:pStyle w:val="751"/>
              <w:rPr>
                <w:color w:val="auto"/>
              </w:rPr>
            </w:pPr>
            <w:r>
              <w:rPr>
                <w:color w:val="auto"/>
              </w:rPr>
              <w:t>项目</w:t>
            </w:r>
          </w:p>
        </w:tc>
        <w:tc>
          <w:tcPr>
            <w:tcW w:w="570" w:type="pct"/>
            <w:vAlign w:val="center"/>
          </w:tcPr>
          <w:p w14:paraId="112BD469">
            <w:pPr>
              <w:pStyle w:val="751"/>
              <w:rPr>
                <w:color w:val="auto"/>
                <w:kern w:val="2"/>
              </w:rPr>
            </w:pPr>
            <w:r>
              <w:rPr>
                <w:color w:val="auto"/>
                <w:kern w:val="2"/>
              </w:rPr>
              <w:t>污染源</w:t>
            </w:r>
          </w:p>
        </w:tc>
        <w:tc>
          <w:tcPr>
            <w:tcW w:w="1162" w:type="pct"/>
            <w:vAlign w:val="center"/>
          </w:tcPr>
          <w:p w14:paraId="28820B67">
            <w:pPr>
              <w:pStyle w:val="751"/>
              <w:rPr>
                <w:color w:val="auto"/>
                <w:kern w:val="2"/>
              </w:rPr>
            </w:pPr>
            <w:r>
              <w:rPr>
                <w:color w:val="auto"/>
                <w:kern w:val="2"/>
              </w:rPr>
              <w:t>治理措施</w:t>
            </w:r>
          </w:p>
        </w:tc>
        <w:tc>
          <w:tcPr>
            <w:tcW w:w="693" w:type="pct"/>
            <w:vAlign w:val="center"/>
          </w:tcPr>
          <w:p w14:paraId="32A78FF4">
            <w:pPr>
              <w:pStyle w:val="751"/>
              <w:rPr>
                <w:color w:val="auto"/>
              </w:rPr>
            </w:pPr>
            <w:r>
              <w:rPr>
                <w:color w:val="auto"/>
              </w:rPr>
              <w:t>监控点</w:t>
            </w:r>
          </w:p>
        </w:tc>
        <w:tc>
          <w:tcPr>
            <w:tcW w:w="598" w:type="pct"/>
            <w:vAlign w:val="center"/>
          </w:tcPr>
          <w:p w14:paraId="27FA1EA2">
            <w:pPr>
              <w:pStyle w:val="751"/>
              <w:rPr>
                <w:color w:val="auto"/>
              </w:rPr>
            </w:pPr>
            <w:r>
              <w:rPr>
                <w:color w:val="auto"/>
              </w:rPr>
              <w:t>验收、监测内容</w:t>
            </w:r>
          </w:p>
        </w:tc>
        <w:tc>
          <w:tcPr>
            <w:tcW w:w="1740" w:type="pct"/>
            <w:vAlign w:val="center"/>
          </w:tcPr>
          <w:p w14:paraId="7A25D9EF">
            <w:pPr>
              <w:pStyle w:val="751"/>
              <w:rPr>
                <w:color w:val="auto"/>
              </w:rPr>
            </w:pPr>
            <w:r>
              <w:rPr>
                <w:color w:val="auto"/>
              </w:rPr>
              <w:t>验收标准</w:t>
            </w:r>
          </w:p>
        </w:tc>
      </w:tr>
      <w:tr w14:paraId="294B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233" w:type="pct"/>
            <w:vMerge w:val="restart"/>
            <w:vAlign w:val="center"/>
          </w:tcPr>
          <w:p w14:paraId="40EE7CB1">
            <w:pPr>
              <w:pStyle w:val="751"/>
              <w:rPr>
                <w:color w:val="auto"/>
              </w:rPr>
            </w:pPr>
            <w:r>
              <w:rPr>
                <w:color w:val="auto"/>
              </w:rPr>
              <w:t>废气</w:t>
            </w:r>
          </w:p>
        </w:tc>
        <w:tc>
          <w:tcPr>
            <w:tcW w:w="570" w:type="pct"/>
            <w:vAlign w:val="center"/>
          </w:tcPr>
          <w:p w14:paraId="5C332110">
            <w:pPr>
              <w:pStyle w:val="751"/>
              <w:rPr>
                <w:color w:val="auto"/>
              </w:rPr>
            </w:pPr>
            <w:r>
              <w:rPr>
                <w:color w:val="auto"/>
              </w:rPr>
              <w:t>鸡舍</w:t>
            </w:r>
          </w:p>
        </w:tc>
        <w:tc>
          <w:tcPr>
            <w:tcW w:w="1162" w:type="pct"/>
            <w:vAlign w:val="center"/>
          </w:tcPr>
          <w:p w14:paraId="370BBA89">
            <w:pPr>
              <w:pStyle w:val="751"/>
              <w:jc w:val="both"/>
              <w:rPr>
                <w:color w:val="auto"/>
              </w:rPr>
            </w:pPr>
            <w:r>
              <w:rPr>
                <w:bCs/>
                <w:color w:val="auto"/>
              </w:rPr>
              <w:t>干清粪的方式，每天及时对鸡舍内的鸡粪进行清理，对鸡舍消毒除臭处理，并在鸡舍四周以及各栋鸡舍之间的空地进行绿化</w:t>
            </w:r>
            <w:r>
              <w:rPr>
                <w:rFonts w:hint="eastAsia"/>
                <w:bCs/>
                <w:color w:val="auto"/>
              </w:rPr>
              <w:t>，安装水雾除臭装置</w:t>
            </w:r>
          </w:p>
        </w:tc>
        <w:tc>
          <w:tcPr>
            <w:tcW w:w="693" w:type="pct"/>
            <w:vAlign w:val="center"/>
          </w:tcPr>
          <w:p w14:paraId="13947E43">
            <w:pPr>
              <w:pStyle w:val="751"/>
              <w:rPr>
                <w:color w:val="auto"/>
              </w:rPr>
            </w:pPr>
            <w:r>
              <w:rPr>
                <w:color w:val="auto"/>
              </w:rPr>
              <w:t>厂界外浓度最高点</w:t>
            </w:r>
          </w:p>
        </w:tc>
        <w:tc>
          <w:tcPr>
            <w:tcW w:w="598" w:type="pct"/>
            <w:vAlign w:val="center"/>
          </w:tcPr>
          <w:p w14:paraId="4420B5C6">
            <w:pPr>
              <w:pStyle w:val="751"/>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1740" w:type="pct"/>
            <w:vMerge w:val="restart"/>
            <w:vAlign w:val="center"/>
          </w:tcPr>
          <w:p w14:paraId="4D78CDDA">
            <w:pPr>
              <w:pStyle w:val="751"/>
              <w:jc w:val="both"/>
              <w:rPr>
                <w:color w:val="auto"/>
              </w:rPr>
            </w:pPr>
            <w:r>
              <w:rPr>
                <w:color w:val="auto"/>
              </w:rPr>
              <w:t>《恶臭污染物排放标准》(GB14554-93)表1二级中新扩改建标准限值及表2中相关要求、臭气浓度执行《畜禽养殖业污染物排放标准》（GB18596-2001）表7中的标准要求</w:t>
            </w:r>
          </w:p>
        </w:tc>
      </w:tr>
      <w:tr w14:paraId="7377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2AFF2168">
            <w:pPr>
              <w:pStyle w:val="751"/>
              <w:rPr>
                <w:color w:val="auto"/>
              </w:rPr>
            </w:pPr>
          </w:p>
        </w:tc>
        <w:tc>
          <w:tcPr>
            <w:tcW w:w="570" w:type="pct"/>
            <w:vAlign w:val="center"/>
          </w:tcPr>
          <w:p w14:paraId="003389DF">
            <w:pPr>
              <w:pStyle w:val="751"/>
              <w:rPr>
                <w:color w:val="auto"/>
              </w:rPr>
            </w:pPr>
            <w:r>
              <w:rPr>
                <w:rFonts w:hint="eastAsia"/>
                <w:color w:val="auto"/>
              </w:rPr>
              <w:t>污水站</w:t>
            </w:r>
          </w:p>
        </w:tc>
        <w:tc>
          <w:tcPr>
            <w:tcW w:w="1162" w:type="pct"/>
            <w:vAlign w:val="center"/>
          </w:tcPr>
          <w:p w14:paraId="1DDC3CD6">
            <w:pPr>
              <w:pStyle w:val="751"/>
              <w:rPr>
                <w:color w:val="auto"/>
              </w:rPr>
            </w:pPr>
            <w:r>
              <w:rPr>
                <w:rFonts w:hint="eastAsia"/>
                <w:color w:val="auto"/>
              </w:rPr>
              <w:t>活性离子氧(AOE)除臭</w:t>
            </w:r>
          </w:p>
        </w:tc>
        <w:tc>
          <w:tcPr>
            <w:tcW w:w="693" w:type="pct"/>
            <w:vAlign w:val="center"/>
          </w:tcPr>
          <w:p w14:paraId="71065853">
            <w:pPr>
              <w:pStyle w:val="751"/>
              <w:rPr>
                <w:color w:val="auto"/>
              </w:rPr>
            </w:pPr>
            <w:r>
              <w:rPr>
                <w:color w:val="auto"/>
              </w:rPr>
              <w:t>排气筒DA00</w:t>
            </w:r>
            <w:r>
              <w:rPr>
                <w:rFonts w:hint="eastAsia"/>
                <w:color w:val="auto"/>
              </w:rPr>
              <w:t>7</w:t>
            </w:r>
          </w:p>
        </w:tc>
        <w:tc>
          <w:tcPr>
            <w:tcW w:w="598" w:type="pct"/>
            <w:vAlign w:val="center"/>
          </w:tcPr>
          <w:p w14:paraId="2C011980">
            <w:pPr>
              <w:pStyle w:val="751"/>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p>
        </w:tc>
        <w:tc>
          <w:tcPr>
            <w:tcW w:w="1740" w:type="pct"/>
            <w:vMerge w:val="continue"/>
            <w:vAlign w:val="center"/>
          </w:tcPr>
          <w:p w14:paraId="124C7317">
            <w:pPr>
              <w:pStyle w:val="751"/>
              <w:rPr>
                <w:color w:val="auto"/>
              </w:rPr>
            </w:pPr>
          </w:p>
        </w:tc>
      </w:tr>
      <w:tr w14:paraId="10BC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559F5367">
            <w:pPr>
              <w:pStyle w:val="751"/>
              <w:rPr>
                <w:color w:val="auto"/>
              </w:rPr>
            </w:pPr>
          </w:p>
        </w:tc>
        <w:tc>
          <w:tcPr>
            <w:tcW w:w="570" w:type="pct"/>
            <w:vAlign w:val="center"/>
          </w:tcPr>
          <w:p w14:paraId="5EC83104">
            <w:pPr>
              <w:pStyle w:val="751"/>
              <w:rPr>
                <w:color w:val="auto"/>
              </w:rPr>
            </w:pPr>
            <w:r>
              <w:rPr>
                <w:color w:val="auto"/>
              </w:rPr>
              <w:t>有机肥加工</w:t>
            </w:r>
          </w:p>
        </w:tc>
        <w:tc>
          <w:tcPr>
            <w:tcW w:w="1162" w:type="pct"/>
            <w:vAlign w:val="center"/>
          </w:tcPr>
          <w:p w14:paraId="279F3BEA">
            <w:pPr>
              <w:pStyle w:val="751"/>
              <w:jc w:val="both"/>
              <w:rPr>
                <w:color w:val="auto"/>
              </w:rPr>
            </w:pPr>
            <w:r>
              <w:rPr>
                <w:rFonts w:hint="eastAsia"/>
                <w:color w:val="auto"/>
              </w:rPr>
              <w:t>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w:t>
            </w:r>
          </w:p>
        </w:tc>
        <w:tc>
          <w:tcPr>
            <w:tcW w:w="693" w:type="pct"/>
            <w:vAlign w:val="center"/>
          </w:tcPr>
          <w:p w14:paraId="1D28CC29">
            <w:pPr>
              <w:pStyle w:val="751"/>
              <w:rPr>
                <w:color w:val="auto"/>
              </w:rPr>
            </w:pPr>
            <w:r>
              <w:rPr>
                <w:color w:val="auto"/>
              </w:rPr>
              <w:t>排气</w:t>
            </w:r>
            <w:r>
              <w:rPr>
                <w:rFonts w:hint="eastAsia"/>
                <w:color w:val="auto"/>
              </w:rPr>
              <w:t>筒D</w:t>
            </w:r>
            <w:r>
              <w:rPr>
                <w:color w:val="auto"/>
              </w:rPr>
              <w:t>A00</w:t>
            </w:r>
            <w:r>
              <w:rPr>
                <w:rFonts w:hint="eastAsia"/>
                <w:color w:val="auto"/>
              </w:rPr>
              <w:t>2</w:t>
            </w:r>
          </w:p>
        </w:tc>
        <w:tc>
          <w:tcPr>
            <w:tcW w:w="598" w:type="pct"/>
            <w:vAlign w:val="center"/>
          </w:tcPr>
          <w:p w14:paraId="3B65D183">
            <w:pPr>
              <w:pStyle w:val="751"/>
              <w:rPr>
                <w:color w:val="auto"/>
              </w:rPr>
            </w:pPr>
            <w:r>
              <w:rPr>
                <w:color w:val="auto"/>
              </w:rPr>
              <w:t>NH</w:t>
            </w:r>
            <w:r>
              <w:rPr>
                <w:color w:val="auto"/>
                <w:vertAlign w:val="subscript"/>
              </w:rPr>
              <w:t>3</w:t>
            </w:r>
            <w:r>
              <w:rPr>
                <w:color w:val="auto"/>
              </w:rPr>
              <w:t>、H</w:t>
            </w:r>
            <w:r>
              <w:rPr>
                <w:color w:val="auto"/>
                <w:vertAlign w:val="subscript"/>
              </w:rPr>
              <w:t>2</w:t>
            </w:r>
            <w:r>
              <w:rPr>
                <w:color w:val="auto"/>
              </w:rPr>
              <w:t>S、臭气浓度</w:t>
            </w:r>
            <w:r>
              <w:rPr>
                <w:rFonts w:hint="eastAsia"/>
                <w:color w:val="auto"/>
              </w:rPr>
              <w:t>、颗粒物</w:t>
            </w:r>
          </w:p>
        </w:tc>
        <w:tc>
          <w:tcPr>
            <w:tcW w:w="1740" w:type="pct"/>
            <w:vAlign w:val="center"/>
          </w:tcPr>
          <w:p w14:paraId="44C7B1A0">
            <w:pPr>
              <w:pStyle w:val="751"/>
              <w:jc w:val="both"/>
              <w:rPr>
                <w:color w:val="auto"/>
              </w:rPr>
            </w:pPr>
            <w:r>
              <w:rPr>
                <w:color w:val="auto"/>
              </w:rPr>
              <w:t>《恶臭污染物排放标准》(GB14554-93)表1二级中新扩改建标准限值及表2中相关要求、臭气浓度执行《畜禽养殖业污染物排放标准》（GB18596-2001）表7中的标准要求</w:t>
            </w:r>
            <w:r>
              <w:rPr>
                <w:rFonts w:hint="eastAsia"/>
                <w:color w:val="auto"/>
              </w:rPr>
              <w:t>、《大气污染物综合排放标准》</w:t>
            </w:r>
            <w:r>
              <w:rPr>
                <w:color w:val="auto"/>
              </w:rPr>
              <w:t>（GB16297-1996）表2二级标准</w:t>
            </w:r>
          </w:p>
        </w:tc>
      </w:tr>
      <w:tr w14:paraId="4F94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233" w:type="pct"/>
            <w:vMerge w:val="continue"/>
            <w:vAlign w:val="center"/>
          </w:tcPr>
          <w:p w14:paraId="3F11FFFC">
            <w:pPr>
              <w:pStyle w:val="751"/>
              <w:rPr>
                <w:color w:val="auto"/>
              </w:rPr>
            </w:pPr>
          </w:p>
        </w:tc>
        <w:tc>
          <w:tcPr>
            <w:tcW w:w="570" w:type="pct"/>
            <w:vMerge w:val="restart"/>
            <w:vAlign w:val="center"/>
          </w:tcPr>
          <w:p w14:paraId="5A947CED">
            <w:pPr>
              <w:pStyle w:val="751"/>
              <w:jc w:val="both"/>
              <w:rPr>
                <w:color w:val="auto"/>
              </w:rPr>
            </w:pPr>
            <w:r>
              <w:rPr>
                <w:color w:val="auto"/>
              </w:rPr>
              <w:t>锅炉废气</w:t>
            </w:r>
            <w:r>
              <w:rPr>
                <w:rFonts w:hint="eastAsia"/>
                <w:color w:val="auto"/>
              </w:rPr>
              <w:t>（两用一备，以DA004、DA005核算）</w:t>
            </w:r>
          </w:p>
        </w:tc>
        <w:tc>
          <w:tcPr>
            <w:tcW w:w="1162" w:type="pct"/>
            <w:vMerge w:val="restart"/>
            <w:vAlign w:val="center"/>
          </w:tcPr>
          <w:p w14:paraId="6AA73808">
            <w:pPr>
              <w:pStyle w:val="751"/>
              <w:rPr>
                <w:color w:val="auto"/>
              </w:rPr>
            </w:pPr>
            <w:r>
              <w:rPr>
                <w:rFonts w:hint="eastAsia"/>
                <w:color w:val="auto"/>
              </w:rPr>
              <w:t>低氮燃烧</w:t>
            </w:r>
          </w:p>
        </w:tc>
        <w:tc>
          <w:tcPr>
            <w:tcW w:w="693" w:type="pct"/>
            <w:vAlign w:val="center"/>
          </w:tcPr>
          <w:p w14:paraId="01484547">
            <w:pPr>
              <w:pStyle w:val="751"/>
              <w:rPr>
                <w:color w:val="auto"/>
              </w:rPr>
            </w:pPr>
            <w:r>
              <w:rPr>
                <w:color w:val="auto"/>
              </w:rPr>
              <w:t>排气</w:t>
            </w:r>
            <w:r>
              <w:rPr>
                <w:rFonts w:hint="eastAsia"/>
                <w:color w:val="auto"/>
              </w:rPr>
              <w:t>筒D</w:t>
            </w:r>
            <w:r>
              <w:rPr>
                <w:color w:val="auto"/>
              </w:rPr>
              <w:t>A00</w:t>
            </w:r>
            <w:r>
              <w:rPr>
                <w:rFonts w:hint="eastAsia"/>
                <w:color w:val="auto"/>
              </w:rPr>
              <w:t>4</w:t>
            </w:r>
          </w:p>
        </w:tc>
        <w:tc>
          <w:tcPr>
            <w:tcW w:w="598" w:type="pct"/>
            <w:vMerge w:val="restart"/>
            <w:vAlign w:val="center"/>
          </w:tcPr>
          <w:p w14:paraId="4C356B01">
            <w:pPr>
              <w:pStyle w:val="751"/>
              <w:rPr>
                <w:color w:val="auto"/>
              </w:rPr>
            </w:pPr>
            <w:r>
              <w:rPr>
                <w:rFonts w:hint="eastAsia"/>
                <w:color w:val="auto"/>
              </w:rPr>
              <w:t>PM</w:t>
            </w:r>
            <w:r>
              <w:rPr>
                <w:rFonts w:hint="eastAsia"/>
                <w:color w:val="auto"/>
                <w:vertAlign w:val="subscript"/>
              </w:rPr>
              <w:t>10</w:t>
            </w:r>
            <w:r>
              <w:rPr>
                <w:rFonts w:hint="eastAsia"/>
                <w:color w:val="auto"/>
              </w:rPr>
              <w:t>、</w:t>
            </w:r>
            <w:r>
              <w:rPr>
                <w:color w:val="auto"/>
              </w:rPr>
              <w:t>NO</w:t>
            </w:r>
            <w:r>
              <w:rPr>
                <w:color w:val="auto"/>
                <w:vertAlign w:val="subscript"/>
              </w:rPr>
              <w:t>X</w:t>
            </w:r>
          </w:p>
        </w:tc>
        <w:tc>
          <w:tcPr>
            <w:tcW w:w="1740" w:type="pct"/>
            <w:vMerge w:val="restart"/>
            <w:vAlign w:val="center"/>
          </w:tcPr>
          <w:p w14:paraId="00EE5EC3">
            <w:pPr>
              <w:pStyle w:val="751"/>
              <w:jc w:val="both"/>
              <w:rPr>
                <w:color w:val="auto"/>
              </w:rPr>
            </w:pPr>
            <w:r>
              <w:rPr>
                <w:color w:val="auto"/>
              </w:rPr>
              <w:t>《锅炉大气污染物排放标准》（GB13271-2014）表3</w:t>
            </w:r>
            <w:r>
              <w:rPr>
                <w:rFonts w:hint="eastAsia"/>
                <w:color w:val="auto"/>
              </w:rPr>
              <w:t>限值要求</w:t>
            </w:r>
          </w:p>
        </w:tc>
      </w:tr>
      <w:tr w14:paraId="2B8C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3" w:type="pct"/>
            <w:vMerge w:val="continue"/>
            <w:vAlign w:val="center"/>
          </w:tcPr>
          <w:p w14:paraId="147241DA">
            <w:pPr>
              <w:pStyle w:val="751"/>
              <w:rPr>
                <w:color w:val="auto"/>
              </w:rPr>
            </w:pPr>
          </w:p>
        </w:tc>
        <w:tc>
          <w:tcPr>
            <w:tcW w:w="570" w:type="pct"/>
            <w:vMerge w:val="continue"/>
            <w:vAlign w:val="center"/>
          </w:tcPr>
          <w:p w14:paraId="2927B5AF">
            <w:pPr>
              <w:pStyle w:val="751"/>
              <w:rPr>
                <w:color w:val="auto"/>
              </w:rPr>
            </w:pPr>
          </w:p>
        </w:tc>
        <w:tc>
          <w:tcPr>
            <w:tcW w:w="1162" w:type="pct"/>
            <w:vMerge w:val="continue"/>
            <w:vAlign w:val="center"/>
          </w:tcPr>
          <w:p w14:paraId="5FEE0FDF">
            <w:pPr>
              <w:pStyle w:val="751"/>
              <w:rPr>
                <w:color w:val="auto"/>
              </w:rPr>
            </w:pPr>
          </w:p>
        </w:tc>
        <w:tc>
          <w:tcPr>
            <w:tcW w:w="693" w:type="pct"/>
            <w:vAlign w:val="center"/>
          </w:tcPr>
          <w:p w14:paraId="22B731C1">
            <w:pPr>
              <w:pStyle w:val="751"/>
              <w:rPr>
                <w:color w:val="auto"/>
              </w:rPr>
            </w:pPr>
            <w:r>
              <w:rPr>
                <w:color w:val="auto"/>
              </w:rPr>
              <w:t>排气</w:t>
            </w:r>
            <w:r>
              <w:rPr>
                <w:rFonts w:hint="eastAsia"/>
                <w:color w:val="auto"/>
              </w:rPr>
              <w:t>筒D</w:t>
            </w:r>
            <w:r>
              <w:rPr>
                <w:color w:val="auto"/>
              </w:rPr>
              <w:t>A00</w:t>
            </w:r>
            <w:r>
              <w:rPr>
                <w:rFonts w:hint="eastAsia"/>
                <w:color w:val="auto"/>
              </w:rPr>
              <w:t>5</w:t>
            </w:r>
          </w:p>
        </w:tc>
        <w:tc>
          <w:tcPr>
            <w:tcW w:w="598" w:type="pct"/>
            <w:vMerge w:val="continue"/>
            <w:vAlign w:val="center"/>
          </w:tcPr>
          <w:p w14:paraId="63E84D8D">
            <w:pPr>
              <w:pStyle w:val="751"/>
              <w:rPr>
                <w:color w:val="auto"/>
              </w:rPr>
            </w:pPr>
          </w:p>
        </w:tc>
        <w:tc>
          <w:tcPr>
            <w:tcW w:w="1740" w:type="pct"/>
            <w:vMerge w:val="continue"/>
            <w:vAlign w:val="center"/>
          </w:tcPr>
          <w:p w14:paraId="727B1F5D">
            <w:pPr>
              <w:pStyle w:val="751"/>
              <w:rPr>
                <w:color w:val="auto"/>
              </w:rPr>
            </w:pPr>
          </w:p>
        </w:tc>
      </w:tr>
      <w:tr w14:paraId="25ED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0BE7A9D7">
            <w:pPr>
              <w:pStyle w:val="751"/>
              <w:rPr>
                <w:color w:val="auto"/>
              </w:rPr>
            </w:pPr>
          </w:p>
        </w:tc>
        <w:tc>
          <w:tcPr>
            <w:tcW w:w="570" w:type="pct"/>
            <w:vAlign w:val="center"/>
          </w:tcPr>
          <w:p w14:paraId="78E79AA0">
            <w:pPr>
              <w:pStyle w:val="751"/>
              <w:rPr>
                <w:color w:val="auto"/>
              </w:rPr>
            </w:pPr>
            <w:r>
              <w:rPr>
                <w:color w:val="auto"/>
              </w:rPr>
              <w:t>食堂废气</w:t>
            </w:r>
          </w:p>
        </w:tc>
        <w:tc>
          <w:tcPr>
            <w:tcW w:w="1162" w:type="pct"/>
            <w:vAlign w:val="center"/>
          </w:tcPr>
          <w:p w14:paraId="1DCED899">
            <w:pPr>
              <w:pStyle w:val="751"/>
              <w:rPr>
                <w:color w:val="auto"/>
              </w:rPr>
            </w:pPr>
            <w:r>
              <w:rPr>
                <w:color w:val="auto"/>
              </w:rPr>
              <w:t>静电式油烟净化装置+排气管道</w:t>
            </w:r>
          </w:p>
        </w:tc>
        <w:tc>
          <w:tcPr>
            <w:tcW w:w="693" w:type="pct"/>
            <w:vAlign w:val="center"/>
          </w:tcPr>
          <w:p w14:paraId="6B28A80C">
            <w:pPr>
              <w:pStyle w:val="751"/>
              <w:rPr>
                <w:color w:val="auto"/>
              </w:rPr>
            </w:pPr>
            <w:r>
              <w:rPr>
                <w:color w:val="auto"/>
              </w:rPr>
              <w:t>油烟排放口</w:t>
            </w:r>
            <w:r>
              <w:rPr>
                <w:rFonts w:hint="eastAsia"/>
                <w:color w:val="auto"/>
              </w:rPr>
              <w:t>D</w:t>
            </w:r>
            <w:r>
              <w:rPr>
                <w:color w:val="auto"/>
              </w:rPr>
              <w:t>A003</w:t>
            </w:r>
          </w:p>
        </w:tc>
        <w:tc>
          <w:tcPr>
            <w:tcW w:w="598" w:type="pct"/>
            <w:vAlign w:val="center"/>
          </w:tcPr>
          <w:p w14:paraId="2D3CF3F7">
            <w:pPr>
              <w:pStyle w:val="751"/>
              <w:rPr>
                <w:color w:val="auto"/>
              </w:rPr>
            </w:pPr>
            <w:r>
              <w:rPr>
                <w:color w:val="auto"/>
              </w:rPr>
              <w:t>油烟</w:t>
            </w:r>
          </w:p>
        </w:tc>
        <w:tc>
          <w:tcPr>
            <w:tcW w:w="1740" w:type="pct"/>
            <w:vAlign w:val="center"/>
          </w:tcPr>
          <w:p w14:paraId="5309AA6F">
            <w:pPr>
              <w:pStyle w:val="751"/>
              <w:jc w:val="both"/>
              <w:rPr>
                <w:color w:val="auto"/>
              </w:rPr>
            </w:pPr>
            <w:r>
              <w:rPr>
                <w:color w:val="auto"/>
              </w:rPr>
              <w:t>《饮食业油烟排放标准（试行）》（GB18483-2001）中型饮食业单位标准</w:t>
            </w:r>
          </w:p>
        </w:tc>
      </w:tr>
      <w:tr w14:paraId="2384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2E4F0259">
            <w:pPr>
              <w:pStyle w:val="751"/>
              <w:rPr>
                <w:color w:val="auto"/>
              </w:rPr>
            </w:pPr>
          </w:p>
        </w:tc>
        <w:tc>
          <w:tcPr>
            <w:tcW w:w="570" w:type="pct"/>
            <w:vAlign w:val="center"/>
          </w:tcPr>
          <w:p w14:paraId="3E8C5CF7">
            <w:pPr>
              <w:pStyle w:val="751"/>
              <w:rPr>
                <w:color w:val="auto"/>
              </w:rPr>
            </w:pPr>
            <w:r>
              <w:rPr>
                <w:color w:val="auto"/>
              </w:rPr>
              <w:t>饲料加工</w:t>
            </w:r>
          </w:p>
        </w:tc>
        <w:tc>
          <w:tcPr>
            <w:tcW w:w="1162" w:type="pct"/>
            <w:vAlign w:val="center"/>
          </w:tcPr>
          <w:p w14:paraId="715FEFE9">
            <w:pPr>
              <w:pStyle w:val="751"/>
              <w:rPr>
                <w:color w:val="auto"/>
              </w:rPr>
            </w:pPr>
            <w:r>
              <w:rPr>
                <w:rFonts w:hint="eastAsia"/>
                <w:color w:val="auto"/>
              </w:rPr>
              <w:t>集尘罩+</w:t>
            </w:r>
            <w:r>
              <w:rPr>
                <w:color w:val="auto"/>
              </w:rPr>
              <w:t>布袋除尘</w:t>
            </w:r>
          </w:p>
        </w:tc>
        <w:tc>
          <w:tcPr>
            <w:tcW w:w="693" w:type="pct"/>
            <w:vAlign w:val="center"/>
          </w:tcPr>
          <w:p w14:paraId="0B44A510">
            <w:pPr>
              <w:pStyle w:val="751"/>
              <w:rPr>
                <w:color w:val="auto"/>
              </w:rPr>
            </w:pPr>
            <w:r>
              <w:rPr>
                <w:color w:val="auto"/>
              </w:rPr>
              <w:t>排气筒DA001</w:t>
            </w:r>
          </w:p>
        </w:tc>
        <w:tc>
          <w:tcPr>
            <w:tcW w:w="598" w:type="pct"/>
            <w:vAlign w:val="center"/>
          </w:tcPr>
          <w:p w14:paraId="04CAA429">
            <w:pPr>
              <w:pStyle w:val="751"/>
              <w:rPr>
                <w:color w:val="auto"/>
              </w:rPr>
            </w:pPr>
            <w:r>
              <w:rPr>
                <w:color w:val="auto"/>
              </w:rPr>
              <w:t>颗粒物</w:t>
            </w:r>
          </w:p>
        </w:tc>
        <w:tc>
          <w:tcPr>
            <w:tcW w:w="1740" w:type="pct"/>
            <w:vAlign w:val="center"/>
          </w:tcPr>
          <w:p w14:paraId="0529D694">
            <w:pPr>
              <w:pStyle w:val="751"/>
              <w:rPr>
                <w:color w:val="auto"/>
              </w:rPr>
            </w:pPr>
            <w:r>
              <w:rPr>
                <w:color w:val="auto"/>
              </w:rPr>
              <w:t>《大气污染物综合排放标准》（GB16297-1996）表2二级标准</w:t>
            </w:r>
          </w:p>
        </w:tc>
      </w:tr>
      <w:tr w14:paraId="784A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Align w:val="center"/>
          </w:tcPr>
          <w:p w14:paraId="7D4FEB71">
            <w:pPr>
              <w:pStyle w:val="751"/>
              <w:rPr>
                <w:color w:val="auto"/>
              </w:rPr>
            </w:pPr>
            <w:r>
              <w:rPr>
                <w:color w:val="auto"/>
              </w:rPr>
              <w:t>废水</w:t>
            </w:r>
          </w:p>
        </w:tc>
        <w:tc>
          <w:tcPr>
            <w:tcW w:w="570" w:type="pct"/>
            <w:vAlign w:val="center"/>
          </w:tcPr>
          <w:p w14:paraId="1265BC70">
            <w:pPr>
              <w:pStyle w:val="751"/>
              <w:rPr>
                <w:color w:val="auto"/>
              </w:rPr>
            </w:pPr>
            <w:r>
              <w:rPr>
                <w:color w:val="auto"/>
              </w:rPr>
              <w:t>生产废水和生活污水</w:t>
            </w:r>
          </w:p>
        </w:tc>
        <w:tc>
          <w:tcPr>
            <w:tcW w:w="1162" w:type="pct"/>
            <w:vAlign w:val="center"/>
          </w:tcPr>
          <w:p w14:paraId="44FC9AE8">
            <w:pPr>
              <w:pStyle w:val="751"/>
              <w:rPr>
                <w:color w:val="auto"/>
              </w:rPr>
            </w:pPr>
            <w:r>
              <w:rPr>
                <w:rFonts w:hint="eastAsia"/>
                <w:color w:val="auto"/>
              </w:rPr>
              <w:t>有机肥发酵渗滤液、</w:t>
            </w:r>
            <w:r>
              <w:rPr>
                <w:color w:val="auto"/>
              </w:rPr>
              <w:t>鸡舍冲洗水及生活污水经</w:t>
            </w:r>
            <w:r>
              <w:rPr>
                <w:rFonts w:hint="eastAsia"/>
                <w:color w:val="auto"/>
              </w:rPr>
              <w:t>污水站</w:t>
            </w:r>
            <w:r>
              <w:rPr>
                <w:color w:val="auto"/>
              </w:rPr>
              <w:t>处理综合利用</w:t>
            </w:r>
          </w:p>
        </w:tc>
        <w:tc>
          <w:tcPr>
            <w:tcW w:w="693" w:type="pct"/>
            <w:vAlign w:val="center"/>
          </w:tcPr>
          <w:p w14:paraId="7E547D45">
            <w:pPr>
              <w:pStyle w:val="751"/>
              <w:rPr>
                <w:color w:val="auto"/>
              </w:rPr>
            </w:pPr>
            <w:r>
              <w:rPr>
                <w:color w:val="auto"/>
              </w:rPr>
              <w:t>污水站排口</w:t>
            </w:r>
          </w:p>
        </w:tc>
        <w:tc>
          <w:tcPr>
            <w:tcW w:w="598" w:type="pct"/>
            <w:vAlign w:val="center"/>
          </w:tcPr>
          <w:p w14:paraId="5A5C1A03">
            <w:pPr>
              <w:pStyle w:val="751"/>
              <w:rPr>
                <w:color w:val="auto"/>
              </w:rPr>
            </w:pPr>
            <w:r>
              <w:rPr>
                <w:color w:val="auto"/>
              </w:rPr>
              <w:t>/</w:t>
            </w:r>
          </w:p>
        </w:tc>
        <w:tc>
          <w:tcPr>
            <w:tcW w:w="1740" w:type="pct"/>
            <w:vAlign w:val="center"/>
          </w:tcPr>
          <w:p w14:paraId="31F3BD9B">
            <w:pPr>
              <w:pStyle w:val="751"/>
              <w:jc w:val="both"/>
              <w:rPr>
                <w:color w:val="auto"/>
              </w:rPr>
            </w:pPr>
            <w:r>
              <w:rPr>
                <w:rFonts w:hint="eastAsia"/>
                <w:color w:val="auto"/>
              </w:rPr>
              <w:t>达到</w:t>
            </w:r>
            <w:r>
              <w:rPr>
                <w:color w:val="auto"/>
              </w:rPr>
              <w:t>《城市污水再生利用城市杂用水水质》（GB/T 18920-2020）</w:t>
            </w:r>
            <w:r>
              <w:rPr>
                <w:rFonts w:hint="eastAsia"/>
                <w:color w:val="auto"/>
              </w:rPr>
              <w:t>相关要求后用于厂区绿化、鸡舍冲洗、湿帘降温和洒水抑尘</w:t>
            </w:r>
          </w:p>
        </w:tc>
      </w:tr>
      <w:tr w14:paraId="236C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restart"/>
            <w:vAlign w:val="center"/>
          </w:tcPr>
          <w:p w14:paraId="08AAC9E5">
            <w:pPr>
              <w:pStyle w:val="751"/>
              <w:rPr>
                <w:color w:val="auto"/>
              </w:rPr>
            </w:pPr>
            <w:r>
              <w:rPr>
                <w:color w:val="auto"/>
              </w:rPr>
              <w:t>固废</w:t>
            </w:r>
          </w:p>
        </w:tc>
        <w:tc>
          <w:tcPr>
            <w:tcW w:w="570" w:type="pct"/>
            <w:vAlign w:val="center"/>
          </w:tcPr>
          <w:p w14:paraId="312DBDFA">
            <w:pPr>
              <w:pStyle w:val="751"/>
              <w:rPr>
                <w:color w:val="auto"/>
              </w:rPr>
            </w:pPr>
            <w:r>
              <w:rPr>
                <w:color w:val="auto"/>
              </w:rPr>
              <w:t>鸡舍</w:t>
            </w:r>
          </w:p>
        </w:tc>
        <w:tc>
          <w:tcPr>
            <w:tcW w:w="1162" w:type="pct"/>
            <w:vAlign w:val="center"/>
          </w:tcPr>
          <w:p w14:paraId="25D28C1E">
            <w:pPr>
              <w:pStyle w:val="751"/>
              <w:rPr>
                <w:color w:val="auto"/>
              </w:rPr>
            </w:pPr>
            <w:r>
              <w:rPr>
                <w:color w:val="auto"/>
              </w:rPr>
              <w:t>鸡舍鸡粪、鸡毛、残渣</w:t>
            </w:r>
          </w:p>
        </w:tc>
        <w:tc>
          <w:tcPr>
            <w:tcW w:w="3033" w:type="pct"/>
            <w:gridSpan w:val="3"/>
            <w:vMerge w:val="restart"/>
            <w:vAlign w:val="center"/>
          </w:tcPr>
          <w:p w14:paraId="5AEA743C">
            <w:pPr>
              <w:pStyle w:val="751"/>
              <w:rPr>
                <w:color w:val="auto"/>
              </w:rPr>
            </w:pPr>
            <w:r>
              <w:rPr>
                <w:rFonts w:hint="eastAsia"/>
                <w:color w:val="auto"/>
              </w:rPr>
              <w:t>统一收集送至有机肥加工车间制作有机肥料</w:t>
            </w:r>
          </w:p>
        </w:tc>
      </w:tr>
      <w:tr w14:paraId="70F0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2C1C18E4">
            <w:pPr>
              <w:pStyle w:val="751"/>
              <w:rPr>
                <w:color w:val="auto"/>
              </w:rPr>
            </w:pPr>
          </w:p>
        </w:tc>
        <w:tc>
          <w:tcPr>
            <w:tcW w:w="570" w:type="pct"/>
            <w:vAlign w:val="center"/>
          </w:tcPr>
          <w:p w14:paraId="41BF6FFA">
            <w:pPr>
              <w:pStyle w:val="751"/>
              <w:rPr>
                <w:color w:val="auto"/>
              </w:rPr>
            </w:pPr>
            <w:r>
              <w:rPr>
                <w:color w:val="auto"/>
              </w:rPr>
              <w:t>污水处理</w:t>
            </w:r>
          </w:p>
        </w:tc>
        <w:tc>
          <w:tcPr>
            <w:tcW w:w="1162" w:type="pct"/>
            <w:vAlign w:val="center"/>
          </w:tcPr>
          <w:p w14:paraId="68DE7DC0">
            <w:pPr>
              <w:pStyle w:val="751"/>
              <w:rPr>
                <w:color w:val="auto"/>
              </w:rPr>
            </w:pPr>
            <w:r>
              <w:rPr>
                <w:rFonts w:hint="eastAsia"/>
                <w:color w:val="auto"/>
              </w:rPr>
              <w:t>污泥</w:t>
            </w:r>
          </w:p>
        </w:tc>
        <w:tc>
          <w:tcPr>
            <w:tcW w:w="3033" w:type="pct"/>
            <w:gridSpan w:val="3"/>
            <w:vMerge w:val="continue"/>
            <w:vAlign w:val="center"/>
          </w:tcPr>
          <w:p w14:paraId="62F1D0C6">
            <w:pPr>
              <w:pStyle w:val="751"/>
              <w:rPr>
                <w:color w:val="auto"/>
              </w:rPr>
            </w:pPr>
          </w:p>
        </w:tc>
      </w:tr>
      <w:tr w14:paraId="26B3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77C9DFDC">
            <w:pPr>
              <w:pStyle w:val="751"/>
              <w:rPr>
                <w:color w:val="auto"/>
              </w:rPr>
            </w:pPr>
          </w:p>
        </w:tc>
        <w:tc>
          <w:tcPr>
            <w:tcW w:w="570" w:type="pct"/>
            <w:vAlign w:val="center"/>
          </w:tcPr>
          <w:p w14:paraId="48A6F0F8">
            <w:pPr>
              <w:pStyle w:val="751"/>
              <w:rPr>
                <w:color w:val="auto"/>
              </w:rPr>
            </w:pPr>
            <w:r>
              <w:rPr>
                <w:color w:val="auto"/>
              </w:rPr>
              <w:t>产品库</w:t>
            </w:r>
          </w:p>
        </w:tc>
        <w:tc>
          <w:tcPr>
            <w:tcW w:w="1162" w:type="pct"/>
            <w:vAlign w:val="center"/>
          </w:tcPr>
          <w:p w14:paraId="20EA10BE">
            <w:pPr>
              <w:pStyle w:val="751"/>
              <w:rPr>
                <w:color w:val="auto"/>
              </w:rPr>
            </w:pPr>
            <w:r>
              <w:rPr>
                <w:color w:val="auto"/>
              </w:rPr>
              <w:t>不合格蛋</w:t>
            </w:r>
          </w:p>
        </w:tc>
        <w:tc>
          <w:tcPr>
            <w:tcW w:w="3033" w:type="pct"/>
            <w:gridSpan w:val="3"/>
            <w:vMerge w:val="continue"/>
            <w:vAlign w:val="center"/>
          </w:tcPr>
          <w:p w14:paraId="53523473">
            <w:pPr>
              <w:pStyle w:val="751"/>
              <w:rPr>
                <w:color w:val="auto"/>
              </w:rPr>
            </w:pPr>
          </w:p>
        </w:tc>
      </w:tr>
      <w:tr w14:paraId="6C47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7F945C9F">
            <w:pPr>
              <w:pStyle w:val="751"/>
              <w:rPr>
                <w:color w:val="auto"/>
              </w:rPr>
            </w:pPr>
          </w:p>
        </w:tc>
        <w:tc>
          <w:tcPr>
            <w:tcW w:w="570" w:type="pct"/>
            <w:vAlign w:val="center"/>
          </w:tcPr>
          <w:p w14:paraId="16FD3D33">
            <w:pPr>
              <w:pStyle w:val="751"/>
              <w:rPr>
                <w:color w:val="auto"/>
              </w:rPr>
            </w:pPr>
            <w:r>
              <w:rPr>
                <w:color w:val="auto"/>
              </w:rPr>
              <w:t>饲料车间</w:t>
            </w:r>
          </w:p>
        </w:tc>
        <w:tc>
          <w:tcPr>
            <w:tcW w:w="1162" w:type="pct"/>
            <w:vAlign w:val="center"/>
          </w:tcPr>
          <w:p w14:paraId="6D226A68">
            <w:pPr>
              <w:pStyle w:val="751"/>
              <w:rPr>
                <w:color w:val="auto"/>
              </w:rPr>
            </w:pPr>
            <w:r>
              <w:rPr>
                <w:color w:val="auto"/>
              </w:rPr>
              <w:t>除尘灰</w:t>
            </w:r>
          </w:p>
        </w:tc>
        <w:tc>
          <w:tcPr>
            <w:tcW w:w="693" w:type="pct"/>
            <w:vAlign w:val="center"/>
          </w:tcPr>
          <w:p w14:paraId="423A3328">
            <w:pPr>
              <w:pStyle w:val="751"/>
              <w:rPr>
                <w:color w:val="auto"/>
              </w:rPr>
            </w:pPr>
            <w:r>
              <w:rPr>
                <w:color w:val="auto"/>
              </w:rPr>
              <w:t>回收作为饲料使用</w:t>
            </w:r>
          </w:p>
        </w:tc>
        <w:tc>
          <w:tcPr>
            <w:tcW w:w="598" w:type="pct"/>
            <w:vAlign w:val="center"/>
          </w:tcPr>
          <w:p w14:paraId="2390376C">
            <w:pPr>
              <w:pStyle w:val="751"/>
              <w:rPr>
                <w:color w:val="auto"/>
              </w:rPr>
            </w:pPr>
            <w:r>
              <w:rPr>
                <w:color w:val="auto"/>
              </w:rPr>
              <w:t>—</w:t>
            </w:r>
          </w:p>
        </w:tc>
        <w:tc>
          <w:tcPr>
            <w:tcW w:w="1740" w:type="pct"/>
            <w:vAlign w:val="center"/>
          </w:tcPr>
          <w:p w14:paraId="5C32F9D0">
            <w:pPr>
              <w:pStyle w:val="751"/>
              <w:rPr>
                <w:color w:val="auto"/>
              </w:rPr>
            </w:pPr>
            <w:r>
              <w:rPr>
                <w:color w:val="auto"/>
              </w:rPr>
              <w:t>—</w:t>
            </w:r>
          </w:p>
        </w:tc>
      </w:tr>
      <w:tr w14:paraId="54D8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6B1BE0DE">
            <w:pPr>
              <w:pStyle w:val="751"/>
              <w:rPr>
                <w:color w:val="auto"/>
              </w:rPr>
            </w:pPr>
          </w:p>
        </w:tc>
        <w:tc>
          <w:tcPr>
            <w:tcW w:w="570" w:type="pct"/>
            <w:vAlign w:val="center"/>
          </w:tcPr>
          <w:p w14:paraId="1F168107">
            <w:pPr>
              <w:pStyle w:val="751"/>
              <w:rPr>
                <w:color w:val="auto"/>
              </w:rPr>
            </w:pPr>
            <w:r>
              <w:rPr>
                <w:rFonts w:hint="eastAsia"/>
                <w:color w:val="auto"/>
              </w:rPr>
              <w:t>有机肥加工车间</w:t>
            </w:r>
          </w:p>
        </w:tc>
        <w:tc>
          <w:tcPr>
            <w:tcW w:w="1162" w:type="pct"/>
            <w:vAlign w:val="center"/>
          </w:tcPr>
          <w:p w14:paraId="55E8CF67">
            <w:pPr>
              <w:pStyle w:val="751"/>
              <w:rPr>
                <w:color w:val="auto"/>
              </w:rPr>
            </w:pPr>
            <w:r>
              <w:rPr>
                <w:rFonts w:hint="eastAsia"/>
                <w:color w:val="auto"/>
              </w:rPr>
              <w:t>除尘灰</w:t>
            </w:r>
          </w:p>
        </w:tc>
        <w:tc>
          <w:tcPr>
            <w:tcW w:w="693" w:type="pct"/>
            <w:vAlign w:val="center"/>
          </w:tcPr>
          <w:p w14:paraId="3AB5BD29">
            <w:pPr>
              <w:pStyle w:val="751"/>
              <w:rPr>
                <w:color w:val="auto"/>
              </w:rPr>
            </w:pPr>
            <w:r>
              <w:rPr>
                <w:rFonts w:hint="eastAsia"/>
                <w:color w:val="auto"/>
              </w:rPr>
              <w:t>回收用作有机肥加工原料</w:t>
            </w:r>
          </w:p>
        </w:tc>
        <w:tc>
          <w:tcPr>
            <w:tcW w:w="598" w:type="pct"/>
            <w:vAlign w:val="center"/>
          </w:tcPr>
          <w:p w14:paraId="69E612C8">
            <w:pPr>
              <w:pStyle w:val="751"/>
              <w:rPr>
                <w:color w:val="auto"/>
              </w:rPr>
            </w:pPr>
          </w:p>
        </w:tc>
        <w:tc>
          <w:tcPr>
            <w:tcW w:w="1740" w:type="pct"/>
            <w:vAlign w:val="center"/>
          </w:tcPr>
          <w:p w14:paraId="518D18BB">
            <w:pPr>
              <w:pStyle w:val="751"/>
              <w:rPr>
                <w:color w:val="auto"/>
              </w:rPr>
            </w:pPr>
          </w:p>
        </w:tc>
      </w:tr>
      <w:tr w14:paraId="75B4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49E76002">
            <w:pPr>
              <w:pStyle w:val="751"/>
              <w:rPr>
                <w:color w:val="auto"/>
              </w:rPr>
            </w:pPr>
          </w:p>
        </w:tc>
        <w:tc>
          <w:tcPr>
            <w:tcW w:w="570" w:type="pct"/>
            <w:vAlign w:val="center"/>
          </w:tcPr>
          <w:p w14:paraId="5E7F9997">
            <w:pPr>
              <w:pStyle w:val="751"/>
              <w:rPr>
                <w:color w:val="auto"/>
              </w:rPr>
            </w:pPr>
            <w:r>
              <w:rPr>
                <w:color w:val="auto"/>
              </w:rPr>
              <w:t>防疫</w:t>
            </w:r>
          </w:p>
        </w:tc>
        <w:tc>
          <w:tcPr>
            <w:tcW w:w="1162" w:type="pct"/>
            <w:vAlign w:val="center"/>
          </w:tcPr>
          <w:p w14:paraId="68B282A8">
            <w:pPr>
              <w:pStyle w:val="751"/>
              <w:rPr>
                <w:color w:val="auto"/>
              </w:rPr>
            </w:pPr>
            <w:r>
              <w:rPr>
                <w:color w:val="auto"/>
              </w:rPr>
              <w:t>医疗废物</w:t>
            </w:r>
          </w:p>
        </w:tc>
        <w:tc>
          <w:tcPr>
            <w:tcW w:w="693" w:type="pct"/>
            <w:vAlign w:val="center"/>
          </w:tcPr>
          <w:p w14:paraId="7DEEAF16">
            <w:pPr>
              <w:pStyle w:val="751"/>
              <w:rPr>
                <w:color w:val="auto"/>
              </w:rPr>
            </w:pPr>
            <w:r>
              <w:rPr>
                <w:color w:val="auto"/>
              </w:rPr>
              <w:t>设置</w:t>
            </w:r>
            <w:r>
              <w:rPr>
                <w:rFonts w:hint="eastAsia"/>
                <w:color w:val="auto"/>
              </w:rPr>
              <w:t>诊疗废物暂存库</w:t>
            </w:r>
            <w:r>
              <w:rPr>
                <w:color w:val="auto"/>
              </w:rPr>
              <w:t>，</w:t>
            </w:r>
            <w:r>
              <w:rPr>
                <w:color w:val="auto"/>
                <w:kern w:val="21"/>
              </w:rPr>
              <w:t>按照《危险废物贮存污染控制标准》（GB18597-2023</w:t>
            </w:r>
            <w:r>
              <w:rPr>
                <w:rFonts w:hint="eastAsia"/>
                <w:color w:val="auto"/>
                <w:kern w:val="21"/>
              </w:rPr>
              <w:t>）</w:t>
            </w:r>
            <w:r>
              <w:rPr>
                <w:color w:val="auto"/>
                <w:kern w:val="21"/>
              </w:rPr>
              <w:t>要求管理、建设</w:t>
            </w:r>
          </w:p>
        </w:tc>
        <w:tc>
          <w:tcPr>
            <w:tcW w:w="598" w:type="pct"/>
            <w:vAlign w:val="center"/>
          </w:tcPr>
          <w:p w14:paraId="01D16F0C">
            <w:pPr>
              <w:pStyle w:val="751"/>
              <w:rPr>
                <w:color w:val="auto"/>
              </w:rPr>
            </w:pPr>
            <w:r>
              <w:rPr>
                <w:color w:val="auto"/>
              </w:rPr>
              <w:t>—</w:t>
            </w:r>
          </w:p>
        </w:tc>
        <w:tc>
          <w:tcPr>
            <w:tcW w:w="1740" w:type="pct"/>
            <w:vAlign w:val="center"/>
          </w:tcPr>
          <w:p w14:paraId="3B3F1D3E">
            <w:pPr>
              <w:pStyle w:val="751"/>
              <w:jc w:val="both"/>
              <w:rPr>
                <w:color w:val="auto"/>
              </w:rPr>
            </w:pPr>
            <w:r>
              <w:rPr>
                <w:color w:val="auto"/>
                <w:kern w:val="21"/>
              </w:rPr>
              <w:t>《危险废物贮存污染控制标准》（GB18597-2023</w:t>
            </w:r>
            <w:r>
              <w:rPr>
                <w:rFonts w:hint="eastAsia"/>
                <w:color w:val="auto"/>
                <w:kern w:val="21"/>
              </w:rPr>
              <w:t>）</w:t>
            </w:r>
          </w:p>
        </w:tc>
      </w:tr>
      <w:tr w14:paraId="0B81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2E883290">
            <w:pPr>
              <w:pStyle w:val="751"/>
              <w:rPr>
                <w:color w:val="auto"/>
              </w:rPr>
            </w:pPr>
          </w:p>
        </w:tc>
        <w:tc>
          <w:tcPr>
            <w:tcW w:w="570" w:type="pct"/>
            <w:vAlign w:val="center"/>
          </w:tcPr>
          <w:p w14:paraId="6385E535">
            <w:pPr>
              <w:pStyle w:val="751"/>
              <w:rPr>
                <w:color w:val="auto"/>
              </w:rPr>
            </w:pPr>
            <w:r>
              <w:rPr>
                <w:color w:val="auto"/>
              </w:rPr>
              <w:t>病死鸡</w:t>
            </w:r>
          </w:p>
        </w:tc>
        <w:tc>
          <w:tcPr>
            <w:tcW w:w="1162" w:type="pct"/>
            <w:vAlign w:val="center"/>
          </w:tcPr>
          <w:p w14:paraId="0FA32AA7">
            <w:pPr>
              <w:pStyle w:val="751"/>
              <w:rPr>
                <w:color w:val="auto"/>
              </w:rPr>
            </w:pPr>
            <w:r>
              <w:rPr>
                <w:color w:val="auto"/>
              </w:rPr>
              <w:t>病死鸡</w:t>
            </w:r>
          </w:p>
        </w:tc>
        <w:tc>
          <w:tcPr>
            <w:tcW w:w="693" w:type="pct"/>
            <w:vAlign w:val="center"/>
          </w:tcPr>
          <w:p w14:paraId="2966A33C">
            <w:pPr>
              <w:pStyle w:val="751"/>
              <w:rPr>
                <w:color w:val="auto"/>
              </w:rPr>
            </w:pPr>
            <w:r>
              <w:rPr>
                <w:color w:val="auto"/>
              </w:rPr>
              <w:t>病死鸡按照动物卫生防疫部门管理要求进行无害化处理</w:t>
            </w:r>
          </w:p>
        </w:tc>
        <w:tc>
          <w:tcPr>
            <w:tcW w:w="598" w:type="pct"/>
            <w:vAlign w:val="center"/>
          </w:tcPr>
          <w:p w14:paraId="4B40406C">
            <w:pPr>
              <w:pStyle w:val="751"/>
              <w:rPr>
                <w:color w:val="auto"/>
              </w:rPr>
            </w:pPr>
            <w:r>
              <w:rPr>
                <w:color w:val="auto"/>
              </w:rPr>
              <w:t>—</w:t>
            </w:r>
          </w:p>
        </w:tc>
        <w:tc>
          <w:tcPr>
            <w:tcW w:w="1740" w:type="pct"/>
            <w:vAlign w:val="center"/>
          </w:tcPr>
          <w:p w14:paraId="687CE92D">
            <w:pPr>
              <w:pStyle w:val="751"/>
              <w:jc w:val="both"/>
              <w:rPr>
                <w:color w:val="auto"/>
              </w:rPr>
            </w:pPr>
            <w:r>
              <w:rPr>
                <w:color w:val="auto"/>
              </w:rPr>
              <w:t>《病害动物和病害动物产品生物安全处理规程》（GB16548-2006）和《畜禽养殖业污染防治技术规范》（HJ/T81-2001）</w:t>
            </w:r>
          </w:p>
        </w:tc>
      </w:tr>
      <w:tr w14:paraId="0B6A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33" w:type="pct"/>
            <w:vMerge w:val="continue"/>
            <w:vAlign w:val="center"/>
          </w:tcPr>
          <w:p w14:paraId="453CC59A">
            <w:pPr>
              <w:pStyle w:val="751"/>
              <w:rPr>
                <w:color w:val="auto"/>
              </w:rPr>
            </w:pPr>
          </w:p>
        </w:tc>
        <w:tc>
          <w:tcPr>
            <w:tcW w:w="570" w:type="pct"/>
            <w:vAlign w:val="center"/>
          </w:tcPr>
          <w:p w14:paraId="57910BD4">
            <w:pPr>
              <w:pStyle w:val="751"/>
              <w:rPr>
                <w:color w:val="auto"/>
              </w:rPr>
            </w:pPr>
            <w:r>
              <w:rPr>
                <w:rFonts w:hint="eastAsia"/>
                <w:color w:val="auto"/>
              </w:rPr>
              <w:t>软水设备</w:t>
            </w:r>
          </w:p>
        </w:tc>
        <w:tc>
          <w:tcPr>
            <w:tcW w:w="1162" w:type="pct"/>
            <w:vAlign w:val="center"/>
          </w:tcPr>
          <w:p w14:paraId="66BC1915">
            <w:pPr>
              <w:pStyle w:val="751"/>
              <w:rPr>
                <w:color w:val="auto"/>
              </w:rPr>
            </w:pPr>
            <w:r>
              <w:rPr>
                <w:rFonts w:hint="eastAsia"/>
                <w:color w:val="auto"/>
              </w:rPr>
              <w:t>废树脂</w:t>
            </w:r>
          </w:p>
        </w:tc>
        <w:tc>
          <w:tcPr>
            <w:tcW w:w="3033" w:type="pct"/>
            <w:gridSpan w:val="3"/>
            <w:vAlign w:val="center"/>
          </w:tcPr>
          <w:p w14:paraId="3765DD07">
            <w:pPr>
              <w:pStyle w:val="751"/>
              <w:rPr>
                <w:color w:val="auto"/>
              </w:rPr>
            </w:pPr>
            <w:r>
              <w:rPr>
                <w:color w:val="auto"/>
              </w:rPr>
              <w:t>厂家回收</w:t>
            </w:r>
          </w:p>
        </w:tc>
      </w:tr>
      <w:tr w14:paraId="7963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Merge w:val="continue"/>
            <w:vAlign w:val="center"/>
          </w:tcPr>
          <w:p w14:paraId="7BD1C47A">
            <w:pPr>
              <w:pStyle w:val="751"/>
              <w:rPr>
                <w:color w:val="auto"/>
              </w:rPr>
            </w:pPr>
          </w:p>
        </w:tc>
        <w:tc>
          <w:tcPr>
            <w:tcW w:w="570" w:type="pct"/>
            <w:vAlign w:val="center"/>
          </w:tcPr>
          <w:p w14:paraId="467206EF">
            <w:pPr>
              <w:pStyle w:val="751"/>
              <w:rPr>
                <w:color w:val="auto"/>
              </w:rPr>
            </w:pPr>
            <w:r>
              <w:rPr>
                <w:color w:val="auto"/>
              </w:rPr>
              <w:t>职工</w:t>
            </w:r>
          </w:p>
        </w:tc>
        <w:tc>
          <w:tcPr>
            <w:tcW w:w="1162" w:type="pct"/>
            <w:vAlign w:val="center"/>
          </w:tcPr>
          <w:p w14:paraId="69FAD6AA">
            <w:pPr>
              <w:pStyle w:val="751"/>
              <w:rPr>
                <w:color w:val="auto"/>
              </w:rPr>
            </w:pPr>
            <w:r>
              <w:rPr>
                <w:color w:val="auto"/>
              </w:rPr>
              <w:t>生活垃圾</w:t>
            </w:r>
          </w:p>
        </w:tc>
        <w:tc>
          <w:tcPr>
            <w:tcW w:w="3033" w:type="pct"/>
            <w:gridSpan w:val="3"/>
            <w:vAlign w:val="center"/>
          </w:tcPr>
          <w:p w14:paraId="54EBE05A">
            <w:pPr>
              <w:pStyle w:val="751"/>
              <w:rPr>
                <w:color w:val="auto"/>
              </w:rPr>
            </w:pPr>
            <w:r>
              <w:rPr>
                <w:color w:val="auto"/>
              </w:rPr>
              <w:t>生活垃圾集中收集后，送当地政府部门指定地点进行处理</w:t>
            </w:r>
          </w:p>
        </w:tc>
      </w:tr>
      <w:tr w14:paraId="2667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Align w:val="center"/>
          </w:tcPr>
          <w:p w14:paraId="6740A5D6">
            <w:pPr>
              <w:pStyle w:val="751"/>
              <w:rPr>
                <w:color w:val="auto"/>
              </w:rPr>
            </w:pPr>
            <w:r>
              <w:rPr>
                <w:color w:val="auto"/>
              </w:rPr>
              <w:t>噪声</w:t>
            </w:r>
          </w:p>
        </w:tc>
        <w:tc>
          <w:tcPr>
            <w:tcW w:w="570" w:type="pct"/>
            <w:vAlign w:val="center"/>
          </w:tcPr>
          <w:p w14:paraId="1FDE2CA0">
            <w:pPr>
              <w:pStyle w:val="751"/>
              <w:rPr>
                <w:color w:val="auto"/>
                <w:kern w:val="2"/>
              </w:rPr>
            </w:pPr>
            <w:r>
              <w:rPr>
                <w:color w:val="auto"/>
                <w:kern w:val="2"/>
              </w:rPr>
              <w:t>各类</w:t>
            </w:r>
          </w:p>
          <w:p w14:paraId="5526EAB4">
            <w:pPr>
              <w:pStyle w:val="751"/>
              <w:rPr>
                <w:color w:val="auto"/>
                <w:kern w:val="2"/>
              </w:rPr>
            </w:pPr>
            <w:r>
              <w:rPr>
                <w:color w:val="auto"/>
                <w:kern w:val="2"/>
              </w:rPr>
              <w:t>机械</w:t>
            </w:r>
          </w:p>
        </w:tc>
        <w:tc>
          <w:tcPr>
            <w:tcW w:w="1162" w:type="pct"/>
            <w:vAlign w:val="center"/>
          </w:tcPr>
          <w:p w14:paraId="29F89BCB">
            <w:pPr>
              <w:pStyle w:val="751"/>
              <w:rPr>
                <w:color w:val="auto"/>
              </w:rPr>
            </w:pPr>
            <w:r>
              <w:rPr>
                <w:color w:val="auto"/>
              </w:rPr>
              <w:t>隔声、降噪、高噪声设备安装在室内</w:t>
            </w:r>
          </w:p>
        </w:tc>
        <w:tc>
          <w:tcPr>
            <w:tcW w:w="693" w:type="pct"/>
            <w:vAlign w:val="center"/>
          </w:tcPr>
          <w:p w14:paraId="2F1B459B">
            <w:pPr>
              <w:pStyle w:val="751"/>
              <w:rPr>
                <w:color w:val="auto"/>
              </w:rPr>
            </w:pPr>
            <w:r>
              <w:rPr>
                <w:color w:val="auto"/>
              </w:rPr>
              <w:t>厂界外1m</w:t>
            </w:r>
          </w:p>
        </w:tc>
        <w:tc>
          <w:tcPr>
            <w:tcW w:w="598" w:type="pct"/>
            <w:vAlign w:val="center"/>
          </w:tcPr>
          <w:p w14:paraId="4268EDE9">
            <w:pPr>
              <w:pStyle w:val="751"/>
              <w:rPr>
                <w:color w:val="auto"/>
              </w:rPr>
            </w:pPr>
            <w:r>
              <w:rPr>
                <w:color w:val="auto"/>
              </w:rPr>
              <w:t>等效连续A声级</w:t>
            </w:r>
          </w:p>
        </w:tc>
        <w:tc>
          <w:tcPr>
            <w:tcW w:w="1740" w:type="pct"/>
            <w:vAlign w:val="center"/>
          </w:tcPr>
          <w:p w14:paraId="7C409247">
            <w:pPr>
              <w:pStyle w:val="751"/>
              <w:rPr>
                <w:color w:val="auto"/>
              </w:rPr>
            </w:pPr>
            <w:r>
              <w:rPr>
                <w:color w:val="auto"/>
              </w:rPr>
              <w:t>《工业企业厂界环境噪声排放标准》（GB12348-2008）2类标准</w:t>
            </w:r>
          </w:p>
        </w:tc>
      </w:tr>
      <w:tr w14:paraId="18D1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33" w:type="pct"/>
            <w:vAlign w:val="center"/>
          </w:tcPr>
          <w:p w14:paraId="02B66724">
            <w:pPr>
              <w:pStyle w:val="751"/>
              <w:rPr>
                <w:color w:val="auto"/>
              </w:rPr>
            </w:pPr>
            <w:r>
              <w:rPr>
                <w:rFonts w:hint="eastAsia"/>
                <w:color w:val="auto"/>
              </w:rPr>
              <w:t>地下水</w:t>
            </w:r>
          </w:p>
        </w:tc>
        <w:tc>
          <w:tcPr>
            <w:tcW w:w="4766" w:type="pct"/>
            <w:gridSpan w:val="5"/>
            <w:vAlign w:val="center"/>
          </w:tcPr>
          <w:p w14:paraId="7116F471">
            <w:pPr>
              <w:pStyle w:val="751"/>
              <w:rPr>
                <w:color w:val="auto"/>
              </w:rPr>
            </w:pPr>
            <w:r>
              <w:rPr>
                <w:rFonts w:hint="eastAsia"/>
                <w:color w:val="auto"/>
              </w:rPr>
              <w:t>设置地下水监控井1口，位于厂区西侧，坐标：</w:t>
            </w:r>
            <w:r>
              <w:rPr>
                <w:color w:val="auto"/>
              </w:rPr>
              <w:t>106.800847719，40.020205341</w:t>
            </w:r>
            <w:r>
              <w:rPr>
                <w:rFonts w:hint="eastAsia"/>
                <w:color w:val="auto"/>
              </w:rPr>
              <w:t>，井深50m，</w:t>
            </w:r>
            <w:r>
              <w:rPr>
                <w:color w:val="auto"/>
              </w:rPr>
              <w:t>孔径Φ25cm</w:t>
            </w:r>
          </w:p>
        </w:tc>
      </w:tr>
      <w:tr w14:paraId="7671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Align w:val="center"/>
          </w:tcPr>
          <w:p w14:paraId="50290421">
            <w:pPr>
              <w:pStyle w:val="751"/>
              <w:rPr>
                <w:color w:val="auto"/>
              </w:rPr>
            </w:pPr>
            <w:r>
              <w:rPr>
                <w:rFonts w:hint="eastAsia"/>
                <w:color w:val="auto"/>
              </w:rPr>
              <w:t>防渗</w:t>
            </w:r>
          </w:p>
        </w:tc>
        <w:tc>
          <w:tcPr>
            <w:tcW w:w="4766" w:type="pct"/>
            <w:gridSpan w:val="5"/>
            <w:vAlign w:val="center"/>
          </w:tcPr>
          <w:p w14:paraId="62DE1155">
            <w:pPr>
              <w:pStyle w:val="766"/>
              <w:jc w:val="both"/>
              <w:rPr>
                <w:color w:val="auto"/>
              </w:rPr>
            </w:pPr>
            <w:r>
              <w:rPr>
                <w:rFonts w:hint="eastAsia"/>
                <w:color w:val="auto"/>
              </w:rPr>
              <w:t>（1）</w:t>
            </w:r>
            <w:r>
              <w:rPr>
                <w:rFonts w:hint="eastAsia"/>
                <w:color w:val="auto"/>
                <w:lang w:val="en-GB"/>
              </w:rPr>
              <w:t>诊疗废弃物暂存间</w:t>
            </w:r>
            <w:r>
              <w:rPr>
                <w:rFonts w:hint="eastAsia"/>
                <w:color w:val="auto"/>
              </w:rPr>
              <w:t>满足</w:t>
            </w:r>
            <w:r>
              <w:rPr>
                <w:color w:val="auto"/>
              </w:rPr>
              <w:t>《危险废物贮存污染控制标准》（GB18597-20</w:t>
            </w:r>
            <w:r>
              <w:rPr>
                <w:rFonts w:hint="eastAsia"/>
                <w:color w:val="auto"/>
              </w:rPr>
              <w:t>23</w:t>
            </w:r>
            <w:r>
              <w:rPr>
                <w:color w:val="auto"/>
              </w:rPr>
              <w:t>）</w:t>
            </w:r>
            <w:r>
              <w:rPr>
                <w:rFonts w:hint="eastAsia"/>
                <w:color w:val="auto"/>
              </w:rPr>
              <w:t>相关要求</w:t>
            </w:r>
          </w:p>
          <w:p w14:paraId="36E03ED7">
            <w:pPr>
              <w:pStyle w:val="766"/>
              <w:jc w:val="both"/>
              <w:rPr>
                <w:color w:val="auto"/>
              </w:rPr>
            </w:pPr>
            <w:r>
              <w:rPr>
                <w:color w:val="auto"/>
              </w:rPr>
              <w:t>（</w:t>
            </w:r>
            <w:r>
              <w:rPr>
                <w:rFonts w:hint="eastAsia"/>
                <w:color w:val="auto"/>
              </w:rPr>
              <w:t>2</w:t>
            </w:r>
            <w:r>
              <w:rPr>
                <w:color w:val="auto"/>
              </w:rPr>
              <w:t>）、污水处理设施、</w:t>
            </w:r>
            <w:r>
              <w:rPr>
                <w:rFonts w:hint="eastAsia"/>
                <w:color w:val="auto"/>
              </w:rPr>
              <w:t>有机肥加工车间</w:t>
            </w:r>
            <w:r>
              <w:rPr>
                <w:color w:val="auto"/>
              </w:rPr>
              <w:t>等生产区进行重点防渗，渗透系数K≤1.0×10</w:t>
            </w:r>
            <w:r>
              <w:rPr>
                <w:color w:val="auto"/>
                <w:vertAlign w:val="superscript"/>
              </w:rPr>
              <w:t>-10</w:t>
            </w:r>
            <w:r>
              <w:rPr>
                <w:color w:val="auto"/>
              </w:rPr>
              <w:t>cm/s；</w:t>
            </w:r>
          </w:p>
          <w:p w14:paraId="5E6C84B4">
            <w:pPr>
              <w:pStyle w:val="766"/>
              <w:jc w:val="both"/>
              <w:rPr>
                <w:color w:val="auto"/>
              </w:rPr>
            </w:pPr>
            <w:r>
              <w:rPr>
                <w:color w:val="auto"/>
              </w:rPr>
              <w:t>（</w:t>
            </w:r>
            <w:r>
              <w:rPr>
                <w:rFonts w:hint="eastAsia"/>
                <w:color w:val="auto"/>
              </w:rPr>
              <w:t>3</w:t>
            </w:r>
            <w:r>
              <w:rPr>
                <w:color w:val="auto"/>
              </w:rPr>
              <w:t>）对鸡舍、饲料库、蛋库等生产区进行一般防渗，渗透系数K≤1.0×10</w:t>
            </w:r>
            <w:r>
              <w:rPr>
                <w:color w:val="auto"/>
                <w:vertAlign w:val="superscript"/>
              </w:rPr>
              <w:t>-7</w:t>
            </w:r>
            <w:r>
              <w:rPr>
                <w:color w:val="auto"/>
              </w:rPr>
              <w:t>cm/s；</w:t>
            </w:r>
          </w:p>
          <w:p w14:paraId="532E3E4B">
            <w:pPr>
              <w:pStyle w:val="751"/>
              <w:jc w:val="both"/>
              <w:rPr>
                <w:color w:val="auto"/>
              </w:rPr>
            </w:pPr>
            <w:r>
              <w:rPr>
                <w:color w:val="auto"/>
              </w:rPr>
              <w:t>（</w:t>
            </w:r>
            <w:r>
              <w:rPr>
                <w:rFonts w:hint="eastAsia"/>
                <w:color w:val="auto"/>
              </w:rPr>
              <w:t>4</w:t>
            </w:r>
            <w:r>
              <w:rPr>
                <w:color w:val="auto"/>
              </w:rPr>
              <w:t>）其他区域进行简单防渗进行地面硬化。</w:t>
            </w:r>
          </w:p>
        </w:tc>
      </w:tr>
      <w:tr w14:paraId="5C1E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3" w:type="pct"/>
            <w:vAlign w:val="center"/>
          </w:tcPr>
          <w:p w14:paraId="370D01F6">
            <w:pPr>
              <w:pStyle w:val="751"/>
              <w:rPr>
                <w:color w:val="auto"/>
              </w:rPr>
            </w:pPr>
            <w:r>
              <w:rPr>
                <w:rFonts w:hint="eastAsia"/>
                <w:color w:val="auto"/>
              </w:rPr>
              <w:t>保护植物</w:t>
            </w:r>
          </w:p>
        </w:tc>
        <w:tc>
          <w:tcPr>
            <w:tcW w:w="4766" w:type="pct"/>
            <w:gridSpan w:val="5"/>
            <w:vAlign w:val="center"/>
          </w:tcPr>
          <w:p w14:paraId="2105A91A">
            <w:pPr>
              <w:pStyle w:val="751"/>
              <w:rPr>
                <w:color w:val="auto"/>
              </w:rPr>
            </w:pPr>
            <w:r>
              <w:rPr>
                <w:rFonts w:hint="eastAsia"/>
                <w:color w:val="auto"/>
              </w:rPr>
              <w:t>重点保护野生植物是否进行移植、移植后保护效果；移植后的重点保护植物生长情况；</w:t>
            </w:r>
          </w:p>
        </w:tc>
      </w:tr>
    </w:tbl>
    <w:p w14:paraId="0D0BC196">
      <w:pPr>
        <w:ind w:firstLine="480"/>
      </w:pPr>
    </w:p>
    <w:p w14:paraId="4EE24BE5">
      <w:pPr>
        <w:ind w:firstLine="480"/>
        <w:sectPr>
          <w:pgSz w:w="11907" w:h="16840"/>
          <w:pgMar w:top="1418" w:right="1418" w:bottom="1418" w:left="1418" w:header="964" w:footer="964" w:gutter="0"/>
          <w:cols w:space="720" w:num="1"/>
          <w:docGrid w:linePitch="312" w:charSpace="0"/>
        </w:sectPr>
      </w:pPr>
    </w:p>
    <w:bookmarkEnd w:id="2"/>
    <w:bookmarkEnd w:id="3"/>
    <w:bookmarkEnd w:id="586"/>
    <w:bookmarkEnd w:id="587"/>
    <w:bookmarkEnd w:id="588"/>
    <w:bookmarkEnd w:id="589"/>
    <w:bookmarkEnd w:id="590"/>
    <w:p w14:paraId="2CBA9B5C">
      <w:pPr>
        <w:pStyle w:val="103"/>
      </w:pPr>
      <w:bookmarkStart w:id="633" w:name="_Toc36234670"/>
      <w:bookmarkStart w:id="634" w:name="_Toc166572381"/>
      <w:r>
        <w:t>10环境影响评价结论</w:t>
      </w:r>
      <w:bookmarkEnd w:id="633"/>
      <w:bookmarkEnd w:id="634"/>
    </w:p>
    <w:p w14:paraId="4BA3A9B5">
      <w:pPr>
        <w:pStyle w:val="10"/>
      </w:pPr>
      <w:bookmarkStart w:id="635" w:name="_Toc457206686"/>
      <w:bookmarkStart w:id="636" w:name="_Toc166572382"/>
      <w:bookmarkStart w:id="637" w:name="_Toc36234671"/>
      <w:bookmarkStart w:id="638" w:name="_Toc386096609"/>
      <w:r>
        <w:t>10.1项目概况</w:t>
      </w:r>
      <w:bookmarkEnd w:id="635"/>
      <w:bookmarkEnd w:id="636"/>
      <w:bookmarkEnd w:id="637"/>
      <w:bookmarkEnd w:id="638"/>
    </w:p>
    <w:p w14:paraId="5D069E38">
      <w:pPr>
        <w:pStyle w:val="104"/>
      </w:pPr>
      <w:bookmarkStart w:id="639" w:name="_Toc355597048"/>
      <w:bookmarkStart w:id="640" w:name="_Toc457206687"/>
      <w:bookmarkStart w:id="641" w:name="_Toc386096610"/>
      <w:bookmarkStart w:id="642" w:name="_Toc36234672"/>
      <w:r>
        <w:t>项目名称：内蒙古华翔农林牧科技发展有限公司120万只蛋鸡养殖项目。</w:t>
      </w:r>
    </w:p>
    <w:p w14:paraId="5C395CCB">
      <w:pPr>
        <w:pStyle w:val="104"/>
      </w:pPr>
      <w:r>
        <w:t>项目性质：新建。</w:t>
      </w:r>
    </w:p>
    <w:p w14:paraId="1263757B">
      <w:pPr>
        <w:pStyle w:val="104"/>
      </w:pPr>
      <w:r>
        <w:t>建设单位：内蒙古华翔农林牧科技发展有限公司。</w:t>
      </w:r>
    </w:p>
    <w:p w14:paraId="71D19367">
      <w:pPr>
        <w:pStyle w:val="104"/>
      </w:pPr>
      <w:r>
        <w:t>占地面积：</w:t>
      </w:r>
      <w:r>
        <w:rPr>
          <w:rFonts w:hint="eastAsia"/>
        </w:rPr>
        <w:t>28.02</w:t>
      </w:r>
      <w:r>
        <w:t>hm</w:t>
      </w:r>
      <w:r>
        <w:rPr>
          <w:vertAlign w:val="superscript"/>
        </w:rPr>
        <w:t>2</w:t>
      </w:r>
      <w:r>
        <w:t>。</w:t>
      </w:r>
    </w:p>
    <w:p w14:paraId="05364218">
      <w:pPr>
        <w:pStyle w:val="104"/>
      </w:pPr>
      <w:r>
        <w:t>建设地点：内蒙古鄂尔多斯市鄂托克旗蒙西镇，厂址中心的经纬度为106°47'47.72"东，40°0'14.18"北，项目周边均为牧草地。项目地理位置见图3.1-1。</w:t>
      </w:r>
    </w:p>
    <w:p w14:paraId="5B9C787F">
      <w:pPr>
        <w:ind w:firstLine="480"/>
      </w:pPr>
      <w:r>
        <w:t>建设内容：本项目</w:t>
      </w:r>
      <w:r>
        <w:rPr>
          <w:rFonts w:hint="eastAsia"/>
        </w:rPr>
        <w:t>建设标准化育雏育成养殖区1 个，设置6 栋青年鸡舍，可存栏30 万只；建设标准化蛋鸡养殖小区3 个，每个小区分别布设3栋蛋鸡鸡舍，共9栋，可存栏90万只；建设饲料加工区1处；蛋品加工中心1处；有机肥加工车间1处；以及其他相关辅助、储运工程。</w:t>
      </w:r>
    </w:p>
    <w:p w14:paraId="68ABFD9D">
      <w:pPr>
        <w:pStyle w:val="104"/>
      </w:pPr>
      <w:r>
        <w:t>建设规模：</w:t>
      </w:r>
      <w:r>
        <w:rPr>
          <w:rFonts w:hint="eastAsia"/>
        </w:rPr>
        <w:t>存栏蛋鸡120 万只（产蛋鸡90 万只和育成鸡30 万只），年产包装壳蛋25200 万枚，年出栏育成鸡90万只，年出栏3批次，年产淘汰鸡86.4万只。</w:t>
      </w:r>
    </w:p>
    <w:p w14:paraId="37B154A7">
      <w:pPr>
        <w:pStyle w:val="104"/>
      </w:pPr>
      <w:r>
        <w:t>项目投资：项目总投资27000万元，其中环保投资</w:t>
      </w:r>
      <w:r>
        <w:rPr>
          <w:rFonts w:hint="eastAsia"/>
        </w:rPr>
        <w:t>504</w:t>
      </w:r>
      <w:r>
        <w:t>万元。</w:t>
      </w:r>
    </w:p>
    <w:p w14:paraId="5F353702">
      <w:pPr>
        <w:pStyle w:val="104"/>
      </w:pPr>
      <w:r>
        <w:t>劳动制度：运营期间劳动定员共计50人，全年生产天数365天，每天一班，每班8小时。</w:t>
      </w:r>
    </w:p>
    <w:p w14:paraId="56B732AA">
      <w:pPr>
        <w:pStyle w:val="10"/>
      </w:pPr>
      <w:bookmarkStart w:id="643" w:name="_Toc166572383"/>
      <w:r>
        <w:t>10.2区域环境质量现状</w:t>
      </w:r>
      <w:bookmarkEnd w:id="643"/>
    </w:p>
    <w:p w14:paraId="616B6B7F">
      <w:pPr>
        <w:pStyle w:val="104"/>
      </w:pPr>
      <w:r>
        <w:t>（1）大气环境质量现状</w:t>
      </w:r>
    </w:p>
    <w:p w14:paraId="220660ED">
      <w:pPr>
        <w:pStyle w:val="104"/>
      </w:pPr>
      <w:r>
        <w:t>本项目所在区域达标判定引用</w:t>
      </w:r>
      <w:r>
        <w:rPr>
          <w:kern w:val="0"/>
          <w:lang w:bidi="ar"/>
        </w:rPr>
        <w:t>《2022年内蒙古自治区生态环境状况公报》</w:t>
      </w:r>
      <w:r>
        <w:t>，基本污染物年评价指标中2022年，鄂尔多斯全市细颗粒物(PM</w:t>
      </w:r>
      <w:r>
        <w:rPr>
          <w:vertAlign w:val="subscript"/>
        </w:rPr>
        <w:t>2.5</w:t>
      </w:r>
      <w:r>
        <w:t>)平均浓度为20ug/m</w:t>
      </w:r>
      <w:r>
        <w:rPr>
          <w:vertAlign w:val="superscript"/>
        </w:rPr>
        <w:t>3</w:t>
      </w:r>
      <w:r>
        <w:t>；可吸入颗粒物(PM</w:t>
      </w:r>
      <w:r>
        <w:rPr>
          <w:vertAlign w:val="subscript"/>
        </w:rPr>
        <w:t>10</w:t>
      </w:r>
      <w:r>
        <w:t>)平均浓度为51ug/m</w:t>
      </w:r>
      <w:r>
        <w:rPr>
          <w:vertAlign w:val="superscript"/>
        </w:rPr>
        <w:t>3</w:t>
      </w:r>
      <w:r>
        <w:t>；二氧化硫(SO</w:t>
      </w:r>
      <w:r>
        <w:rPr>
          <w:vertAlign w:val="subscript"/>
        </w:rPr>
        <w:t>2</w:t>
      </w:r>
      <w:r>
        <w:t>)平均浓度为10ug/m</w:t>
      </w:r>
      <w:r>
        <w:rPr>
          <w:vertAlign w:val="superscript"/>
        </w:rPr>
        <w:t>3</w:t>
      </w:r>
      <w:r>
        <w:t>；二氧化氮(NO</w:t>
      </w:r>
      <w:r>
        <w:rPr>
          <w:vertAlign w:val="subscript"/>
        </w:rPr>
        <w:t>2</w:t>
      </w:r>
      <w:r>
        <w:t>)平均浓度为23ug/m</w:t>
      </w:r>
      <w:r>
        <w:rPr>
          <w:vertAlign w:val="superscript"/>
        </w:rPr>
        <w:t>3</w:t>
      </w:r>
      <w:r>
        <w:t>；CO平均浓度为0.9mg/m</w:t>
      </w:r>
      <w:r>
        <w:rPr>
          <w:vertAlign w:val="superscript"/>
        </w:rPr>
        <w:t>3</w:t>
      </w:r>
      <w:r>
        <w:t>；O</w:t>
      </w:r>
      <w:r>
        <w:rPr>
          <w:vertAlign w:val="subscript"/>
        </w:rPr>
        <w:t>3</w:t>
      </w:r>
      <w:r>
        <w:t>平均浓度为148ug/m</w:t>
      </w:r>
      <w:r>
        <w:rPr>
          <w:vertAlign w:val="superscript"/>
        </w:rPr>
        <w:t>3</w:t>
      </w:r>
      <w:r>
        <w:t>。鄂尔多斯市2022年PM</w:t>
      </w:r>
      <w:r>
        <w:rPr>
          <w:vertAlign w:val="subscript"/>
        </w:rPr>
        <w:t>2.5</w:t>
      </w:r>
      <w:r>
        <w:t>、PM</w:t>
      </w:r>
      <w:r>
        <w:rPr>
          <w:vertAlign w:val="subscript"/>
        </w:rPr>
        <w:t>10</w:t>
      </w:r>
      <w:r>
        <w:t>、SO</w:t>
      </w:r>
      <w:r>
        <w:rPr>
          <w:vertAlign w:val="subscript"/>
        </w:rPr>
        <w:t>2</w:t>
      </w:r>
      <w:r>
        <w:t>、NO</w:t>
      </w:r>
      <w:r>
        <w:rPr>
          <w:vertAlign w:val="subscript"/>
        </w:rPr>
        <w:t>2</w:t>
      </w:r>
      <w:r>
        <w:t>、CO、O</w:t>
      </w:r>
      <w:r>
        <w:rPr>
          <w:vertAlign w:val="subscript"/>
        </w:rPr>
        <w:t>3</w:t>
      </w:r>
      <w:r>
        <w:t>的年均浓度都能满足《环境空气质量标准》（GB3095-2012）二级标准要求，属于环境空气达标区。</w:t>
      </w:r>
      <w:r>
        <w:rPr>
          <w:rFonts w:hint="eastAsia"/>
        </w:rPr>
        <w:t>颗粒物、</w:t>
      </w:r>
      <w:r>
        <w:t>H</w:t>
      </w:r>
      <w:r>
        <w:rPr>
          <w:vertAlign w:val="subscript"/>
        </w:rPr>
        <w:t>2</w:t>
      </w:r>
      <w:r>
        <w:t>S、NH</w:t>
      </w:r>
      <w:r>
        <w:rPr>
          <w:vertAlign w:val="subscript"/>
        </w:rPr>
        <w:t>3</w:t>
      </w:r>
      <w:r>
        <w:t>检测浓度均符合《环境影响评价技术导则大气环境》（HJ2.2－2018）附录D</w:t>
      </w:r>
      <w:r>
        <w:rPr>
          <w:rFonts w:hint="eastAsia"/>
        </w:rPr>
        <w:t>、</w:t>
      </w:r>
      <w:r>
        <w:rPr>
          <w:szCs w:val="24"/>
        </w:rPr>
        <w:t>《环境空气质量标准》（</w:t>
      </w:r>
      <w:r>
        <w:rPr>
          <w:kern w:val="0"/>
          <w:szCs w:val="24"/>
          <w:lang w:bidi="ar"/>
        </w:rPr>
        <w:t>GB3095-2012）</w:t>
      </w:r>
      <w:r>
        <w:t>限值。</w:t>
      </w:r>
    </w:p>
    <w:p w14:paraId="68371FB0">
      <w:pPr>
        <w:pStyle w:val="104"/>
      </w:pPr>
      <w:r>
        <w:t>（2）地下水质量现状</w:t>
      </w:r>
    </w:p>
    <w:p w14:paraId="06EE25D0">
      <w:pPr>
        <w:pStyle w:val="104"/>
      </w:pPr>
      <w:r>
        <w:t>区域</w:t>
      </w:r>
      <w:r>
        <w:rPr>
          <w:rFonts w:hint="eastAsia"/>
        </w:rPr>
        <w:t>地下水</w:t>
      </w:r>
      <w:r>
        <w:t>满足《地下水质量标准》（GB/T14848-93）Ⅲ类标准。</w:t>
      </w:r>
    </w:p>
    <w:p w14:paraId="74DE5522">
      <w:pPr>
        <w:pStyle w:val="104"/>
      </w:pPr>
      <w:r>
        <w:t>（3）声环境质量现状</w:t>
      </w:r>
    </w:p>
    <w:p w14:paraId="2F283FF5">
      <w:pPr>
        <w:pStyle w:val="104"/>
      </w:pPr>
      <w:r>
        <w:t>项目厂界噪声监测结果昼间值均符合《声环境质量标准》（GB3096-2008）2类标准值。</w:t>
      </w:r>
    </w:p>
    <w:p w14:paraId="47900B2C">
      <w:pPr>
        <w:pStyle w:val="104"/>
      </w:pPr>
      <w:r>
        <w:t>（4）土壤环境质量现状</w:t>
      </w:r>
    </w:p>
    <w:p w14:paraId="70E3CA9D">
      <w:pPr>
        <w:pStyle w:val="104"/>
      </w:pPr>
      <w:r>
        <w:t>土壤监测结果显示，所有监测因子均满足《土壤环境质量建设用地土壤污染风险管控标准（试行）》（GB36600-2018）标准中第二类用地筛选值要求，说明评价区域土壤环境质量现状良好。</w:t>
      </w:r>
    </w:p>
    <w:p w14:paraId="0F7D911E">
      <w:pPr>
        <w:pStyle w:val="10"/>
      </w:pPr>
      <w:bookmarkStart w:id="644" w:name="_Toc355597051"/>
      <w:bookmarkStart w:id="645" w:name="_Toc457206689"/>
      <w:bookmarkStart w:id="646" w:name="_Toc386096614"/>
      <w:bookmarkStart w:id="647" w:name="_Toc36234674"/>
      <w:bookmarkStart w:id="648" w:name="_Toc166572384"/>
      <w:r>
        <w:t>10.</w:t>
      </w:r>
      <w:bookmarkEnd w:id="644"/>
      <w:bookmarkEnd w:id="645"/>
      <w:bookmarkEnd w:id="646"/>
      <w:r>
        <w:t>3污染防治措施及环境影响评价结论</w:t>
      </w:r>
      <w:bookmarkEnd w:id="647"/>
      <w:bookmarkEnd w:id="648"/>
    </w:p>
    <w:p w14:paraId="1A1BE7A0">
      <w:pPr>
        <w:pStyle w:val="104"/>
      </w:pPr>
      <w:r>
        <w:t>（1）废气</w:t>
      </w:r>
    </w:p>
    <w:p w14:paraId="6CE5DBF2">
      <w:pPr>
        <w:pStyle w:val="104"/>
      </w:pPr>
      <w:r>
        <w:t>项目运营期间大气污染源源强为鸡舍</w:t>
      </w:r>
      <w:r>
        <w:rPr>
          <w:rFonts w:hint="eastAsia"/>
        </w:rPr>
        <w:t>恶臭</w:t>
      </w:r>
      <w:r>
        <w:t>、有机肥</w:t>
      </w:r>
      <w:r>
        <w:rPr>
          <w:rFonts w:hint="eastAsia"/>
        </w:rPr>
        <w:t>加工</w:t>
      </w:r>
      <w:r>
        <w:t>车间</w:t>
      </w:r>
      <w:r>
        <w:rPr>
          <w:rFonts w:hint="eastAsia"/>
        </w:rPr>
        <w:t>恶臭气体和粉尘</w:t>
      </w:r>
      <w:r>
        <w:t>及</w:t>
      </w:r>
      <w:r>
        <w:rPr>
          <w:rFonts w:hint="eastAsia"/>
        </w:rPr>
        <w:t>污水处理</w:t>
      </w:r>
      <w:r>
        <w:t>产生的恶臭气体，饲料加工产生的粉尘，食堂油烟及锅炉房产生的燃烧废气。</w:t>
      </w:r>
    </w:p>
    <w:p w14:paraId="52261BF2">
      <w:pPr>
        <w:pStyle w:val="104"/>
        <w:jc w:val="both"/>
      </w:pPr>
      <w:r>
        <w:t>鸡舍控制饲养密度、加强通风、日粮设计、饲料添加剂、采用干清粪工艺、喷洒除臭剂</w:t>
      </w:r>
      <w:r>
        <w:rPr>
          <w:rFonts w:hint="eastAsia"/>
        </w:rPr>
        <w:t>病安装水雾吸附装置</w:t>
      </w:r>
      <w:r>
        <w:t>；</w:t>
      </w:r>
      <w:r>
        <w:rPr>
          <w:rFonts w:hint="eastAsia"/>
        </w:rPr>
        <w:t>有机肥加工车间筛分、破碎粉尘采用集尘罩进行收集；发酵、混合、制粒、包装等无组织废气在有机肥车间内安装负压收集系统进行收集，最终负压收集系统、集尘罩以及烘干废气汇集一同进入1套布袋除尘器+生物除臭箱处理后经1根15m高排气筒（DA002）进行排放；污水处理站恶臭气体采用活性离子氧除臭设备处理后通过15m高排气筒排放；项目恶臭污染物</w:t>
      </w:r>
      <w:r>
        <w:t>排放符合《恶臭污染物排放标准》(GB14554-93)表1二级中新扩改建标准限值及表2中相关要求、《畜禽养殖业污染物排放标准》（GB18596-2001）表7中的标准；</w:t>
      </w:r>
    </w:p>
    <w:p w14:paraId="3DE1BD22">
      <w:pPr>
        <w:pStyle w:val="104"/>
      </w:pPr>
      <w:r>
        <w:t>项目饲料生产过程中产生的颗粒物</w:t>
      </w:r>
      <w:r>
        <w:rPr>
          <w:rFonts w:hint="eastAsia"/>
        </w:rPr>
        <w:t>采用集尘罩+</w:t>
      </w:r>
      <w:r>
        <w:t>布袋除尘器处理后经排气筒排放，排放符合《大气污染物综合排放标准》（GB16297-1996）表2最高允许排放浓度限值。</w:t>
      </w:r>
    </w:p>
    <w:p w14:paraId="3AC9A88F">
      <w:pPr>
        <w:pStyle w:val="104"/>
      </w:pPr>
      <w:r>
        <w:t>项目锅炉房产生的燃烧废气经</w:t>
      </w:r>
      <w:r>
        <w:rPr>
          <w:rFonts w:hint="eastAsia"/>
        </w:rPr>
        <w:t>8</w:t>
      </w:r>
      <w:r>
        <w:t>m排气筒排放，排放符合《锅炉大气污染物排放标准》（GB13271-2014）</w:t>
      </w:r>
      <w:r>
        <w:rPr>
          <w:rFonts w:hint="eastAsia"/>
        </w:rPr>
        <w:t>表3</w:t>
      </w:r>
      <w:r>
        <w:t>中燃气锅炉排放标准要求</w:t>
      </w:r>
    </w:p>
    <w:p w14:paraId="71E4BA0D">
      <w:pPr>
        <w:pStyle w:val="104"/>
      </w:pPr>
      <w:r>
        <w:t>项目食堂安装静电式油烟净化装置，油烟处理效率、排放浓度符合《饮食业油烟排放标准》（GB18483-2001）。</w:t>
      </w:r>
    </w:p>
    <w:p w14:paraId="6D353B0A">
      <w:pPr>
        <w:pStyle w:val="104"/>
      </w:pPr>
      <w:r>
        <w:t>（2）废水</w:t>
      </w:r>
    </w:p>
    <w:p w14:paraId="394324A7">
      <w:pPr>
        <w:pStyle w:val="104"/>
      </w:pPr>
      <w:r>
        <w:t>本项目营运期鸡只饮用水全部进入粪便中，无废水产生；水帘用水、绿化用水和不可预见用水经蒸发损耗后，无废水产生。本项目营运期废水主要为</w:t>
      </w:r>
      <w:r>
        <w:rPr>
          <w:rFonts w:hint="eastAsia"/>
        </w:rPr>
        <w:t>有机肥发酵渗滤液、</w:t>
      </w:r>
      <w:r>
        <w:t>鸡舍冲洗废水、制水设备制水过程中同步产生废水、和生活污水。</w:t>
      </w:r>
    </w:p>
    <w:p w14:paraId="6A184F3B">
      <w:pPr>
        <w:pStyle w:val="104"/>
      </w:pPr>
      <w:r>
        <w:t>全场废水经</w:t>
      </w:r>
      <w:r>
        <w:rPr>
          <w:rFonts w:hint="eastAsia"/>
        </w:rPr>
        <w:t>污水处理站</w:t>
      </w:r>
      <w:r>
        <w:t>处理，满足《城市污水再生利用城市杂用水水质》（GB/T 18920-2020）</w:t>
      </w:r>
      <w:r>
        <w:rPr>
          <w:rFonts w:hint="eastAsia"/>
        </w:rPr>
        <w:t>中城市绿化限制要求后</w:t>
      </w:r>
      <w:r>
        <w:t>用作</w:t>
      </w:r>
      <w:r>
        <w:rPr>
          <w:rFonts w:hint="eastAsia"/>
        </w:rPr>
        <w:t>厂区绿化、鸡舍冲洗、湿帘降温和洒水抑尘</w:t>
      </w:r>
      <w:r>
        <w:t>。</w:t>
      </w:r>
    </w:p>
    <w:p w14:paraId="4F29BC0B">
      <w:pPr>
        <w:pStyle w:val="104"/>
      </w:pPr>
      <w:r>
        <w:t>（3）固废</w:t>
      </w:r>
    </w:p>
    <w:p w14:paraId="231E92A7">
      <w:pPr>
        <w:pStyle w:val="104"/>
      </w:pPr>
      <w:r>
        <w:t>饲料残渣和散落毛羽及鸡粪，进入有机肥生产区生产有机肥，死鸡在鸡舍内装入密封袋，</w:t>
      </w:r>
      <w:r>
        <w:rPr>
          <w:rFonts w:hint="eastAsia"/>
        </w:rPr>
        <w:t>委托资质单位处置</w:t>
      </w:r>
      <w:r>
        <w:t>，职工生活垃圾定期由环卫部门清运处理。产生废弃药品、废弃兽药包装袋、过期兽药、废医疗器械等防疫废物，暂存于</w:t>
      </w:r>
      <w:r>
        <w:rPr>
          <w:rFonts w:hint="eastAsia"/>
        </w:rPr>
        <w:t>诊疗废弃物暂存间</w:t>
      </w:r>
      <w:r>
        <w:t>，定期交由有资质单位处置，产生的残次品蛋收集后</w:t>
      </w:r>
      <w:r>
        <w:rPr>
          <w:rFonts w:hint="eastAsia"/>
        </w:rPr>
        <w:t>与污泥</w:t>
      </w:r>
      <w:r>
        <w:t>运往有机肥车间做有机肥原料。</w:t>
      </w:r>
    </w:p>
    <w:p w14:paraId="7C3B5124">
      <w:pPr>
        <w:pStyle w:val="104"/>
      </w:pPr>
      <w:r>
        <w:t>符合《畜禽养殖业污染物排放标准》（GB18596-2001）中表6、《畜禽养殖业污染治理工程技术规范》（HJ497-2009）及《危险废物贮存污染控制标准》（</w:t>
      </w:r>
      <w:r>
        <w:rPr>
          <w:rFonts w:hint="eastAsia"/>
        </w:rPr>
        <w:t>（GB18597-2023）</w:t>
      </w:r>
      <w:r>
        <w:t>中相关要求。</w:t>
      </w:r>
    </w:p>
    <w:p w14:paraId="3BAF32A0">
      <w:pPr>
        <w:pStyle w:val="104"/>
      </w:pPr>
      <w:r>
        <w:t>（4）噪声</w:t>
      </w:r>
    </w:p>
    <w:p w14:paraId="7B891977">
      <w:pPr>
        <w:pStyle w:val="104"/>
      </w:pPr>
      <w:r>
        <w:t>项目噪声采取减振、隔声、合理布局等降噪措施后符合《工业企业厂界环境噪声排放标准》（GB12348-2008）中2类标准。</w:t>
      </w:r>
    </w:p>
    <w:p w14:paraId="0942803E">
      <w:pPr>
        <w:pStyle w:val="10"/>
      </w:pPr>
      <w:bookmarkStart w:id="649" w:name="_Toc166572385"/>
      <w:bookmarkStart w:id="650" w:name="_Toc36234675"/>
      <w:bookmarkStart w:id="651" w:name="_Toc355597053"/>
      <w:bookmarkStart w:id="652" w:name="_Toc457206691"/>
      <w:bookmarkStart w:id="653" w:name="_Toc386096616"/>
      <w:r>
        <w:t>10.4环境风险分析结论</w:t>
      </w:r>
      <w:bookmarkEnd w:id="649"/>
      <w:bookmarkEnd w:id="650"/>
    </w:p>
    <w:p w14:paraId="6E435495">
      <w:pPr>
        <w:pStyle w:val="104"/>
      </w:pPr>
      <w:r>
        <w:t>根据《建设项目环境风险评价技术导则》（HJ169-2018）的规定，本项目不涉及危险化学品，无重大危险源，最大可信事故为</w:t>
      </w:r>
      <w:r>
        <w:rPr>
          <w:rFonts w:hint="eastAsia"/>
        </w:rPr>
        <w:t>锅炉房</w:t>
      </w:r>
      <w:r>
        <w:t>泄漏遇明火导致的火灾爆炸事故，引发的次生环境污染。发生几率较小，采取本次风险防范措施及应急措施后对周围环境影响较小。</w:t>
      </w:r>
    </w:p>
    <w:bookmarkEnd w:id="651"/>
    <w:bookmarkEnd w:id="652"/>
    <w:bookmarkEnd w:id="653"/>
    <w:p w14:paraId="4162D67B">
      <w:pPr>
        <w:pStyle w:val="10"/>
      </w:pPr>
      <w:bookmarkStart w:id="654" w:name="_Toc36234678"/>
      <w:bookmarkStart w:id="655" w:name="_Toc166572386"/>
      <w:bookmarkStart w:id="656" w:name="_Toc331849124"/>
      <w:bookmarkStart w:id="657" w:name="_Toc468099447"/>
      <w:bookmarkStart w:id="658" w:name="_Toc407616937"/>
      <w:bookmarkStart w:id="659" w:name="_Toc336012619"/>
      <w:r>
        <w:t>10.5公众参与结论</w:t>
      </w:r>
      <w:bookmarkEnd w:id="654"/>
      <w:bookmarkEnd w:id="655"/>
    </w:p>
    <w:p w14:paraId="483FF68A">
      <w:pPr>
        <w:pStyle w:val="104"/>
      </w:pPr>
      <w:r>
        <w:t>在接受本工程环评委托后7日内，建设单位在第一环评网进行一次公示，</w:t>
      </w:r>
      <w:bookmarkStart w:id="660" w:name="_Toc36234679"/>
      <w:r>
        <w:t>在环评论坛对项目环境影响评价信息进行了第二次公示，在公示期间在</w:t>
      </w:r>
      <w:r>
        <w:rPr>
          <w:rFonts w:hint="eastAsia"/>
        </w:rPr>
        <w:t>鄂尔多斯日报</w:t>
      </w:r>
      <w:r>
        <w:t>上对项目环境影响评价信息进行了公示了2次。环境影响报告书征求意见稿公示期间未收到公众意见。</w:t>
      </w:r>
    </w:p>
    <w:p w14:paraId="1A7B114E">
      <w:pPr>
        <w:pStyle w:val="104"/>
      </w:pPr>
      <w:r>
        <w:t>通过以上公示征求公众的意见，在公示期间均没有接到公众的反馈意见。</w:t>
      </w:r>
    </w:p>
    <w:p w14:paraId="26D6C96A">
      <w:pPr>
        <w:pStyle w:val="104"/>
      </w:pPr>
      <w:r>
        <w:drawing>
          <wp:inline distT="0" distB="0" distL="0" distR="0">
            <wp:extent cx="5760085" cy="2660015"/>
            <wp:effectExtent l="0" t="0" r="0" b="6985"/>
            <wp:docPr id="1244220484" name="图片 2" descr="建筑上挂着男人的照片上写着字&#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20484" name="图片 2" descr="建筑上挂着男人的照片上写着字&#10;&#10;中度可信度描述已自动生成"/>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a:xfrm>
                      <a:off x="0" y="0"/>
                      <a:ext cx="5760085" cy="2660015"/>
                    </a:xfrm>
                    <a:prstGeom prst="rect">
                      <a:avLst/>
                    </a:prstGeom>
                    <a:noFill/>
                    <a:ln>
                      <a:noFill/>
                    </a:ln>
                  </pic:spPr>
                </pic:pic>
              </a:graphicData>
            </a:graphic>
          </wp:inline>
        </w:drawing>
      </w:r>
    </w:p>
    <w:p w14:paraId="7DBEB5DD">
      <w:pPr>
        <w:pStyle w:val="104"/>
      </w:pPr>
      <w:r>
        <w:drawing>
          <wp:inline distT="0" distB="0" distL="0" distR="0">
            <wp:extent cx="5760085" cy="2660015"/>
            <wp:effectExtent l="0" t="0" r="0" b="6985"/>
            <wp:docPr id="1314545246" name="图片 3"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45246" name="图片 3" descr="文本&#10;&#10;描述已自动生成"/>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a:xfrm>
                      <a:off x="0" y="0"/>
                      <a:ext cx="5760085" cy="2660015"/>
                    </a:xfrm>
                    <a:prstGeom prst="rect">
                      <a:avLst/>
                    </a:prstGeom>
                    <a:noFill/>
                    <a:ln>
                      <a:noFill/>
                    </a:ln>
                  </pic:spPr>
                </pic:pic>
              </a:graphicData>
            </a:graphic>
          </wp:inline>
        </w:drawing>
      </w:r>
    </w:p>
    <w:p w14:paraId="5AB57DBA">
      <w:pPr>
        <w:pStyle w:val="104"/>
      </w:pPr>
      <w:r>
        <w:drawing>
          <wp:inline distT="0" distB="0" distL="0" distR="0">
            <wp:extent cx="5760085" cy="8198485"/>
            <wp:effectExtent l="0" t="0" r="0" b="0"/>
            <wp:docPr id="1605359288" name="图片 1" descr="报纸上的表格&#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59288" name="图片 1" descr="报纸上的表格&#10;&#10;中度可信度描述已自动生成"/>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a:xfrm>
                      <a:off x="0" y="0"/>
                      <a:ext cx="5760085" cy="8198485"/>
                    </a:xfrm>
                    <a:prstGeom prst="rect">
                      <a:avLst/>
                    </a:prstGeom>
                    <a:noFill/>
                    <a:ln>
                      <a:noFill/>
                    </a:ln>
                  </pic:spPr>
                </pic:pic>
              </a:graphicData>
            </a:graphic>
          </wp:inline>
        </w:drawing>
      </w:r>
    </w:p>
    <w:p w14:paraId="448B105E">
      <w:pPr>
        <w:pStyle w:val="10"/>
      </w:pPr>
      <w:bookmarkStart w:id="661" w:name="_Toc166572387"/>
      <w:r>
        <w:t>10.6评价总结论</w:t>
      </w:r>
      <w:bookmarkEnd w:id="656"/>
      <w:bookmarkEnd w:id="657"/>
      <w:bookmarkEnd w:id="658"/>
      <w:bookmarkEnd w:id="659"/>
      <w:bookmarkEnd w:id="660"/>
      <w:bookmarkEnd w:id="661"/>
    </w:p>
    <w:p w14:paraId="7900F8C7">
      <w:pPr>
        <w:pStyle w:val="104"/>
      </w:pPr>
      <w:r>
        <w:t>1、项目建设属于《产业政策调整目录（20</w:t>
      </w:r>
      <w:r>
        <w:rPr>
          <w:rFonts w:hint="eastAsia"/>
        </w:rPr>
        <w:t>24</w:t>
      </w:r>
      <w:r>
        <w:t>年本）第一类“鼓励类”中第一项“</w:t>
      </w:r>
      <w:r>
        <w:rPr>
          <w:rFonts w:hint="eastAsia"/>
        </w:rPr>
        <w:t>农林牧渔业</w:t>
      </w:r>
      <w:r>
        <w:t>”中第</w:t>
      </w:r>
      <w:r>
        <w:rPr>
          <w:rFonts w:hint="eastAsia"/>
        </w:rPr>
        <w:t>1</w:t>
      </w:r>
      <w:r>
        <w:t>4条“</w:t>
      </w:r>
      <w:r>
        <w:rPr>
          <w:rFonts w:hint="eastAsia"/>
        </w:rPr>
        <w:t>现代畜牧业及水产品生态健康养殖-畜禽标准化规模养殖技术开发与应用</w:t>
      </w:r>
      <w:r>
        <w:t>”</w:t>
      </w:r>
      <w:r>
        <w:rPr>
          <w:rFonts w:hint="eastAsia"/>
        </w:rPr>
        <w:t>，</w:t>
      </w:r>
      <w:r>
        <w:t>符合相关法律法规。不属于《鄂托克旗畜禽禁养区划定方案》划定的禁养区。项目符合相关产业政策选址合理；</w:t>
      </w:r>
    </w:p>
    <w:p w14:paraId="1BC360C8">
      <w:pPr>
        <w:pStyle w:val="104"/>
      </w:pPr>
      <w:r>
        <w:t>2、本项目的废气、废水污染物、噪声均为达标排放，固体废物也得到了妥善处置；</w:t>
      </w:r>
    </w:p>
    <w:p w14:paraId="329183E0">
      <w:pPr>
        <w:pStyle w:val="104"/>
      </w:pPr>
      <w:r>
        <w:t>3、本项目的废气、废水、固废、噪声不会使区域内的环境功能产生变化，其对周围环境产生的影响在可接受的范围内；</w:t>
      </w:r>
    </w:p>
    <w:p w14:paraId="7EA61A78">
      <w:pPr>
        <w:pStyle w:val="104"/>
      </w:pPr>
      <w:r>
        <w:t>综上所述，本项目符合国家和地方的相关产业政策；污染物可做到达标排放；满足总量控制的要求；本项目对区域产生的影响在可接受的范围内，不会改变区域内的环境功能。</w:t>
      </w:r>
    </w:p>
    <w:p w14:paraId="2067CA6C">
      <w:pPr>
        <w:pStyle w:val="104"/>
      </w:pPr>
      <w:r>
        <w:t>因此，本项目的建设从环境保护角度讲是可行的。</w:t>
      </w:r>
    </w:p>
    <w:p w14:paraId="537A7A8A">
      <w:pPr>
        <w:pStyle w:val="10"/>
      </w:pPr>
      <w:bookmarkStart w:id="662" w:name="_Toc407616938"/>
      <w:bookmarkStart w:id="663" w:name="_Toc336012620"/>
      <w:bookmarkStart w:id="664" w:name="_Toc468099448"/>
      <w:bookmarkStart w:id="665" w:name="_Toc36234680"/>
      <w:bookmarkStart w:id="666" w:name="_Toc166572388"/>
      <w:r>
        <w:t>10.7建议</w:t>
      </w:r>
      <w:bookmarkEnd w:id="662"/>
      <w:bookmarkEnd w:id="663"/>
      <w:bookmarkEnd w:id="664"/>
      <w:r>
        <w:t>与要求</w:t>
      </w:r>
      <w:bookmarkEnd w:id="665"/>
      <w:bookmarkEnd w:id="666"/>
    </w:p>
    <w:p w14:paraId="4921A028">
      <w:pPr>
        <w:pStyle w:val="104"/>
      </w:pPr>
      <w:r>
        <w:t>1、本报告仅针对本项目所涉及的鸡养殖生产工艺及生产规模，如出现增加产品种类、扩大生产规模、改变生产工艺、污染防治措施发生变化等情况，均应及时向有关部门申报，并按规定进行环境影响评价。</w:t>
      </w:r>
    </w:p>
    <w:p w14:paraId="6159D46E">
      <w:pPr>
        <w:pStyle w:val="104"/>
      </w:pPr>
      <w:r>
        <w:t>2、严格落实“三同时”制度，确保环保设施与主体工程同时设计、同时施工、同时投入运营。办理排污许可证，且验收通过后投入正常生产。</w:t>
      </w:r>
    </w:p>
    <w:p w14:paraId="7B49B93D">
      <w:pPr>
        <w:pStyle w:val="104"/>
      </w:pPr>
      <w:r>
        <w:t>3、加强企业环境管理，建立专职的</w:t>
      </w:r>
      <w:r>
        <w:rPr>
          <w:rFonts w:hint="eastAsia"/>
          <w:lang w:val="en-US" w:eastAsia="zh-CN"/>
        </w:rPr>
        <w:t>生态环境</w:t>
      </w:r>
      <w:r>
        <w:t>部门，落实各项环境管理要求和监测计划。</w:t>
      </w:r>
    </w:p>
    <w:p w14:paraId="5940CB6A">
      <w:pPr>
        <w:pStyle w:val="104"/>
      </w:pPr>
      <w:r>
        <w:t>4、将环境风险事故应急预案到相关环保主管部门进行备案，定期组织相关人员进行培训和演练。</w:t>
      </w:r>
    </w:p>
    <w:p w14:paraId="4CC3F233">
      <w:pPr>
        <w:pStyle w:val="104"/>
      </w:pPr>
      <w:r>
        <w:t>5、建立健全的环境保护制度，确保污染治理设施的正常运转，确保达标排放。</w:t>
      </w:r>
    </w:p>
    <w:p w14:paraId="2F5E1571">
      <w:pPr>
        <w:pStyle w:val="104"/>
        <w:sectPr>
          <w:footerReference r:id="rId17" w:type="default"/>
          <w:pgSz w:w="11907" w:h="16840"/>
          <w:pgMar w:top="1418" w:right="1418" w:bottom="1418" w:left="1418" w:header="964" w:footer="964" w:gutter="0"/>
          <w:cols w:space="720" w:num="1"/>
          <w:docGrid w:linePitch="312" w:charSpace="0"/>
        </w:sectPr>
      </w:pPr>
      <w:r>
        <w:t>6、对固体废物分类登记，按相应要求严格存放管理。危险废物暂存间须满足《危险废物贮存污染控制标准》（GBl8597-2023）要求，严格执行危险废物转移联单制度。</w:t>
      </w:r>
      <w:bookmarkEnd w:id="639"/>
      <w:bookmarkEnd w:id="640"/>
      <w:bookmarkEnd w:id="641"/>
      <w:bookmarkEnd w:id="642"/>
    </w:p>
    <w:p w14:paraId="1DF4A876">
      <w:pPr>
        <w:ind w:firstLine="0" w:firstLineChars="0"/>
        <w:jc w:val="center"/>
        <w:rPr>
          <w:sz w:val="44"/>
          <w:szCs w:val="44"/>
        </w:rPr>
      </w:pPr>
      <w:r>
        <w:rPr>
          <w:sz w:val="44"/>
          <w:szCs w:val="44"/>
        </w:rPr>
        <w:t>附件</w:t>
      </w:r>
    </w:p>
    <w:p w14:paraId="267A5B69">
      <w:pPr>
        <w:ind w:firstLine="480"/>
      </w:pPr>
      <w:r>
        <w:t>附件1环评委托书</w:t>
      </w:r>
    </w:p>
    <w:p w14:paraId="1C012E04">
      <w:pPr>
        <w:ind w:firstLine="480"/>
      </w:pPr>
      <w:r>
        <w:t>附件</w:t>
      </w:r>
      <w:r>
        <w:rPr>
          <w:rFonts w:hint="eastAsia"/>
        </w:rPr>
        <w:t>2</w:t>
      </w:r>
      <w:r>
        <w:t>立项文件</w:t>
      </w:r>
    </w:p>
    <w:p w14:paraId="2D21DBD6">
      <w:pPr>
        <w:ind w:firstLine="480"/>
      </w:pPr>
      <w:r>
        <w:rPr>
          <w:rFonts w:hint="eastAsia"/>
        </w:rPr>
        <w:t>附件3项目不涉及生态红线</w:t>
      </w:r>
    </w:p>
    <w:p w14:paraId="2AFF4938">
      <w:pPr>
        <w:ind w:firstLine="480"/>
      </w:pPr>
      <w:r>
        <w:rPr>
          <w:rFonts w:hint="eastAsia"/>
        </w:rPr>
        <w:t>附件4林草局查询文件</w:t>
      </w:r>
    </w:p>
    <w:p w14:paraId="7639F277">
      <w:pPr>
        <w:ind w:firstLine="480"/>
      </w:pPr>
      <w:r>
        <w:rPr>
          <w:rFonts w:hint="eastAsia"/>
        </w:rPr>
        <w:t>附件5项目不涉及自然保护区文件</w:t>
      </w:r>
    </w:p>
    <w:p w14:paraId="3118BD12">
      <w:pPr>
        <w:ind w:firstLine="480"/>
      </w:pPr>
      <w:r>
        <w:rPr>
          <w:rFonts w:hint="eastAsia"/>
        </w:rPr>
        <w:t>附件6项目选址意见</w:t>
      </w:r>
    </w:p>
    <w:p w14:paraId="7E04C514">
      <w:pPr>
        <w:ind w:firstLine="480"/>
      </w:pPr>
      <w:r>
        <w:rPr>
          <w:rFonts w:hint="eastAsia"/>
        </w:rPr>
        <w:t>附件7取水许可决定书</w:t>
      </w:r>
    </w:p>
    <w:p w14:paraId="2454EA5D">
      <w:pPr>
        <w:ind w:firstLine="480"/>
      </w:pPr>
      <w:r>
        <w:rPr>
          <w:rFonts w:hint="eastAsia"/>
        </w:rPr>
        <w:t>附件8与水源地保护区位置关系</w:t>
      </w:r>
    </w:p>
    <w:p w14:paraId="1335D05C">
      <w:pPr>
        <w:ind w:firstLine="480"/>
      </w:pPr>
      <w:r>
        <w:rPr>
          <w:rFonts w:hint="eastAsia"/>
        </w:rPr>
        <w:t>附件9项目区不在已划定河道管理范围内的函</w:t>
      </w:r>
    </w:p>
    <w:p w14:paraId="5001D400">
      <w:pPr>
        <w:ind w:firstLine="480"/>
      </w:pPr>
      <w:r>
        <w:rPr>
          <w:rFonts w:hint="eastAsia"/>
        </w:rPr>
        <w:t>附件10采集国家二级重点保护野生植物的行政许可决定书</w:t>
      </w:r>
    </w:p>
    <w:p w14:paraId="2ECFBBF6">
      <w:pPr>
        <w:ind w:firstLine="480"/>
      </w:pPr>
      <w:r>
        <w:rPr>
          <w:rFonts w:hint="eastAsia"/>
        </w:rPr>
        <w:t>附件11监测报告</w:t>
      </w:r>
    </w:p>
    <w:p w14:paraId="57A698F9">
      <w:pPr>
        <w:ind w:firstLine="480"/>
      </w:pPr>
      <w:r>
        <w:rPr>
          <w:rFonts w:hint="eastAsia"/>
        </w:rPr>
        <w:t>附件12天然气组分监测报告</w:t>
      </w:r>
    </w:p>
    <w:p w14:paraId="7CC2D684">
      <w:pPr>
        <w:ind w:firstLine="480"/>
      </w:pPr>
      <w:r>
        <w:rPr>
          <w:rFonts w:hint="eastAsia"/>
        </w:rPr>
        <w:t>附图1项目总平面布置图</w:t>
      </w:r>
    </w:p>
    <w:p w14:paraId="0437AEE3">
      <w:pPr>
        <w:ind w:firstLine="480"/>
      </w:pPr>
    </w:p>
    <w:p w14:paraId="7139DEF0">
      <w:pPr>
        <w:ind w:firstLine="480"/>
        <w:sectPr>
          <w:pgSz w:w="11907" w:h="16840"/>
          <w:pgMar w:top="1418" w:right="1418" w:bottom="1418" w:left="1418" w:header="964" w:footer="964" w:gutter="0"/>
          <w:cols w:space="720" w:num="1"/>
          <w:docGrid w:linePitch="312" w:charSpace="0"/>
        </w:sectPr>
      </w:pPr>
    </w:p>
    <w:p w14:paraId="48EE9EEC">
      <w:pPr>
        <w:ind w:firstLine="0" w:firstLineChars="0"/>
      </w:pPr>
      <w:r>
        <w:rPr>
          <w:rFonts w:hint="eastAsia"/>
        </w:rPr>
        <w:t>附件1 委托书</w:t>
      </w:r>
    </w:p>
    <w:p w14:paraId="092A1871">
      <w:pPr>
        <w:ind w:firstLine="0" w:firstLineChars="0"/>
      </w:pPr>
      <w:r>
        <w:drawing>
          <wp:inline distT="0" distB="0" distL="0" distR="0">
            <wp:extent cx="5760085" cy="8212455"/>
            <wp:effectExtent l="0" t="0" r="0" b="0"/>
            <wp:docPr id="838825536" name="图片 838825536" descr="F:\3、环评、环保验收、环境监理、环境应急预案\4、环评项目\4、蛋鸡环评\内蒙古华翔农林牧科技发展有限公司120万只蛋鸡项目\盖章资料\环评委托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36" name="图片 838825536" descr="F:\3、环评、环保验收、环境监理、环境应急预案\4、环评项目\4、蛋鸡环评\内蒙古华翔农林牧科技发展有限公司120万只蛋鸡项目\盖章资料\环评委托书.jp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a:xfrm>
                      <a:off x="0" y="0"/>
                      <a:ext cx="5760085" cy="8212829"/>
                    </a:xfrm>
                    <a:prstGeom prst="rect">
                      <a:avLst/>
                    </a:prstGeom>
                    <a:noFill/>
                    <a:ln>
                      <a:noFill/>
                    </a:ln>
                  </pic:spPr>
                </pic:pic>
              </a:graphicData>
            </a:graphic>
          </wp:inline>
        </w:drawing>
      </w:r>
    </w:p>
    <w:p w14:paraId="49160477">
      <w:pPr>
        <w:ind w:firstLine="0" w:firstLineChars="0"/>
      </w:pPr>
      <w:r>
        <w:br w:type="page"/>
      </w:r>
    </w:p>
    <w:p w14:paraId="0A036AE2">
      <w:pPr>
        <w:ind w:firstLine="0" w:firstLineChars="0"/>
      </w:pPr>
      <w:r>
        <w:t>附件2 项目备案告知书</w:t>
      </w:r>
    </w:p>
    <w:p w14:paraId="099CDF23">
      <w:pPr>
        <w:ind w:firstLine="0" w:firstLineChars="0"/>
        <w:sectPr>
          <w:headerReference r:id="rId18" w:type="default"/>
          <w:pgSz w:w="11907" w:h="16840"/>
          <w:pgMar w:top="1418" w:right="1418" w:bottom="1418" w:left="1418" w:header="964" w:footer="964" w:gutter="0"/>
          <w:cols w:space="720" w:num="1"/>
          <w:docGrid w:linePitch="312" w:charSpace="0"/>
        </w:sectPr>
      </w:pPr>
      <w:r>
        <w:drawing>
          <wp:inline distT="0" distB="0" distL="0" distR="0">
            <wp:extent cx="5760085" cy="8185150"/>
            <wp:effectExtent l="0" t="0" r="0" b="6350"/>
            <wp:docPr id="5" name="图片 5" descr="C:\Users\Administrator\AppData\Local\Temp\WeChat Files\d539b7d9fef280a4a5f47ad8af1d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AppData\Local\Temp\WeChat Files\d539b7d9fef280a4a5f47ad8af1d278.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a:xfrm>
                      <a:off x="0" y="0"/>
                      <a:ext cx="5760085" cy="8185683"/>
                    </a:xfrm>
                    <a:prstGeom prst="rect">
                      <a:avLst/>
                    </a:prstGeom>
                    <a:noFill/>
                    <a:ln>
                      <a:noFill/>
                    </a:ln>
                  </pic:spPr>
                </pic:pic>
              </a:graphicData>
            </a:graphic>
          </wp:inline>
        </w:drawing>
      </w:r>
    </w:p>
    <w:p w14:paraId="20C897D7">
      <w:pPr>
        <w:ind w:firstLine="0" w:firstLineChars="0"/>
      </w:pPr>
      <w:r>
        <w:rPr>
          <w:rFonts w:hint="eastAsia"/>
        </w:rPr>
        <w:t>附件3 项目不涉及生态红线</w:t>
      </w:r>
    </w:p>
    <w:p w14:paraId="10323C90">
      <w:pPr>
        <w:ind w:firstLine="0" w:firstLineChars="0"/>
      </w:pPr>
      <w:r>
        <w:drawing>
          <wp:inline distT="0" distB="0" distL="0" distR="0">
            <wp:extent cx="5760085" cy="8077835"/>
            <wp:effectExtent l="0" t="0" r="0" b="0"/>
            <wp:docPr id="952904082" name="图片 95290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82" name="图片 952904082"/>
                    <pic:cNvPicPr>
                      <a:picLocks noChangeAspect="1"/>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760085" cy="8077835"/>
                    </a:xfrm>
                    <a:prstGeom prst="rect">
                      <a:avLst/>
                    </a:prstGeom>
                  </pic:spPr>
                </pic:pic>
              </a:graphicData>
            </a:graphic>
          </wp:inline>
        </w:drawing>
      </w:r>
    </w:p>
    <w:p w14:paraId="36C8B3E8">
      <w:pPr>
        <w:ind w:firstLine="0" w:firstLineChars="0"/>
        <w:sectPr>
          <w:pgSz w:w="11907" w:h="16840"/>
          <w:pgMar w:top="1418" w:right="1418" w:bottom="1418" w:left="1418" w:header="964" w:footer="964" w:gutter="0"/>
          <w:cols w:space="720" w:num="1"/>
          <w:docGrid w:linePitch="312" w:charSpace="0"/>
        </w:sectPr>
      </w:pPr>
      <w:r>
        <w:drawing>
          <wp:inline distT="0" distB="0" distL="0" distR="0">
            <wp:extent cx="5760085" cy="8225155"/>
            <wp:effectExtent l="0" t="0" r="0" b="4445"/>
            <wp:docPr id="952904084" name="图片 95290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84" name="图片 952904084"/>
                    <pic:cNvPicPr>
                      <a:picLocks noChangeAspect="1"/>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760085" cy="8225155"/>
                    </a:xfrm>
                    <a:prstGeom prst="rect">
                      <a:avLst/>
                    </a:prstGeom>
                  </pic:spPr>
                </pic:pic>
              </a:graphicData>
            </a:graphic>
          </wp:inline>
        </w:drawing>
      </w:r>
    </w:p>
    <w:p w14:paraId="42D3447E">
      <w:pPr>
        <w:ind w:firstLine="0" w:firstLineChars="0"/>
      </w:pPr>
      <w:r>
        <w:rPr>
          <w:rFonts w:hint="eastAsia"/>
        </w:rPr>
        <w:t>附件4林草局查询文件</w:t>
      </w:r>
    </w:p>
    <w:p w14:paraId="68C9A8F5">
      <w:pPr>
        <w:ind w:firstLine="0" w:firstLineChars="0"/>
      </w:pPr>
      <w:r>
        <w:drawing>
          <wp:inline distT="0" distB="0" distL="0" distR="0">
            <wp:extent cx="5760085" cy="8150225"/>
            <wp:effectExtent l="0" t="0" r="0" b="3175"/>
            <wp:docPr id="952904085" name="图片 95290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85" name="图片 952904085"/>
                    <pic:cNvPicPr>
                      <a:picLocks noChangeAspect="1"/>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5760085" cy="8150225"/>
                    </a:xfrm>
                    <a:prstGeom prst="rect">
                      <a:avLst/>
                    </a:prstGeom>
                  </pic:spPr>
                </pic:pic>
              </a:graphicData>
            </a:graphic>
          </wp:inline>
        </w:drawing>
      </w:r>
    </w:p>
    <w:p w14:paraId="5B82845D">
      <w:pPr>
        <w:ind w:firstLine="0" w:firstLineChars="0"/>
        <w:sectPr>
          <w:pgSz w:w="11907" w:h="16840"/>
          <w:pgMar w:top="1418" w:right="1418" w:bottom="1418" w:left="1418" w:header="964" w:footer="964" w:gutter="0"/>
          <w:cols w:space="720" w:num="1"/>
          <w:docGrid w:linePitch="312" w:charSpace="0"/>
        </w:sectPr>
      </w:pPr>
      <w:r>
        <w:drawing>
          <wp:inline distT="0" distB="0" distL="0" distR="0">
            <wp:extent cx="5760085" cy="8152130"/>
            <wp:effectExtent l="0" t="0" r="0" b="1270"/>
            <wp:docPr id="952904086" name="图片 95290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86" name="图片 952904086"/>
                    <pic:cNvPicPr>
                      <a:picLocks noChangeAspect="1"/>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5760085" cy="8152130"/>
                    </a:xfrm>
                    <a:prstGeom prst="rect">
                      <a:avLst/>
                    </a:prstGeom>
                  </pic:spPr>
                </pic:pic>
              </a:graphicData>
            </a:graphic>
          </wp:inline>
        </w:drawing>
      </w:r>
    </w:p>
    <w:p w14:paraId="06EA8BC1">
      <w:pPr>
        <w:ind w:firstLine="0" w:firstLineChars="0"/>
      </w:pPr>
      <w:r>
        <w:rPr>
          <w:rFonts w:hint="eastAsia"/>
        </w:rPr>
        <w:t>附件5项目不涉及自然保护区文件</w:t>
      </w:r>
    </w:p>
    <w:p w14:paraId="54E8A041">
      <w:pPr>
        <w:ind w:firstLine="0" w:firstLineChars="0"/>
      </w:pPr>
      <w:r>
        <w:drawing>
          <wp:inline distT="0" distB="0" distL="0" distR="0">
            <wp:extent cx="5760085" cy="8150860"/>
            <wp:effectExtent l="0" t="0" r="0" b="2540"/>
            <wp:docPr id="952904087" name="图片 95290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87" name="图片 952904087"/>
                    <pic:cNvPicPr>
                      <a:picLocks noChangeAspect="1"/>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5760085" cy="8150860"/>
                    </a:xfrm>
                    <a:prstGeom prst="rect">
                      <a:avLst/>
                    </a:prstGeom>
                  </pic:spPr>
                </pic:pic>
              </a:graphicData>
            </a:graphic>
          </wp:inline>
        </w:drawing>
      </w:r>
    </w:p>
    <w:p w14:paraId="739FF009">
      <w:pPr>
        <w:ind w:firstLine="0" w:firstLineChars="0"/>
      </w:pPr>
      <w:r>
        <w:drawing>
          <wp:inline distT="0" distB="0" distL="0" distR="0">
            <wp:extent cx="5760085" cy="8188960"/>
            <wp:effectExtent l="0" t="0" r="0" b="2540"/>
            <wp:docPr id="952904088" name="图片 95290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88" name="图片 952904088"/>
                    <pic:cNvPicPr>
                      <a:picLocks noChangeAspect="1"/>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760085" cy="8188960"/>
                    </a:xfrm>
                    <a:prstGeom prst="rect">
                      <a:avLst/>
                    </a:prstGeom>
                  </pic:spPr>
                </pic:pic>
              </a:graphicData>
            </a:graphic>
          </wp:inline>
        </w:drawing>
      </w:r>
      <w:r>
        <w:drawing>
          <wp:inline distT="0" distB="0" distL="0" distR="0">
            <wp:extent cx="5760085" cy="8150860"/>
            <wp:effectExtent l="0" t="0" r="0" b="2540"/>
            <wp:docPr id="952904089" name="图片 95290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89" name="图片 952904089"/>
                    <pic:cNvPicPr>
                      <a:picLocks noChangeAspect="1"/>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5760085" cy="8150860"/>
                    </a:xfrm>
                    <a:prstGeom prst="rect">
                      <a:avLst/>
                    </a:prstGeom>
                  </pic:spPr>
                </pic:pic>
              </a:graphicData>
            </a:graphic>
          </wp:inline>
        </w:drawing>
      </w:r>
      <w:r>
        <w:drawing>
          <wp:inline distT="0" distB="0" distL="0" distR="0">
            <wp:extent cx="5760085" cy="8150860"/>
            <wp:effectExtent l="0" t="0" r="0" b="2540"/>
            <wp:docPr id="952904090" name="图片 95290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4090" name="图片 952904090"/>
                    <pic:cNvPicPr>
                      <a:picLocks noChangeAspect="1"/>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5760085" cy="8150860"/>
                    </a:xfrm>
                    <a:prstGeom prst="rect">
                      <a:avLst/>
                    </a:prstGeom>
                  </pic:spPr>
                </pic:pic>
              </a:graphicData>
            </a:graphic>
          </wp:inline>
        </w:drawing>
      </w:r>
    </w:p>
    <w:p w14:paraId="6A5FAE47">
      <w:pPr>
        <w:ind w:firstLine="0" w:firstLineChars="0"/>
      </w:pPr>
    </w:p>
    <w:p w14:paraId="54B34B3E">
      <w:pPr>
        <w:ind w:firstLine="0" w:firstLineChars="0"/>
      </w:pPr>
    </w:p>
    <w:p w14:paraId="725C4046">
      <w:pPr>
        <w:ind w:firstLine="0" w:firstLineChars="0"/>
      </w:pPr>
      <w:r>
        <w:rPr>
          <w:rFonts w:hint="eastAsia"/>
        </w:rPr>
        <w:t>附件</w:t>
      </w:r>
      <w:r>
        <w:t>6</w:t>
      </w:r>
      <w:r>
        <w:rPr>
          <w:rFonts w:hint="eastAsia"/>
        </w:rPr>
        <w:t>项目选址意见</w:t>
      </w:r>
    </w:p>
    <w:p w14:paraId="4D53415A">
      <w:pPr>
        <w:ind w:firstLine="0" w:firstLineChars="0"/>
      </w:pPr>
      <w:r>
        <w:drawing>
          <wp:inline distT="0" distB="0" distL="0" distR="0">
            <wp:extent cx="5324475" cy="8314690"/>
            <wp:effectExtent l="0" t="0" r="9525" b="0"/>
            <wp:docPr id="324370510" name="图片 1"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70510" name="图片 1" descr="文本, 信件&#10;&#10;描述已自动生成"/>
                    <pic:cNvPicPr>
                      <a:picLocks noChangeAspect="1"/>
                    </pic:cNvPicPr>
                  </pic:nvPicPr>
                  <pic:blipFill>
                    <a:blip r:embed="rId237"/>
                    <a:stretch>
                      <a:fillRect/>
                    </a:stretch>
                  </pic:blipFill>
                  <pic:spPr>
                    <a:xfrm>
                      <a:off x="0" y="0"/>
                      <a:ext cx="5327687" cy="8319462"/>
                    </a:xfrm>
                    <a:prstGeom prst="rect">
                      <a:avLst/>
                    </a:prstGeom>
                  </pic:spPr>
                </pic:pic>
              </a:graphicData>
            </a:graphic>
          </wp:inline>
        </w:drawing>
      </w:r>
      <w:r>
        <w:br w:type="page"/>
      </w:r>
    </w:p>
    <w:p w14:paraId="325594F4">
      <w:pPr>
        <w:ind w:firstLine="0" w:firstLineChars="0"/>
      </w:pPr>
      <w:r>
        <w:rPr>
          <w:rFonts w:hint="eastAsia"/>
        </w:rPr>
        <w:t>附件7 取水许可决定书</w:t>
      </w:r>
    </w:p>
    <w:p w14:paraId="603794B5">
      <w:pPr>
        <w:pStyle w:val="2"/>
      </w:pPr>
      <w:r>
        <w:drawing>
          <wp:inline distT="0" distB="0" distL="114300" distR="114300">
            <wp:extent cx="5755005" cy="8169275"/>
            <wp:effectExtent l="0" t="0" r="17145" b="3175"/>
            <wp:docPr id="13" name="图片 13" descr="附件(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附件(1)_08"/>
                    <pic:cNvPicPr>
                      <a:picLocks noChangeAspect="1"/>
                    </pic:cNvPicPr>
                  </pic:nvPicPr>
                  <pic:blipFill>
                    <a:blip r:embed="rId238"/>
                    <a:stretch>
                      <a:fillRect/>
                    </a:stretch>
                  </pic:blipFill>
                  <pic:spPr>
                    <a:xfrm>
                      <a:off x="0" y="0"/>
                      <a:ext cx="5755005" cy="8169275"/>
                    </a:xfrm>
                    <a:prstGeom prst="rect">
                      <a:avLst/>
                    </a:prstGeom>
                  </pic:spPr>
                </pic:pic>
              </a:graphicData>
            </a:graphic>
          </wp:inline>
        </w:drawing>
      </w:r>
    </w:p>
    <w:p w14:paraId="46AADD4A">
      <w:pPr>
        <w:ind w:firstLine="0" w:firstLineChars="0"/>
      </w:pPr>
      <w:r>
        <w:drawing>
          <wp:inline distT="0" distB="0" distL="114300" distR="114300">
            <wp:extent cx="5755005" cy="8141335"/>
            <wp:effectExtent l="0" t="0" r="17145" b="12065"/>
            <wp:docPr id="9" name="图片 9" descr="附件(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附件(1)_09"/>
                    <pic:cNvPicPr>
                      <a:picLocks noChangeAspect="1"/>
                    </pic:cNvPicPr>
                  </pic:nvPicPr>
                  <pic:blipFill>
                    <a:blip r:embed="rId239"/>
                    <a:stretch>
                      <a:fillRect/>
                    </a:stretch>
                  </pic:blipFill>
                  <pic:spPr>
                    <a:xfrm>
                      <a:off x="0" y="0"/>
                      <a:ext cx="5755005" cy="8141335"/>
                    </a:xfrm>
                    <a:prstGeom prst="rect">
                      <a:avLst/>
                    </a:prstGeom>
                  </pic:spPr>
                </pic:pic>
              </a:graphicData>
            </a:graphic>
          </wp:inline>
        </w:drawing>
      </w:r>
      <w:r>
        <w:drawing>
          <wp:inline distT="0" distB="0" distL="114300" distR="114300">
            <wp:extent cx="5755005" cy="8141335"/>
            <wp:effectExtent l="0" t="0" r="17145" b="12065"/>
            <wp:docPr id="7" name="图片 7" descr="附件(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附件(1)_10"/>
                    <pic:cNvPicPr>
                      <a:picLocks noChangeAspect="1"/>
                    </pic:cNvPicPr>
                  </pic:nvPicPr>
                  <pic:blipFill>
                    <a:blip r:embed="rId240"/>
                    <a:stretch>
                      <a:fillRect/>
                    </a:stretch>
                  </pic:blipFill>
                  <pic:spPr>
                    <a:xfrm>
                      <a:off x="0" y="0"/>
                      <a:ext cx="5755005" cy="8141335"/>
                    </a:xfrm>
                    <a:prstGeom prst="rect">
                      <a:avLst/>
                    </a:prstGeom>
                  </pic:spPr>
                </pic:pic>
              </a:graphicData>
            </a:graphic>
          </wp:inline>
        </w:drawing>
      </w:r>
      <w:r>
        <w:drawing>
          <wp:inline distT="0" distB="0" distL="114300" distR="114300">
            <wp:extent cx="5755005" cy="8141335"/>
            <wp:effectExtent l="0" t="0" r="17145" b="12065"/>
            <wp:docPr id="3" name="图片 3" descr="附件(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件(1)_11"/>
                    <pic:cNvPicPr>
                      <a:picLocks noChangeAspect="1"/>
                    </pic:cNvPicPr>
                  </pic:nvPicPr>
                  <pic:blipFill>
                    <a:blip r:embed="rId241"/>
                    <a:stretch>
                      <a:fillRect/>
                    </a:stretch>
                  </pic:blipFill>
                  <pic:spPr>
                    <a:xfrm>
                      <a:off x="0" y="0"/>
                      <a:ext cx="5755005" cy="8141335"/>
                    </a:xfrm>
                    <a:prstGeom prst="rect">
                      <a:avLst/>
                    </a:prstGeom>
                  </pic:spPr>
                </pic:pic>
              </a:graphicData>
            </a:graphic>
          </wp:inline>
        </w:drawing>
      </w:r>
    </w:p>
    <w:p w14:paraId="0AFAD173">
      <w:pPr>
        <w:ind w:firstLine="0" w:firstLineChars="0"/>
      </w:pPr>
      <w:r>
        <w:br w:type="page"/>
      </w:r>
    </w:p>
    <w:p w14:paraId="64E87DE7">
      <w:pPr>
        <w:ind w:firstLine="0" w:firstLineChars="0"/>
      </w:pPr>
      <w:r>
        <w:rPr>
          <w:rFonts w:hint="eastAsia"/>
        </w:rPr>
        <w:t>附件8 与水源地保护区位置关系的函</w:t>
      </w:r>
    </w:p>
    <w:p w14:paraId="6646B074">
      <w:pPr>
        <w:pStyle w:val="2"/>
      </w:pPr>
      <w:r>
        <w:drawing>
          <wp:inline distT="0" distB="0" distL="114300" distR="114300">
            <wp:extent cx="5758815" cy="8148955"/>
            <wp:effectExtent l="0" t="0" r="13335" b="4445"/>
            <wp:docPr id="14" name="图片 14" descr="附件(1)_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附件(1)_63"/>
                    <pic:cNvPicPr>
                      <a:picLocks noChangeAspect="1"/>
                    </pic:cNvPicPr>
                  </pic:nvPicPr>
                  <pic:blipFill>
                    <a:blip r:embed="rId242"/>
                    <a:stretch>
                      <a:fillRect/>
                    </a:stretch>
                  </pic:blipFill>
                  <pic:spPr>
                    <a:xfrm>
                      <a:off x="0" y="0"/>
                      <a:ext cx="5758815" cy="8148955"/>
                    </a:xfrm>
                    <a:prstGeom prst="rect">
                      <a:avLst/>
                    </a:prstGeom>
                  </pic:spPr>
                </pic:pic>
              </a:graphicData>
            </a:graphic>
          </wp:inline>
        </w:drawing>
      </w:r>
    </w:p>
    <w:p w14:paraId="6109AB22">
      <w:pPr>
        <w:ind w:firstLine="0" w:firstLineChars="0"/>
      </w:pPr>
      <w:r>
        <w:drawing>
          <wp:inline distT="0" distB="0" distL="114300" distR="114300">
            <wp:extent cx="5758815" cy="8148955"/>
            <wp:effectExtent l="0" t="0" r="13335" b="4445"/>
            <wp:docPr id="32" name="图片 32" descr="附件(1)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附件(1)_64"/>
                    <pic:cNvPicPr>
                      <a:picLocks noChangeAspect="1"/>
                    </pic:cNvPicPr>
                  </pic:nvPicPr>
                  <pic:blipFill>
                    <a:blip r:embed="rId243"/>
                    <a:stretch>
                      <a:fillRect/>
                    </a:stretch>
                  </pic:blipFill>
                  <pic:spPr>
                    <a:xfrm>
                      <a:off x="0" y="0"/>
                      <a:ext cx="5758815" cy="8148955"/>
                    </a:xfrm>
                    <a:prstGeom prst="rect">
                      <a:avLst/>
                    </a:prstGeom>
                  </pic:spPr>
                </pic:pic>
              </a:graphicData>
            </a:graphic>
          </wp:inline>
        </w:drawing>
      </w:r>
      <w:r>
        <w:drawing>
          <wp:inline distT="0" distB="0" distL="114300" distR="114300">
            <wp:extent cx="5758815" cy="8148955"/>
            <wp:effectExtent l="0" t="0" r="13335" b="4445"/>
            <wp:docPr id="27" name="图片 27" descr="附件(1)_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附件(1)_65"/>
                    <pic:cNvPicPr>
                      <a:picLocks noChangeAspect="1"/>
                    </pic:cNvPicPr>
                  </pic:nvPicPr>
                  <pic:blipFill>
                    <a:blip r:embed="rId244"/>
                    <a:stretch>
                      <a:fillRect/>
                    </a:stretch>
                  </pic:blipFill>
                  <pic:spPr>
                    <a:xfrm>
                      <a:off x="0" y="0"/>
                      <a:ext cx="5758815" cy="8148955"/>
                    </a:xfrm>
                    <a:prstGeom prst="rect">
                      <a:avLst/>
                    </a:prstGeom>
                  </pic:spPr>
                </pic:pic>
              </a:graphicData>
            </a:graphic>
          </wp:inline>
        </w:drawing>
      </w:r>
      <w:r>
        <w:drawing>
          <wp:inline distT="0" distB="0" distL="114300" distR="114300">
            <wp:extent cx="5758815" cy="8148955"/>
            <wp:effectExtent l="0" t="0" r="13335" b="4445"/>
            <wp:docPr id="16" name="图片 16" descr="附件(1)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附件(1)_66"/>
                    <pic:cNvPicPr>
                      <a:picLocks noChangeAspect="1"/>
                    </pic:cNvPicPr>
                  </pic:nvPicPr>
                  <pic:blipFill>
                    <a:blip r:embed="rId245"/>
                    <a:stretch>
                      <a:fillRect/>
                    </a:stretch>
                  </pic:blipFill>
                  <pic:spPr>
                    <a:xfrm>
                      <a:off x="0" y="0"/>
                      <a:ext cx="5758815" cy="8148955"/>
                    </a:xfrm>
                    <a:prstGeom prst="rect">
                      <a:avLst/>
                    </a:prstGeom>
                  </pic:spPr>
                </pic:pic>
              </a:graphicData>
            </a:graphic>
          </wp:inline>
        </w:drawing>
      </w:r>
    </w:p>
    <w:p w14:paraId="6602A790">
      <w:pPr>
        <w:ind w:firstLine="0" w:firstLineChars="0"/>
      </w:pPr>
      <w:r>
        <w:br w:type="page"/>
      </w:r>
    </w:p>
    <w:p w14:paraId="17881D50">
      <w:pPr>
        <w:ind w:firstLine="0" w:firstLineChars="0"/>
      </w:pPr>
      <w:r>
        <w:rPr>
          <w:rFonts w:hint="eastAsia"/>
        </w:rPr>
        <w:t>附件9 项目区不在已划定河道管理范围内的函</w:t>
      </w:r>
    </w:p>
    <w:p w14:paraId="01A07EDE">
      <w:pPr>
        <w:ind w:firstLine="0" w:firstLineChars="0"/>
      </w:pPr>
      <w:r>
        <w:rPr>
          <w:rFonts w:hint="eastAsia"/>
        </w:rPr>
        <w:drawing>
          <wp:inline distT="0" distB="0" distL="114300" distR="114300">
            <wp:extent cx="5610225" cy="7934325"/>
            <wp:effectExtent l="0" t="0" r="9525" b="9525"/>
            <wp:docPr id="77" name="图片 77" descr="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水1"/>
                    <pic:cNvPicPr>
                      <a:picLocks noChangeAspect="1"/>
                    </pic:cNvPicPr>
                  </pic:nvPicPr>
                  <pic:blipFill>
                    <a:blip r:embed="rId246"/>
                    <a:stretch>
                      <a:fillRect/>
                    </a:stretch>
                  </pic:blipFill>
                  <pic:spPr>
                    <a:xfrm>
                      <a:off x="0" y="0"/>
                      <a:ext cx="5610225" cy="7934325"/>
                    </a:xfrm>
                    <a:prstGeom prst="rect">
                      <a:avLst/>
                    </a:prstGeom>
                  </pic:spPr>
                </pic:pic>
              </a:graphicData>
            </a:graphic>
          </wp:inline>
        </w:drawing>
      </w:r>
    </w:p>
    <w:p w14:paraId="33CD3220">
      <w:pPr>
        <w:ind w:firstLine="0" w:firstLineChars="0"/>
      </w:pPr>
      <w:r>
        <w:rPr>
          <w:rFonts w:hint="eastAsia"/>
        </w:rPr>
        <w:drawing>
          <wp:inline distT="0" distB="0" distL="114300" distR="114300">
            <wp:extent cx="5572125" cy="7915275"/>
            <wp:effectExtent l="0" t="0" r="9525" b="9525"/>
            <wp:docPr id="78" name="图片 78" descr="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水2"/>
                    <pic:cNvPicPr>
                      <a:picLocks noChangeAspect="1"/>
                    </pic:cNvPicPr>
                  </pic:nvPicPr>
                  <pic:blipFill>
                    <a:blip r:embed="rId247"/>
                    <a:stretch>
                      <a:fillRect/>
                    </a:stretch>
                  </pic:blipFill>
                  <pic:spPr>
                    <a:xfrm>
                      <a:off x="0" y="0"/>
                      <a:ext cx="5572125" cy="7915275"/>
                    </a:xfrm>
                    <a:prstGeom prst="rect">
                      <a:avLst/>
                    </a:prstGeom>
                  </pic:spPr>
                </pic:pic>
              </a:graphicData>
            </a:graphic>
          </wp:inline>
        </w:drawing>
      </w:r>
    </w:p>
    <w:p w14:paraId="73208DF8">
      <w:pPr>
        <w:ind w:firstLine="0" w:firstLineChars="0"/>
      </w:pPr>
    </w:p>
    <w:p w14:paraId="71F624BA">
      <w:pPr>
        <w:ind w:firstLine="0" w:firstLineChars="0"/>
      </w:pPr>
      <w:r>
        <w:br w:type="page"/>
      </w:r>
      <w:r>
        <w:rPr>
          <w:rFonts w:hint="eastAsia"/>
        </w:rPr>
        <w:t>附件10  采集国家二级重点保护野生植物的行政许可决定</w:t>
      </w:r>
    </w:p>
    <w:p w14:paraId="4B4F6036">
      <w:pPr>
        <w:ind w:firstLine="0" w:firstLineChars="0"/>
      </w:pPr>
      <w:r>
        <w:rPr>
          <w:rFonts w:hint="eastAsia"/>
        </w:rPr>
        <w:drawing>
          <wp:inline distT="0" distB="0" distL="114300" distR="114300">
            <wp:extent cx="5629275" cy="7896225"/>
            <wp:effectExtent l="0" t="0" r="9525" b="9525"/>
            <wp:docPr id="85" name="图片 85" descr="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林1"/>
                    <pic:cNvPicPr>
                      <a:picLocks noChangeAspect="1"/>
                    </pic:cNvPicPr>
                  </pic:nvPicPr>
                  <pic:blipFill>
                    <a:blip r:embed="rId248"/>
                    <a:stretch>
                      <a:fillRect/>
                    </a:stretch>
                  </pic:blipFill>
                  <pic:spPr>
                    <a:xfrm>
                      <a:off x="0" y="0"/>
                      <a:ext cx="5629275" cy="7896225"/>
                    </a:xfrm>
                    <a:prstGeom prst="rect">
                      <a:avLst/>
                    </a:prstGeom>
                  </pic:spPr>
                </pic:pic>
              </a:graphicData>
            </a:graphic>
          </wp:inline>
        </w:drawing>
      </w:r>
    </w:p>
    <w:p w14:paraId="0C3A5561">
      <w:pPr>
        <w:ind w:firstLine="0" w:firstLineChars="0"/>
      </w:pPr>
      <w:r>
        <w:rPr>
          <w:rFonts w:hint="eastAsia"/>
        </w:rPr>
        <w:drawing>
          <wp:inline distT="0" distB="0" distL="114300" distR="114300">
            <wp:extent cx="5581650" cy="7886700"/>
            <wp:effectExtent l="0" t="0" r="0" b="0"/>
            <wp:docPr id="86" name="图片 86" descr="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林2"/>
                    <pic:cNvPicPr>
                      <a:picLocks noChangeAspect="1"/>
                    </pic:cNvPicPr>
                  </pic:nvPicPr>
                  <pic:blipFill>
                    <a:blip r:embed="rId249"/>
                    <a:stretch>
                      <a:fillRect/>
                    </a:stretch>
                  </pic:blipFill>
                  <pic:spPr>
                    <a:xfrm>
                      <a:off x="0" y="0"/>
                      <a:ext cx="5581650" cy="7886700"/>
                    </a:xfrm>
                    <a:prstGeom prst="rect">
                      <a:avLst/>
                    </a:prstGeom>
                  </pic:spPr>
                </pic:pic>
              </a:graphicData>
            </a:graphic>
          </wp:inline>
        </w:drawing>
      </w:r>
    </w:p>
    <w:p w14:paraId="17ACF642">
      <w:pPr>
        <w:ind w:firstLine="0" w:firstLineChars="0"/>
      </w:pPr>
    </w:p>
    <w:p w14:paraId="0ABB25DE">
      <w:pPr>
        <w:ind w:firstLine="0" w:firstLineChars="0"/>
        <w:jc w:val="center"/>
      </w:pPr>
    </w:p>
    <w:p w14:paraId="5D4243E8">
      <w:pPr>
        <w:pStyle w:val="2"/>
      </w:pPr>
    </w:p>
    <w:p w14:paraId="541EF32C">
      <w:pPr>
        <w:ind w:firstLine="0" w:firstLineChars="0"/>
      </w:pPr>
      <w:r>
        <w:rPr>
          <w:rFonts w:hint="eastAsia"/>
        </w:rPr>
        <w:t>附件11监测报告</w:t>
      </w:r>
      <w:r>
        <w:drawing>
          <wp:inline distT="0" distB="0" distL="0" distR="0">
            <wp:extent cx="5760085" cy="8147050"/>
            <wp:effectExtent l="0" t="0" r="5715" b="6350"/>
            <wp:docPr id="2" name="图片 2" descr="G:/环评/新建文件夹/监测报告/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G:/环评/新建文件夹/监测报告/1.png1"/>
                    <pic:cNvPicPr>
                      <a:picLocks noChangeAspect="1"/>
                    </pic:cNvPicPr>
                  </pic:nvPicPr>
                  <pic:blipFill>
                    <a:blip r:embed="rId250"/>
                    <a:srcRect l="401" r="401"/>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37" name="图片 838825537" descr="G:/环评/新建文件夹/监测报告/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37" name="图片 838825537" descr="G:/环评/新建文件夹/监测报告/2.png2"/>
                    <pic:cNvPicPr>
                      <a:picLocks noChangeAspect="1"/>
                    </pic:cNvPicPr>
                  </pic:nvPicPr>
                  <pic:blipFill>
                    <a:blip r:embed="rId251"/>
                    <a:srcRect l="608" r="608"/>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38" name="图片 838825538" descr="G:/环评/新建文件夹/监测报告/3.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38" name="图片 838825538" descr="G:/环评/新建文件夹/监测报告/3.png3"/>
                    <pic:cNvPicPr>
                      <a:picLocks noChangeAspect="1"/>
                    </pic:cNvPicPr>
                  </pic:nvPicPr>
                  <pic:blipFill>
                    <a:blip r:embed="rId252"/>
                    <a:srcRect t="480" b="480"/>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39" name="图片 838825539" descr="G:/环评/新建文件夹/监测报告/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39" name="图片 838825539" descr="G:/环评/新建文件夹/监测报告/4.png4"/>
                    <pic:cNvPicPr>
                      <a:picLocks noChangeAspect="1"/>
                    </pic:cNvPicPr>
                  </pic:nvPicPr>
                  <pic:blipFill>
                    <a:blip r:embed="rId253"/>
                    <a:srcRect t="149" b="149"/>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0" name="图片 838825540" descr="G:/环评/新建文件夹/监测报告/5.pn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0" name="图片 838825540" descr="G:/环评/新建文件夹/监测报告/5.png5"/>
                    <pic:cNvPicPr>
                      <a:picLocks noChangeAspect="1"/>
                    </pic:cNvPicPr>
                  </pic:nvPicPr>
                  <pic:blipFill>
                    <a:blip r:embed="rId254"/>
                    <a:srcRect t="39" b="39"/>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1" name="图片 838825541" descr="G:/环评/新建文件夹/监测报告/6.pn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1" name="图片 838825541" descr="G:/环评/新建文件夹/监测报告/6.png6"/>
                    <pic:cNvPicPr>
                      <a:picLocks noChangeAspect="1"/>
                    </pic:cNvPicPr>
                  </pic:nvPicPr>
                  <pic:blipFill>
                    <a:blip r:embed="rId255"/>
                    <a:srcRect t="88" b="88"/>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2" name="图片 838825542" descr="G:/环评/新建文件夹/监测报告/7.pn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2" name="图片 838825542" descr="G:/环评/新建文件夹/监测报告/7.png7"/>
                    <pic:cNvPicPr>
                      <a:picLocks noChangeAspect="1"/>
                    </pic:cNvPicPr>
                  </pic:nvPicPr>
                  <pic:blipFill>
                    <a:blip r:embed="rId256"/>
                    <a:srcRect l="292" r="292"/>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3" name="图片 838825543" descr="G:/环评/新建文件夹/监测报告/8.pn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3" name="图片 838825543" descr="G:/环评/新建文件夹/监测报告/8.png8"/>
                    <pic:cNvPicPr>
                      <a:picLocks noChangeAspect="1"/>
                    </pic:cNvPicPr>
                  </pic:nvPicPr>
                  <pic:blipFill>
                    <a:blip r:embed="rId257"/>
                    <a:srcRect l="4" r="4"/>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4" name="图片 838825544" descr="G:/环评/新建文件夹/监测报告/9.pn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4" name="图片 838825544" descr="G:/环评/新建文件夹/监测报告/9.png9"/>
                    <pic:cNvPicPr>
                      <a:picLocks noChangeAspect="1"/>
                    </pic:cNvPicPr>
                  </pic:nvPicPr>
                  <pic:blipFill>
                    <a:blip r:embed="rId258"/>
                    <a:srcRect t="220" b="220"/>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5" name="图片 838825545" descr="G:/环评/新建文件夹/监测报告/10.p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5" name="图片 838825545" descr="G:/环评/新建文件夹/监测报告/10.png10"/>
                    <pic:cNvPicPr>
                      <a:picLocks noChangeAspect="1"/>
                    </pic:cNvPicPr>
                  </pic:nvPicPr>
                  <pic:blipFill>
                    <a:blip r:embed="rId259"/>
                    <a:srcRect t="380" b="380"/>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6" name="图片 838825546" descr="G:/环评/新建文件夹/监测报告/11.p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6" name="图片 838825546" descr="G:/环评/新建文件夹/监测报告/11.png11"/>
                    <pic:cNvPicPr>
                      <a:picLocks noChangeAspect="1"/>
                    </pic:cNvPicPr>
                  </pic:nvPicPr>
                  <pic:blipFill>
                    <a:blip r:embed="rId260"/>
                    <a:srcRect t="39" b="39"/>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7" name="图片 838825547" descr="G:/环评/新建文件夹/监测报告/12.pn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7" name="图片 838825547" descr="G:/环评/新建文件夹/监测报告/12.png12"/>
                    <pic:cNvPicPr>
                      <a:picLocks noChangeAspect="1"/>
                    </pic:cNvPicPr>
                  </pic:nvPicPr>
                  <pic:blipFill>
                    <a:blip r:embed="rId261"/>
                    <a:srcRect l="171" r="171"/>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8" name="图片 838825548" descr="G:/环评/新建文件夹/监测报告/13.pn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8" name="图片 838825548" descr="G:/环评/新建文件夹/监测报告/13.png13"/>
                    <pic:cNvPicPr>
                      <a:picLocks noChangeAspect="1"/>
                    </pic:cNvPicPr>
                  </pic:nvPicPr>
                  <pic:blipFill>
                    <a:blip r:embed="rId262"/>
                    <a:srcRect t="28" b="28"/>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49" name="图片 838825549" descr="G:/环评/新建文件夹/监测报告/14.pn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49" name="图片 838825549" descr="G:/环评/新建文件夹/监测报告/14.png14"/>
                    <pic:cNvPicPr>
                      <a:picLocks noChangeAspect="1"/>
                    </pic:cNvPicPr>
                  </pic:nvPicPr>
                  <pic:blipFill>
                    <a:blip r:embed="rId263"/>
                    <a:srcRect t="61" b="61"/>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0" name="图片 838825550" descr="G:/环评/新建文件夹/监测报告/15.pn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0" name="图片 838825550" descr="G:/环评/新建文件夹/监测报告/15.png15"/>
                    <pic:cNvPicPr>
                      <a:picLocks noChangeAspect="1"/>
                    </pic:cNvPicPr>
                  </pic:nvPicPr>
                  <pic:blipFill>
                    <a:blip r:embed="rId264"/>
                    <a:srcRect t="209" b="209"/>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1" name="图片 838825551" descr="G:/环评/新建文件夹/监测报告/16.pn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1" name="图片 838825551" descr="G:/环评/新建文件夹/监测报告/16.png16"/>
                    <pic:cNvPicPr>
                      <a:picLocks noChangeAspect="1"/>
                    </pic:cNvPicPr>
                  </pic:nvPicPr>
                  <pic:blipFill>
                    <a:blip r:embed="rId265"/>
                    <a:srcRect l="90" r="90"/>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2" name="图片 838825552" descr="G:/环评/新建文件夹/监测报告/17.png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2" name="图片 838825552" descr="G:/环评/新建文件夹/监测报告/17.png17"/>
                    <pic:cNvPicPr>
                      <a:picLocks noChangeAspect="1"/>
                    </pic:cNvPicPr>
                  </pic:nvPicPr>
                  <pic:blipFill>
                    <a:blip r:embed="rId266"/>
                    <a:srcRect t="127" b="127"/>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3" name="图片 838825553" descr="G:/环评/新建文件夹/监测报告/18.png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3" name="图片 838825553" descr="G:/环评/新建文件夹/监测报告/18.png18"/>
                    <pic:cNvPicPr>
                      <a:picLocks noChangeAspect="1"/>
                    </pic:cNvPicPr>
                  </pic:nvPicPr>
                  <pic:blipFill>
                    <a:blip r:embed="rId267"/>
                    <a:srcRect l="246" r="246"/>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4" name="图片 838825554" descr="G:/环评/新建文件夹/监测报告/19.png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4" name="图片 838825554" descr="G:/环评/新建文件夹/监测报告/19.png19"/>
                    <pic:cNvPicPr>
                      <a:picLocks noChangeAspect="1"/>
                    </pic:cNvPicPr>
                  </pic:nvPicPr>
                  <pic:blipFill>
                    <a:blip r:embed="rId268"/>
                    <a:srcRect l="90" r="90"/>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5" name="图片 838825555" descr="G:/环评/新建文件夹/监测报告/20.png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5" name="图片 838825555" descr="G:/环评/新建文件夹/监测报告/20.png20"/>
                    <pic:cNvPicPr>
                      <a:picLocks noChangeAspect="1"/>
                    </pic:cNvPicPr>
                  </pic:nvPicPr>
                  <pic:blipFill>
                    <a:blip r:embed="rId269"/>
                    <a:srcRect l="199" r="199"/>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6" name="图片 838825556" descr="G:/环评/新建文件夹/监测报告/21.png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6" name="图片 838825556" descr="G:/环评/新建文件夹/监测报告/21.png21"/>
                    <pic:cNvPicPr>
                      <a:picLocks noChangeAspect="1"/>
                    </pic:cNvPicPr>
                  </pic:nvPicPr>
                  <pic:blipFill>
                    <a:blip r:embed="rId270"/>
                    <a:srcRect l="148" r="148"/>
                    <a:stretch>
                      <a:fillRect/>
                    </a:stretch>
                  </pic:blipFill>
                  <pic:spPr>
                    <a:xfrm>
                      <a:off x="0" y="0"/>
                      <a:ext cx="5760085" cy="8147050"/>
                    </a:xfrm>
                    <a:prstGeom prst="rect">
                      <a:avLst/>
                    </a:prstGeom>
                  </pic:spPr>
                </pic:pic>
              </a:graphicData>
            </a:graphic>
          </wp:inline>
        </w:drawing>
      </w:r>
      <w:r>
        <w:drawing>
          <wp:inline distT="0" distB="0" distL="0" distR="0">
            <wp:extent cx="5760085" cy="8147050"/>
            <wp:effectExtent l="0" t="0" r="12065" b="6350"/>
            <wp:docPr id="838825557" name="图片 838825557" descr="G:/环评/新建文件夹/监测报告/22.pn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5557" name="图片 838825557" descr="G:/环评/新建文件夹/监测报告/22.png22"/>
                    <pic:cNvPicPr>
                      <a:picLocks noChangeAspect="1"/>
                    </pic:cNvPicPr>
                  </pic:nvPicPr>
                  <pic:blipFill>
                    <a:blip r:embed="rId271"/>
                    <a:srcRect t="551" b="551"/>
                    <a:stretch>
                      <a:fillRect/>
                    </a:stretch>
                  </pic:blipFill>
                  <pic:spPr>
                    <a:xfrm>
                      <a:off x="0" y="0"/>
                      <a:ext cx="5760085" cy="8147050"/>
                    </a:xfrm>
                    <a:prstGeom prst="rect">
                      <a:avLst/>
                    </a:prstGeom>
                  </pic:spPr>
                </pic:pic>
              </a:graphicData>
            </a:graphic>
          </wp:inline>
        </w:drawing>
      </w:r>
    </w:p>
    <w:p w14:paraId="2A948023">
      <w:pPr>
        <w:ind w:firstLine="0" w:firstLineChars="0"/>
        <w:jc w:val="center"/>
      </w:pPr>
      <w:r>
        <w:rPr>
          <w:rFonts w:hint="eastAsia"/>
        </w:rPr>
        <w:drawing>
          <wp:inline distT="0" distB="0" distL="114300" distR="114300">
            <wp:extent cx="5581650" cy="7915275"/>
            <wp:effectExtent l="0" t="0" r="0" b="9525"/>
            <wp:docPr id="56" name="图片 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
                    <pic:cNvPicPr>
                      <a:picLocks noChangeAspect="1"/>
                    </pic:cNvPicPr>
                  </pic:nvPicPr>
                  <pic:blipFill>
                    <a:blip r:embed="rId272"/>
                    <a:stretch>
                      <a:fillRect/>
                    </a:stretch>
                  </pic:blipFill>
                  <pic:spPr>
                    <a:xfrm>
                      <a:off x="0" y="0"/>
                      <a:ext cx="5581650" cy="7915275"/>
                    </a:xfrm>
                    <a:prstGeom prst="rect">
                      <a:avLst/>
                    </a:prstGeom>
                  </pic:spPr>
                </pic:pic>
              </a:graphicData>
            </a:graphic>
          </wp:inline>
        </w:drawing>
      </w:r>
    </w:p>
    <w:p w14:paraId="4B74BC92">
      <w:pPr>
        <w:ind w:firstLine="0" w:firstLineChars="0"/>
        <w:jc w:val="center"/>
      </w:pPr>
      <w:r>
        <w:rPr>
          <w:rFonts w:hint="eastAsia"/>
        </w:rPr>
        <w:drawing>
          <wp:inline distT="0" distB="0" distL="114300" distR="114300">
            <wp:extent cx="5581650" cy="7915275"/>
            <wp:effectExtent l="0" t="0" r="0" b="9525"/>
            <wp:docPr id="57" name="图片 5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2"/>
                    <pic:cNvPicPr>
                      <a:picLocks noChangeAspect="1"/>
                    </pic:cNvPicPr>
                  </pic:nvPicPr>
                  <pic:blipFill>
                    <a:blip r:embed="rId273"/>
                    <a:stretch>
                      <a:fillRect/>
                    </a:stretch>
                  </pic:blipFill>
                  <pic:spPr>
                    <a:xfrm>
                      <a:off x="0" y="0"/>
                      <a:ext cx="5581650" cy="7915275"/>
                    </a:xfrm>
                    <a:prstGeom prst="rect">
                      <a:avLst/>
                    </a:prstGeom>
                  </pic:spPr>
                </pic:pic>
              </a:graphicData>
            </a:graphic>
          </wp:inline>
        </w:drawing>
      </w:r>
    </w:p>
    <w:p w14:paraId="7F43B7C7">
      <w:pPr>
        <w:ind w:firstLine="0" w:firstLineChars="0"/>
        <w:jc w:val="center"/>
      </w:pPr>
      <w:r>
        <w:rPr>
          <w:rFonts w:hint="eastAsia"/>
        </w:rPr>
        <w:drawing>
          <wp:inline distT="0" distB="0" distL="114300" distR="114300">
            <wp:extent cx="5553075" cy="7867650"/>
            <wp:effectExtent l="0" t="0" r="9525" b="6350"/>
            <wp:docPr id="58" name="图片 5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3"/>
                    <pic:cNvPicPr>
                      <a:picLocks noChangeAspect="1"/>
                    </pic:cNvPicPr>
                  </pic:nvPicPr>
                  <pic:blipFill>
                    <a:blip r:embed="rId274"/>
                    <a:stretch>
                      <a:fillRect/>
                    </a:stretch>
                  </pic:blipFill>
                  <pic:spPr>
                    <a:xfrm>
                      <a:off x="0" y="0"/>
                      <a:ext cx="5553075" cy="7867650"/>
                    </a:xfrm>
                    <a:prstGeom prst="rect">
                      <a:avLst/>
                    </a:prstGeom>
                  </pic:spPr>
                </pic:pic>
              </a:graphicData>
            </a:graphic>
          </wp:inline>
        </w:drawing>
      </w:r>
    </w:p>
    <w:p w14:paraId="075648AE">
      <w:pPr>
        <w:ind w:firstLine="0" w:firstLineChars="0"/>
        <w:jc w:val="center"/>
      </w:pPr>
      <w:r>
        <w:rPr>
          <w:rFonts w:hint="eastAsia"/>
        </w:rPr>
        <w:drawing>
          <wp:inline distT="0" distB="0" distL="114300" distR="114300">
            <wp:extent cx="5581650" cy="7934325"/>
            <wp:effectExtent l="0" t="0" r="0" b="9525"/>
            <wp:docPr id="75" name="图片 7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4"/>
                    <pic:cNvPicPr>
                      <a:picLocks noChangeAspect="1"/>
                    </pic:cNvPicPr>
                  </pic:nvPicPr>
                  <pic:blipFill>
                    <a:blip r:embed="rId275"/>
                    <a:stretch>
                      <a:fillRect/>
                    </a:stretch>
                  </pic:blipFill>
                  <pic:spPr>
                    <a:xfrm>
                      <a:off x="0" y="0"/>
                      <a:ext cx="5581650" cy="7934325"/>
                    </a:xfrm>
                    <a:prstGeom prst="rect">
                      <a:avLst/>
                    </a:prstGeom>
                  </pic:spPr>
                </pic:pic>
              </a:graphicData>
            </a:graphic>
          </wp:inline>
        </w:drawing>
      </w:r>
    </w:p>
    <w:p w14:paraId="2A94A15A">
      <w:pPr>
        <w:ind w:firstLine="0" w:firstLineChars="0"/>
        <w:jc w:val="center"/>
      </w:pPr>
      <w:r>
        <w:rPr>
          <w:rFonts w:hint="eastAsia"/>
        </w:rPr>
        <w:drawing>
          <wp:inline distT="0" distB="0" distL="114300" distR="114300">
            <wp:extent cx="5581650" cy="7934325"/>
            <wp:effectExtent l="0" t="0" r="6350" b="3175"/>
            <wp:docPr id="79" name="图片 7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5"/>
                    <pic:cNvPicPr>
                      <a:picLocks noChangeAspect="1"/>
                    </pic:cNvPicPr>
                  </pic:nvPicPr>
                  <pic:blipFill>
                    <a:blip r:embed="rId276"/>
                    <a:stretch>
                      <a:fillRect/>
                    </a:stretch>
                  </pic:blipFill>
                  <pic:spPr>
                    <a:xfrm>
                      <a:off x="0" y="0"/>
                      <a:ext cx="5581650" cy="7934325"/>
                    </a:xfrm>
                    <a:prstGeom prst="rect">
                      <a:avLst/>
                    </a:prstGeom>
                  </pic:spPr>
                </pic:pic>
              </a:graphicData>
            </a:graphic>
          </wp:inline>
        </w:drawing>
      </w:r>
    </w:p>
    <w:p w14:paraId="6F9D031E">
      <w:pPr>
        <w:ind w:firstLine="0" w:firstLineChars="0"/>
        <w:jc w:val="center"/>
      </w:pPr>
      <w:r>
        <w:rPr>
          <w:rFonts w:hint="eastAsia"/>
        </w:rPr>
        <w:drawing>
          <wp:inline distT="0" distB="0" distL="114300" distR="114300">
            <wp:extent cx="5562600" cy="7924800"/>
            <wp:effectExtent l="0" t="0" r="0" b="0"/>
            <wp:docPr id="80" name="图片 8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6"/>
                    <pic:cNvPicPr>
                      <a:picLocks noChangeAspect="1"/>
                    </pic:cNvPicPr>
                  </pic:nvPicPr>
                  <pic:blipFill>
                    <a:blip r:embed="rId277"/>
                    <a:stretch>
                      <a:fillRect/>
                    </a:stretch>
                  </pic:blipFill>
                  <pic:spPr>
                    <a:xfrm>
                      <a:off x="0" y="0"/>
                      <a:ext cx="5562600" cy="7924800"/>
                    </a:xfrm>
                    <a:prstGeom prst="rect">
                      <a:avLst/>
                    </a:prstGeom>
                  </pic:spPr>
                </pic:pic>
              </a:graphicData>
            </a:graphic>
          </wp:inline>
        </w:drawing>
      </w:r>
    </w:p>
    <w:p w14:paraId="2E126A98">
      <w:pPr>
        <w:ind w:firstLine="0" w:firstLineChars="0"/>
      </w:pPr>
    </w:p>
    <w:p w14:paraId="4B4DC4EE">
      <w:pPr>
        <w:ind w:firstLine="0" w:firstLineChars="0"/>
      </w:pPr>
    </w:p>
    <w:p w14:paraId="084464F8">
      <w:pPr>
        <w:ind w:firstLine="0" w:firstLineChars="0"/>
      </w:pPr>
    </w:p>
    <w:p w14:paraId="1E09B35B">
      <w:pPr>
        <w:ind w:firstLine="0" w:firstLineChars="0"/>
      </w:pPr>
      <w:r>
        <w:rPr>
          <w:rFonts w:hint="eastAsia"/>
        </w:rPr>
        <w:t>附件12天然气组分监测报告</w:t>
      </w:r>
    </w:p>
    <w:p w14:paraId="01324B05">
      <w:pPr>
        <w:ind w:firstLine="0" w:firstLineChars="0"/>
        <w:jc w:val="center"/>
      </w:pPr>
      <w:r>
        <w:drawing>
          <wp:inline distT="0" distB="0" distL="114300" distR="114300">
            <wp:extent cx="4989195" cy="8007985"/>
            <wp:effectExtent l="0" t="0" r="0" b="0"/>
            <wp:docPr id="82" name="图片 82" descr="天然气组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天然气组分"/>
                    <pic:cNvPicPr>
                      <a:picLocks noChangeAspect="1"/>
                    </pic:cNvPicPr>
                  </pic:nvPicPr>
                  <pic:blipFill>
                    <a:blip r:embed="rId278"/>
                    <a:srcRect t="3537" b="6178"/>
                    <a:stretch>
                      <a:fillRect/>
                    </a:stretch>
                  </pic:blipFill>
                  <pic:spPr>
                    <a:xfrm>
                      <a:off x="0" y="0"/>
                      <a:ext cx="4989195" cy="8007985"/>
                    </a:xfrm>
                    <a:prstGeom prst="rect">
                      <a:avLst/>
                    </a:prstGeom>
                  </pic:spPr>
                </pic:pic>
              </a:graphicData>
            </a:graphic>
          </wp:inline>
        </w:drawing>
      </w:r>
    </w:p>
    <w:p w14:paraId="28DBFD1A">
      <w:pPr>
        <w:ind w:firstLine="0" w:firstLineChars="0"/>
      </w:pPr>
    </w:p>
    <w:p w14:paraId="0A63E314">
      <w:pPr>
        <w:ind w:firstLine="0" w:firstLineChars="0"/>
        <w:sectPr>
          <w:pgSz w:w="11907" w:h="16840"/>
          <w:pgMar w:top="1418" w:right="1418" w:bottom="1418" w:left="1418" w:header="964" w:footer="964" w:gutter="0"/>
          <w:cols w:space="720" w:num="1"/>
          <w:docGrid w:linePitch="312" w:charSpace="0"/>
        </w:sectPr>
      </w:pPr>
      <w:r>
        <w:br w:type="page"/>
      </w:r>
    </w:p>
    <w:p w14:paraId="0639285F">
      <w:pPr>
        <w:ind w:firstLine="0" w:firstLineChars="0"/>
      </w:pPr>
      <w:r>
        <w:rPr>
          <w:rFonts w:hint="eastAsia"/>
        </w:rPr>
        <w:t>附图1：项目总平面布置图</w:t>
      </w:r>
    </w:p>
    <w:p w14:paraId="08753C1D">
      <w:pPr>
        <w:ind w:firstLine="0" w:firstLineChars="0"/>
        <w:jc w:val="center"/>
        <w:rPr>
          <w:b/>
          <w:bCs/>
          <w:kern w:val="0"/>
          <w:szCs w:val="28"/>
        </w:rPr>
      </w:pPr>
      <w:r>
        <w:rPr>
          <w:rFonts w:hint="eastAsia"/>
        </w:rPr>
        <w:drawing>
          <wp:inline distT="0" distB="0" distL="114300" distR="114300">
            <wp:extent cx="13312140" cy="5924550"/>
            <wp:effectExtent l="0" t="0" r="0" b="0"/>
            <wp:docPr id="87" name="图片 87" descr="C:/Users/Lenovo/Desktop/复核/图/平面布置图.png平面布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C:/Users/Lenovo/Desktop/复核/图/平面布置图.png平面布置图"/>
                    <pic:cNvPicPr>
                      <a:picLocks noChangeAspect="1"/>
                    </pic:cNvPicPr>
                  </pic:nvPicPr>
                  <pic:blipFill>
                    <a:blip r:embed="rId279"/>
                    <a:srcRect t="-116" b="-105"/>
                    <a:stretch>
                      <a:fillRect/>
                    </a:stretch>
                  </pic:blipFill>
                  <pic:spPr>
                    <a:xfrm>
                      <a:off x="0" y="0"/>
                      <a:ext cx="13312140" cy="5924550"/>
                    </a:xfrm>
                    <a:prstGeom prst="rect">
                      <a:avLst/>
                    </a:prstGeom>
                  </pic:spPr>
                </pic:pic>
              </a:graphicData>
            </a:graphic>
          </wp:inline>
        </w:drawing>
      </w:r>
    </w:p>
    <w:sectPr>
      <w:pgSz w:w="23814" w:h="16839" w:orient="landscape"/>
      <w:pgMar w:top="1418" w:right="1418" w:bottom="1418" w:left="1418" w:header="964" w:footer="964"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ew times roma">
    <w:altName w:val="宋体"/>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Gungsuh">
    <w:panose1 w:val="02030600000101010101"/>
    <w:charset w:val="81"/>
    <w:family w:val="roman"/>
    <w:pitch w:val="default"/>
    <w:sig w:usb0="B00002AF" w:usb1="69D77CFB" w:usb2="00000030" w:usb3="00000000" w:csb0="4008009F" w:csb1="DFD70000"/>
  </w:font>
  <w:font w:name="方正宋三简体">
    <w:altName w:val="宋体"/>
    <w:panose1 w:val="00000000000000000000"/>
    <w:charset w:val="86"/>
    <w:family w:val="script"/>
    <w:pitch w:val="default"/>
    <w:sig w:usb0="00000000" w:usb1="0000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华康简宋">
    <w:altName w:val="宋体"/>
    <w:panose1 w:val="00000000000000000000"/>
    <w:charset w:val="86"/>
    <w:family w:val="modern"/>
    <w:pitch w:val="default"/>
    <w:sig w:usb0="00000000" w:usb1="00000000" w:usb2="00000010" w:usb3="00000000" w:csb0="00040000" w:csb1="00000000"/>
  </w:font>
  <w:font w:name="Microsoft YaHei UI">
    <w:altName w:val="宋体"/>
    <w:panose1 w:val="020B0503020204020204"/>
    <w:charset w:val="86"/>
    <w:family w:val="swiss"/>
    <w:pitch w:val="default"/>
    <w:sig w:usb0="00000000" w:usb1="00000000" w:usb2="00000016" w:usb3="00000000" w:csb0="0004001F" w:csb1="00000000"/>
  </w:font>
  <w:font w:name="PMingLiU">
    <w:panose1 w:val="02020500000000000000"/>
    <w:charset w:val="88"/>
    <w:family w:val="roman"/>
    <w:pitch w:val="default"/>
    <w:sig w:usb0="A00002FF" w:usb1="28CFFCFA" w:usb2="00000016" w:usb3="00000000" w:csb0="00100001" w:csb1="00000000"/>
  </w:font>
  <w:font w:name="FoundryFormSans-Book">
    <w:altName w:val="Courier New"/>
    <w:panose1 w:val="00000000000000000000"/>
    <w:charset w:val="00"/>
    <w:family w:val="auto"/>
    <w:pitch w:val="default"/>
    <w:sig w:usb0="00000000" w:usb1="00000000" w:usb2="00000000" w:usb3="00000000" w:csb0="00000001" w:csb1="00000000"/>
  </w:font>
  <w:font w:name="New York">
    <w:altName w:val="Segoe Print"/>
    <w:panose1 w:val="02040503060506020304"/>
    <w:charset w:val="00"/>
    <w:family w:val="roman"/>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Financial  (MF)">
    <w:altName w:val="Times New Roman"/>
    <w:panose1 w:val="00000000000000000000"/>
    <w:charset w:val="00"/>
    <w:family w:val="roman"/>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汉鼎简书宋">
    <w:altName w:val="宋体"/>
    <w:panose1 w:val="00000000000000000000"/>
    <w:charset w:val="86"/>
    <w:family w:val="modern"/>
    <w:pitch w:val="default"/>
    <w:sig w:usb0="00000000" w:usb1="00000000" w:usb2="00000010" w:usb3="00000000" w:csb0="00040000" w:csb1="00000000"/>
  </w:font>
  <w:font w:name="Britannic Bold">
    <w:altName w:val="Segoe Print"/>
    <w:panose1 w:val="020B0903060703020204"/>
    <w:charset w:val="00"/>
    <w:family w:val="swiss"/>
    <w:pitch w:val="default"/>
    <w:sig w:usb0="00000000" w:usb1="00000000" w:usb2="00000000" w:usb3="00000000" w:csb0="00000001" w:csb1="00000000"/>
  </w:font>
  <w:font w:name="Yu Gothic UI Semibold">
    <w:altName w:val="Meiryo UI"/>
    <w:panose1 w:val="020B0700000000000000"/>
    <w:charset w:val="80"/>
    <w:family w:val="auto"/>
    <w:pitch w:val="default"/>
    <w:sig w:usb0="00000000" w:usb1="00000000" w:usb2="00000016" w:usb3="00000000" w:csb0="2002009F" w:csb1="0000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Times New Roman”“">
    <w:altName w:val="宋体"/>
    <w:panose1 w:val="00000000000000000000"/>
    <w:charset w:val="86"/>
    <w:family w:val="roma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华文新魏">
    <w:panose1 w:val="02010800040101010101"/>
    <w:charset w:val="86"/>
    <w:family w:val="auto"/>
    <w:pitch w:val="default"/>
    <w:sig w:usb0="00000001" w:usb1="080F0000" w:usb2="00000000" w:usb3="00000000" w:csb0="00040000" w:csb1="00000000"/>
  </w:font>
  <w:font w:name="Cambria Math">
    <w:panose1 w:val="02040503050406030204"/>
    <w:charset w:val="00"/>
    <w:family w:val="roman"/>
    <w:pitch w:val="default"/>
    <w:sig w:usb0="E00002FF" w:usb1="420024FF" w:usb2="00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MS Mincho">
    <w:panose1 w:val="02020609040205080304"/>
    <w:charset w:val="80"/>
    <w:family w:val="modern"/>
    <w:pitch w:val="default"/>
    <w:sig w:usb0="E00002FF" w:usb1="6AC7FDFB" w:usb2="00000012" w:usb3="00000000" w:csb0="4002009F" w:csb1="DFD70000"/>
  </w:font>
  <w:font w:name="TimesNewRomanPS-BoldMT">
    <w:altName w:val="宋体"/>
    <w:panose1 w:val="00000000000000000000"/>
    <w:charset w:val="00"/>
    <w:family w:val="roman"/>
    <w:pitch w:val="default"/>
    <w:sig w:usb0="00000000" w:usb1="00000000" w:usb2="00000010" w:usb3="00000000" w:csb0="00040001" w:csb1="00000000"/>
  </w:font>
  <w:font w:name="TimesNewRomanPSMT">
    <w:altName w:val="宋体"/>
    <w:panose1 w:val="00000000000000000000"/>
    <w:charset w:val="00"/>
    <w:family w:val="roman"/>
    <w:pitch w:val="default"/>
    <w:sig w:usb0="00000000" w:usb1="00000000" w:usb2="00000010" w:usb3="00000000" w:csb0="00060001" w:csb1="00000000"/>
  </w:font>
  <w:font w:name="MS PGothic">
    <w:panose1 w:val="020B0600070205080204"/>
    <w:charset w:val="80"/>
    <w:family w:val="auto"/>
    <w:pitch w:val="default"/>
    <w:sig w:usb0="E00002FF" w:usb1="6AC7FDFB" w:usb2="00000012" w:usb3="00000000" w:csb0="4002009F" w:csb1="DFD70000"/>
  </w:font>
  <w:font w:name="Meiryo UI">
    <w:panose1 w:val="020B0604030504040204"/>
    <w:charset w:val="80"/>
    <w:family w:val="auto"/>
    <w:pitch w:val="default"/>
    <w:sig w:usb0="E10102FF" w:usb1="EAC7FFFF" w:usb2="00010012" w:usb3="00000000" w:csb0="6002009F" w:csb1="DFD70000"/>
  </w:font>
  <w:font w:name="Kingsoft UE">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E8411">
    <w:pPr>
      <w:pStyle w:val="53"/>
      <w:ind w:right="90" w:firstLine="400"/>
      <w:jc w:val="center"/>
      <w:rPr>
        <w:rFonts w:ascii="华文新魏" w:eastAsia="华文新魏"/>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2D01B">
    <w:pPr>
      <w:pStyle w:val="53"/>
      <w:ind w:right="360" w:firstLine="220"/>
      <w:rPr>
        <w:rFonts w:ascii="华文新魏" w:eastAsia="华文新魏"/>
        <w:sz w:val="11"/>
        <w:szCs w:val="1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6476C">
    <w:pPr>
      <w:pStyle w:val="5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99D8E">
    <w:pPr>
      <w:pStyle w:val="53"/>
      <w:pBdr>
        <w:top w:val="single" w:color="auto" w:sz="4" w:space="1"/>
      </w:pBdr>
      <w:ind w:firstLine="360"/>
      <w:jc w:val="center"/>
    </w:pPr>
    <w:r>
      <w:fldChar w:fldCharType="begin"/>
    </w:r>
    <w:r>
      <w:instrText xml:space="preserve">PAGE   \* MERGEFORMAT</w:instrText>
    </w:r>
    <w:r>
      <w:fldChar w:fldCharType="separate"/>
    </w:r>
    <w:r>
      <w:rPr>
        <w:lang w:val="zh-CN"/>
      </w:rPr>
      <w:t>IV</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048E">
    <w:pPr>
      <w:pStyle w:val="53"/>
      <w:ind w:right="360" w:firstLine="400"/>
      <w:rPr>
        <w:rFonts w:ascii="华文新魏" w:eastAsia="华文新魏"/>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F178">
    <w:pPr>
      <w:pStyle w:val="53"/>
      <w:pBdr>
        <w:top w:val="single" w:color="auto" w:sz="4" w:space="1"/>
      </w:pBdr>
      <w:ind w:firstLine="360"/>
      <w:jc w:val="center"/>
    </w:pPr>
    <w:r>
      <w:fldChar w:fldCharType="begin"/>
    </w:r>
    <w:r>
      <w:instrText xml:space="preserve">PAGE   \* MERGEFORMAT</w:instrText>
    </w:r>
    <w:r>
      <w:fldChar w:fldCharType="separate"/>
    </w:r>
    <w:r>
      <w:rPr>
        <w:lang w:val="zh-CN"/>
      </w:rPr>
      <w:t>29</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3850A">
    <w:pPr>
      <w:pStyle w:val="53"/>
      <w:framePr w:wrap="around" w:vAnchor="text" w:hAnchor="margin" w:xAlign="center" w:y="1"/>
      <w:ind w:firstLine="360"/>
      <w:rPr>
        <w:rStyle w:val="89"/>
      </w:rPr>
    </w:pPr>
    <w:r>
      <w:fldChar w:fldCharType="begin"/>
    </w:r>
    <w:r>
      <w:rPr>
        <w:rStyle w:val="89"/>
      </w:rPr>
      <w:instrText xml:space="preserve">PAGE  </w:instrText>
    </w:r>
    <w:r>
      <w:fldChar w:fldCharType="end"/>
    </w:r>
  </w:p>
  <w:p w14:paraId="6D5CB348">
    <w:pPr>
      <w:pStyle w:val="53"/>
      <w:ind w:right="360" w:firstLine="400"/>
      <w:rPr>
        <w:rFonts w:ascii="华文新魏" w:eastAsia="华文新魏"/>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3" name="文本框 10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4E29DD">
                          <w:pPr>
                            <w:pStyle w:val="53"/>
                            <w:ind w:firstLine="360"/>
                          </w:pPr>
                          <w:r>
                            <w:rPr>
                              <w:rFonts w:hint="eastAsia"/>
                            </w:rPr>
                            <w:fldChar w:fldCharType="begin"/>
                          </w:r>
                          <w:r>
                            <w:rPr>
                              <w:rFonts w:hint="eastAsia"/>
                            </w:rPr>
                            <w:instrText xml:space="preserve"> PAGE  \* MERGEFORMAT </w:instrText>
                          </w:r>
                          <w:r>
                            <w:rPr>
                              <w:rFonts w:hint="eastAsia"/>
                            </w:rPr>
                            <w:fldChar w:fldCharType="separate"/>
                          </w:r>
                          <w:r>
                            <w:t>152</w:t>
                          </w:r>
                          <w:r>
                            <w:rPr>
                              <w:rFonts w:hint="eastAsia"/>
                            </w:rPr>
                            <w:fldChar w:fldCharType="end"/>
                          </w:r>
                        </w:p>
                      </w:txbxContent>
                    </wps:txbx>
                    <wps:bodyPr wrap="none" lIns="0" tIns="0" rIns="0" bIns="0">
                      <a:spAutoFit/>
                    </wps:bodyPr>
                  </wps:wsp>
                </a:graphicData>
              </a:graphic>
            </wp:anchor>
          </w:drawing>
        </mc:Choice>
        <mc:Fallback>
          <w:pict>
            <v:shape id="文本框 103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Ry3dQxgEAAJIDAAAOAAAAAAAAAAEAIAAAAB4BAABkcnMvZTJvRG9jLnht&#10;bFBLBQYAAAAABgAGAFkBAABWBQAAAAA=&#10;">
              <v:fill on="f" focussize="0,0"/>
              <v:stroke on="f"/>
              <v:imagedata o:title=""/>
              <o:lock v:ext="edit" aspectratio="f"/>
              <v:textbox inset="0mm,0mm,0mm,0mm" style="mso-fit-shape-to-text:t;">
                <w:txbxContent>
                  <w:p w14:paraId="1B4E29DD">
                    <w:pPr>
                      <w:pStyle w:val="53"/>
                      <w:ind w:firstLine="360"/>
                    </w:pPr>
                    <w:r>
                      <w:rPr>
                        <w:rFonts w:hint="eastAsia"/>
                      </w:rPr>
                      <w:fldChar w:fldCharType="begin"/>
                    </w:r>
                    <w:r>
                      <w:rPr>
                        <w:rFonts w:hint="eastAsia"/>
                      </w:rPr>
                      <w:instrText xml:space="preserve"> PAGE  \* MERGEFORMAT </w:instrText>
                    </w:r>
                    <w:r>
                      <w:rPr>
                        <w:rFonts w:hint="eastAsia"/>
                      </w:rPr>
                      <w:fldChar w:fldCharType="separate"/>
                    </w:r>
                    <w:r>
                      <w:t>152</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1C45B">
    <w:pPr>
      <w:pStyle w:val="53"/>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8" name="文本框 2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5921C4">
                          <w:pPr>
                            <w:pStyle w:val="53"/>
                            <w:ind w:firstLine="360"/>
                          </w:pPr>
                          <w:r>
                            <w:rPr>
                              <w:rFonts w:hint="eastAsia"/>
                            </w:rPr>
                            <w:fldChar w:fldCharType="begin"/>
                          </w:r>
                          <w:r>
                            <w:rPr>
                              <w:rFonts w:hint="eastAsia"/>
                            </w:rPr>
                            <w:instrText xml:space="preserve"> PAGE  \* MERGEFORMAT </w:instrText>
                          </w:r>
                          <w:r>
                            <w:rPr>
                              <w:rFonts w:hint="eastAsia"/>
                            </w:rPr>
                            <w:fldChar w:fldCharType="separate"/>
                          </w:r>
                          <w:r>
                            <w:t>235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9uVEwuAgAAWQ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fblRMLgIAAFkEAAAOAAAAAAAAAAEAIAAAAB8BAABkcnMvZTJvRG9jLnhtbFBLBQYAAAAA&#10;BgAGAFkBAAC/BQAAAAA=&#10;">
              <v:fill on="f" focussize="0,0"/>
              <v:stroke on="f" weight="0.5pt"/>
              <v:imagedata o:title=""/>
              <o:lock v:ext="edit" aspectratio="f"/>
              <v:textbox inset="0mm,0mm,0mm,0mm" style="mso-fit-shape-to-text:t;">
                <w:txbxContent>
                  <w:p w14:paraId="145921C4">
                    <w:pPr>
                      <w:pStyle w:val="53"/>
                      <w:ind w:firstLine="360"/>
                    </w:pPr>
                    <w:r>
                      <w:rPr>
                        <w:rFonts w:hint="eastAsia"/>
                      </w:rPr>
                      <w:fldChar w:fldCharType="begin"/>
                    </w:r>
                    <w:r>
                      <w:rPr>
                        <w:rFonts w:hint="eastAsia"/>
                      </w:rPr>
                      <w:instrText xml:space="preserve"> PAGE  \* MERGEFORMAT </w:instrText>
                    </w:r>
                    <w:r>
                      <w:rPr>
                        <w:rFonts w:hint="eastAsia"/>
                      </w:rPr>
                      <w:fldChar w:fldCharType="separate"/>
                    </w:r>
                    <w:r>
                      <w:t>235</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14B1B">
    <w:pPr>
      <w:pStyle w:val="53"/>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6AF3E">
                          <w:pPr>
                            <w:pStyle w:val="53"/>
                            <w:ind w:firstLine="360"/>
                          </w:pPr>
                          <w:r>
                            <w:rPr>
                              <w:rFonts w:hint="eastAsia"/>
                            </w:rPr>
                            <w:fldChar w:fldCharType="begin"/>
                          </w:r>
                          <w:r>
                            <w:rPr>
                              <w:rFonts w:hint="eastAsia"/>
                            </w:rPr>
                            <w:instrText xml:space="preserve"> PAGE  \* MERGEFORMAT </w:instrText>
                          </w:r>
                          <w:r>
                            <w:rPr>
                              <w:rFonts w:hint="eastAsia"/>
                            </w:rPr>
                            <w:fldChar w:fldCharType="separate"/>
                          </w:r>
                          <w:r>
                            <w:t>243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2046AF3E">
                    <w:pPr>
                      <w:pStyle w:val="53"/>
                      <w:ind w:firstLine="360"/>
                    </w:pPr>
                    <w:r>
                      <w:rPr>
                        <w:rFonts w:hint="eastAsia"/>
                      </w:rPr>
                      <w:fldChar w:fldCharType="begin"/>
                    </w:r>
                    <w:r>
                      <w:rPr>
                        <w:rFonts w:hint="eastAsia"/>
                      </w:rPr>
                      <w:instrText xml:space="preserve"> PAGE  \* MERGEFORMAT </w:instrText>
                    </w:r>
                    <w:r>
                      <w:rPr>
                        <w:rFonts w:hint="eastAsia"/>
                      </w:rPr>
                      <w:fldChar w:fldCharType="separate"/>
                    </w:r>
                    <w:r>
                      <w:t>243</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756AF">
    <w:pPr>
      <w:pStyle w:val="55"/>
      <w:pBdr>
        <w:bottom w:val="thickThinSmallGap" w:color="auto" w:sz="12" w:space="1"/>
      </w:pBdr>
      <w:ind w:firstLine="420"/>
      <w:rPr>
        <w:rFonts w:ascii="宋体" w:hAnsi="宋体"/>
        <w:sz w:val="21"/>
        <w:szCs w:val="21"/>
      </w:rPr>
    </w:pPr>
    <w:r>
      <w:rPr>
        <w:rFonts w:hint="eastAsia" w:ascii="宋体" w:hAnsi="宋体"/>
        <w:sz w:val="21"/>
        <w:szCs w:val="21"/>
      </w:rPr>
      <w:t>内蒙古华翔农林牧科技发展有限公司120万只蛋鸡养殖项目环境影响报告书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4EDEC">
    <w:pPr>
      <w:pStyle w:val="55"/>
      <w:pBdr>
        <w:bottom w:val="none" w:color="auto" w:sz="0" w:space="1"/>
      </w:pBdr>
      <w:ind w:firstLine="260"/>
      <w:rPr>
        <w:sz w:val="13"/>
        <w:szCs w:val="13"/>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8A4D">
    <w:pPr>
      <w:pStyle w:val="55"/>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BE180">
    <w:pPr>
      <w:pStyle w:val="55"/>
      <w:pBdr>
        <w:bottom w:val="thinThickSmallGap" w:color="auto" w:sz="12" w:space="1"/>
      </w:pBdr>
      <w:ind w:firstLine="420"/>
      <w:rPr>
        <w:sz w:val="21"/>
        <w:szCs w:val="21"/>
      </w:rPr>
    </w:pPr>
    <w:r>
      <w:rPr>
        <w:rFonts w:hint="eastAsia"/>
        <w:sz w:val="21"/>
        <w:szCs w:val="21"/>
      </w:rPr>
      <w:t>鄂托克旗众诚奶牛养殖专业合作社高标准奶牛养殖场建设项目环境影响报告书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87ECF">
    <w:pPr>
      <w:pStyle w:val="55"/>
      <w:pBdr>
        <w:bottom w:val="thickThinSmallGap" w:color="auto" w:sz="12" w:space="1"/>
      </w:pBdr>
      <w:ind w:firstLine="420"/>
      <w:rPr>
        <w:rFonts w:ascii="宋体" w:hAnsi="宋体"/>
        <w:sz w:val="21"/>
        <w:szCs w:val="21"/>
      </w:rPr>
    </w:pPr>
    <w:r>
      <w:rPr>
        <w:rFonts w:hint="eastAsia" w:ascii="宋体" w:hAnsi="宋体"/>
        <w:sz w:val="21"/>
        <w:szCs w:val="21"/>
      </w:rPr>
      <w:t>内蒙古华翔农林牧科技发展有限公司120万只蛋鸡养殖项目环境影响报告书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0EC99"/>
    <w:multiLevelType w:val="multilevel"/>
    <w:tmpl w:val="8A30EC99"/>
    <w:lvl w:ilvl="0" w:tentative="0">
      <w:start w:val="1"/>
      <w:numFmt w:val="decimal"/>
      <w:suff w:val="space"/>
      <w:lvlText w:val="  %1"/>
      <w:lvlJc w:val="center"/>
      <w:pPr>
        <w:tabs>
          <w:tab w:val="left" w:pos="0"/>
        </w:tabs>
        <w:ind w:left="0" w:firstLine="0"/>
      </w:pPr>
      <w:rPr>
        <w:rFonts w:hint="default" w:ascii="Times New Roman" w:hAnsi="Times New Roman" w:eastAsia="宋体" w:cs="宋体"/>
        <w:b/>
        <w:bCs/>
        <w:sz w:val="32"/>
        <w:szCs w:val="30"/>
      </w:rPr>
    </w:lvl>
    <w:lvl w:ilvl="1" w:tentative="0">
      <w:start w:val="1"/>
      <w:numFmt w:val="decimal"/>
      <w:suff w:val="nothing"/>
      <w:lvlText w:val="%1.%2 "/>
      <w:lvlJc w:val="left"/>
      <w:pPr>
        <w:tabs>
          <w:tab w:val="left" w:pos="0"/>
        </w:tabs>
        <w:ind w:left="575" w:hanging="575"/>
      </w:pPr>
      <w:rPr>
        <w:rFonts w:hint="default" w:ascii="Times New Roman" w:hAnsi="Times New Roman" w:eastAsia="黑体" w:cs="Times New Roman"/>
        <w:b/>
        <w:bCs/>
        <w:sz w:val="28"/>
        <w:szCs w:val="28"/>
      </w:rPr>
    </w:lvl>
    <w:lvl w:ilvl="2" w:tentative="0">
      <w:start w:val="1"/>
      <w:numFmt w:val="decimal"/>
      <w:suff w:val="nothing"/>
      <w:lvlText w:val="%1.%2.%3 "/>
      <w:lvlJc w:val="left"/>
      <w:pPr>
        <w:tabs>
          <w:tab w:val="left" w:pos="0"/>
        </w:tabs>
        <w:ind w:left="720" w:hanging="720"/>
      </w:pPr>
      <w:rPr>
        <w:rFonts w:hint="default" w:ascii="Times New Roman" w:hAnsi="Times New Roman" w:eastAsia="宋体" w:cs="Times New Roman"/>
        <w:b/>
        <w:bCs/>
        <w:sz w:val="24"/>
        <w:szCs w:val="24"/>
      </w:rPr>
    </w:lvl>
    <w:lvl w:ilvl="3" w:tentative="0">
      <w:start w:val="1"/>
      <w:numFmt w:val="decimal"/>
      <w:suff w:val="nothing"/>
      <w:lvlText w:val="%1.%2.%3.%4 "/>
      <w:lvlJc w:val="left"/>
      <w:pPr>
        <w:tabs>
          <w:tab w:val="left" w:pos="0"/>
        </w:tabs>
        <w:ind w:left="864" w:hanging="864"/>
      </w:pPr>
      <w:rPr>
        <w:rFonts w:hint="default" w:ascii="Times New Roman" w:hAnsi="Times New Roman" w:eastAsia="宋体" w:cs="Times New Roman"/>
        <w:b/>
        <w:bCs/>
        <w:sz w:val="24"/>
        <w:szCs w:val="24"/>
      </w:rPr>
    </w:lvl>
    <w:lvl w:ilvl="4" w:tentative="0">
      <w:start w:val="1"/>
      <w:numFmt w:val="decimal"/>
      <w:lvlRestart w:val="2"/>
      <w:pStyle w:val="396"/>
      <w:suff w:val="nothing"/>
      <w:lvlText w:val="表%1.%2-%5  "/>
      <w:lvlJc w:val="left"/>
      <w:pPr>
        <w:tabs>
          <w:tab w:val="left" w:pos="5812"/>
        </w:tabs>
        <w:ind w:left="6820" w:hanging="1008"/>
      </w:pPr>
      <w:rPr>
        <w:rFonts w:hint="default" w:ascii="Times New Roman" w:hAnsi="Times New Roman" w:eastAsia="宋体" w:cs="Times New Roman"/>
        <w:b/>
        <w:bCs/>
        <w:sz w:val="24"/>
        <w:szCs w:val="24"/>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1">
    <w:nsid w:val="D2E61CC3"/>
    <w:multiLevelType w:val="singleLevel"/>
    <w:tmpl w:val="D2E61CC3"/>
    <w:lvl w:ilvl="0" w:tentative="0">
      <w:start w:val="1"/>
      <w:numFmt w:val="decimal"/>
      <w:suff w:val="nothing"/>
      <w:lvlText w:val="（%1）"/>
      <w:lvlJc w:val="left"/>
    </w:lvl>
  </w:abstractNum>
  <w:abstractNum w:abstractNumId="2">
    <w:nsid w:val="08D1625A"/>
    <w:multiLevelType w:val="multilevel"/>
    <w:tmpl w:val="08D1625A"/>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18AB2325"/>
    <w:multiLevelType w:val="singleLevel"/>
    <w:tmpl w:val="18AB2325"/>
    <w:lvl w:ilvl="0" w:tentative="0">
      <w:start w:val="1"/>
      <w:numFmt w:val="decimal"/>
      <w:suff w:val="nothing"/>
      <w:lvlText w:val="（%1）"/>
      <w:lvlJc w:val="left"/>
      <w:pPr>
        <w:ind w:left="2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attachedTemplate r:id="rId1"/>
  <w:documentProtection w:enforcement="0"/>
  <w:defaultTabStop w:val="420"/>
  <w:drawingGridHorizontalSpacing w:val="105"/>
  <w:drawingGridVerticalSpacing w:val="159"/>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jY2Q5YjI3OWFkZTE2NWRhMGM2ZGM5YTNhOGIwODAifQ=="/>
  </w:docVars>
  <w:rsids>
    <w:rsidRoot w:val="00172A27"/>
    <w:rsid w:val="0000062F"/>
    <w:rsid w:val="00000BD0"/>
    <w:rsid w:val="000010C7"/>
    <w:rsid w:val="0000192A"/>
    <w:rsid w:val="0000267E"/>
    <w:rsid w:val="00002692"/>
    <w:rsid w:val="0000274C"/>
    <w:rsid w:val="00002A68"/>
    <w:rsid w:val="00002AE2"/>
    <w:rsid w:val="00005655"/>
    <w:rsid w:val="00005F46"/>
    <w:rsid w:val="0000609F"/>
    <w:rsid w:val="00006591"/>
    <w:rsid w:val="00007518"/>
    <w:rsid w:val="00007946"/>
    <w:rsid w:val="00007E59"/>
    <w:rsid w:val="00010104"/>
    <w:rsid w:val="00010123"/>
    <w:rsid w:val="0001054B"/>
    <w:rsid w:val="00010DDF"/>
    <w:rsid w:val="00010FCB"/>
    <w:rsid w:val="000115B3"/>
    <w:rsid w:val="00011721"/>
    <w:rsid w:val="00012AB9"/>
    <w:rsid w:val="00012AC2"/>
    <w:rsid w:val="0001319A"/>
    <w:rsid w:val="00013227"/>
    <w:rsid w:val="00013B7B"/>
    <w:rsid w:val="00014187"/>
    <w:rsid w:val="00014548"/>
    <w:rsid w:val="000148F5"/>
    <w:rsid w:val="0001490F"/>
    <w:rsid w:val="00014ABE"/>
    <w:rsid w:val="00014B39"/>
    <w:rsid w:val="00015912"/>
    <w:rsid w:val="00016B13"/>
    <w:rsid w:val="0001774D"/>
    <w:rsid w:val="00017B58"/>
    <w:rsid w:val="000208A6"/>
    <w:rsid w:val="00020AE4"/>
    <w:rsid w:val="00020BB6"/>
    <w:rsid w:val="000212A0"/>
    <w:rsid w:val="000213E1"/>
    <w:rsid w:val="00021620"/>
    <w:rsid w:val="00021656"/>
    <w:rsid w:val="0002167D"/>
    <w:rsid w:val="000216AF"/>
    <w:rsid w:val="0002270E"/>
    <w:rsid w:val="00022F66"/>
    <w:rsid w:val="0002325C"/>
    <w:rsid w:val="00023812"/>
    <w:rsid w:val="0002396A"/>
    <w:rsid w:val="0002482F"/>
    <w:rsid w:val="000249C8"/>
    <w:rsid w:val="00024B44"/>
    <w:rsid w:val="0002533C"/>
    <w:rsid w:val="00025341"/>
    <w:rsid w:val="00026A10"/>
    <w:rsid w:val="0002710C"/>
    <w:rsid w:val="00027E28"/>
    <w:rsid w:val="00027E94"/>
    <w:rsid w:val="00027EC2"/>
    <w:rsid w:val="00030097"/>
    <w:rsid w:val="00030521"/>
    <w:rsid w:val="00030B48"/>
    <w:rsid w:val="00031B72"/>
    <w:rsid w:val="000321D1"/>
    <w:rsid w:val="000328F7"/>
    <w:rsid w:val="00032AA6"/>
    <w:rsid w:val="00033F98"/>
    <w:rsid w:val="000341A4"/>
    <w:rsid w:val="000344B6"/>
    <w:rsid w:val="00034A62"/>
    <w:rsid w:val="0003547F"/>
    <w:rsid w:val="000355E7"/>
    <w:rsid w:val="000355F6"/>
    <w:rsid w:val="0003662E"/>
    <w:rsid w:val="00036B9A"/>
    <w:rsid w:val="00036D01"/>
    <w:rsid w:val="00036E83"/>
    <w:rsid w:val="000370F1"/>
    <w:rsid w:val="000377FB"/>
    <w:rsid w:val="00037FA1"/>
    <w:rsid w:val="00040813"/>
    <w:rsid w:val="00040F86"/>
    <w:rsid w:val="000414A1"/>
    <w:rsid w:val="000416D1"/>
    <w:rsid w:val="00041824"/>
    <w:rsid w:val="000424E2"/>
    <w:rsid w:val="00042CF4"/>
    <w:rsid w:val="00043503"/>
    <w:rsid w:val="00043EB9"/>
    <w:rsid w:val="000446A3"/>
    <w:rsid w:val="0004484B"/>
    <w:rsid w:val="00044D3F"/>
    <w:rsid w:val="00044E13"/>
    <w:rsid w:val="00044FA1"/>
    <w:rsid w:val="000452B2"/>
    <w:rsid w:val="0004541C"/>
    <w:rsid w:val="000455EC"/>
    <w:rsid w:val="00045627"/>
    <w:rsid w:val="00045663"/>
    <w:rsid w:val="00045681"/>
    <w:rsid w:val="00045902"/>
    <w:rsid w:val="00045A29"/>
    <w:rsid w:val="00045A8C"/>
    <w:rsid w:val="00045CEF"/>
    <w:rsid w:val="00045E93"/>
    <w:rsid w:val="00046162"/>
    <w:rsid w:val="0004632D"/>
    <w:rsid w:val="000464E8"/>
    <w:rsid w:val="000469AC"/>
    <w:rsid w:val="00046B3F"/>
    <w:rsid w:val="00046E3C"/>
    <w:rsid w:val="00046FE4"/>
    <w:rsid w:val="000474C7"/>
    <w:rsid w:val="00047FF4"/>
    <w:rsid w:val="00051DEB"/>
    <w:rsid w:val="000524EC"/>
    <w:rsid w:val="0005260D"/>
    <w:rsid w:val="0005261B"/>
    <w:rsid w:val="00052CBD"/>
    <w:rsid w:val="000532E2"/>
    <w:rsid w:val="000535DE"/>
    <w:rsid w:val="000543FB"/>
    <w:rsid w:val="00054C69"/>
    <w:rsid w:val="00055570"/>
    <w:rsid w:val="00055F69"/>
    <w:rsid w:val="00056460"/>
    <w:rsid w:val="000567AB"/>
    <w:rsid w:val="00056CBD"/>
    <w:rsid w:val="000575A5"/>
    <w:rsid w:val="00057747"/>
    <w:rsid w:val="00057BA1"/>
    <w:rsid w:val="00060750"/>
    <w:rsid w:val="00060E27"/>
    <w:rsid w:val="00060FF9"/>
    <w:rsid w:val="0006156D"/>
    <w:rsid w:val="00061931"/>
    <w:rsid w:val="00061DD4"/>
    <w:rsid w:val="00061F52"/>
    <w:rsid w:val="00062265"/>
    <w:rsid w:val="000624EB"/>
    <w:rsid w:val="0006258F"/>
    <w:rsid w:val="000625DE"/>
    <w:rsid w:val="00062F96"/>
    <w:rsid w:val="0006337E"/>
    <w:rsid w:val="00063703"/>
    <w:rsid w:val="000638C4"/>
    <w:rsid w:val="00063B4A"/>
    <w:rsid w:val="000644C0"/>
    <w:rsid w:val="00064A82"/>
    <w:rsid w:val="00064B36"/>
    <w:rsid w:val="00064FF3"/>
    <w:rsid w:val="000651CA"/>
    <w:rsid w:val="0006534F"/>
    <w:rsid w:val="00065A90"/>
    <w:rsid w:val="00065E7C"/>
    <w:rsid w:val="000663DE"/>
    <w:rsid w:val="000664E8"/>
    <w:rsid w:val="00066710"/>
    <w:rsid w:val="0006697A"/>
    <w:rsid w:val="00066D3C"/>
    <w:rsid w:val="0006702D"/>
    <w:rsid w:val="00067732"/>
    <w:rsid w:val="00067793"/>
    <w:rsid w:val="00067B02"/>
    <w:rsid w:val="00070CBB"/>
    <w:rsid w:val="00070DD9"/>
    <w:rsid w:val="00072081"/>
    <w:rsid w:val="000720A4"/>
    <w:rsid w:val="0007250F"/>
    <w:rsid w:val="0007274A"/>
    <w:rsid w:val="00072C55"/>
    <w:rsid w:val="00072D24"/>
    <w:rsid w:val="00073508"/>
    <w:rsid w:val="0007396C"/>
    <w:rsid w:val="00073DE5"/>
    <w:rsid w:val="00074B49"/>
    <w:rsid w:val="00074C76"/>
    <w:rsid w:val="00075931"/>
    <w:rsid w:val="0007594F"/>
    <w:rsid w:val="00076B6A"/>
    <w:rsid w:val="00076D93"/>
    <w:rsid w:val="000771F3"/>
    <w:rsid w:val="00077A60"/>
    <w:rsid w:val="00077B0E"/>
    <w:rsid w:val="00077D5E"/>
    <w:rsid w:val="00080281"/>
    <w:rsid w:val="0008067D"/>
    <w:rsid w:val="00080899"/>
    <w:rsid w:val="00080D1B"/>
    <w:rsid w:val="000818E4"/>
    <w:rsid w:val="00081F2F"/>
    <w:rsid w:val="000824F5"/>
    <w:rsid w:val="00082B90"/>
    <w:rsid w:val="00082EC6"/>
    <w:rsid w:val="00083D14"/>
    <w:rsid w:val="00084570"/>
    <w:rsid w:val="00084AE3"/>
    <w:rsid w:val="00084F15"/>
    <w:rsid w:val="0008506F"/>
    <w:rsid w:val="00085287"/>
    <w:rsid w:val="00085405"/>
    <w:rsid w:val="0008575B"/>
    <w:rsid w:val="00085F8E"/>
    <w:rsid w:val="00086147"/>
    <w:rsid w:val="00086607"/>
    <w:rsid w:val="000874DC"/>
    <w:rsid w:val="000879AA"/>
    <w:rsid w:val="00090017"/>
    <w:rsid w:val="00090243"/>
    <w:rsid w:val="000903D3"/>
    <w:rsid w:val="0009059F"/>
    <w:rsid w:val="0009071D"/>
    <w:rsid w:val="000916A3"/>
    <w:rsid w:val="00091740"/>
    <w:rsid w:val="00091948"/>
    <w:rsid w:val="00091B7B"/>
    <w:rsid w:val="00091D07"/>
    <w:rsid w:val="000922F9"/>
    <w:rsid w:val="0009259C"/>
    <w:rsid w:val="0009276F"/>
    <w:rsid w:val="00092955"/>
    <w:rsid w:val="00093700"/>
    <w:rsid w:val="00093CA9"/>
    <w:rsid w:val="00093F15"/>
    <w:rsid w:val="00094228"/>
    <w:rsid w:val="0009547E"/>
    <w:rsid w:val="000957F5"/>
    <w:rsid w:val="0009683E"/>
    <w:rsid w:val="0009770D"/>
    <w:rsid w:val="00097833"/>
    <w:rsid w:val="00097EE1"/>
    <w:rsid w:val="000A01EE"/>
    <w:rsid w:val="000A070C"/>
    <w:rsid w:val="000A0CB8"/>
    <w:rsid w:val="000A1BBB"/>
    <w:rsid w:val="000A2162"/>
    <w:rsid w:val="000A2275"/>
    <w:rsid w:val="000A2FAB"/>
    <w:rsid w:val="000A31F4"/>
    <w:rsid w:val="000A3C3D"/>
    <w:rsid w:val="000A4678"/>
    <w:rsid w:val="000A46CB"/>
    <w:rsid w:val="000A4842"/>
    <w:rsid w:val="000A4EAE"/>
    <w:rsid w:val="000A4FC0"/>
    <w:rsid w:val="000A5170"/>
    <w:rsid w:val="000A5A8F"/>
    <w:rsid w:val="000A5AE5"/>
    <w:rsid w:val="000A6130"/>
    <w:rsid w:val="000A62C6"/>
    <w:rsid w:val="000A698F"/>
    <w:rsid w:val="000A6A18"/>
    <w:rsid w:val="000A75E7"/>
    <w:rsid w:val="000A77D4"/>
    <w:rsid w:val="000B0564"/>
    <w:rsid w:val="000B0B13"/>
    <w:rsid w:val="000B12C1"/>
    <w:rsid w:val="000B17D9"/>
    <w:rsid w:val="000B1B43"/>
    <w:rsid w:val="000B1C52"/>
    <w:rsid w:val="000B2022"/>
    <w:rsid w:val="000B22AB"/>
    <w:rsid w:val="000B2367"/>
    <w:rsid w:val="000B2426"/>
    <w:rsid w:val="000B248D"/>
    <w:rsid w:val="000B262D"/>
    <w:rsid w:val="000B2F89"/>
    <w:rsid w:val="000B3397"/>
    <w:rsid w:val="000B3D43"/>
    <w:rsid w:val="000B3D66"/>
    <w:rsid w:val="000B3D94"/>
    <w:rsid w:val="000B4195"/>
    <w:rsid w:val="000B4A6E"/>
    <w:rsid w:val="000B4F54"/>
    <w:rsid w:val="000B52A4"/>
    <w:rsid w:val="000B5466"/>
    <w:rsid w:val="000B59CF"/>
    <w:rsid w:val="000B5D36"/>
    <w:rsid w:val="000B63AD"/>
    <w:rsid w:val="000B73C1"/>
    <w:rsid w:val="000B780A"/>
    <w:rsid w:val="000B7E82"/>
    <w:rsid w:val="000C0079"/>
    <w:rsid w:val="000C0CD9"/>
    <w:rsid w:val="000C113E"/>
    <w:rsid w:val="000C117A"/>
    <w:rsid w:val="000C1D4C"/>
    <w:rsid w:val="000C2723"/>
    <w:rsid w:val="000C2FDA"/>
    <w:rsid w:val="000C3114"/>
    <w:rsid w:val="000C347A"/>
    <w:rsid w:val="000C37FF"/>
    <w:rsid w:val="000C395A"/>
    <w:rsid w:val="000C3B5C"/>
    <w:rsid w:val="000C4DCB"/>
    <w:rsid w:val="000C5367"/>
    <w:rsid w:val="000C59C7"/>
    <w:rsid w:val="000C5D4A"/>
    <w:rsid w:val="000C625D"/>
    <w:rsid w:val="000C75CB"/>
    <w:rsid w:val="000C7871"/>
    <w:rsid w:val="000C7913"/>
    <w:rsid w:val="000D01C1"/>
    <w:rsid w:val="000D0303"/>
    <w:rsid w:val="000D0513"/>
    <w:rsid w:val="000D076F"/>
    <w:rsid w:val="000D0E29"/>
    <w:rsid w:val="000D10B1"/>
    <w:rsid w:val="000D17F6"/>
    <w:rsid w:val="000D22BE"/>
    <w:rsid w:val="000D2449"/>
    <w:rsid w:val="000D24B8"/>
    <w:rsid w:val="000D2933"/>
    <w:rsid w:val="000D33D6"/>
    <w:rsid w:val="000D374C"/>
    <w:rsid w:val="000D38C3"/>
    <w:rsid w:val="000D41CF"/>
    <w:rsid w:val="000D501B"/>
    <w:rsid w:val="000D5316"/>
    <w:rsid w:val="000D588E"/>
    <w:rsid w:val="000D5F8C"/>
    <w:rsid w:val="000D606C"/>
    <w:rsid w:val="000D615D"/>
    <w:rsid w:val="000D62C0"/>
    <w:rsid w:val="000D6862"/>
    <w:rsid w:val="000D6DB5"/>
    <w:rsid w:val="000D6F6C"/>
    <w:rsid w:val="000D6FB1"/>
    <w:rsid w:val="000D72FF"/>
    <w:rsid w:val="000D7EE1"/>
    <w:rsid w:val="000D7F80"/>
    <w:rsid w:val="000E0023"/>
    <w:rsid w:val="000E036E"/>
    <w:rsid w:val="000E04C0"/>
    <w:rsid w:val="000E11CB"/>
    <w:rsid w:val="000E14CD"/>
    <w:rsid w:val="000E17B1"/>
    <w:rsid w:val="000E221F"/>
    <w:rsid w:val="000E2252"/>
    <w:rsid w:val="000E2C7C"/>
    <w:rsid w:val="000E3DCA"/>
    <w:rsid w:val="000E49C8"/>
    <w:rsid w:val="000E4E81"/>
    <w:rsid w:val="000E5427"/>
    <w:rsid w:val="000E7171"/>
    <w:rsid w:val="000E7CF1"/>
    <w:rsid w:val="000E7F82"/>
    <w:rsid w:val="000F08B6"/>
    <w:rsid w:val="000F0B23"/>
    <w:rsid w:val="000F0B75"/>
    <w:rsid w:val="000F1085"/>
    <w:rsid w:val="000F1427"/>
    <w:rsid w:val="000F15EA"/>
    <w:rsid w:val="000F2F5E"/>
    <w:rsid w:val="000F4290"/>
    <w:rsid w:val="000F44B8"/>
    <w:rsid w:val="000F44E3"/>
    <w:rsid w:val="000F4622"/>
    <w:rsid w:val="000F4ED1"/>
    <w:rsid w:val="000F5DE8"/>
    <w:rsid w:val="000F6240"/>
    <w:rsid w:val="000F6C0E"/>
    <w:rsid w:val="000F7210"/>
    <w:rsid w:val="000F773D"/>
    <w:rsid w:val="000F7CFD"/>
    <w:rsid w:val="000F7F65"/>
    <w:rsid w:val="001000CE"/>
    <w:rsid w:val="00100634"/>
    <w:rsid w:val="00100D6A"/>
    <w:rsid w:val="00101979"/>
    <w:rsid w:val="00101A2D"/>
    <w:rsid w:val="00101ED2"/>
    <w:rsid w:val="00102694"/>
    <w:rsid w:val="00102BA6"/>
    <w:rsid w:val="0010345C"/>
    <w:rsid w:val="0010385B"/>
    <w:rsid w:val="00104031"/>
    <w:rsid w:val="00104484"/>
    <w:rsid w:val="001047B9"/>
    <w:rsid w:val="001053FD"/>
    <w:rsid w:val="00106C76"/>
    <w:rsid w:val="001072D8"/>
    <w:rsid w:val="00107DA6"/>
    <w:rsid w:val="00107E23"/>
    <w:rsid w:val="0011032B"/>
    <w:rsid w:val="0011067C"/>
    <w:rsid w:val="00110954"/>
    <w:rsid w:val="00110A12"/>
    <w:rsid w:val="00110B24"/>
    <w:rsid w:val="00110F23"/>
    <w:rsid w:val="00111810"/>
    <w:rsid w:val="001118A6"/>
    <w:rsid w:val="00111B27"/>
    <w:rsid w:val="001124D2"/>
    <w:rsid w:val="001127CF"/>
    <w:rsid w:val="00113532"/>
    <w:rsid w:val="00113C37"/>
    <w:rsid w:val="00113CB7"/>
    <w:rsid w:val="00113E4E"/>
    <w:rsid w:val="00114011"/>
    <w:rsid w:val="001143F0"/>
    <w:rsid w:val="001154D2"/>
    <w:rsid w:val="00115D51"/>
    <w:rsid w:val="00115EDE"/>
    <w:rsid w:val="00116FFC"/>
    <w:rsid w:val="0011768A"/>
    <w:rsid w:val="001205D3"/>
    <w:rsid w:val="00120D04"/>
    <w:rsid w:val="00120D5D"/>
    <w:rsid w:val="00120D89"/>
    <w:rsid w:val="00121339"/>
    <w:rsid w:val="00121F2F"/>
    <w:rsid w:val="00122383"/>
    <w:rsid w:val="00122639"/>
    <w:rsid w:val="001227FD"/>
    <w:rsid w:val="00123BAA"/>
    <w:rsid w:val="00123C04"/>
    <w:rsid w:val="00123C34"/>
    <w:rsid w:val="0012454B"/>
    <w:rsid w:val="00124DA4"/>
    <w:rsid w:val="00124F9B"/>
    <w:rsid w:val="00125509"/>
    <w:rsid w:val="001257EE"/>
    <w:rsid w:val="00126361"/>
    <w:rsid w:val="001270F0"/>
    <w:rsid w:val="00127A91"/>
    <w:rsid w:val="00127AC1"/>
    <w:rsid w:val="00127B40"/>
    <w:rsid w:val="00127EFA"/>
    <w:rsid w:val="00131685"/>
    <w:rsid w:val="001316AE"/>
    <w:rsid w:val="00132BCA"/>
    <w:rsid w:val="00132D89"/>
    <w:rsid w:val="00133CAE"/>
    <w:rsid w:val="00133E2D"/>
    <w:rsid w:val="0013405D"/>
    <w:rsid w:val="00134239"/>
    <w:rsid w:val="00134989"/>
    <w:rsid w:val="00135775"/>
    <w:rsid w:val="00135826"/>
    <w:rsid w:val="001358CA"/>
    <w:rsid w:val="00135BD5"/>
    <w:rsid w:val="00135E75"/>
    <w:rsid w:val="001363E9"/>
    <w:rsid w:val="00136BF5"/>
    <w:rsid w:val="00136F49"/>
    <w:rsid w:val="00137192"/>
    <w:rsid w:val="00137EA4"/>
    <w:rsid w:val="001411BE"/>
    <w:rsid w:val="0014158B"/>
    <w:rsid w:val="001419C3"/>
    <w:rsid w:val="001425F1"/>
    <w:rsid w:val="0014279A"/>
    <w:rsid w:val="0014287D"/>
    <w:rsid w:val="0014327B"/>
    <w:rsid w:val="001433C0"/>
    <w:rsid w:val="00143F86"/>
    <w:rsid w:val="00145075"/>
    <w:rsid w:val="00145658"/>
    <w:rsid w:val="00145751"/>
    <w:rsid w:val="00145BD2"/>
    <w:rsid w:val="00145FC3"/>
    <w:rsid w:val="00147020"/>
    <w:rsid w:val="00147195"/>
    <w:rsid w:val="001476F3"/>
    <w:rsid w:val="001477B8"/>
    <w:rsid w:val="001478D3"/>
    <w:rsid w:val="00147ADA"/>
    <w:rsid w:val="00147B17"/>
    <w:rsid w:val="00150A3F"/>
    <w:rsid w:val="00150B88"/>
    <w:rsid w:val="00150ECB"/>
    <w:rsid w:val="001517A6"/>
    <w:rsid w:val="00151B12"/>
    <w:rsid w:val="00151DB1"/>
    <w:rsid w:val="00152142"/>
    <w:rsid w:val="001521C3"/>
    <w:rsid w:val="001525C2"/>
    <w:rsid w:val="0015273E"/>
    <w:rsid w:val="00152EF3"/>
    <w:rsid w:val="00153944"/>
    <w:rsid w:val="001540A8"/>
    <w:rsid w:val="001543BA"/>
    <w:rsid w:val="0015449F"/>
    <w:rsid w:val="001549B5"/>
    <w:rsid w:val="00154ADB"/>
    <w:rsid w:val="00154AF7"/>
    <w:rsid w:val="0015665D"/>
    <w:rsid w:val="00156AC9"/>
    <w:rsid w:val="00157056"/>
    <w:rsid w:val="0015772B"/>
    <w:rsid w:val="0015791E"/>
    <w:rsid w:val="00160672"/>
    <w:rsid w:val="00160A3A"/>
    <w:rsid w:val="00160F70"/>
    <w:rsid w:val="001617AA"/>
    <w:rsid w:val="00161C6B"/>
    <w:rsid w:val="00161DF9"/>
    <w:rsid w:val="00161FBA"/>
    <w:rsid w:val="00162044"/>
    <w:rsid w:val="00162275"/>
    <w:rsid w:val="001625E9"/>
    <w:rsid w:val="00163D1E"/>
    <w:rsid w:val="00163D91"/>
    <w:rsid w:val="001641E1"/>
    <w:rsid w:val="001644A4"/>
    <w:rsid w:val="00164BAE"/>
    <w:rsid w:val="00164CC1"/>
    <w:rsid w:val="00164EDD"/>
    <w:rsid w:val="0016533E"/>
    <w:rsid w:val="0016588D"/>
    <w:rsid w:val="00165A1D"/>
    <w:rsid w:val="00165AD0"/>
    <w:rsid w:val="00165AFB"/>
    <w:rsid w:val="00165E0C"/>
    <w:rsid w:val="00166478"/>
    <w:rsid w:val="00166879"/>
    <w:rsid w:val="001669A4"/>
    <w:rsid w:val="001677DB"/>
    <w:rsid w:val="00167909"/>
    <w:rsid w:val="001704C3"/>
    <w:rsid w:val="00170665"/>
    <w:rsid w:val="00170858"/>
    <w:rsid w:val="00170BDD"/>
    <w:rsid w:val="0017107D"/>
    <w:rsid w:val="00171105"/>
    <w:rsid w:val="00171223"/>
    <w:rsid w:val="00171C27"/>
    <w:rsid w:val="00171D79"/>
    <w:rsid w:val="00172981"/>
    <w:rsid w:val="00172A27"/>
    <w:rsid w:val="00172A9D"/>
    <w:rsid w:val="00172DCF"/>
    <w:rsid w:val="001736DD"/>
    <w:rsid w:val="0017419A"/>
    <w:rsid w:val="00174203"/>
    <w:rsid w:val="00174307"/>
    <w:rsid w:val="00174E55"/>
    <w:rsid w:val="00174FCF"/>
    <w:rsid w:val="00175289"/>
    <w:rsid w:val="00175727"/>
    <w:rsid w:val="00176274"/>
    <w:rsid w:val="0017631E"/>
    <w:rsid w:val="0017657D"/>
    <w:rsid w:val="00176D52"/>
    <w:rsid w:val="00176DE9"/>
    <w:rsid w:val="001779B9"/>
    <w:rsid w:val="001779C8"/>
    <w:rsid w:val="00177FBF"/>
    <w:rsid w:val="001807AE"/>
    <w:rsid w:val="00180DC9"/>
    <w:rsid w:val="0018118F"/>
    <w:rsid w:val="00181E0B"/>
    <w:rsid w:val="00181F6C"/>
    <w:rsid w:val="001823B9"/>
    <w:rsid w:val="00182655"/>
    <w:rsid w:val="00182D77"/>
    <w:rsid w:val="00183007"/>
    <w:rsid w:val="001841F0"/>
    <w:rsid w:val="001847DD"/>
    <w:rsid w:val="00184C7C"/>
    <w:rsid w:val="001857AC"/>
    <w:rsid w:val="0018599F"/>
    <w:rsid w:val="00185C58"/>
    <w:rsid w:val="0018607E"/>
    <w:rsid w:val="0018703A"/>
    <w:rsid w:val="001877E6"/>
    <w:rsid w:val="001901EB"/>
    <w:rsid w:val="001902B4"/>
    <w:rsid w:val="00190733"/>
    <w:rsid w:val="001907F3"/>
    <w:rsid w:val="0019164E"/>
    <w:rsid w:val="001919F9"/>
    <w:rsid w:val="00192603"/>
    <w:rsid w:val="001932BD"/>
    <w:rsid w:val="00193602"/>
    <w:rsid w:val="00195149"/>
    <w:rsid w:val="00195BB7"/>
    <w:rsid w:val="00196B55"/>
    <w:rsid w:val="00196C04"/>
    <w:rsid w:val="00196C23"/>
    <w:rsid w:val="00197079"/>
    <w:rsid w:val="001973DE"/>
    <w:rsid w:val="001A0754"/>
    <w:rsid w:val="001A0967"/>
    <w:rsid w:val="001A0A27"/>
    <w:rsid w:val="001A0E62"/>
    <w:rsid w:val="001A1445"/>
    <w:rsid w:val="001A1ADB"/>
    <w:rsid w:val="001A2920"/>
    <w:rsid w:val="001A2A90"/>
    <w:rsid w:val="001A335C"/>
    <w:rsid w:val="001A34E5"/>
    <w:rsid w:val="001A35E1"/>
    <w:rsid w:val="001A3BFF"/>
    <w:rsid w:val="001A49FB"/>
    <w:rsid w:val="001A5F8C"/>
    <w:rsid w:val="001A5FB5"/>
    <w:rsid w:val="001A6034"/>
    <w:rsid w:val="001A79E0"/>
    <w:rsid w:val="001A7DC2"/>
    <w:rsid w:val="001B04AD"/>
    <w:rsid w:val="001B0636"/>
    <w:rsid w:val="001B0B34"/>
    <w:rsid w:val="001B0E3D"/>
    <w:rsid w:val="001B1080"/>
    <w:rsid w:val="001B1136"/>
    <w:rsid w:val="001B299B"/>
    <w:rsid w:val="001B2EBD"/>
    <w:rsid w:val="001B30C1"/>
    <w:rsid w:val="001B32BD"/>
    <w:rsid w:val="001B37A6"/>
    <w:rsid w:val="001B3822"/>
    <w:rsid w:val="001B383A"/>
    <w:rsid w:val="001B4D3B"/>
    <w:rsid w:val="001B56A9"/>
    <w:rsid w:val="001B596A"/>
    <w:rsid w:val="001B5B5B"/>
    <w:rsid w:val="001B5F46"/>
    <w:rsid w:val="001B64E9"/>
    <w:rsid w:val="001B6505"/>
    <w:rsid w:val="001B669A"/>
    <w:rsid w:val="001B71E1"/>
    <w:rsid w:val="001B76BE"/>
    <w:rsid w:val="001C03DA"/>
    <w:rsid w:val="001C0C5D"/>
    <w:rsid w:val="001C1AA9"/>
    <w:rsid w:val="001C23A2"/>
    <w:rsid w:val="001C29A7"/>
    <w:rsid w:val="001C341D"/>
    <w:rsid w:val="001C37DB"/>
    <w:rsid w:val="001C3E81"/>
    <w:rsid w:val="001C40DC"/>
    <w:rsid w:val="001C5B10"/>
    <w:rsid w:val="001C632D"/>
    <w:rsid w:val="001C6581"/>
    <w:rsid w:val="001C6827"/>
    <w:rsid w:val="001C6A08"/>
    <w:rsid w:val="001C6A1F"/>
    <w:rsid w:val="001C6D00"/>
    <w:rsid w:val="001C6E04"/>
    <w:rsid w:val="001C70DC"/>
    <w:rsid w:val="001C78EC"/>
    <w:rsid w:val="001C79FD"/>
    <w:rsid w:val="001C7EA1"/>
    <w:rsid w:val="001D0077"/>
    <w:rsid w:val="001D03C0"/>
    <w:rsid w:val="001D090F"/>
    <w:rsid w:val="001D26EC"/>
    <w:rsid w:val="001D2F14"/>
    <w:rsid w:val="001D37C4"/>
    <w:rsid w:val="001D3809"/>
    <w:rsid w:val="001D3C77"/>
    <w:rsid w:val="001D3E67"/>
    <w:rsid w:val="001D45C0"/>
    <w:rsid w:val="001D4A23"/>
    <w:rsid w:val="001D52BE"/>
    <w:rsid w:val="001D5C3B"/>
    <w:rsid w:val="001D5E5A"/>
    <w:rsid w:val="001D6574"/>
    <w:rsid w:val="001D6D4D"/>
    <w:rsid w:val="001D7139"/>
    <w:rsid w:val="001D760E"/>
    <w:rsid w:val="001E026B"/>
    <w:rsid w:val="001E0411"/>
    <w:rsid w:val="001E1CE8"/>
    <w:rsid w:val="001E20D6"/>
    <w:rsid w:val="001E285B"/>
    <w:rsid w:val="001E2AF6"/>
    <w:rsid w:val="001E2C98"/>
    <w:rsid w:val="001E2D67"/>
    <w:rsid w:val="001E31B4"/>
    <w:rsid w:val="001E38C8"/>
    <w:rsid w:val="001E3C61"/>
    <w:rsid w:val="001E3E35"/>
    <w:rsid w:val="001E3F87"/>
    <w:rsid w:val="001E413A"/>
    <w:rsid w:val="001E4271"/>
    <w:rsid w:val="001E4328"/>
    <w:rsid w:val="001E48A3"/>
    <w:rsid w:val="001E4950"/>
    <w:rsid w:val="001E4EAC"/>
    <w:rsid w:val="001E52DE"/>
    <w:rsid w:val="001E5752"/>
    <w:rsid w:val="001E5BDB"/>
    <w:rsid w:val="001E7A88"/>
    <w:rsid w:val="001F01B3"/>
    <w:rsid w:val="001F05D6"/>
    <w:rsid w:val="001F066D"/>
    <w:rsid w:val="001F071B"/>
    <w:rsid w:val="001F1FA7"/>
    <w:rsid w:val="001F1FC4"/>
    <w:rsid w:val="001F20B4"/>
    <w:rsid w:val="001F21BD"/>
    <w:rsid w:val="001F241C"/>
    <w:rsid w:val="001F26F8"/>
    <w:rsid w:val="001F2C14"/>
    <w:rsid w:val="001F353B"/>
    <w:rsid w:val="001F399D"/>
    <w:rsid w:val="001F3C1A"/>
    <w:rsid w:val="001F3D96"/>
    <w:rsid w:val="001F3DEC"/>
    <w:rsid w:val="001F40D6"/>
    <w:rsid w:val="001F4129"/>
    <w:rsid w:val="001F41EB"/>
    <w:rsid w:val="001F46B3"/>
    <w:rsid w:val="001F592B"/>
    <w:rsid w:val="001F64A2"/>
    <w:rsid w:val="001F6779"/>
    <w:rsid w:val="001F67D0"/>
    <w:rsid w:val="001F6B99"/>
    <w:rsid w:val="001F70F5"/>
    <w:rsid w:val="001F7170"/>
    <w:rsid w:val="001F74CF"/>
    <w:rsid w:val="001F7779"/>
    <w:rsid w:val="001F7F1A"/>
    <w:rsid w:val="002001C2"/>
    <w:rsid w:val="00200681"/>
    <w:rsid w:val="00201075"/>
    <w:rsid w:val="002011F1"/>
    <w:rsid w:val="002014EF"/>
    <w:rsid w:val="0020230A"/>
    <w:rsid w:val="00202721"/>
    <w:rsid w:val="0020276E"/>
    <w:rsid w:val="002029F7"/>
    <w:rsid w:val="002034EE"/>
    <w:rsid w:val="0020362B"/>
    <w:rsid w:val="00203D21"/>
    <w:rsid w:val="0020404F"/>
    <w:rsid w:val="00204366"/>
    <w:rsid w:val="002045D2"/>
    <w:rsid w:val="002049A0"/>
    <w:rsid w:val="00204ADA"/>
    <w:rsid w:val="00204C43"/>
    <w:rsid w:val="00204C76"/>
    <w:rsid w:val="00204EA0"/>
    <w:rsid w:val="002052F7"/>
    <w:rsid w:val="00205355"/>
    <w:rsid w:val="0020554E"/>
    <w:rsid w:val="0020760D"/>
    <w:rsid w:val="00207B1D"/>
    <w:rsid w:val="00207B54"/>
    <w:rsid w:val="0021039C"/>
    <w:rsid w:val="002113D5"/>
    <w:rsid w:val="00211567"/>
    <w:rsid w:val="00211B89"/>
    <w:rsid w:val="0021237B"/>
    <w:rsid w:val="00212876"/>
    <w:rsid w:val="002131E6"/>
    <w:rsid w:val="0021397E"/>
    <w:rsid w:val="00214BF6"/>
    <w:rsid w:val="00214D37"/>
    <w:rsid w:val="00215B02"/>
    <w:rsid w:val="00215FAE"/>
    <w:rsid w:val="00216962"/>
    <w:rsid w:val="00216CC9"/>
    <w:rsid w:val="0021769B"/>
    <w:rsid w:val="00217FD3"/>
    <w:rsid w:val="002203A5"/>
    <w:rsid w:val="00220601"/>
    <w:rsid w:val="00220C98"/>
    <w:rsid w:val="002218C1"/>
    <w:rsid w:val="0022309C"/>
    <w:rsid w:val="00223279"/>
    <w:rsid w:val="00223388"/>
    <w:rsid w:val="00223501"/>
    <w:rsid w:val="00223844"/>
    <w:rsid w:val="00223996"/>
    <w:rsid w:val="002239FB"/>
    <w:rsid w:val="002241BF"/>
    <w:rsid w:val="00224421"/>
    <w:rsid w:val="0022463C"/>
    <w:rsid w:val="00224704"/>
    <w:rsid w:val="00224B06"/>
    <w:rsid w:val="00224D13"/>
    <w:rsid w:val="00224DCB"/>
    <w:rsid w:val="00224F3E"/>
    <w:rsid w:val="00224F4D"/>
    <w:rsid w:val="002251E0"/>
    <w:rsid w:val="002262AA"/>
    <w:rsid w:val="002266F5"/>
    <w:rsid w:val="00226F20"/>
    <w:rsid w:val="00227406"/>
    <w:rsid w:val="00227F1B"/>
    <w:rsid w:val="00230410"/>
    <w:rsid w:val="0023075B"/>
    <w:rsid w:val="00230E61"/>
    <w:rsid w:val="0023172B"/>
    <w:rsid w:val="00231812"/>
    <w:rsid w:val="00231F22"/>
    <w:rsid w:val="0023231C"/>
    <w:rsid w:val="00232C67"/>
    <w:rsid w:val="00233302"/>
    <w:rsid w:val="00233963"/>
    <w:rsid w:val="00233D22"/>
    <w:rsid w:val="002345E8"/>
    <w:rsid w:val="002345EC"/>
    <w:rsid w:val="00234EB6"/>
    <w:rsid w:val="002352AE"/>
    <w:rsid w:val="00235430"/>
    <w:rsid w:val="00235551"/>
    <w:rsid w:val="00235613"/>
    <w:rsid w:val="00235D61"/>
    <w:rsid w:val="00236C64"/>
    <w:rsid w:val="00236F92"/>
    <w:rsid w:val="0023712F"/>
    <w:rsid w:val="002375CB"/>
    <w:rsid w:val="00237F63"/>
    <w:rsid w:val="00240847"/>
    <w:rsid w:val="00240D50"/>
    <w:rsid w:val="00240F82"/>
    <w:rsid w:val="00241361"/>
    <w:rsid w:val="00241450"/>
    <w:rsid w:val="0024184D"/>
    <w:rsid w:val="00241FFA"/>
    <w:rsid w:val="00242055"/>
    <w:rsid w:val="0024271E"/>
    <w:rsid w:val="00243233"/>
    <w:rsid w:val="00243342"/>
    <w:rsid w:val="00243A3D"/>
    <w:rsid w:val="00243B93"/>
    <w:rsid w:val="00243D39"/>
    <w:rsid w:val="002441B1"/>
    <w:rsid w:val="00244276"/>
    <w:rsid w:val="0024441E"/>
    <w:rsid w:val="00244C2E"/>
    <w:rsid w:val="002455EA"/>
    <w:rsid w:val="002456E8"/>
    <w:rsid w:val="002464E8"/>
    <w:rsid w:val="00246504"/>
    <w:rsid w:val="00246723"/>
    <w:rsid w:val="00246AFD"/>
    <w:rsid w:val="00246CA8"/>
    <w:rsid w:val="00247140"/>
    <w:rsid w:val="0024739C"/>
    <w:rsid w:val="002475E4"/>
    <w:rsid w:val="00247A83"/>
    <w:rsid w:val="002507D4"/>
    <w:rsid w:val="00250D3F"/>
    <w:rsid w:val="002517C6"/>
    <w:rsid w:val="002519A1"/>
    <w:rsid w:val="00251E11"/>
    <w:rsid w:val="00252120"/>
    <w:rsid w:val="0025235F"/>
    <w:rsid w:val="0025349A"/>
    <w:rsid w:val="00253D01"/>
    <w:rsid w:val="002545F7"/>
    <w:rsid w:val="002549A7"/>
    <w:rsid w:val="002549CC"/>
    <w:rsid w:val="0025530F"/>
    <w:rsid w:val="00255311"/>
    <w:rsid w:val="00255BF9"/>
    <w:rsid w:val="002570C4"/>
    <w:rsid w:val="00257238"/>
    <w:rsid w:val="00257467"/>
    <w:rsid w:val="00257B8F"/>
    <w:rsid w:val="00257F21"/>
    <w:rsid w:val="002600B8"/>
    <w:rsid w:val="002601A5"/>
    <w:rsid w:val="00260900"/>
    <w:rsid w:val="0026103A"/>
    <w:rsid w:val="002610A9"/>
    <w:rsid w:val="00261D3A"/>
    <w:rsid w:val="00261DE4"/>
    <w:rsid w:val="00262029"/>
    <w:rsid w:val="0026227A"/>
    <w:rsid w:val="00262492"/>
    <w:rsid w:val="002625C8"/>
    <w:rsid w:val="00263C11"/>
    <w:rsid w:val="00263C4A"/>
    <w:rsid w:val="00263C78"/>
    <w:rsid w:val="002644B5"/>
    <w:rsid w:val="00264B60"/>
    <w:rsid w:val="00264E79"/>
    <w:rsid w:val="00265143"/>
    <w:rsid w:val="00265681"/>
    <w:rsid w:val="00265718"/>
    <w:rsid w:val="00265BB8"/>
    <w:rsid w:val="00265C9B"/>
    <w:rsid w:val="00265EEC"/>
    <w:rsid w:val="00265FDC"/>
    <w:rsid w:val="0026626C"/>
    <w:rsid w:val="002669D4"/>
    <w:rsid w:val="00267898"/>
    <w:rsid w:val="00270378"/>
    <w:rsid w:val="002703CE"/>
    <w:rsid w:val="0027076B"/>
    <w:rsid w:val="00270893"/>
    <w:rsid w:val="00270D11"/>
    <w:rsid w:val="00270E39"/>
    <w:rsid w:val="00271029"/>
    <w:rsid w:val="00271453"/>
    <w:rsid w:val="00271BF2"/>
    <w:rsid w:val="0027208D"/>
    <w:rsid w:val="00272A85"/>
    <w:rsid w:val="002732F6"/>
    <w:rsid w:val="002734CD"/>
    <w:rsid w:val="002739F9"/>
    <w:rsid w:val="00273B55"/>
    <w:rsid w:val="002742DA"/>
    <w:rsid w:val="002748B7"/>
    <w:rsid w:val="00274A3C"/>
    <w:rsid w:val="0027522A"/>
    <w:rsid w:val="002755D3"/>
    <w:rsid w:val="00275B72"/>
    <w:rsid w:val="002760A7"/>
    <w:rsid w:val="002774A7"/>
    <w:rsid w:val="0027773C"/>
    <w:rsid w:val="00277E78"/>
    <w:rsid w:val="00277F3D"/>
    <w:rsid w:val="002809A2"/>
    <w:rsid w:val="00280F16"/>
    <w:rsid w:val="002818CA"/>
    <w:rsid w:val="00281B81"/>
    <w:rsid w:val="00281EC5"/>
    <w:rsid w:val="002821DC"/>
    <w:rsid w:val="002822CF"/>
    <w:rsid w:val="002827AC"/>
    <w:rsid w:val="00282C7A"/>
    <w:rsid w:val="00283470"/>
    <w:rsid w:val="002834B1"/>
    <w:rsid w:val="002836CD"/>
    <w:rsid w:val="002838A4"/>
    <w:rsid w:val="00284277"/>
    <w:rsid w:val="00284295"/>
    <w:rsid w:val="002842F0"/>
    <w:rsid w:val="00284384"/>
    <w:rsid w:val="002845BE"/>
    <w:rsid w:val="00284EFA"/>
    <w:rsid w:val="002855C0"/>
    <w:rsid w:val="002870BB"/>
    <w:rsid w:val="002876BC"/>
    <w:rsid w:val="00287E89"/>
    <w:rsid w:val="00290C24"/>
    <w:rsid w:val="0029155F"/>
    <w:rsid w:val="00292197"/>
    <w:rsid w:val="00292535"/>
    <w:rsid w:val="00292731"/>
    <w:rsid w:val="0029311B"/>
    <w:rsid w:val="002934C6"/>
    <w:rsid w:val="00293AFF"/>
    <w:rsid w:val="00293D03"/>
    <w:rsid w:val="00293DED"/>
    <w:rsid w:val="00294027"/>
    <w:rsid w:val="00294081"/>
    <w:rsid w:val="002941CD"/>
    <w:rsid w:val="00294425"/>
    <w:rsid w:val="00294787"/>
    <w:rsid w:val="00295977"/>
    <w:rsid w:val="00295D80"/>
    <w:rsid w:val="002967A0"/>
    <w:rsid w:val="00296805"/>
    <w:rsid w:val="002A035C"/>
    <w:rsid w:val="002A0D4F"/>
    <w:rsid w:val="002A17FC"/>
    <w:rsid w:val="002A19B5"/>
    <w:rsid w:val="002A297C"/>
    <w:rsid w:val="002A2B05"/>
    <w:rsid w:val="002A2B6A"/>
    <w:rsid w:val="002A32E9"/>
    <w:rsid w:val="002A33AD"/>
    <w:rsid w:val="002A488E"/>
    <w:rsid w:val="002A4A05"/>
    <w:rsid w:val="002A4BA9"/>
    <w:rsid w:val="002A4F78"/>
    <w:rsid w:val="002A549E"/>
    <w:rsid w:val="002A5A15"/>
    <w:rsid w:val="002A5B53"/>
    <w:rsid w:val="002A5CFE"/>
    <w:rsid w:val="002A6490"/>
    <w:rsid w:val="002A694A"/>
    <w:rsid w:val="002A7C6A"/>
    <w:rsid w:val="002A7FF3"/>
    <w:rsid w:val="002B02E0"/>
    <w:rsid w:val="002B051C"/>
    <w:rsid w:val="002B0B13"/>
    <w:rsid w:val="002B0D95"/>
    <w:rsid w:val="002B1057"/>
    <w:rsid w:val="002B1568"/>
    <w:rsid w:val="002B1F00"/>
    <w:rsid w:val="002B2190"/>
    <w:rsid w:val="002B2810"/>
    <w:rsid w:val="002B3276"/>
    <w:rsid w:val="002B3E30"/>
    <w:rsid w:val="002B47DB"/>
    <w:rsid w:val="002B4862"/>
    <w:rsid w:val="002B4BA8"/>
    <w:rsid w:val="002B50C5"/>
    <w:rsid w:val="002B5185"/>
    <w:rsid w:val="002B52A7"/>
    <w:rsid w:val="002B5A3A"/>
    <w:rsid w:val="002B5E3C"/>
    <w:rsid w:val="002B648E"/>
    <w:rsid w:val="002B6702"/>
    <w:rsid w:val="002B6ACF"/>
    <w:rsid w:val="002B715A"/>
    <w:rsid w:val="002C00A0"/>
    <w:rsid w:val="002C02C9"/>
    <w:rsid w:val="002C03CB"/>
    <w:rsid w:val="002C0A19"/>
    <w:rsid w:val="002C1281"/>
    <w:rsid w:val="002C166E"/>
    <w:rsid w:val="002C1B2B"/>
    <w:rsid w:val="002C1D5F"/>
    <w:rsid w:val="002C1FEE"/>
    <w:rsid w:val="002C27C8"/>
    <w:rsid w:val="002C2DC8"/>
    <w:rsid w:val="002C386B"/>
    <w:rsid w:val="002C3AF9"/>
    <w:rsid w:val="002C3DE6"/>
    <w:rsid w:val="002C3E0F"/>
    <w:rsid w:val="002C476A"/>
    <w:rsid w:val="002C52D6"/>
    <w:rsid w:val="002C5EEC"/>
    <w:rsid w:val="002C62DE"/>
    <w:rsid w:val="002C69EC"/>
    <w:rsid w:val="002D0442"/>
    <w:rsid w:val="002D0688"/>
    <w:rsid w:val="002D06D5"/>
    <w:rsid w:val="002D12CA"/>
    <w:rsid w:val="002D1821"/>
    <w:rsid w:val="002D32FD"/>
    <w:rsid w:val="002D36D2"/>
    <w:rsid w:val="002D3F99"/>
    <w:rsid w:val="002D401A"/>
    <w:rsid w:val="002D40BC"/>
    <w:rsid w:val="002D4517"/>
    <w:rsid w:val="002D4578"/>
    <w:rsid w:val="002D45D7"/>
    <w:rsid w:val="002D4800"/>
    <w:rsid w:val="002D6123"/>
    <w:rsid w:val="002D6201"/>
    <w:rsid w:val="002D666B"/>
    <w:rsid w:val="002D6C26"/>
    <w:rsid w:val="002E040F"/>
    <w:rsid w:val="002E0438"/>
    <w:rsid w:val="002E04C0"/>
    <w:rsid w:val="002E10D1"/>
    <w:rsid w:val="002E15D9"/>
    <w:rsid w:val="002E16C0"/>
    <w:rsid w:val="002E2A6B"/>
    <w:rsid w:val="002E32A3"/>
    <w:rsid w:val="002E32E7"/>
    <w:rsid w:val="002E4E5F"/>
    <w:rsid w:val="002E5128"/>
    <w:rsid w:val="002E550A"/>
    <w:rsid w:val="002E5BFE"/>
    <w:rsid w:val="002E6454"/>
    <w:rsid w:val="002E7173"/>
    <w:rsid w:val="002E77CC"/>
    <w:rsid w:val="002E7996"/>
    <w:rsid w:val="002F01F1"/>
    <w:rsid w:val="002F07F9"/>
    <w:rsid w:val="002F08EF"/>
    <w:rsid w:val="002F0A20"/>
    <w:rsid w:val="002F0AEA"/>
    <w:rsid w:val="002F0F05"/>
    <w:rsid w:val="002F18DF"/>
    <w:rsid w:val="002F1A20"/>
    <w:rsid w:val="002F2083"/>
    <w:rsid w:val="002F283D"/>
    <w:rsid w:val="002F2C27"/>
    <w:rsid w:val="002F2C59"/>
    <w:rsid w:val="002F309D"/>
    <w:rsid w:val="002F3AE0"/>
    <w:rsid w:val="002F3D80"/>
    <w:rsid w:val="002F42D5"/>
    <w:rsid w:val="002F6386"/>
    <w:rsid w:val="002F63D0"/>
    <w:rsid w:val="002F6514"/>
    <w:rsid w:val="002F6D24"/>
    <w:rsid w:val="002F6DF2"/>
    <w:rsid w:val="002F6FAF"/>
    <w:rsid w:val="002F74C4"/>
    <w:rsid w:val="003000C3"/>
    <w:rsid w:val="0030051D"/>
    <w:rsid w:val="00300B88"/>
    <w:rsid w:val="00301D4A"/>
    <w:rsid w:val="00302CE7"/>
    <w:rsid w:val="00302F73"/>
    <w:rsid w:val="003031A7"/>
    <w:rsid w:val="00303460"/>
    <w:rsid w:val="0030356C"/>
    <w:rsid w:val="00303B84"/>
    <w:rsid w:val="003043A5"/>
    <w:rsid w:val="00304B4C"/>
    <w:rsid w:val="00305218"/>
    <w:rsid w:val="00306C80"/>
    <w:rsid w:val="003072E1"/>
    <w:rsid w:val="00307EA2"/>
    <w:rsid w:val="003105B4"/>
    <w:rsid w:val="00310AA5"/>
    <w:rsid w:val="00310C0B"/>
    <w:rsid w:val="003110D9"/>
    <w:rsid w:val="00311134"/>
    <w:rsid w:val="00311136"/>
    <w:rsid w:val="0031118E"/>
    <w:rsid w:val="0031121A"/>
    <w:rsid w:val="0031152B"/>
    <w:rsid w:val="0031159D"/>
    <w:rsid w:val="0031210A"/>
    <w:rsid w:val="00312536"/>
    <w:rsid w:val="00312E17"/>
    <w:rsid w:val="00313027"/>
    <w:rsid w:val="003134E4"/>
    <w:rsid w:val="0031357F"/>
    <w:rsid w:val="00313707"/>
    <w:rsid w:val="00313D1A"/>
    <w:rsid w:val="00313E91"/>
    <w:rsid w:val="00313F12"/>
    <w:rsid w:val="0031415A"/>
    <w:rsid w:val="00314504"/>
    <w:rsid w:val="003149F9"/>
    <w:rsid w:val="00314B6F"/>
    <w:rsid w:val="00315F80"/>
    <w:rsid w:val="0031637B"/>
    <w:rsid w:val="00316479"/>
    <w:rsid w:val="00316767"/>
    <w:rsid w:val="00316D66"/>
    <w:rsid w:val="00317FA0"/>
    <w:rsid w:val="00320A2B"/>
    <w:rsid w:val="00320B2B"/>
    <w:rsid w:val="00320B6A"/>
    <w:rsid w:val="00320EBE"/>
    <w:rsid w:val="00321C21"/>
    <w:rsid w:val="00321F97"/>
    <w:rsid w:val="00322345"/>
    <w:rsid w:val="00322985"/>
    <w:rsid w:val="00322C14"/>
    <w:rsid w:val="00322D0A"/>
    <w:rsid w:val="00322D6D"/>
    <w:rsid w:val="00323280"/>
    <w:rsid w:val="0032333C"/>
    <w:rsid w:val="003243FF"/>
    <w:rsid w:val="003247F9"/>
    <w:rsid w:val="003248E5"/>
    <w:rsid w:val="00324CC7"/>
    <w:rsid w:val="00325943"/>
    <w:rsid w:val="00326546"/>
    <w:rsid w:val="00326E38"/>
    <w:rsid w:val="0032710E"/>
    <w:rsid w:val="003275E3"/>
    <w:rsid w:val="0032773E"/>
    <w:rsid w:val="00327FBB"/>
    <w:rsid w:val="00331445"/>
    <w:rsid w:val="003318D5"/>
    <w:rsid w:val="00331CDB"/>
    <w:rsid w:val="00332155"/>
    <w:rsid w:val="00332DD6"/>
    <w:rsid w:val="00333B6E"/>
    <w:rsid w:val="00333D21"/>
    <w:rsid w:val="003351E6"/>
    <w:rsid w:val="00335D06"/>
    <w:rsid w:val="00336257"/>
    <w:rsid w:val="00336C0C"/>
    <w:rsid w:val="003376B4"/>
    <w:rsid w:val="00337CE6"/>
    <w:rsid w:val="00337EA5"/>
    <w:rsid w:val="003404AD"/>
    <w:rsid w:val="00340A31"/>
    <w:rsid w:val="00340AB1"/>
    <w:rsid w:val="003414F9"/>
    <w:rsid w:val="0034191E"/>
    <w:rsid w:val="00341C5E"/>
    <w:rsid w:val="00342308"/>
    <w:rsid w:val="003424AF"/>
    <w:rsid w:val="00342CF9"/>
    <w:rsid w:val="00342EA3"/>
    <w:rsid w:val="00343CFD"/>
    <w:rsid w:val="00343EC3"/>
    <w:rsid w:val="0034486E"/>
    <w:rsid w:val="00344BF8"/>
    <w:rsid w:val="00344C74"/>
    <w:rsid w:val="0034586E"/>
    <w:rsid w:val="0034591A"/>
    <w:rsid w:val="003460FC"/>
    <w:rsid w:val="00346E4D"/>
    <w:rsid w:val="0034721A"/>
    <w:rsid w:val="003501CD"/>
    <w:rsid w:val="003510DA"/>
    <w:rsid w:val="0035207F"/>
    <w:rsid w:val="0035332A"/>
    <w:rsid w:val="0035385E"/>
    <w:rsid w:val="00353EB1"/>
    <w:rsid w:val="003541B7"/>
    <w:rsid w:val="0035468B"/>
    <w:rsid w:val="00355309"/>
    <w:rsid w:val="0035547F"/>
    <w:rsid w:val="0035665C"/>
    <w:rsid w:val="00356DD9"/>
    <w:rsid w:val="00357F31"/>
    <w:rsid w:val="00360373"/>
    <w:rsid w:val="00360534"/>
    <w:rsid w:val="00361110"/>
    <w:rsid w:val="00361630"/>
    <w:rsid w:val="00361A6C"/>
    <w:rsid w:val="00361A97"/>
    <w:rsid w:val="00361AAC"/>
    <w:rsid w:val="00362170"/>
    <w:rsid w:val="0036223F"/>
    <w:rsid w:val="00362C96"/>
    <w:rsid w:val="00362EDC"/>
    <w:rsid w:val="00363283"/>
    <w:rsid w:val="0036371E"/>
    <w:rsid w:val="00363DD7"/>
    <w:rsid w:val="003642AC"/>
    <w:rsid w:val="0036451E"/>
    <w:rsid w:val="00364F09"/>
    <w:rsid w:val="00365A13"/>
    <w:rsid w:val="00365A56"/>
    <w:rsid w:val="00365B2D"/>
    <w:rsid w:val="0036630C"/>
    <w:rsid w:val="003663B5"/>
    <w:rsid w:val="003667D7"/>
    <w:rsid w:val="003672C6"/>
    <w:rsid w:val="003679CF"/>
    <w:rsid w:val="00367AF9"/>
    <w:rsid w:val="00367DA7"/>
    <w:rsid w:val="00370174"/>
    <w:rsid w:val="003703A4"/>
    <w:rsid w:val="00370522"/>
    <w:rsid w:val="0037194E"/>
    <w:rsid w:val="00371E96"/>
    <w:rsid w:val="003726BC"/>
    <w:rsid w:val="00372BBA"/>
    <w:rsid w:val="00372C6F"/>
    <w:rsid w:val="0037301C"/>
    <w:rsid w:val="00373F1A"/>
    <w:rsid w:val="00374063"/>
    <w:rsid w:val="00374A33"/>
    <w:rsid w:val="00374C51"/>
    <w:rsid w:val="00374D52"/>
    <w:rsid w:val="0037572E"/>
    <w:rsid w:val="00376EE5"/>
    <w:rsid w:val="003778AF"/>
    <w:rsid w:val="00377C2C"/>
    <w:rsid w:val="00377E0E"/>
    <w:rsid w:val="00380722"/>
    <w:rsid w:val="00381158"/>
    <w:rsid w:val="0038140D"/>
    <w:rsid w:val="00381824"/>
    <w:rsid w:val="0038241F"/>
    <w:rsid w:val="00382A01"/>
    <w:rsid w:val="00382EC2"/>
    <w:rsid w:val="00382F1D"/>
    <w:rsid w:val="00383501"/>
    <w:rsid w:val="00383D51"/>
    <w:rsid w:val="00384094"/>
    <w:rsid w:val="00384ABF"/>
    <w:rsid w:val="00385500"/>
    <w:rsid w:val="00386191"/>
    <w:rsid w:val="003862E2"/>
    <w:rsid w:val="00386444"/>
    <w:rsid w:val="003868B1"/>
    <w:rsid w:val="00386A62"/>
    <w:rsid w:val="00386E44"/>
    <w:rsid w:val="00387707"/>
    <w:rsid w:val="003878F5"/>
    <w:rsid w:val="00387CF5"/>
    <w:rsid w:val="00387D2D"/>
    <w:rsid w:val="00387F4E"/>
    <w:rsid w:val="0039002C"/>
    <w:rsid w:val="00390AA3"/>
    <w:rsid w:val="00390C37"/>
    <w:rsid w:val="00390F61"/>
    <w:rsid w:val="00391156"/>
    <w:rsid w:val="0039127F"/>
    <w:rsid w:val="0039194B"/>
    <w:rsid w:val="003919C9"/>
    <w:rsid w:val="003919F5"/>
    <w:rsid w:val="00392B7B"/>
    <w:rsid w:val="0039332B"/>
    <w:rsid w:val="003938AA"/>
    <w:rsid w:val="00393B7A"/>
    <w:rsid w:val="00393BEF"/>
    <w:rsid w:val="00393E2D"/>
    <w:rsid w:val="00393E46"/>
    <w:rsid w:val="00394E8A"/>
    <w:rsid w:val="003958AF"/>
    <w:rsid w:val="003959D7"/>
    <w:rsid w:val="00395A87"/>
    <w:rsid w:val="00395EB9"/>
    <w:rsid w:val="0039669F"/>
    <w:rsid w:val="003966EF"/>
    <w:rsid w:val="00396C87"/>
    <w:rsid w:val="00396D36"/>
    <w:rsid w:val="00397473"/>
    <w:rsid w:val="00397779"/>
    <w:rsid w:val="00397949"/>
    <w:rsid w:val="003A09E5"/>
    <w:rsid w:val="003A14A5"/>
    <w:rsid w:val="003A1A38"/>
    <w:rsid w:val="003A1AFB"/>
    <w:rsid w:val="003A1BC6"/>
    <w:rsid w:val="003A2086"/>
    <w:rsid w:val="003A271D"/>
    <w:rsid w:val="003A2F59"/>
    <w:rsid w:val="003A3B2C"/>
    <w:rsid w:val="003A40C6"/>
    <w:rsid w:val="003A43A0"/>
    <w:rsid w:val="003A49A7"/>
    <w:rsid w:val="003A539B"/>
    <w:rsid w:val="003A562A"/>
    <w:rsid w:val="003A585D"/>
    <w:rsid w:val="003A58C6"/>
    <w:rsid w:val="003A5EB2"/>
    <w:rsid w:val="003A62C3"/>
    <w:rsid w:val="003A7384"/>
    <w:rsid w:val="003A7620"/>
    <w:rsid w:val="003A7B97"/>
    <w:rsid w:val="003B0520"/>
    <w:rsid w:val="003B1178"/>
    <w:rsid w:val="003B2154"/>
    <w:rsid w:val="003B353F"/>
    <w:rsid w:val="003B3F84"/>
    <w:rsid w:val="003B41E6"/>
    <w:rsid w:val="003B42AB"/>
    <w:rsid w:val="003B45FA"/>
    <w:rsid w:val="003B4979"/>
    <w:rsid w:val="003B547B"/>
    <w:rsid w:val="003B5608"/>
    <w:rsid w:val="003B5751"/>
    <w:rsid w:val="003B6205"/>
    <w:rsid w:val="003B6318"/>
    <w:rsid w:val="003B68CC"/>
    <w:rsid w:val="003B727E"/>
    <w:rsid w:val="003B7288"/>
    <w:rsid w:val="003B7AB5"/>
    <w:rsid w:val="003B7E9A"/>
    <w:rsid w:val="003B7F77"/>
    <w:rsid w:val="003C00EE"/>
    <w:rsid w:val="003C0363"/>
    <w:rsid w:val="003C0AE0"/>
    <w:rsid w:val="003C0F57"/>
    <w:rsid w:val="003C1A38"/>
    <w:rsid w:val="003C1D3D"/>
    <w:rsid w:val="003C3446"/>
    <w:rsid w:val="003C39FD"/>
    <w:rsid w:val="003C3BE3"/>
    <w:rsid w:val="003C3F3A"/>
    <w:rsid w:val="003C3F43"/>
    <w:rsid w:val="003C46F6"/>
    <w:rsid w:val="003C48C0"/>
    <w:rsid w:val="003C4B2C"/>
    <w:rsid w:val="003C6147"/>
    <w:rsid w:val="003C6732"/>
    <w:rsid w:val="003C6BAD"/>
    <w:rsid w:val="003C6D6F"/>
    <w:rsid w:val="003C6E19"/>
    <w:rsid w:val="003D0049"/>
    <w:rsid w:val="003D0462"/>
    <w:rsid w:val="003D06DC"/>
    <w:rsid w:val="003D0C6F"/>
    <w:rsid w:val="003D101A"/>
    <w:rsid w:val="003D1392"/>
    <w:rsid w:val="003D1470"/>
    <w:rsid w:val="003D1645"/>
    <w:rsid w:val="003D17E0"/>
    <w:rsid w:val="003D1D22"/>
    <w:rsid w:val="003D1FC8"/>
    <w:rsid w:val="003D3417"/>
    <w:rsid w:val="003D37F9"/>
    <w:rsid w:val="003D3CEC"/>
    <w:rsid w:val="003D3E54"/>
    <w:rsid w:val="003D3EFF"/>
    <w:rsid w:val="003D47F0"/>
    <w:rsid w:val="003D4847"/>
    <w:rsid w:val="003D4DEF"/>
    <w:rsid w:val="003D5E24"/>
    <w:rsid w:val="003D62EA"/>
    <w:rsid w:val="003D6D53"/>
    <w:rsid w:val="003D6FD8"/>
    <w:rsid w:val="003D7239"/>
    <w:rsid w:val="003D7CC9"/>
    <w:rsid w:val="003D7E55"/>
    <w:rsid w:val="003E0C2B"/>
    <w:rsid w:val="003E116B"/>
    <w:rsid w:val="003E1886"/>
    <w:rsid w:val="003E1ED4"/>
    <w:rsid w:val="003E2150"/>
    <w:rsid w:val="003E2B7F"/>
    <w:rsid w:val="003E2BD5"/>
    <w:rsid w:val="003E2D99"/>
    <w:rsid w:val="003E2FBF"/>
    <w:rsid w:val="003E353B"/>
    <w:rsid w:val="003E3825"/>
    <w:rsid w:val="003E468F"/>
    <w:rsid w:val="003E4937"/>
    <w:rsid w:val="003E4F2C"/>
    <w:rsid w:val="003E51C1"/>
    <w:rsid w:val="003E5263"/>
    <w:rsid w:val="003E5523"/>
    <w:rsid w:val="003E5BAD"/>
    <w:rsid w:val="003E716F"/>
    <w:rsid w:val="003E7455"/>
    <w:rsid w:val="003E7CB3"/>
    <w:rsid w:val="003F0021"/>
    <w:rsid w:val="003F0078"/>
    <w:rsid w:val="003F02EB"/>
    <w:rsid w:val="003F08C1"/>
    <w:rsid w:val="003F0B49"/>
    <w:rsid w:val="003F0B96"/>
    <w:rsid w:val="003F1C90"/>
    <w:rsid w:val="003F1D6D"/>
    <w:rsid w:val="003F206F"/>
    <w:rsid w:val="003F2523"/>
    <w:rsid w:val="003F39EF"/>
    <w:rsid w:val="003F3FDD"/>
    <w:rsid w:val="003F43A9"/>
    <w:rsid w:val="003F443F"/>
    <w:rsid w:val="003F4690"/>
    <w:rsid w:val="003F4C7E"/>
    <w:rsid w:val="003F51F8"/>
    <w:rsid w:val="003F55EC"/>
    <w:rsid w:val="003F5A3B"/>
    <w:rsid w:val="003F5B1F"/>
    <w:rsid w:val="003F5EA4"/>
    <w:rsid w:val="003F62EE"/>
    <w:rsid w:val="003F6744"/>
    <w:rsid w:val="003F6C4B"/>
    <w:rsid w:val="003F71E3"/>
    <w:rsid w:val="004006BE"/>
    <w:rsid w:val="00400BD5"/>
    <w:rsid w:val="00400EBC"/>
    <w:rsid w:val="004011AF"/>
    <w:rsid w:val="004012A7"/>
    <w:rsid w:val="00402E6E"/>
    <w:rsid w:val="00402FC1"/>
    <w:rsid w:val="00403134"/>
    <w:rsid w:val="00403227"/>
    <w:rsid w:val="00403E39"/>
    <w:rsid w:val="00403F2D"/>
    <w:rsid w:val="004040A1"/>
    <w:rsid w:val="0040517E"/>
    <w:rsid w:val="004053C1"/>
    <w:rsid w:val="004056D6"/>
    <w:rsid w:val="00405AF1"/>
    <w:rsid w:val="00405C8D"/>
    <w:rsid w:val="00405D0E"/>
    <w:rsid w:val="0040642E"/>
    <w:rsid w:val="00406818"/>
    <w:rsid w:val="004069C7"/>
    <w:rsid w:val="004069C9"/>
    <w:rsid w:val="00406B81"/>
    <w:rsid w:val="004071DA"/>
    <w:rsid w:val="00407883"/>
    <w:rsid w:val="00407918"/>
    <w:rsid w:val="00407B80"/>
    <w:rsid w:val="00410041"/>
    <w:rsid w:val="0041006E"/>
    <w:rsid w:val="00411338"/>
    <w:rsid w:val="004114A7"/>
    <w:rsid w:val="004125B1"/>
    <w:rsid w:val="00412768"/>
    <w:rsid w:val="00412C54"/>
    <w:rsid w:val="00412CCE"/>
    <w:rsid w:val="00412E40"/>
    <w:rsid w:val="00413482"/>
    <w:rsid w:val="00413F3A"/>
    <w:rsid w:val="004140A3"/>
    <w:rsid w:val="00414160"/>
    <w:rsid w:val="0041499B"/>
    <w:rsid w:val="00414C8C"/>
    <w:rsid w:val="00414CB3"/>
    <w:rsid w:val="00414CDF"/>
    <w:rsid w:val="00415F82"/>
    <w:rsid w:val="0041608E"/>
    <w:rsid w:val="004164C2"/>
    <w:rsid w:val="00416624"/>
    <w:rsid w:val="00416943"/>
    <w:rsid w:val="00416FD3"/>
    <w:rsid w:val="00417745"/>
    <w:rsid w:val="00417EC0"/>
    <w:rsid w:val="00420461"/>
    <w:rsid w:val="0042162B"/>
    <w:rsid w:val="004216A4"/>
    <w:rsid w:val="004218F3"/>
    <w:rsid w:val="004219E0"/>
    <w:rsid w:val="00421CD5"/>
    <w:rsid w:val="00421F2E"/>
    <w:rsid w:val="00422033"/>
    <w:rsid w:val="004221D6"/>
    <w:rsid w:val="00422417"/>
    <w:rsid w:val="00422616"/>
    <w:rsid w:val="004226AD"/>
    <w:rsid w:val="0042329B"/>
    <w:rsid w:val="0042424D"/>
    <w:rsid w:val="00424619"/>
    <w:rsid w:val="0042471A"/>
    <w:rsid w:val="0042488B"/>
    <w:rsid w:val="00425A28"/>
    <w:rsid w:val="00426052"/>
    <w:rsid w:val="00426071"/>
    <w:rsid w:val="004263B2"/>
    <w:rsid w:val="00426AE3"/>
    <w:rsid w:val="00426F70"/>
    <w:rsid w:val="004274F1"/>
    <w:rsid w:val="00427A8C"/>
    <w:rsid w:val="00427D0C"/>
    <w:rsid w:val="00427DF6"/>
    <w:rsid w:val="00427ED4"/>
    <w:rsid w:val="00430056"/>
    <w:rsid w:val="004305E3"/>
    <w:rsid w:val="0043093C"/>
    <w:rsid w:val="00430DAD"/>
    <w:rsid w:val="0043117D"/>
    <w:rsid w:val="004312C8"/>
    <w:rsid w:val="00431BC9"/>
    <w:rsid w:val="0043361F"/>
    <w:rsid w:val="00433681"/>
    <w:rsid w:val="00433D23"/>
    <w:rsid w:val="00433F89"/>
    <w:rsid w:val="00434048"/>
    <w:rsid w:val="004347C6"/>
    <w:rsid w:val="004349B8"/>
    <w:rsid w:val="0043512B"/>
    <w:rsid w:val="004352EB"/>
    <w:rsid w:val="00435346"/>
    <w:rsid w:val="00435CAC"/>
    <w:rsid w:val="00435F2C"/>
    <w:rsid w:val="00436700"/>
    <w:rsid w:val="00436AE9"/>
    <w:rsid w:val="0043727D"/>
    <w:rsid w:val="0044023C"/>
    <w:rsid w:val="0044135D"/>
    <w:rsid w:val="00441DFA"/>
    <w:rsid w:val="004424D5"/>
    <w:rsid w:val="00442941"/>
    <w:rsid w:val="00442BC4"/>
    <w:rsid w:val="0044349B"/>
    <w:rsid w:val="004434B4"/>
    <w:rsid w:val="00443538"/>
    <w:rsid w:val="004442A2"/>
    <w:rsid w:val="00445469"/>
    <w:rsid w:val="004456B7"/>
    <w:rsid w:val="00446065"/>
    <w:rsid w:val="00446128"/>
    <w:rsid w:val="00447427"/>
    <w:rsid w:val="004474E9"/>
    <w:rsid w:val="0044766F"/>
    <w:rsid w:val="00447730"/>
    <w:rsid w:val="004477B5"/>
    <w:rsid w:val="00450567"/>
    <w:rsid w:val="004511FB"/>
    <w:rsid w:val="004513EB"/>
    <w:rsid w:val="00451BA1"/>
    <w:rsid w:val="00451BDD"/>
    <w:rsid w:val="00451D44"/>
    <w:rsid w:val="0045211B"/>
    <w:rsid w:val="00452771"/>
    <w:rsid w:val="00452946"/>
    <w:rsid w:val="00452E53"/>
    <w:rsid w:val="00454B4A"/>
    <w:rsid w:val="00455321"/>
    <w:rsid w:val="004558B6"/>
    <w:rsid w:val="004560AA"/>
    <w:rsid w:val="00456DEA"/>
    <w:rsid w:val="00456EB5"/>
    <w:rsid w:val="0045726D"/>
    <w:rsid w:val="004573D2"/>
    <w:rsid w:val="00457557"/>
    <w:rsid w:val="00457B48"/>
    <w:rsid w:val="00461E17"/>
    <w:rsid w:val="004623FA"/>
    <w:rsid w:val="004626CD"/>
    <w:rsid w:val="00463219"/>
    <w:rsid w:val="004632EC"/>
    <w:rsid w:val="004634D6"/>
    <w:rsid w:val="004635B7"/>
    <w:rsid w:val="00463B59"/>
    <w:rsid w:val="00464209"/>
    <w:rsid w:val="00464927"/>
    <w:rsid w:val="00464A1E"/>
    <w:rsid w:val="00464EB7"/>
    <w:rsid w:val="00465305"/>
    <w:rsid w:val="00465800"/>
    <w:rsid w:val="00465EC3"/>
    <w:rsid w:val="004666A1"/>
    <w:rsid w:val="0046709C"/>
    <w:rsid w:val="004674BB"/>
    <w:rsid w:val="00467A4C"/>
    <w:rsid w:val="00470AF5"/>
    <w:rsid w:val="00470BFF"/>
    <w:rsid w:val="00471F32"/>
    <w:rsid w:val="0047265C"/>
    <w:rsid w:val="00472993"/>
    <w:rsid w:val="00472D18"/>
    <w:rsid w:val="0047303D"/>
    <w:rsid w:val="004735E4"/>
    <w:rsid w:val="00473823"/>
    <w:rsid w:val="00473C45"/>
    <w:rsid w:val="00475A20"/>
    <w:rsid w:val="00475C1A"/>
    <w:rsid w:val="00475F60"/>
    <w:rsid w:val="00475F92"/>
    <w:rsid w:val="004760E0"/>
    <w:rsid w:val="00476321"/>
    <w:rsid w:val="00477030"/>
    <w:rsid w:val="00477098"/>
    <w:rsid w:val="0047741A"/>
    <w:rsid w:val="0047754B"/>
    <w:rsid w:val="00477AF3"/>
    <w:rsid w:val="00477B35"/>
    <w:rsid w:val="00477D56"/>
    <w:rsid w:val="00477DCB"/>
    <w:rsid w:val="00480157"/>
    <w:rsid w:val="004801A6"/>
    <w:rsid w:val="00480588"/>
    <w:rsid w:val="00481079"/>
    <w:rsid w:val="00481636"/>
    <w:rsid w:val="00481FAD"/>
    <w:rsid w:val="0048224F"/>
    <w:rsid w:val="00482451"/>
    <w:rsid w:val="00482A4F"/>
    <w:rsid w:val="00483AA8"/>
    <w:rsid w:val="00483FF6"/>
    <w:rsid w:val="0048426B"/>
    <w:rsid w:val="004857BB"/>
    <w:rsid w:val="004859CB"/>
    <w:rsid w:val="00485EFE"/>
    <w:rsid w:val="004870AE"/>
    <w:rsid w:val="004870E8"/>
    <w:rsid w:val="00487E69"/>
    <w:rsid w:val="0049031E"/>
    <w:rsid w:val="0049075A"/>
    <w:rsid w:val="00490C7C"/>
    <w:rsid w:val="00490E99"/>
    <w:rsid w:val="004912F0"/>
    <w:rsid w:val="0049222D"/>
    <w:rsid w:val="00492B06"/>
    <w:rsid w:val="00493163"/>
    <w:rsid w:val="00494225"/>
    <w:rsid w:val="004948DA"/>
    <w:rsid w:val="00494D8A"/>
    <w:rsid w:val="00495565"/>
    <w:rsid w:val="00495723"/>
    <w:rsid w:val="0049795E"/>
    <w:rsid w:val="00497A93"/>
    <w:rsid w:val="00497F59"/>
    <w:rsid w:val="004A044B"/>
    <w:rsid w:val="004A07B7"/>
    <w:rsid w:val="004A090D"/>
    <w:rsid w:val="004A0A44"/>
    <w:rsid w:val="004A0AAB"/>
    <w:rsid w:val="004A1665"/>
    <w:rsid w:val="004A1690"/>
    <w:rsid w:val="004A19B5"/>
    <w:rsid w:val="004A1E03"/>
    <w:rsid w:val="004A25AA"/>
    <w:rsid w:val="004A2FD2"/>
    <w:rsid w:val="004A303A"/>
    <w:rsid w:val="004A4788"/>
    <w:rsid w:val="004A4B90"/>
    <w:rsid w:val="004A4BF5"/>
    <w:rsid w:val="004A4C31"/>
    <w:rsid w:val="004A4F71"/>
    <w:rsid w:val="004A4FB6"/>
    <w:rsid w:val="004A539B"/>
    <w:rsid w:val="004A53AF"/>
    <w:rsid w:val="004A55E5"/>
    <w:rsid w:val="004A5AED"/>
    <w:rsid w:val="004A5EEF"/>
    <w:rsid w:val="004A6127"/>
    <w:rsid w:val="004A6EFA"/>
    <w:rsid w:val="004A7BEF"/>
    <w:rsid w:val="004B06D0"/>
    <w:rsid w:val="004B163E"/>
    <w:rsid w:val="004B17F9"/>
    <w:rsid w:val="004B1AAA"/>
    <w:rsid w:val="004B1D82"/>
    <w:rsid w:val="004B2303"/>
    <w:rsid w:val="004B2453"/>
    <w:rsid w:val="004B25B8"/>
    <w:rsid w:val="004B2866"/>
    <w:rsid w:val="004B2CC1"/>
    <w:rsid w:val="004B30D7"/>
    <w:rsid w:val="004B332F"/>
    <w:rsid w:val="004B3711"/>
    <w:rsid w:val="004B3811"/>
    <w:rsid w:val="004B3EDA"/>
    <w:rsid w:val="004B4022"/>
    <w:rsid w:val="004B410A"/>
    <w:rsid w:val="004B430C"/>
    <w:rsid w:val="004B46BB"/>
    <w:rsid w:val="004B46D8"/>
    <w:rsid w:val="004B5300"/>
    <w:rsid w:val="004B556D"/>
    <w:rsid w:val="004B570C"/>
    <w:rsid w:val="004B58B3"/>
    <w:rsid w:val="004B65B4"/>
    <w:rsid w:val="004B6E24"/>
    <w:rsid w:val="004B7124"/>
    <w:rsid w:val="004B761B"/>
    <w:rsid w:val="004B7DEA"/>
    <w:rsid w:val="004C043F"/>
    <w:rsid w:val="004C1064"/>
    <w:rsid w:val="004C1228"/>
    <w:rsid w:val="004C13C2"/>
    <w:rsid w:val="004C1565"/>
    <w:rsid w:val="004C16AE"/>
    <w:rsid w:val="004C187F"/>
    <w:rsid w:val="004C1D47"/>
    <w:rsid w:val="004C2AEE"/>
    <w:rsid w:val="004C2DE1"/>
    <w:rsid w:val="004C2EE6"/>
    <w:rsid w:val="004C2FB9"/>
    <w:rsid w:val="004C3257"/>
    <w:rsid w:val="004C38BF"/>
    <w:rsid w:val="004C45BE"/>
    <w:rsid w:val="004C45F0"/>
    <w:rsid w:val="004C4A84"/>
    <w:rsid w:val="004C4BDE"/>
    <w:rsid w:val="004C4E10"/>
    <w:rsid w:val="004C50DE"/>
    <w:rsid w:val="004C5121"/>
    <w:rsid w:val="004C6C64"/>
    <w:rsid w:val="004C70DE"/>
    <w:rsid w:val="004C77CB"/>
    <w:rsid w:val="004C7BFF"/>
    <w:rsid w:val="004C7C09"/>
    <w:rsid w:val="004C7E55"/>
    <w:rsid w:val="004C7E99"/>
    <w:rsid w:val="004C7FF1"/>
    <w:rsid w:val="004D0098"/>
    <w:rsid w:val="004D0ACC"/>
    <w:rsid w:val="004D1757"/>
    <w:rsid w:val="004D1AB8"/>
    <w:rsid w:val="004D21B6"/>
    <w:rsid w:val="004D268C"/>
    <w:rsid w:val="004D27AC"/>
    <w:rsid w:val="004D2CB5"/>
    <w:rsid w:val="004D2F21"/>
    <w:rsid w:val="004D322D"/>
    <w:rsid w:val="004D3BFF"/>
    <w:rsid w:val="004D4636"/>
    <w:rsid w:val="004D4B01"/>
    <w:rsid w:val="004D5493"/>
    <w:rsid w:val="004D56ED"/>
    <w:rsid w:val="004D67D7"/>
    <w:rsid w:val="004D6B00"/>
    <w:rsid w:val="004D790E"/>
    <w:rsid w:val="004E0A5D"/>
    <w:rsid w:val="004E0BDA"/>
    <w:rsid w:val="004E1440"/>
    <w:rsid w:val="004E162A"/>
    <w:rsid w:val="004E16D8"/>
    <w:rsid w:val="004E173C"/>
    <w:rsid w:val="004E1B60"/>
    <w:rsid w:val="004E2665"/>
    <w:rsid w:val="004E2814"/>
    <w:rsid w:val="004E2838"/>
    <w:rsid w:val="004E3409"/>
    <w:rsid w:val="004E3A67"/>
    <w:rsid w:val="004E3C41"/>
    <w:rsid w:val="004E40B2"/>
    <w:rsid w:val="004E4351"/>
    <w:rsid w:val="004E457E"/>
    <w:rsid w:val="004E46F2"/>
    <w:rsid w:val="004E4BFA"/>
    <w:rsid w:val="004E4F72"/>
    <w:rsid w:val="004E5887"/>
    <w:rsid w:val="004E58FE"/>
    <w:rsid w:val="004E5D33"/>
    <w:rsid w:val="004E654D"/>
    <w:rsid w:val="004E724D"/>
    <w:rsid w:val="004E7669"/>
    <w:rsid w:val="004E78C7"/>
    <w:rsid w:val="004E7BA3"/>
    <w:rsid w:val="004E7D88"/>
    <w:rsid w:val="004E7FDA"/>
    <w:rsid w:val="004F06E3"/>
    <w:rsid w:val="004F0B0F"/>
    <w:rsid w:val="004F111C"/>
    <w:rsid w:val="004F16DE"/>
    <w:rsid w:val="004F1C07"/>
    <w:rsid w:val="004F1DA8"/>
    <w:rsid w:val="004F2871"/>
    <w:rsid w:val="004F2E32"/>
    <w:rsid w:val="004F3499"/>
    <w:rsid w:val="004F34F9"/>
    <w:rsid w:val="004F3676"/>
    <w:rsid w:val="004F4636"/>
    <w:rsid w:val="004F4E58"/>
    <w:rsid w:val="004F5227"/>
    <w:rsid w:val="004F531B"/>
    <w:rsid w:val="004F54E6"/>
    <w:rsid w:val="004F55EC"/>
    <w:rsid w:val="004F5610"/>
    <w:rsid w:val="004F5760"/>
    <w:rsid w:val="004F5ABC"/>
    <w:rsid w:val="004F5F17"/>
    <w:rsid w:val="004F62C2"/>
    <w:rsid w:val="004F686F"/>
    <w:rsid w:val="004F6E11"/>
    <w:rsid w:val="004F6EA7"/>
    <w:rsid w:val="004F75BA"/>
    <w:rsid w:val="004F7D52"/>
    <w:rsid w:val="004F7EE8"/>
    <w:rsid w:val="005002D6"/>
    <w:rsid w:val="0050056A"/>
    <w:rsid w:val="005008E8"/>
    <w:rsid w:val="005009C7"/>
    <w:rsid w:val="0050169B"/>
    <w:rsid w:val="00501801"/>
    <w:rsid w:val="005024FC"/>
    <w:rsid w:val="00502D03"/>
    <w:rsid w:val="00503C81"/>
    <w:rsid w:val="00504ADB"/>
    <w:rsid w:val="00504B9B"/>
    <w:rsid w:val="0050535A"/>
    <w:rsid w:val="0050567E"/>
    <w:rsid w:val="00505916"/>
    <w:rsid w:val="00505987"/>
    <w:rsid w:val="005066DC"/>
    <w:rsid w:val="00506C4D"/>
    <w:rsid w:val="00506C6C"/>
    <w:rsid w:val="00506F73"/>
    <w:rsid w:val="0050793B"/>
    <w:rsid w:val="00507B7F"/>
    <w:rsid w:val="00507CFF"/>
    <w:rsid w:val="00510296"/>
    <w:rsid w:val="005104B6"/>
    <w:rsid w:val="005104D4"/>
    <w:rsid w:val="005105D7"/>
    <w:rsid w:val="005108BC"/>
    <w:rsid w:val="00510DB5"/>
    <w:rsid w:val="0051225B"/>
    <w:rsid w:val="00512420"/>
    <w:rsid w:val="005143A2"/>
    <w:rsid w:val="00514502"/>
    <w:rsid w:val="005149AF"/>
    <w:rsid w:val="00515551"/>
    <w:rsid w:val="005159E7"/>
    <w:rsid w:val="00515A87"/>
    <w:rsid w:val="00515B30"/>
    <w:rsid w:val="00515C17"/>
    <w:rsid w:val="00515C3D"/>
    <w:rsid w:val="00516843"/>
    <w:rsid w:val="005173F6"/>
    <w:rsid w:val="00520131"/>
    <w:rsid w:val="0052104A"/>
    <w:rsid w:val="00522A30"/>
    <w:rsid w:val="00522D21"/>
    <w:rsid w:val="00523418"/>
    <w:rsid w:val="00523982"/>
    <w:rsid w:val="00523CA5"/>
    <w:rsid w:val="00523D84"/>
    <w:rsid w:val="0052490F"/>
    <w:rsid w:val="00525496"/>
    <w:rsid w:val="005260A3"/>
    <w:rsid w:val="0052697A"/>
    <w:rsid w:val="00526CC1"/>
    <w:rsid w:val="00530BB8"/>
    <w:rsid w:val="00530C29"/>
    <w:rsid w:val="00530F35"/>
    <w:rsid w:val="0053115E"/>
    <w:rsid w:val="005311FC"/>
    <w:rsid w:val="00531BC2"/>
    <w:rsid w:val="00531DCC"/>
    <w:rsid w:val="005323BB"/>
    <w:rsid w:val="00532C56"/>
    <w:rsid w:val="00532E01"/>
    <w:rsid w:val="0053330A"/>
    <w:rsid w:val="00533581"/>
    <w:rsid w:val="005335A7"/>
    <w:rsid w:val="00533CB2"/>
    <w:rsid w:val="00534383"/>
    <w:rsid w:val="005346DD"/>
    <w:rsid w:val="00534914"/>
    <w:rsid w:val="00534968"/>
    <w:rsid w:val="0053522D"/>
    <w:rsid w:val="00535318"/>
    <w:rsid w:val="00535C4B"/>
    <w:rsid w:val="00535FA6"/>
    <w:rsid w:val="00536574"/>
    <w:rsid w:val="0053742D"/>
    <w:rsid w:val="00540981"/>
    <w:rsid w:val="00540D93"/>
    <w:rsid w:val="0054165A"/>
    <w:rsid w:val="00541EF3"/>
    <w:rsid w:val="00541F74"/>
    <w:rsid w:val="00541FC1"/>
    <w:rsid w:val="00542AA1"/>
    <w:rsid w:val="00542F4C"/>
    <w:rsid w:val="00543201"/>
    <w:rsid w:val="0054457A"/>
    <w:rsid w:val="005449B1"/>
    <w:rsid w:val="0054532A"/>
    <w:rsid w:val="0054551D"/>
    <w:rsid w:val="00545CB5"/>
    <w:rsid w:val="005460B6"/>
    <w:rsid w:val="00546519"/>
    <w:rsid w:val="0054690A"/>
    <w:rsid w:val="00546F03"/>
    <w:rsid w:val="0054729E"/>
    <w:rsid w:val="005473FB"/>
    <w:rsid w:val="00550269"/>
    <w:rsid w:val="00550821"/>
    <w:rsid w:val="00550CBA"/>
    <w:rsid w:val="0055127F"/>
    <w:rsid w:val="00551DA2"/>
    <w:rsid w:val="00551E1F"/>
    <w:rsid w:val="00552D5F"/>
    <w:rsid w:val="00552F95"/>
    <w:rsid w:val="00553362"/>
    <w:rsid w:val="00553518"/>
    <w:rsid w:val="00553B7A"/>
    <w:rsid w:val="00553D2B"/>
    <w:rsid w:val="00553D4E"/>
    <w:rsid w:val="00553DE3"/>
    <w:rsid w:val="0055405C"/>
    <w:rsid w:val="00554084"/>
    <w:rsid w:val="005546DB"/>
    <w:rsid w:val="00554896"/>
    <w:rsid w:val="005553EB"/>
    <w:rsid w:val="00555605"/>
    <w:rsid w:val="00555662"/>
    <w:rsid w:val="00557812"/>
    <w:rsid w:val="005602B6"/>
    <w:rsid w:val="005611B0"/>
    <w:rsid w:val="005611E4"/>
    <w:rsid w:val="005616B7"/>
    <w:rsid w:val="005616E7"/>
    <w:rsid w:val="00561A5B"/>
    <w:rsid w:val="00561DAD"/>
    <w:rsid w:val="00561F5E"/>
    <w:rsid w:val="005623C1"/>
    <w:rsid w:val="00562421"/>
    <w:rsid w:val="0056268D"/>
    <w:rsid w:val="005626AE"/>
    <w:rsid w:val="00563086"/>
    <w:rsid w:val="005638CA"/>
    <w:rsid w:val="00564252"/>
    <w:rsid w:val="00564348"/>
    <w:rsid w:val="00564BE9"/>
    <w:rsid w:val="00564C5D"/>
    <w:rsid w:val="00565091"/>
    <w:rsid w:val="005658CE"/>
    <w:rsid w:val="00565B95"/>
    <w:rsid w:val="00565DBA"/>
    <w:rsid w:val="00565FA3"/>
    <w:rsid w:val="005667C2"/>
    <w:rsid w:val="00566AF7"/>
    <w:rsid w:val="00566CFB"/>
    <w:rsid w:val="00566DAA"/>
    <w:rsid w:val="005673D1"/>
    <w:rsid w:val="0056749B"/>
    <w:rsid w:val="00567A7A"/>
    <w:rsid w:val="00567F7A"/>
    <w:rsid w:val="00570361"/>
    <w:rsid w:val="0057068A"/>
    <w:rsid w:val="00570926"/>
    <w:rsid w:val="00570B7C"/>
    <w:rsid w:val="0057111E"/>
    <w:rsid w:val="00571C81"/>
    <w:rsid w:val="005727A0"/>
    <w:rsid w:val="00573435"/>
    <w:rsid w:val="005738BC"/>
    <w:rsid w:val="00573B8A"/>
    <w:rsid w:val="00573C38"/>
    <w:rsid w:val="00574BEA"/>
    <w:rsid w:val="00575550"/>
    <w:rsid w:val="00575559"/>
    <w:rsid w:val="005757B0"/>
    <w:rsid w:val="005766DB"/>
    <w:rsid w:val="00576925"/>
    <w:rsid w:val="00576ADC"/>
    <w:rsid w:val="00576AED"/>
    <w:rsid w:val="005773ED"/>
    <w:rsid w:val="00580835"/>
    <w:rsid w:val="0058154C"/>
    <w:rsid w:val="005815EF"/>
    <w:rsid w:val="005819FF"/>
    <w:rsid w:val="00582702"/>
    <w:rsid w:val="00582915"/>
    <w:rsid w:val="00582D7A"/>
    <w:rsid w:val="00582EF1"/>
    <w:rsid w:val="005831C8"/>
    <w:rsid w:val="005835F8"/>
    <w:rsid w:val="00583CE9"/>
    <w:rsid w:val="00583E89"/>
    <w:rsid w:val="005843D1"/>
    <w:rsid w:val="00584AA4"/>
    <w:rsid w:val="005854C7"/>
    <w:rsid w:val="00586659"/>
    <w:rsid w:val="005874B8"/>
    <w:rsid w:val="00587515"/>
    <w:rsid w:val="005904AB"/>
    <w:rsid w:val="00590528"/>
    <w:rsid w:val="005909DA"/>
    <w:rsid w:val="00590A0D"/>
    <w:rsid w:val="00591E00"/>
    <w:rsid w:val="005923F3"/>
    <w:rsid w:val="005927D7"/>
    <w:rsid w:val="00592943"/>
    <w:rsid w:val="00592F64"/>
    <w:rsid w:val="00594084"/>
    <w:rsid w:val="00594477"/>
    <w:rsid w:val="00594493"/>
    <w:rsid w:val="00594C77"/>
    <w:rsid w:val="00596631"/>
    <w:rsid w:val="005966C4"/>
    <w:rsid w:val="005969DB"/>
    <w:rsid w:val="00596A00"/>
    <w:rsid w:val="00596A99"/>
    <w:rsid w:val="0059738D"/>
    <w:rsid w:val="00597520"/>
    <w:rsid w:val="005A00DC"/>
    <w:rsid w:val="005A02C7"/>
    <w:rsid w:val="005A0348"/>
    <w:rsid w:val="005A0B29"/>
    <w:rsid w:val="005A14D8"/>
    <w:rsid w:val="005A1A64"/>
    <w:rsid w:val="005A1D6C"/>
    <w:rsid w:val="005A2426"/>
    <w:rsid w:val="005A2547"/>
    <w:rsid w:val="005A26D8"/>
    <w:rsid w:val="005A2A4D"/>
    <w:rsid w:val="005A2A9D"/>
    <w:rsid w:val="005A3108"/>
    <w:rsid w:val="005A3ACC"/>
    <w:rsid w:val="005A408E"/>
    <w:rsid w:val="005A42DF"/>
    <w:rsid w:val="005A4328"/>
    <w:rsid w:val="005A4757"/>
    <w:rsid w:val="005A5C82"/>
    <w:rsid w:val="005A60C3"/>
    <w:rsid w:val="005A6392"/>
    <w:rsid w:val="005A65DC"/>
    <w:rsid w:val="005A65E7"/>
    <w:rsid w:val="005A6C6A"/>
    <w:rsid w:val="005A75CC"/>
    <w:rsid w:val="005A7649"/>
    <w:rsid w:val="005A79D2"/>
    <w:rsid w:val="005B05FE"/>
    <w:rsid w:val="005B0687"/>
    <w:rsid w:val="005B070E"/>
    <w:rsid w:val="005B115B"/>
    <w:rsid w:val="005B11B7"/>
    <w:rsid w:val="005B1B2A"/>
    <w:rsid w:val="005B231F"/>
    <w:rsid w:val="005B2362"/>
    <w:rsid w:val="005B2D2A"/>
    <w:rsid w:val="005B2FA7"/>
    <w:rsid w:val="005B3035"/>
    <w:rsid w:val="005B3128"/>
    <w:rsid w:val="005B3EBB"/>
    <w:rsid w:val="005B4139"/>
    <w:rsid w:val="005B4E7D"/>
    <w:rsid w:val="005B557B"/>
    <w:rsid w:val="005B5665"/>
    <w:rsid w:val="005B5BE8"/>
    <w:rsid w:val="005B5DDC"/>
    <w:rsid w:val="005B66D5"/>
    <w:rsid w:val="005B68BB"/>
    <w:rsid w:val="005B7A2A"/>
    <w:rsid w:val="005B7E07"/>
    <w:rsid w:val="005C02F6"/>
    <w:rsid w:val="005C03A2"/>
    <w:rsid w:val="005C0569"/>
    <w:rsid w:val="005C16D1"/>
    <w:rsid w:val="005C1994"/>
    <w:rsid w:val="005C1B53"/>
    <w:rsid w:val="005C1E12"/>
    <w:rsid w:val="005C2C00"/>
    <w:rsid w:val="005C2D51"/>
    <w:rsid w:val="005C2DC8"/>
    <w:rsid w:val="005C3833"/>
    <w:rsid w:val="005C3FA4"/>
    <w:rsid w:val="005C517E"/>
    <w:rsid w:val="005C5A30"/>
    <w:rsid w:val="005C6334"/>
    <w:rsid w:val="005C6864"/>
    <w:rsid w:val="005C6EE6"/>
    <w:rsid w:val="005C72F8"/>
    <w:rsid w:val="005C7834"/>
    <w:rsid w:val="005D089E"/>
    <w:rsid w:val="005D0CD5"/>
    <w:rsid w:val="005D11BC"/>
    <w:rsid w:val="005D1CEF"/>
    <w:rsid w:val="005D2CC3"/>
    <w:rsid w:val="005D2D8E"/>
    <w:rsid w:val="005D2E16"/>
    <w:rsid w:val="005D2F66"/>
    <w:rsid w:val="005D3846"/>
    <w:rsid w:val="005D3D32"/>
    <w:rsid w:val="005D4175"/>
    <w:rsid w:val="005D4379"/>
    <w:rsid w:val="005D4D15"/>
    <w:rsid w:val="005D5632"/>
    <w:rsid w:val="005D5E63"/>
    <w:rsid w:val="005D5ED0"/>
    <w:rsid w:val="005D5F07"/>
    <w:rsid w:val="005D6496"/>
    <w:rsid w:val="005D6D89"/>
    <w:rsid w:val="005D7071"/>
    <w:rsid w:val="005D779D"/>
    <w:rsid w:val="005E0299"/>
    <w:rsid w:val="005E0652"/>
    <w:rsid w:val="005E068A"/>
    <w:rsid w:val="005E12CC"/>
    <w:rsid w:val="005E1AB3"/>
    <w:rsid w:val="005E284A"/>
    <w:rsid w:val="005E2DF1"/>
    <w:rsid w:val="005E340C"/>
    <w:rsid w:val="005E3411"/>
    <w:rsid w:val="005E357A"/>
    <w:rsid w:val="005E3641"/>
    <w:rsid w:val="005E3794"/>
    <w:rsid w:val="005E410C"/>
    <w:rsid w:val="005E4385"/>
    <w:rsid w:val="005E44EF"/>
    <w:rsid w:val="005E47C0"/>
    <w:rsid w:val="005E4BF1"/>
    <w:rsid w:val="005E4DCD"/>
    <w:rsid w:val="005E4F0A"/>
    <w:rsid w:val="005E57FA"/>
    <w:rsid w:val="005E5D07"/>
    <w:rsid w:val="005E5FB6"/>
    <w:rsid w:val="005E6360"/>
    <w:rsid w:val="005E66AE"/>
    <w:rsid w:val="005E6CAA"/>
    <w:rsid w:val="005E6CBC"/>
    <w:rsid w:val="005E7A20"/>
    <w:rsid w:val="005E7A3C"/>
    <w:rsid w:val="005F0609"/>
    <w:rsid w:val="005F07FD"/>
    <w:rsid w:val="005F0E18"/>
    <w:rsid w:val="005F0EDB"/>
    <w:rsid w:val="005F0F4E"/>
    <w:rsid w:val="005F1048"/>
    <w:rsid w:val="005F146F"/>
    <w:rsid w:val="005F1AE5"/>
    <w:rsid w:val="005F1AE9"/>
    <w:rsid w:val="005F2391"/>
    <w:rsid w:val="005F2428"/>
    <w:rsid w:val="005F2438"/>
    <w:rsid w:val="005F2536"/>
    <w:rsid w:val="005F25E0"/>
    <w:rsid w:val="005F261B"/>
    <w:rsid w:val="005F26DE"/>
    <w:rsid w:val="005F290B"/>
    <w:rsid w:val="005F29DA"/>
    <w:rsid w:val="005F2AD9"/>
    <w:rsid w:val="005F303A"/>
    <w:rsid w:val="005F34C6"/>
    <w:rsid w:val="005F37F5"/>
    <w:rsid w:val="005F3B16"/>
    <w:rsid w:val="005F3D15"/>
    <w:rsid w:val="005F4050"/>
    <w:rsid w:val="005F42FB"/>
    <w:rsid w:val="005F51AB"/>
    <w:rsid w:val="005F5819"/>
    <w:rsid w:val="005F5C84"/>
    <w:rsid w:val="005F5CFE"/>
    <w:rsid w:val="005F5F47"/>
    <w:rsid w:val="005F61AF"/>
    <w:rsid w:val="005F635E"/>
    <w:rsid w:val="005F729E"/>
    <w:rsid w:val="005F7D1B"/>
    <w:rsid w:val="0060180A"/>
    <w:rsid w:val="0060244E"/>
    <w:rsid w:val="006027F3"/>
    <w:rsid w:val="00602C23"/>
    <w:rsid w:val="006031B4"/>
    <w:rsid w:val="00603684"/>
    <w:rsid w:val="00603987"/>
    <w:rsid w:val="0060421A"/>
    <w:rsid w:val="00604B03"/>
    <w:rsid w:val="00604B11"/>
    <w:rsid w:val="00604B53"/>
    <w:rsid w:val="0060520A"/>
    <w:rsid w:val="00605966"/>
    <w:rsid w:val="00605CB2"/>
    <w:rsid w:val="00606488"/>
    <w:rsid w:val="00606B0B"/>
    <w:rsid w:val="00606F6A"/>
    <w:rsid w:val="006073E2"/>
    <w:rsid w:val="006077E9"/>
    <w:rsid w:val="006079FF"/>
    <w:rsid w:val="00607AA0"/>
    <w:rsid w:val="00607F9F"/>
    <w:rsid w:val="006111C2"/>
    <w:rsid w:val="006111C8"/>
    <w:rsid w:val="00611380"/>
    <w:rsid w:val="006116BE"/>
    <w:rsid w:val="0061207D"/>
    <w:rsid w:val="00612096"/>
    <w:rsid w:val="00612592"/>
    <w:rsid w:val="00612645"/>
    <w:rsid w:val="00612798"/>
    <w:rsid w:val="006134CB"/>
    <w:rsid w:val="006135D2"/>
    <w:rsid w:val="00613648"/>
    <w:rsid w:val="006137BA"/>
    <w:rsid w:val="006137C1"/>
    <w:rsid w:val="00613C7E"/>
    <w:rsid w:val="00614420"/>
    <w:rsid w:val="0061493F"/>
    <w:rsid w:val="00614EF5"/>
    <w:rsid w:val="0061587C"/>
    <w:rsid w:val="006159E8"/>
    <w:rsid w:val="006169C9"/>
    <w:rsid w:val="00617602"/>
    <w:rsid w:val="00617F20"/>
    <w:rsid w:val="0062051A"/>
    <w:rsid w:val="006218B9"/>
    <w:rsid w:val="0062259A"/>
    <w:rsid w:val="00622EDA"/>
    <w:rsid w:val="006230AA"/>
    <w:rsid w:val="00623308"/>
    <w:rsid w:val="0062398C"/>
    <w:rsid w:val="00623B74"/>
    <w:rsid w:val="00623C70"/>
    <w:rsid w:val="0062400F"/>
    <w:rsid w:val="006249D5"/>
    <w:rsid w:val="00624C06"/>
    <w:rsid w:val="00625456"/>
    <w:rsid w:val="00626827"/>
    <w:rsid w:val="00626BEB"/>
    <w:rsid w:val="00626BF0"/>
    <w:rsid w:val="006274A0"/>
    <w:rsid w:val="00627856"/>
    <w:rsid w:val="00630262"/>
    <w:rsid w:val="006302D0"/>
    <w:rsid w:val="0063075F"/>
    <w:rsid w:val="006317AA"/>
    <w:rsid w:val="00631C93"/>
    <w:rsid w:val="00631E59"/>
    <w:rsid w:val="00631FAD"/>
    <w:rsid w:val="00632EA2"/>
    <w:rsid w:val="00633389"/>
    <w:rsid w:val="0063361F"/>
    <w:rsid w:val="006342F3"/>
    <w:rsid w:val="006348CD"/>
    <w:rsid w:val="00635C05"/>
    <w:rsid w:val="00635E45"/>
    <w:rsid w:val="00637008"/>
    <w:rsid w:val="00637F36"/>
    <w:rsid w:val="00640100"/>
    <w:rsid w:val="0064016A"/>
    <w:rsid w:val="0064065E"/>
    <w:rsid w:val="00640BD5"/>
    <w:rsid w:val="00640FFC"/>
    <w:rsid w:val="0064195D"/>
    <w:rsid w:val="00641CB3"/>
    <w:rsid w:val="0064229E"/>
    <w:rsid w:val="00642420"/>
    <w:rsid w:val="00642421"/>
    <w:rsid w:val="0064284C"/>
    <w:rsid w:val="00642D3D"/>
    <w:rsid w:val="0064364A"/>
    <w:rsid w:val="006436EA"/>
    <w:rsid w:val="006439A3"/>
    <w:rsid w:val="00643D75"/>
    <w:rsid w:val="006447EA"/>
    <w:rsid w:val="0064508A"/>
    <w:rsid w:val="006450E1"/>
    <w:rsid w:val="0064534F"/>
    <w:rsid w:val="00645388"/>
    <w:rsid w:val="006469BD"/>
    <w:rsid w:val="006478EB"/>
    <w:rsid w:val="0065038B"/>
    <w:rsid w:val="00650605"/>
    <w:rsid w:val="006507B8"/>
    <w:rsid w:val="0065176A"/>
    <w:rsid w:val="0065196D"/>
    <w:rsid w:val="00651D2E"/>
    <w:rsid w:val="0065271E"/>
    <w:rsid w:val="00653C26"/>
    <w:rsid w:val="00654CFD"/>
    <w:rsid w:val="00655421"/>
    <w:rsid w:val="006562E1"/>
    <w:rsid w:val="00656484"/>
    <w:rsid w:val="006568F6"/>
    <w:rsid w:val="00656AE0"/>
    <w:rsid w:val="00656D82"/>
    <w:rsid w:val="00656F67"/>
    <w:rsid w:val="006570E9"/>
    <w:rsid w:val="00657D32"/>
    <w:rsid w:val="00657EDC"/>
    <w:rsid w:val="00660434"/>
    <w:rsid w:val="006605BF"/>
    <w:rsid w:val="00660929"/>
    <w:rsid w:val="00660EEC"/>
    <w:rsid w:val="006610F5"/>
    <w:rsid w:val="00661B54"/>
    <w:rsid w:val="00661B69"/>
    <w:rsid w:val="0066241F"/>
    <w:rsid w:val="00662660"/>
    <w:rsid w:val="00663230"/>
    <w:rsid w:val="006639EF"/>
    <w:rsid w:val="00663A55"/>
    <w:rsid w:val="00663E9A"/>
    <w:rsid w:val="00664A5D"/>
    <w:rsid w:val="00664B33"/>
    <w:rsid w:val="00665724"/>
    <w:rsid w:val="00665C16"/>
    <w:rsid w:val="00665F30"/>
    <w:rsid w:val="00666553"/>
    <w:rsid w:val="00666AD3"/>
    <w:rsid w:val="00666B61"/>
    <w:rsid w:val="00666BD3"/>
    <w:rsid w:val="00666CFD"/>
    <w:rsid w:val="00667641"/>
    <w:rsid w:val="00667874"/>
    <w:rsid w:val="00667C2B"/>
    <w:rsid w:val="00667D82"/>
    <w:rsid w:val="00667F2D"/>
    <w:rsid w:val="006704F2"/>
    <w:rsid w:val="006706B2"/>
    <w:rsid w:val="006716DF"/>
    <w:rsid w:val="00671960"/>
    <w:rsid w:val="00671CC9"/>
    <w:rsid w:val="0067241A"/>
    <w:rsid w:val="006724F3"/>
    <w:rsid w:val="006728F4"/>
    <w:rsid w:val="00672948"/>
    <w:rsid w:val="00672C61"/>
    <w:rsid w:val="0067357B"/>
    <w:rsid w:val="006742B7"/>
    <w:rsid w:val="0067469F"/>
    <w:rsid w:val="00674C7C"/>
    <w:rsid w:val="00674E52"/>
    <w:rsid w:val="00674EFF"/>
    <w:rsid w:val="0067566B"/>
    <w:rsid w:val="0067655E"/>
    <w:rsid w:val="00676831"/>
    <w:rsid w:val="00676952"/>
    <w:rsid w:val="00677768"/>
    <w:rsid w:val="00677979"/>
    <w:rsid w:val="006803AC"/>
    <w:rsid w:val="00680A83"/>
    <w:rsid w:val="00681B2B"/>
    <w:rsid w:val="00682046"/>
    <w:rsid w:val="0068228C"/>
    <w:rsid w:val="006829A9"/>
    <w:rsid w:val="00682E56"/>
    <w:rsid w:val="006831BB"/>
    <w:rsid w:val="00683946"/>
    <w:rsid w:val="00683B95"/>
    <w:rsid w:val="006842B7"/>
    <w:rsid w:val="006843C9"/>
    <w:rsid w:val="00684444"/>
    <w:rsid w:val="0068458B"/>
    <w:rsid w:val="00684CAF"/>
    <w:rsid w:val="00684F7E"/>
    <w:rsid w:val="0068508C"/>
    <w:rsid w:val="006853AA"/>
    <w:rsid w:val="006857EB"/>
    <w:rsid w:val="00685A98"/>
    <w:rsid w:val="00685EB0"/>
    <w:rsid w:val="00686551"/>
    <w:rsid w:val="006900AF"/>
    <w:rsid w:val="0069027B"/>
    <w:rsid w:val="006907D1"/>
    <w:rsid w:val="006914D8"/>
    <w:rsid w:val="00692288"/>
    <w:rsid w:val="00692605"/>
    <w:rsid w:val="0069261B"/>
    <w:rsid w:val="0069295C"/>
    <w:rsid w:val="0069336C"/>
    <w:rsid w:val="006941C9"/>
    <w:rsid w:val="0069438F"/>
    <w:rsid w:val="006944BF"/>
    <w:rsid w:val="00695AC4"/>
    <w:rsid w:val="00695AD5"/>
    <w:rsid w:val="00695F75"/>
    <w:rsid w:val="006976A3"/>
    <w:rsid w:val="00697B4C"/>
    <w:rsid w:val="006A009D"/>
    <w:rsid w:val="006A0CCF"/>
    <w:rsid w:val="006A1B4B"/>
    <w:rsid w:val="006A1E45"/>
    <w:rsid w:val="006A3145"/>
    <w:rsid w:val="006A32B6"/>
    <w:rsid w:val="006A3354"/>
    <w:rsid w:val="006A346C"/>
    <w:rsid w:val="006A36D4"/>
    <w:rsid w:val="006A3B56"/>
    <w:rsid w:val="006A47B4"/>
    <w:rsid w:val="006A49DF"/>
    <w:rsid w:val="006A4FA9"/>
    <w:rsid w:val="006A50FC"/>
    <w:rsid w:val="006A52B9"/>
    <w:rsid w:val="006A52EF"/>
    <w:rsid w:val="006A53C9"/>
    <w:rsid w:val="006A55E8"/>
    <w:rsid w:val="006A578C"/>
    <w:rsid w:val="006A5BA6"/>
    <w:rsid w:val="006A5F8F"/>
    <w:rsid w:val="006A6496"/>
    <w:rsid w:val="006A6654"/>
    <w:rsid w:val="006A6BE8"/>
    <w:rsid w:val="006A7117"/>
    <w:rsid w:val="006A7D7D"/>
    <w:rsid w:val="006A7E8D"/>
    <w:rsid w:val="006B00C2"/>
    <w:rsid w:val="006B0703"/>
    <w:rsid w:val="006B0799"/>
    <w:rsid w:val="006B08F2"/>
    <w:rsid w:val="006B091D"/>
    <w:rsid w:val="006B09E2"/>
    <w:rsid w:val="006B0BD9"/>
    <w:rsid w:val="006B0CE2"/>
    <w:rsid w:val="006B0FDD"/>
    <w:rsid w:val="006B1E52"/>
    <w:rsid w:val="006B1FD3"/>
    <w:rsid w:val="006B25D0"/>
    <w:rsid w:val="006B349B"/>
    <w:rsid w:val="006B3F47"/>
    <w:rsid w:val="006B47D1"/>
    <w:rsid w:val="006B4867"/>
    <w:rsid w:val="006B607C"/>
    <w:rsid w:val="006B6992"/>
    <w:rsid w:val="006B6B0F"/>
    <w:rsid w:val="006B7BF7"/>
    <w:rsid w:val="006C1248"/>
    <w:rsid w:val="006C126B"/>
    <w:rsid w:val="006C141B"/>
    <w:rsid w:val="006C1896"/>
    <w:rsid w:val="006C1CB1"/>
    <w:rsid w:val="006C1F4A"/>
    <w:rsid w:val="006C286C"/>
    <w:rsid w:val="006C2F8C"/>
    <w:rsid w:val="006C3441"/>
    <w:rsid w:val="006C360F"/>
    <w:rsid w:val="006C3A34"/>
    <w:rsid w:val="006C4135"/>
    <w:rsid w:val="006C474B"/>
    <w:rsid w:val="006C4FC7"/>
    <w:rsid w:val="006C5711"/>
    <w:rsid w:val="006C5DCC"/>
    <w:rsid w:val="006C654F"/>
    <w:rsid w:val="006C6A8B"/>
    <w:rsid w:val="006C6B81"/>
    <w:rsid w:val="006C6BDE"/>
    <w:rsid w:val="006C6CBF"/>
    <w:rsid w:val="006C6FBB"/>
    <w:rsid w:val="006D0491"/>
    <w:rsid w:val="006D095E"/>
    <w:rsid w:val="006D0A69"/>
    <w:rsid w:val="006D0AA4"/>
    <w:rsid w:val="006D1866"/>
    <w:rsid w:val="006D1F43"/>
    <w:rsid w:val="006D27DB"/>
    <w:rsid w:val="006D30C4"/>
    <w:rsid w:val="006D34A5"/>
    <w:rsid w:val="006D3AE5"/>
    <w:rsid w:val="006D4344"/>
    <w:rsid w:val="006D439C"/>
    <w:rsid w:val="006D48DD"/>
    <w:rsid w:val="006D4A59"/>
    <w:rsid w:val="006D5233"/>
    <w:rsid w:val="006D65B9"/>
    <w:rsid w:val="006D6B4B"/>
    <w:rsid w:val="006D6EA6"/>
    <w:rsid w:val="006D6F4A"/>
    <w:rsid w:val="006D74B3"/>
    <w:rsid w:val="006D7C89"/>
    <w:rsid w:val="006E09AD"/>
    <w:rsid w:val="006E0ED7"/>
    <w:rsid w:val="006E0F61"/>
    <w:rsid w:val="006E1366"/>
    <w:rsid w:val="006E155F"/>
    <w:rsid w:val="006E1C2C"/>
    <w:rsid w:val="006E23F4"/>
    <w:rsid w:val="006E47EC"/>
    <w:rsid w:val="006E53AD"/>
    <w:rsid w:val="006E5462"/>
    <w:rsid w:val="006E59B6"/>
    <w:rsid w:val="006E63E0"/>
    <w:rsid w:val="006E64FC"/>
    <w:rsid w:val="006E6807"/>
    <w:rsid w:val="006E75C6"/>
    <w:rsid w:val="006E75F6"/>
    <w:rsid w:val="006E7A4B"/>
    <w:rsid w:val="006E7A68"/>
    <w:rsid w:val="006E7CD1"/>
    <w:rsid w:val="006E7DAB"/>
    <w:rsid w:val="006F0559"/>
    <w:rsid w:val="006F1480"/>
    <w:rsid w:val="006F1E02"/>
    <w:rsid w:val="006F2018"/>
    <w:rsid w:val="006F2378"/>
    <w:rsid w:val="006F29CF"/>
    <w:rsid w:val="006F321C"/>
    <w:rsid w:val="006F3321"/>
    <w:rsid w:val="006F3492"/>
    <w:rsid w:val="006F357E"/>
    <w:rsid w:val="006F379A"/>
    <w:rsid w:val="006F381B"/>
    <w:rsid w:val="006F419F"/>
    <w:rsid w:val="006F42BF"/>
    <w:rsid w:val="006F4812"/>
    <w:rsid w:val="006F4D2B"/>
    <w:rsid w:val="006F54C8"/>
    <w:rsid w:val="006F5507"/>
    <w:rsid w:val="006F55DC"/>
    <w:rsid w:val="006F5700"/>
    <w:rsid w:val="006F6C0C"/>
    <w:rsid w:val="00700858"/>
    <w:rsid w:val="00700D2F"/>
    <w:rsid w:val="00701CFC"/>
    <w:rsid w:val="00702F49"/>
    <w:rsid w:val="007030A9"/>
    <w:rsid w:val="00703945"/>
    <w:rsid w:val="00703F60"/>
    <w:rsid w:val="00704332"/>
    <w:rsid w:val="007043EF"/>
    <w:rsid w:val="007047EC"/>
    <w:rsid w:val="0070493B"/>
    <w:rsid w:val="0070573A"/>
    <w:rsid w:val="00705A81"/>
    <w:rsid w:val="007062CD"/>
    <w:rsid w:val="00706940"/>
    <w:rsid w:val="00706CEE"/>
    <w:rsid w:val="00706D06"/>
    <w:rsid w:val="0070718E"/>
    <w:rsid w:val="007071E4"/>
    <w:rsid w:val="007105A9"/>
    <w:rsid w:val="0071164B"/>
    <w:rsid w:val="00711766"/>
    <w:rsid w:val="0071179B"/>
    <w:rsid w:val="00712942"/>
    <w:rsid w:val="00712F00"/>
    <w:rsid w:val="007130E2"/>
    <w:rsid w:val="0071349E"/>
    <w:rsid w:val="00713920"/>
    <w:rsid w:val="00713B0D"/>
    <w:rsid w:val="00714082"/>
    <w:rsid w:val="00714874"/>
    <w:rsid w:val="00714C90"/>
    <w:rsid w:val="00714DFE"/>
    <w:rsid w:val="00715367"/>
    <w:rsid w:val="0071568A"/>
    <w:rsid w:val="00716179"/>
    <w:rsid w:val="00716251"/>
    <w:rsid w:val="007163B1"/>
    <w:rsid w:val="00716775"/>
    <w:rsid w:val="007169A9"/>
    <w:rsid w:val="0071763C"/>
    <w:rsid w:val="007178FC"/>
    <w:rsid w:val="00717A5B"/>
    <w:rsid w:val="00717B35"/>
    <w:rsid w:val="00717C0B"/>
    <w:rsid w:val="0072039B"/>
    <w:rsid w:val="00720CDA"/>
    <w:rsid w:val="00720EF2"/>
    <w:rsid w:val="007217BB"/>
    <w:rsid w:val="00721D4C"/>
    <w:rsid w:val="00722237"/>
    <w:rsid w:val="00722263"/>
    <w:rsid w:val="007223A7"/>
    <w:rsid w:val="0072289F"/>
    <w:rsid w:val="00722E59"/>
    <w:rsid w:val="00723363"/>
    <w:rsid w:val="00723594"/>
    <w:rsid w:val="0072370B"/>
    <w:rsid w:val="007238B9"/>
    <w:rsid w:val="00723CA4"/>
    <w:rsid w:val="00723D82"/>
    <w:rsid w:val="00725023"/>
    <w:rsid w:val="00725098"/>
    <w:rsid w:val="00725C99"/>
    <w:rsid w:val="00725F6D"/>
    <w:rsid w:val="0072729A"/>
    <w:rsid w:val="007273F0"/>
    <w:rsid w:val="007278A7"/>
    <w:rsid w:val="00730481"/>
    <w:rsid w:val="007304B9"/>
    <w:rsid w:val="00730A8F"/>
    <w:rsid w:val="0073158E"/>
    <w:rsid w:val="00731A88"/>
    <w:rsid w:val="00731AA6"/>
    <w:rsid w:val="00731D2B"/>
    <w:rsid w:val="00731D56"/>
    <w:rsid w:val="00731E04"/>
    <w:rsid w:val="0073282F"/>
    <w:rsid w:val="007328AD"/>
    <w:rsid w:val="00732A19"/>
    <w:rsid w:val="00733295"/>
    <w:rsid w:val="00733C66"/>
    <w:rsid w:val="00733EBD"/>
    <w:rsid w:val="007343EC"/>
    <w:rsid w:val="00734D9F"/>
    <w:rsid w:val="00734EF2"/>
    <w:rsid w:val="00735006"/>
    <w:rsid w:val="0073587C"/>
    <w:rsid w:val="007361C7"/>
    <w:rsid w:val="00736797"/>
    <w:rsid w:val="00736987"/>
    <w:rsid w:val="00737053"/>
    <w:rsid w:val="00740655"/>
    <w:rsid w:val="00740DA4"/>
    <w:rsid w:val="007412E7"/>
    <w:rsid w:val="0074208E"/>
    <w:rsid w:val="00742F91"/>
    <w:rsid w:val="007431F9"/>
    <w:rsid w:val="007441F8"/>
    <w:rsid w:val="0074665B"/>
    <w:rsid w:val="00746B12"/>
    <w:rsid w:val="00746E61"/>
    <w:rsid w:val="0074704D"/>
    <w:rsid w:val="007471CF"/>
    <w:rsid w:val="007475DF"/>
    <w:rsid w:val="00747CBD"/>
    <w:rsid w:val="00747DC9"/>
    <w:rsid w:val="00747F61"/>
    <w:rsid w:val="00750436"/>
    <w:rsid w:val="00750907"/>
    <w:rsid w:val="007509F7"/>
    <w:rsid w:val="00750AB7"/>
    <w:rsid w:val="00750E59"/>
    <w:rsid w:val="00750F62"/>
    <w:rsid w:val="007518F9"/>
    <w:rsid w:val="007520CD"/>
    <w:rsid w:val="0075284D"/>
    <w:rsid w:val="00753157"/>
    <w:rsid w:val="00753B42"/>
    <w:rsid w:val="00753DCF"/>
    <w:rsid w:val="0075423E"/>
    <w:rsid w:val="00754545"/>
    <w:rsid w:val="00754761"/>
    <w:rsid w:val="00754C35"/>
    <w:rsid w:val="00754EB4"/>
    <w:rsid w:val="00755617"/>
    <w:rsid w:val="00755B5E"/>
    <w:rsid w:val="00755B87"/>
    <w:rsid w:val="00755E75"/>
    <w:rsid w:val="00755F95"/>
    <w:rsid w:val="00755FB8"/>
    <w:rsid w:val="0075622C"/>
    <w:rsid w:val="007568ED"/>
    <w:rsid w:val="00756F7B"/>
    <w:rsid w:val="007571A5"/>
    <w:rsid w:val="007575BA"/>
    <w:rsid w:val="007579FF"/>
    <w:rsid w:val="00757CBD"/>
    <w:rsid w:val="00760042"/>
    <w:rsid w:val="00760B8B"/>
    <w:rsid w:val="00760CD3"/>
    <w:rsid w:val="00761210"/>
    <w:rsid w:val="007622B4"/>
    <w:rsid w:val="007623D0"/>
    <w:rsid w:val="00762EB3"/>
    <w:rsid w:val="00763A28"/>
    <w:rsid w:val="00764647"/>
    <w:rsid w:val="007646D7"/>
    <w:rsid w:val="00764C2F"/>
    <w:rsid w:val="00764CC7"/>
    <w:rsid w:val="00765735"/>
    <w:rsid w:val="00765CF0"/>
    <w:rsid w:val="007662C3"/>
    <w:rsid w:val="0076659A"/>
    <w:rsid w:val="007666DF"/>
    <w:rsid w:val="007666FE"/>
    <w:rsid w:val="00766739"/>
    <w:rsid w:val="0076741B"/>
    <w:rsid w:val="007706AB"/>
    <w:rsid w:val="00770791"/>
    <w:rsid w:val="00770A09"/>
    <w:rsid w:val="00770A9B"/>
    <w:rsid w:val="00770DB0"/>
    <w:rsid w:val="00770E69"/>
    <w:rsid w:val="00771B4D"/>
    <w:rsid w:val="00771F33"/>
    <w:rsid w:val="00772555"/>
    <w:rsid w:val="00772A82"/>
    <w:rsid w:val="00772B25"/>
    <w:rsid w:val="00772DCC"/>
    <w:rsid w:val="007732B4"/>
    <w:rsid w:val="00773409"/>
    <w:rsid w:val="00773D81"/>
    <w:rsid w:val="00773F2F"/>
    <w:rsid w:val="00774F5C"/>
    <w:rsid w:val="00774FBC"/>
    <w:rsid w:val="00775084"/>
    <w:rsid w:val="0077530B"/>
    <w:rsid w:val="00775572"/>
    <w:rsid w:val="00775590"/>
    <w:rsid w:val="00776344"/>
    <w:rsid w:val="0077691F"/>
    <w:rsid w:val="00776970"/>
    <w:rsid w:val="00776AC7"/>
    <w:rsid w:val="00776BBC"/>
    <w:rsid w:val="00776CFC"/>
    <w:rsid w:val="00776D1F"/>
    <w:rsid w:val="00777197"/>
    <w:rsid w:val="00777318"/>
    <w:rsid w:val="007775EF"/>
    <w:rsid w:val="00780B61"/>
    <w:rsid w:val="007812BE"/>
    <w:rsid w:val="00782787"/>
    <w:rsid w:val="00783C9D"/>
    <w:rsid w:val="00784130"/>
    <w:rsid w:val="00784A82"/>
    <w:rsid w:val="00784E3D"/>
    <w:rsid w:val="0078520E"/>
    <w:rsid w:val="00785382"/>
    <w:rsid w:val="00785535"/>
    <w:rsid w:val="007855C7"/>
    <w:rsid w:val="00785C6C"/>
    <w:rsid w:val="00785CD7"/>
    <w:rsid w:val="00785F2D"/>
    <w:rsid w:val="007862D0"/>
    <w:rsid w:val="00786C89"/>
    <w:rsid w:val="00786E4C"/>
    <w:rsid w:val="00787612"/>
    <w:rsid w:val="00787616"/>
    <w:rsid w:val="00787C40"/>
    <w:rsid w:val="007904DA"/>
    <w:rsid w:val="00790CC9"/>
    <w:rsid w:val="0079125F"/>
    <w:rsid w:val="00791C69"/>
    <w:rsid w:val="00792596"/>
    <w:rsid w:val="007928D8"/>
    <w:rsid w:val="007937E6"/>
    <w:rsid w:val="0079387D"/>
    <w:rsid w:val="007942C4"/>
    <w:rsid w:val="00794C8D"/>
    <w:rsid w:val="007951AC"/>
    <w:rsid w:val="007959C9"/>
    <w:rsid w:val="00795FB6"/>
    <w:rsid w:val="007962A2"/>
    <w:rsid w:val="00796644"/>
    <w:rsid w:val="00796A25"/>
    <w:rsid w:val="00796EAD"/>
    <w:rsid w:val="00796F10"/>
    <w:rsid w:val="00797442"/>
    <w:rsid w:val="007974D1"/>
    <w:rsid w:val="00797F97"/>
    <w:rsid w:val="007A0201"/>
    <w:rsid w:val="007A08B3"/>
    <w:rsid w:val="007A09B7"/>
    <w:rsid w:val="007A0C63"/>
    <w:rsid w:val="007A0E54"/>
    <w:rsid w:val="007A0F1B"/>
    <w:rsid w:val="007A0FCD"/>
    <w:rsid w:val="007A246C"/>
    <w:rsid w:val="007A2E3C"/>
    <w:rsid w:val="007A383B"/>
    <w:rsid w:val="007A4C5F"/>
    <w:rsid w:val="007A4CCA"/>
    <w:rsid w:val="007A53A1"/>
    <w:rsid w:val="007A5811"/>
    <w:rsid w:val="007A5BF5"/>
    <w:rsid w:val="007A67B2"/>
    <w:rsid w:val="007A67CB"/>
    <w:rsid w:val="007A70E1"/>
    <w:rsid w:val="007A750D"/>
    <w:rsid w:val="007B021E"/>
    <w:rsid w:val="007B1325"/>
    <w:rsid w:val="007B133C"/>
    <w:rsid w:val="007B1516"/>
    <w:rsid w:val="007B1C24"/>
    <w:rsid w:val="007B1ED0"/>
    <w:rsid w:val="007B1EED"/>
    <w:rsid w:val="007B1F3F"/>
    <w:rsid w:val="007B2274"/>
    <w:rsid w:val="007B27AF"/>
    <w:rsid w:val="007B2F73"/>
    <w:rsid w:val="007B3278"/>
    <w:rsid w:val="007B3C17"/>
    <w:rsid w:val="007B3D5B"/>
    <w:rsid w:val="007B3F10"/>
    <w:rsid w:val="007B4289"/>
    <w:rsid w:val="007B42AD"/>
    <w:rsid w:val="007B480F"/>
    <w:rsid w:val="007B4836"/>
    <w:rsid w:val="007B51CD"/>
    <w:rsid w:val="007B5273"/>
    <w:rsid w:val="007B53A7"/>
    <w:rsid w:val="007B5C4D"/>
    <w:rsid w:val="007B6A32"/>
    <w:rsid w:val="007B6A52"/>
    <w:rsid w:val="007B710F"/>
    <w:rsid w:val="007C08B5"/>
    <w:rsid w:val="007C0DF8"/>
    <w:rsid w:val="007C2703"/>
    <w:rsid w:val="007C3EEC"/>
    <w:rsid w:val="007C4184"/>
    <w:rsid w:val="007C45DC"/>
    <w:rsid w:val="007C488A"/>
    <w:rsid w:val="007C4E5B"/>
    <w:rsid w:val="007C54ED"/>
    <w:rsid w:val="007C580C"/>
    <w:rsid w:val="007C63A0"/>
    <w:rsid w:val="007C6B2E"/>
    <w:rsid w:val="007C6CD4"/>
    <w:rsid w:val="007C6ED5"/>
    <w:rsid w:val="007C74CC"/>
    <w:rsid w:val="007C7611"/>
    <w:rsid w:val="007C7664"/>
    <w:rsid w:val="007D0003"/>
    <w:rsid w:val="007D08F2"/>
    <w:rsid w:val="007D09E5"/>
    <w:rsid w:val="007D0CBB"/>
    <w:rsid w:val="007D0D42"/>
    <w:rsid w:val="007D15CE"/>
    <w:rsid w:val="007D2DF9"/>
    <w:rsid w:val="007D36B7"/>
    <w:rsid w:val="007D4145"/>
    <w:rsid w:val="007D46F0"/>
    <w:rsid w:val="007D4BE2"/>
    <w:rsid w:val="007D4E23"/>
    <w:rsid w:val="007D4E56"/>
    <w:rsid w:val="007D4F50"/>
    <w:rsid w:val="007D5AF9"/>
    <w:rsid w:val="007D5F1E"/>
    <w:rsid w:val="007D66FD"/>
    <w:rsid w:val="007D6C85"/>
    <w:rsid w:val="007D7A33"/>
    <w:rsid w:val="007E0040"/>
    <w:rsid w:val="007E05B6"/>
    <w:rsid w:val="007E068C"/>
    <w:rsid w:val="007E080D"/>
    <w:rsid w:val="007E0E4F"/>
    <w:rsid w:val="007E1109"/>
    <w:rsid w:val="007E118C"/>
    <w:rsid w:val="007E1384"/>
    <w:rsid w:val="007E174E"/>
    <w:rsid w:val="007E19C0"/>
    <w:rsid w:val="007E1F97"/>
    <w:rsid w:val="007E2D04"/>
    <w:rsid w:val="007E2F2A"/>
    <w:rsid w:val="007E3215"/>
    <w:rsid w:val="007E37E6"/>
    <w:rsid w:val="007E3C22"/>
    <w:rsid w:val="007E3E12"/>
    <w:rsid w:val="007E4AC8"/>
    <w:rsid w:val="007E4DD5"/>
    <w:rsid w:val="007E5860"/>
    <w:rsid w:val="007E5C08"/>
    <w:rsid w:val="007E5C29"/>
    <w:rsid w:val="007E619E"/>
    <w:rsid w:val="007E6C93"/>
    <w:rsid w:val="007E7299"/>
    <w:rsid w:val="007E785E"/>
    <w:rsid w:val="007F02B4"/>
    <w:rsid w:val="007F12AF"/>
    <w:rsid w:val="007F15E7"/>
    <w:rsid w:val="007F1B26"/>
    <w:rsid w:val="007F1B4C"/>
    <w:rsid w:val="007F1D2B"/>
    <w:rsid w:val="007F2210"/>
    <w:rsid w:val="007F2828"/>
    <w:rsid w:val="007F28C4"/>
    <w:rsid w:val="007F298E"/>
    <w:rsid w:val="007F2F5B"/>
    <w:rsid w:val="007F38DB"/>
    <w:rsid w:val="007F3E97"/>
    <w:rsid w:val="007F4018"/>
    <w:rsid w:val="007F48DE"/>
    <w:rsid w:val="007F6579"/>
    <w:rsid w:val="007F6879"/>
    <w:rsid w:val="007F6CA1"/>
    <w:rsid w:val="007F6E15"/>
    <w:rsid w:val="007F6EBD"/>
    <w:rsid w:val="007F7D17"/>
    <w:rsid w:val="008002F5"/>
    <w:rsid w:val="0080065F"/>
    <w:rsid w:val="00800C53"/>
    <w:rsid w:val="00801123"/>
    <w:rsid w:val="00801669"/>
    <w:rsid w:val="00801B9B"/>
    <w:rsid w:val="0080205C"/>
    <w:rsid w:val="00802C5C"/>
    <w:rsid w:val="00802EA9"/>
    <w:rsid w:val="00803641"/>
    <w:rsid w:val="00803F76"/>
    <w:rsid w:val="00804285"/>
    <w:rsid w:val="008046C3"/>
    <w:rsid w:val="00804D71"/>
    <w:rsid w:val="008056B0"/>
    <w:rsid w:val="00805A14"/>
    <w:rsid w:val="00805CB2"/>
    <w:rsid w:val="00806864"/>
    <w:rsid w:val="008072C1"/>
    <w:rsid w:val="008073E3"/>
    <w:rsid w:val="008077C1"/>
    <w:rsid w:val="00810369"/>
    <w:rsid w:val="00810755"/>
    <w:rsid w:val="00810857"/>
    <w:rsid w:val="0081133D"/>
    <w:rsid w:val="00811533"/>
    <w:rsid w:val="00812C4B"/>
    <w:rsid w:val="008142F5"/>
    <w:rsid w:val="00814E3F"/>
    <w:rsid w:val="00814E8B"/>
    <w:rsid w:val="008157DA"/>
    <w:rsid w:val="00815993"/>
    <w:rsid w:val="00815AC0"/>
    <w:rsid w:val="00815E3E"/>
    <w:rsid w:val="008161C4"/>
    <w:rsid w:val="0081635F"/>
    <w:rsid w:val="00816459"/>
    <w:rsid w:val="00816569"/>
    <w:rsid w:val="00816BA0"/>
    <w:rsid w:val="00816CC7"/>
    <w:rsid w:val="00816EF7"/>
    <w:rsid w:val="00816EF9"/>
    <w:rsid w:val="0081725B"/>
    <w:rsid w:val="008176E5"/>
    <w:rsid w:val="00817A15"/>
    <w:rsid w:val="00817D2E"/>
    <w:rsid w:val="00820298"/>
    <w:rsid w:val="008203C1"/>
    <w:rsid w:val="008206E5"/>
    <w:rsid w:val="00820CBF"/>
    <w:rsid w:val="00820FBB"/>
    <w:rsid w:val="008211BB"/>
    <w:rsid w:val="00821335"/>
    <w:rsid w:val="008217DC"/>
    <w:rsid w:val="00821A72"/>
    <w:rsid w:val="008223E4"/>
    <w:rsid w:val="0082270F"/>
    <w:rsid w:val="00823A1D"/>
    <w:rsid w:val="00823E48"/>
    <w:rsid w:val="008244C9"/>
    <w:rsid w:val="00824891"/>
    <w:rsid w:val="00824E51"/>
    <w:rsid w:val="008252E0"/>
    <w:rsid w:val="008253B4"/>
    <w:rsid w:val="008255E2"/>
    <w:rsid w:val="00825EE2"/>
    <w:rsid w:val="00825FC0"/>
    <w:rsid w:val="008270F3"/>
    <w:rsid w:val="0082788D"/>
    <w:rsid w:val="008307B7"/>
    <w:rsid w:val="008308A1"/>
    <w:rsid w:val="008309F6"/>
    <w:rsid w:val="00830F72"/>
    <w:rsid w:val="0083168F"/>
    <w:rsid w:val="00831B6F"/>
    <w:rsid w:val="00831BD2"/>
    <w:rsid w:val="00831DFC"/>
    <w:rsid w:val="00832316"/>
    <w:rsid w:val="00832A2B"/>
    <w:rsid w:val="0083339E"/>
    <w:rsid w:val="00833565"/>
    <w:rsid w:val="008341BC"/>
    <w:rsid w:val="008344A3"/>
    <w:rsid w:val="00834646"/>
    <w:rsid w:val="00834CE6"/>
    <w:rsid w:val="008351B4"/>
    <w:rsid w:val="008354F9"/>
    <w:rsid w:val="008355BA"/>
    <w:rsid w:val="00835627"/>
    <w:rsid w:val="008358DC"/>
    <w:rsid w:val="008358EC"/>
    <w:rsid w:val="00835E05"/>
    <w:rsid w:val="00835E50"/>
    <w:rsid w:val="008360B4"/>
    <w:rsid w:val="00836A55"/>
    <w:rsid w:val="00837EFA"/>
    <w:rsid w:val="00840282"/>
    <w:rsid w:val="0084045B"/>
    <w:rsid w:val="008407CF"/>
    <w:rsid w:val="00840BF9"/>
    <w:rsid w:val="00840E77"/>
    <w:rsid w:val="00841732"/>
    <w:rsid w:val="00841C95"/>
    <w:rsid w:val="0084228D"/>
    <w:rsid w:val="0084318F"/>
    <w:rsid w:val="008438C2"/>
    <w:rsid w:val="00843E9D"/>
    <w:rsid w:val="00843EA3"/>
    <w:rsid w:val="00843EC0"/>
    <w:rsid w:val="008440F9"/>
    <w:rsid w:val="00844360"/>
    <w:rsid w:val="008446DF"/>
    <w:rsid w:val="00844A08"/>
    <w:rsid w:val="00845504"/>
    <w:rsid w:val="008457FE"/>
    <w:rsid w:val="00845C40"/>
    <w:rsid w:val="00846468"/>
    <w:rsid w:val="00847743"/>
    <w:rsid w:val="008505D9"/>
    <w:rsid w:val="00850717"/>
    <w:rsid w:val="008517BC"/>
    <w:rsid w:val="00851EC3"/>
    <w:rsid w:val="008521D4"/>
    <w:rsid w:val="00852393"/>
    <w:rsid w:val="008525ED"/>
    <w:rsid w:val="008526D6"/>
    <w:rsid w:val="008527D3"/>
    <w:rsid w:val="00854258"/>
    <w:rsid w:val="00854D5F"/>
    <w:rsid w:val="0085522C"/>
    <w:rsid w:val="008552E8"/>
    <w:rsid w:val="00856574"/>
    <w:rsid w:val="00856B1F"/>
    <w:rsid w:val="00856F5C"/>
    <w:rsid w:val="00857B48"/>
    <w:rsid w:val="00860B76"/>
    <w:rsid w:val="008613D1"/>
    <w:rsid w:val="008618B8"/>
    <w:rsid w:val="0086223F"/>
    <w:rsid w:val="00862ACD"/>
    <w:rsid w:val="00863133"/>
    <w:rsid w:val="00863845"/>
    <w:rsid w:val="00863AFC"/>
    <w:rsid w:val="00863FD8"/>
    <w:rsid w:val="008648CC"/>
    <w:rsid w:val="00864BA2"/>
    <w:rsid w:val="00865E67"/>
    <w:rsid w:val="00865EE4"/>
    <w:rsid w:val="0086653E"/>
    <w:rsid w:val="00867162"/>
    <w:rsid w:val="00867362"/>
    <w:rsid w:val="00867E37"/>
    <w:rsid w:val="0087206B"/>
    <w:rsid w:val="008722A2"/>
    <w:rsid w:val="00872D9A"/>
    <w:rsid w:val="0087304F"/>
    <w:rsid w:val="008730CC"/>
    <w:rsid w:val="008730DC"/>
    <w:rsid w:val="0087344E"/>
    <w:rsid w:val="008737E9"/>
    <w:rsid w:val="00873EA2"/>
    <w:rsid w:val="008740C1"/>
    <w:rsid w:val="008742FC"/>
    <w:rsid w:val="0087463E"/>
    <w:rsid w:val="0087485B"/>
    <w:rsid w:val="00874AEF"/>
    <w:rsid w:val="00875853"/>
    <w:rsid w:val="00875C6B"/>
    <w:rsid w:val="00876210"/>
    <w:rsid w:val="0087675A"/>
    <w:rsid w:val="0087742B"/>
    <w:rsid w:val="00877688"/>
    <w:rsid w:val="00877932"/>
    <w:rsid w:val="00877AD1"/>
    <w:rsid w:val="00877D84"/>
    <w:rsid w:val="0088075B"/>
    <w:rsid w:val="00880768"/>
    <w:rsid w:val="00880BC5"/>
    <w:rsid w:val="00880DD0"/>
    <w:rsid w:val="008811C1"/>
    <w:rsid w:val="00881213"/>
    <w:rsid w:val="0088130D"/>
    <w:rsid w:val="008813E2"/>
    <w:rsid w:val="00881E98"/>
    <w:rsid w:val="00883758"/>
    <w:rsid w:val="0088421A"/>
    <w:rsid w:val="008852F4"/>
    <w:rsid w:val="00885CD3"/>
    <w:rsid w:val="00886E1A"/>
    <w:rsid w:val="008871B6"/>
    <w:rsid w:val="008877B9"/>
    <w:rsid w:val="0088792E"/>
    <w:rsid w:val="00887B02"/>
    <w:rsid w:val="00887E07"/>
    <w:rsid w:val="00887F2E"/>
    <w:rsid w:val="00891471"/>
    <w:rsid w:val="0089147F"/>
    <w:rsid w:val="0089167A"/>
    <w:rsid w:val="00891A6A"/>
    <w:rsid w:val="00891C0C"/>
    <w:rsid w:val="00892433"/>
    <w:rsid w:val="00895367"/>
    <w:rsid w:val="0089574B"/>
    <w:rsid w:val="00895E57"/>
    <w:rsid w:val="00896FC3"/>
    <w:rsid w:val="00897813"/>
    <w:rsid w:val="00897A55"/>
    <w:rsid w:val="00897B5E"/>
    <w:rsid w:val="008A0127"/>
    <w:rsid w:val="008A07ED"/>
    <w:rsid w:val="008A0CB7"/>
    <w:rsid w:val="008A1C70"/>
    <w:rsid w:val="008A2149"/>
    <w:rsid w:val="008A2357"/>
    <w:rsid w:val="008A2A29"/>
    <w:rsid w:val="008A30BE"/>
    <w:rsid w:val="008A3AB9"/>
    <w:rsid w:val="008A3D91"/>
    <w:rsid w:val="008A3D96"/>
    <w:rsid w:val="008A4021"/>
    <w:rsid w:val="008A4B22"/>
    <w:rsid w:val="008A4E41"/>
    <w:rsid w:val="008A51CE"/>
    <w:rsid w:val="008A55D0"/>
    <w:rsid w:val="008A63D4"/>
    <w:rsid w:val="008A6FF7"/>
    <w:rsid w:val="008A71D7"/>
    <w:rsid w:val="008A7AA0"/>
    <w:rsid w:val="008A7D33"/>
    <w:rsid w:val="008B0053"/>
    <w:rsid w:val="008B0C51"/>
    <w:rsid w:val="008B0FFD"/>
    <w:rsid w:val="008B2314"/>
    <w:rsid w:val="008B2733"/>
    <w:rsid w:val="008B418B"/>
    <w:rsid w:val="008B5A62"/>
    <w:rsid w:val="008B5C0F"/>
    <w:rsid w:val="008B62FC"/>
    <w:rsid w:val="008B6709"/>
    <w:rsid w:val="008B6B7F"/>
    <w:rsid w:val="008B6D79"/>
    <w:rsid w:val="008B6F62"/>
    <w:rsid w:val="008B707C"/>
    <w:rsid w:val="008B7323"/>
    <w:rsid w:val="008B75EE"/>
    <w:rsid w:val="008B7928"/>
    <w:rsid w:val="008B798C"/>
    <w:rsid w:val="008B7A35"/>
    <w:rsid w:val="008B7F71"/>
    <w:rsid w:val="008C0496"/>
    <w:rsid w:val="008C06A1"/>
    <w:rsid w:val="008C0FBD"/>
    <w:rsid w:val="008C13D2"/>
    <w:rsid w:val="008C2445"/>
    <w:rsid w:val="008C26FE"/>
    <w:rsid w:val="008C581F"/>
    <w:rsid w:val="008C5CB7"/>
    <w:rsid w:val="008C656B"/>
    <w:rsid w:val="008C6C0D"/>
    <w:rsid w:val="008C6EAE"/>
    <w:rsid w:val="008C6F99"/>
    <w:rsid w:val="008C72A9"/>
    <w:rsid w:val="008C7563"/>
    <w:rsid w:val="008C75C5"/>
    <w:rsid w:val="008C7718"/>
    <w:rsid w:val="008C772B"/>
    <w:rsid w:val="008D0051"/>
    <w:rsid w:val="008D03E3"/>
    <w:rsid w:val="008D09F4"/>
    <w:rsid w:val="008D0B2A"/>
    <w:rsid w:val="008D138C"/>
    <w:rsid w:val="008D1A83"/>
    <w:rsid w:val="008D1F44"/>
    <w:rsid w:val="008D2267"/>
    <w:rsid w:val="008D2493"/>
    <w:rsid w:val="008D24E8"/>
    <w:rsid w:val="008D37B4"/>
    <w:rsid w:val="008D3999"/>
    <w:rsid w:val="008D3BEF"/>
    <w:rsid w:val="008D3ED2"/>
    <w:rsid w:val="008D4156"/>
    <w:rsid w:val="008D46D4"/>
    <w:rsid w:val="008D47A1"/>
    <w:rsid w:val="008D5873"/>
    <w:rsid w:val="008D6362"/>
    <w:rsid w:val="008D67EB"/>
    <w:rsid w:val="008D6F32"/>
    <w:rsid w:val="008D7433"/>
    <w:rsid w:val="008D7B64"/>
    <w:rsid w:val="008D7DA2"/>
    <w:rsid w:val="008E0790"/>
    <w:rsid w:val="008E07A1"/>
    <w:rsid w:val="008E0A90"/>
    <w:rsid w:val="008E0AA4"/>
    <w:rsid w:val="008E0B07"/>
    <w:rsid w:val="008E137F"/>
    <w:rsid w:val="008E166D"/>
    <w:rsid w:val="008E1772"/>
    <w:rsid w:val="008E1B5D"/>
    <w:rsid w:val="008E1B81"/>
    <w:rsid w:val="008E1E54"/>
    <w:rsid w:val="008E2A91"/>
    <w:rsid w:val="008E2F8C"/>
    <w:rsid w:val="008E3241"/>
    <w:rsid w:val="008E3600"/>
    <w:rsid w:val="008E366B"/>
    <w:rsid w:val="008E3745"/>
    <w:rsid w:val="008E3A29"/>
    <w:rsid w:val="008E3D48"/>
    <w:rsid w:val="008E3E8B"/>
    <w:rsid w:val="008E3ED2"/>
    <w:rsid w:val="008E406B"/>
    <w:rsid w:val="008E43E8"/>
    <w:rsid w:val="008E4797"/>
    <w:rsid w:val="008E4AE5"/>
    <w:rsid w:val="008E4EA8"/>
    <w:rsid w:val="008E5BC9"/>
    <w:rsid w:val="008E7676"/>
    <w:rsid w:val="008E78AB"/>
    <w:rsid w:val="008F0272"/>
    <w:rsid w:val="008F1098"/>
    <w:rsid w:val="008F166A"/>
    <w:rsid w:val="008F1955"/>
    <w:rsid w:val="008F2465"/>
    <w:rsid w:val="008F2782"/>
    <w:rsid w:val="008F2D12"/>
    <w:rsid w:val="008F2FB8"/>
    <w:rsid w:val="008F31A1"/>
    <w:rsid w:val="008F33E3"/>
    <w:rsid w:val="008F3851"/>
    <w:rsid w:val="008F3DD2"/>
    <w:rsid w:val="008F4247"/>
    <w:rsid w:val="008F42B3"/>
    <w:rsid w:val="008F4845"/>
    <w:rsid w:val="008F4891"/>
    <w:rsid w:val="008F5024"/>
    <w:rsid w:val="008F5701"/>
    <w:rsid w:val="008F5AD4"/>
    <w:rsid w:val="008F5B5F"/>
    <w:rsid w:val="008F5E2F"/>
    <w:rsid w:val="008F5EAD"/>
    <w:rsid w:val="008F617E"/>
    <w:rsid w:val="008F6C7B"/>
    <w:rsid w:val="008F6CA4"/>
    <w:rsid w:val="008F76EB"/>
    <w:rsid w:val="008F7D46"/>
    <w:rsid w:val="008F7E22"/>
    <w:rsid w:val="009003E9"/>
    <w:rsid w:val="00900705"/>
    <w:rsid w:val="00900AD5"/>
    <w:rsid w:val="00900B99"/>
    <w:rsid w:val="00900F02"/>
    <w:rsid w:val="00901CF6"/>
    <w:rsid w:val="00901FA5"/>
    <w:rsid w:val="00902446"/>
    <w:rsid w:val="009025A6"/>
    <w:rsid w:val="00902613"/>
    <w:rsid w:val="009026DD"/>
    <w:rsid w:val="0090294B"/>
    <w:rsid w:val="009034AF"/>
    <w:rsid w:val="0090368B"/>
    <w:rsid w:val="0090372C"/>
    <w:rsid w:val="00903FD0"/>
    <w:rsid w:val="00904377"/>
    <w:rsid w:val="00904836"/>
    <w:rsid w:val="00904994"/>
    <w:rsid w:val="00904EA3"/>
    <w:rsid w:val="00904FEE"/>
    <w:rsid w:val="00905C52"/>
    <w:rsid w:val="00905E24"/>
    <w:rsid w:val="00906544"/>
    <w:rsid w:val="00906A64"/>
    <w:rsid w:val="009072C8"/>
    <w:rsid w:val="00907424"/>
    <w:rsid w:val="009075A3"/>
    <w:rsid w:val="00907C58"/>
    <w:rsid w:val="00907DE9"/>
    <w:rsid w:val="009101FC"/>
    <w:rsid w:val="00912F65"/>
    <w:rsid w:val="0091313C"/>
    <w:rsid w:val="00913285"/>
    <w:rsid w:val="00913413"/>
    <w:rsid w:val="009135B0"/>
    <w:rsid w:val="009137B6"/>
    <w:rsid w:val="00913A77"/>
    <w:rsid w:val="00913E2B"/>
    <w:rsid w:val="00913EB2"/>
    <w:rsid w:val="0091415F"/>
    <w:rsid w:val="009144BB"/>
    <w:rsid w:val="0091457C"/>
    <w:rsid w:val="00914879"/>
    <w:rsid w:val="00914BCE"/>
    <w:rsid w:val="0091529C"/>
    <w:rsid w:val="00915576"/>
    <w:rsid w:val="00916AC5"/>
    <w:rsid w:val="00916CA6"/>
    <w:rsid w:val="00916EE9"/>
    <w:rsid w:val="0091716D"/>
    <w:rsid w:val="009172E9"/>
    <w:rsid w:val="00917300"/>
    <w:rsid w:val="0091778D"/>
    <w:rsid w:val="00917D40"/>
    <w:rsid w:val="009208BF"/>
    <w:rsid w:val="00920DE2"/>
    <w:rsid w:val="00921197"/>
    <w:rsid w:val="00921228"/>
    <w:rsid w:val="00921543"/>
    <w:rsid w:val="009219A2"/>
    <w:rsid w:val="00921DBA"/>
    <w:rsid w:val="009229A8"/>
    <w:rsid w:val="00922C69"/>
    <w:rsid w:val="00922F98"/>
    <w:rsid w:val="009237FA"/>
    <w:rsid w:val="00923E7C"/>
    <w:rsid w:val="00924305"/>
    <w:rsid w:val="009247AC"/>
    <w:rsid w:val="00924AC3"/>
    <w:rsid w:val="0092504B"/>
    <w:rsid w:val="009252D4"/>
    <w:rsid w:val="009260A9"/>
    <w:rsid w:val="00926D71"/>
    <w:rsid w:val="009271A5"/>
    <w:rsid w:val="0092728A"/>
    <w:rsid w:val="00930475"/>
    <w:rsid w:val="009304AF"/>
    <w:rsid w:val="00931914"/>
    <w:rsid w:val="00931C5B"/>
    <w:rsid w:val="00932382"/>
    <w:rsid w:val="00933058"/>
    <w:rsid w:val="0093307C"/>
    <w:rsid w:val="00933323"/>
    <w:rsid w:val="00933C89"/>
    <w:rsid w:val="00933DEA"/>
    <w:rsid w:val="009345E8"/>
    <w:rsid w:val="0093471E"/>
    <w:rsid w:val="00934985"/>
    <w:rsid w:val="00934D10"/>
    <w:rsid w:val="00934F43"/>
    <w:rsid w:val="0093554D"/>
    <w:rsid w:val="00935BCC"/>
    <w:rsid w:val="00935FE6"/>
    <w:rsid w:val="009362B2"/>
    <w:rsid w:val="0093681D"/>
    <w:rsid w:val="00936861"/>
    <w:rsid w:val="00936B34"/>
    <w:rsid w:val="009373DE"/>
    <w:rsid w:val="00940159"/>
    <w:rsid w:val="009402DA"/>
    <w:rsid w:val="00940845"/>
    <w:rsid w:val="00940C8B"/>
    <w:rsid w:val="0094136F"/>
    <w:rsid w:val="009413FF"/>
    <w:rsid w:val="00941AA8"/>
    <w:rsid w:val="00942400"/>
    <w:rsid w:val="0094283F"/>
    <w:rsid w:val="00943665"/>
    <w:rsid w:val="0094452B"/>
    <w:rsid w:val="00944FFF"/>
    <w:rsid w:val="009450A4"/>
    <w:rsid w:val="00945606"/>
    <w:rsid w:val="009457BE"/>
    <w:rsid w:val="00945C63"/>
    <w:rsid w:val="00946212"/>
    <w:rsid w:val="0094649F"/>
    <w:rsid w:val="00946DE2"/>
    <w:rsid w:val="00947443"/>
    <w:rsid w:val="00947A17"/>
    <w:rsid w:val="00947AC8"/>
    <w:rsid w:val="00947C21"/>
    <w:rsid w:val="0095048F"/>
    <w:rsid w:val="00951021"/>
    <w:rsid w:val="009522B9"/>
    <w:rsid w:val="00953A68"/>
    <w:rsid w:val="00954008"/>
    <w:rsid w:val="00954A69"/>
    <w:rsid w:val="00955007"/>
    <w:rsid w:val="00955956"/>
    <w:rsid w:val="00955B3A"/>
    <w:rsid w:val="00957E2E"/>
    <w:rsid w:val="00960579"/>
    <w:rsid w:val="00960A88"/>
    <w:rsid w:val="009617FB"/>
    <w:rsid w:val="00961871"/>
    <w:rsid w:val="00961A85"/>
    <w:rsid w:val="00961CE4"/>
    <w:rsid w:val="00961E1C"/>
    <w:rsid w:val="009620A9"/>
    <w:rsid w:val="009620B5"/>
    <w:rsid w:val="00962815"/>
    <w:rsid w:val="009631B8"/>
    <w:rsid w:val="0096343C"/>
    <w:rsid w:val="0096390D"/>
    <w:rsid w:val="0096404D"/>
    <w:rsid w:val="0096429F"/>
    <w:rsid w:val="009643F5"/>
    <w:rsid w:val="00964847"/>
    <w:rsid w:val="00964BC7"/>
    <w:rsid w:val="00964CAE"/>
    <w:rsid w:val="0096515B"/>
    <w:rsid w:val="00965891"/>
    <w:rsid w:val="00966747"/>
    <w:rsid w:val="009671CF"/>
    <w:rsid w:val="009673C6"/>
    <w:rsid w:val="00967518"/>
    <w:rsid w:val="00967913"/>
    <w:rsid w:val="009702BF"/>
    <w:rsid w:val="00970318"/>
    <w:rsid w:val="0097074D"/>
    <w:rsid w:val="00970F76"/>
    <w:rsid w:val="00971858"/>
    <w:rsid w:val="0097188B"/>
    <w:rsid w:val="00971DC5"/>
    <w:rsid w:val="00973A34"/>
    <w:rsid w:val="00973EE1"/>
    <w:rsid w:val="00973F9F"/>
    <w:rsid w:val="009742EA"/>
    <w:rsid w:val="00974383"/>
    <w:rsid w:val="0097469E"/>
    <w:rsid w:val="0097493A"/>
    <w:rsid w:val="00974E0B"/>
    <w:rsid w:val="00974FC8"/>
    <w:rsid w:val="009751BA"/>
    <w:rsid w:val="00975464"/>
    <w:rsid w:val="00975AA3"/>
    <w:rsid w:val="00975CB6"/>
    <w:rsid w:val="00976476"/>
    <w:rsid w:val="00976623"/>
    <w:rsid w:val="00977815"/>
    <w:rsid w:val="00980156"/>
    <w:rsid w:val="00980414"/>
    <w:rsid w:val="0098065D"/>
    <w:rsid w:val="00980B8C"/>
    <w:rsid w:val="00980E2C"/>
    <w:rsid w:val="009811BF"/>
    <w:rsid w:val="0098132F"/>
    <w:rsid w:val="00981E4D"/>
    <w:rsid w:val="00982B3E"/>
    <w:rsid w:val="00983CD5"/>
    <w:rsid w:val="00984B94"/>
    <w:rsid w:val="00984EB0"/>
    <w:rsid w:val="00985963"/>
    <w:rsid w:val="00985FA7"/>
    <w:rsid w:val="00987202"/>
    <w:rsid w:val="00987719"/>
    <w:rsid w:val="00987841"/>
    <w:rsid w:val="0099002B"/>
    <w:rsid w:val="009900E4"/>
    <w:rsid w:val="00990186"/>
    <w:rsid w:val="0099094B"/>
    <w:rsid w:val="00990C2B"/>
    <w:rsid w:val="009911CD"/>
    <w:rsid w:val="00991591"/>
    <w:rsid w:val="009916FE"/>
    <w:rsid w:val="009924F6"/>
    <w:rsid w:val="0099270D"/>
    <w:rsid w:val="0099284F"/>
    <w:rsid w:val="00993529"/>
    <w:rsid w:val="00994BE5"/>
    <w:rsid w:val="00994CEC"/>
    <w:rsid w:val="00994EFD"/>
    <w:rsid w:val="0099613D"/>
    <w:rsid w:val="00996285"/>
    <w:rsid w:val="00996BA5"/>
    <w:rsid w:val="00997263"/>
    <w:rsid w:val="00997458"/>
    <w:rsid w:val="0099779F"/>
    <w:rsid w:val="00997C3D"/>
    <w:rsid w:val="009A02DA"/>
    <w:rsid w:val="009A0C8A"/>
    <w:rsid w:val="009A0CAC"/>
    <w:rsid w:val="009A1118"/>
    <w:rsid w:val="009A2327"/>
    <w:rsid w:val="009A2394"/>
    <w:rsid w:val="009A23A3"/>
    <w:rsid w:val="009A33ED"/>
    <w:rsid w:val="009A3502"/>
    <w:rsid w:val="009A373F"/>
    <w:rsid w:val="009A3AE8"/>
    <w:rsid w:val="009A3F5E"/>
    <w:rsid w:val="009A405F"/>
    <w:rsid w:val="009A413D"/>
    <w:rsid w:val="009A4254"/>
    <w:rsid w:val="009A44CB"/>
    <w:rsid w:val="009A487A"/>
    <w:rsid w:val="009A4EF4"/>
    <w:rsid w:val="009A55BC"/>
    <w:rsid w:val="009A5609"/>
    <w:rsid w:val="009A5966"/>
    <w:rsid w:val="009A5CB1"/>
    <w:rsid w:val="009A5FED"/>
    <w:rsid w:val="009A61CF"/>
    <w:rsid w:val="009A622A"/>
    <w:rsid w:val="009A62AD"/>
    <w:rsid w:val="009A63C3"/>
    <w:rsid w:val="009A6496"/>
    <w:rsid w:val="009A6E7C"/>
    <w:rsid w:val="009A7252"/>
    <w:rsid w:val="009A7617"/>
    <w:rsid w:val="009A7BE7"/>
    <w:rsid w:val="009B0ABE"/>
    <w:rsid w:val="009B0DAB"/>
    <w:rsid w:val="009B0EB5"/>
    <w:rsid w:val="009B131E"/>
    <w:rsid w:val="009B26DB"/>
    <w:rsid w:val="009B2906"/>
    <w:rsid w:val="009B297B"/>
    <w:rsid w:val="009B302B"/>
    <w:rsid w:val="009B4C24"/>
    <w:rsid w:val="009B5499"/>
    <w:rsid w:val="009B5694"/>
    <w:rsid w:val="009B6324"/>
    <w:rsid w:val="009B63B4"/>
    <w:rsid w:val="009B63EF"/>
    <w:rsid w:val="009B6A18"/>
    <w:rsid w:val="009B70DA"/>
    <w:rsid w:val="009B768A"/>
    <w:rsid w:val="009B78ED"/>
    <w:rsid w:val="009B7BDF"/>
    <w:rsid w:val="009C0C3D"/>
    <w:rsid w:val="009C1024"/>
    <w:rsid w:val="009C10AD"/>
    <w:rsid w:val="009C14DA"/>
    <w:rsid w:val="009C1562"/>
    <w:rsid w:val="009C23EE"/>
    <w:rsid w:val="009C298B"/>
    <w:rsid w:val="009C2BB4"/>
    <w:rsid w:val="009C2C92"/>
    <w:rsid w:val="009C3474"/>
    <w:rsid w:val="009C34D6"/>
    <w:rsid w:val="009C3D2D"/>
    <w:rsid w:val="009C448A"/>
    <w:rsid w:val="009C4DE2"/>
    <w:rsid w:val="009C53AB"/>
    <w:rsid w:val="009C5A9F"/>
    <w:rsid w:val="009C5E3C"/>
    <w:rsid w:val="009C5EC3"/>
    <w:rsid w:val="009C61DC"/>
    <w:rsid w:val="009C7102"/>
    <w:rsid w:val="009C72AE"/>
    <w:rsid w:val="009D01A8"/>
    <w:rsid w:val="009D0222"/>
    <w:rsid w:val="009D034C"/>
    <w:rsid w:val="009D03FC"/>
    <w:rsid w:val="009D048C"/>
    <w:rsid w:val="009D0798"/>
    <w:rsid w:val="009D127E"/>
    <w:rsid w:val="009D24B0"/>
    <w:rsid w:val="009D24D4"/>
    <w:rsid w:val="009D2CB9"/>
    <w:rsid w:val="009D2F1D"/>
    <w:rsid w:val="009D313A"/>
    <w:rsid w:val="009D33B8"/>
    <w:rsid w:val="009D382E"/>
    <w:rsid w:val="009D3C14"/>
    <w:rsid w:val="009D417A"/>
    <w:rsid w:val="009D4DE9"/>
    <w:rsid w:val="009D5299"/>
    <w:rsid w:val="009D5C1B"/>
    <w:rsid w:val="009D5D85"/>
    <w:rsid w:val="009D5E9F"/>
    <w:rsid w:val="009D601B"/>
    <w:rsid w:val="009D6029"/>
    <w:rsid w:val="009D64AA"/>
    <w:rsid w:val="009D64D0"/>
    <w:rsid w:val="009D6646"/>
    <w:rsid w:val="009D67B0"/>
    <w:rsid w:val="009D7A02"/>
    <w:rsid w:val="009D7C46"/>
    <w:rsid w:val="009D7E34"/>
    <w:rsid w:val="009D7F46"/>
    <w:rsid w:val="009E0E34"/>
    <w:rsid w:val="009E1011"/>
    <w:rsid w:val="009E1BE0"/>
    <w:rsid w:val="009E2CC1"/>
    <w:rsid w:val="009E2DA5"/>
    <w:rsid w:val="009E30B1"/>
    <w:rsid w:val="009E3292"/>
    <w:rsid w:val="009E3651"/>
    <w:rsid w:val="009E37AA"/>
    <w:rsid w:val="009E3A0E"/>
    <w:rsid w:val="009E3E6B"/>
    <w:rsid w:val="009E3FB5"/>
    <w:rsid w:val="009E414A"/>
    <w:rsid w:val="009E4661"/>
    <w:rsid w:val="009E4A2C"/>
    <w:rsid w:val="009E4A77"/>
    <w:rsid w:val="009E55A1"/>
    <w:rsid w:val="009E59B1"/>
    <w:rsid w:val="009E5BA6"/>
    <w:rsid w:val="009E5E83"/>
    <w:rsid w:val="009E6620"/>
    <w:rsid w:val="009E6681"/>
    <w:rsid w:val="009E692D"/>
    <w:rsid w:val="009E70C4"/>
    <w:rsid w:val="009E75A0"/>
    <w:rsid w:val="009E75C7"/>
    <w:rsid w:val="009E77F1"/>
    <w:rsid w:val="009F0A9F"/>
    <w:rsid w:val="009F1994"/>
    <w:rsid w:val="009F1C60"/>
    <w:rsid w:val="009F22BB"/>
    <w:rsid w:val="009F236B"/>
    <w:rsid w:val="009F33D0"/>
    <w:rsid w:val="009F373F"/>
    <w:rsid w:val="009F4076"/>
    <w:rsid w:val="009F4A59"/>
    <w:rsid w:val="009F4DF1"/>
    <w:rsid w:val="009F557B"/>
    <w:rsid w:val="009F561E"/>
    <w:rsid w:val="009F6492"/>
    <w:rsid w:val="009F64E3"/>
    <w:rsid w:val="009F65D0"/>
    <w:rsid w:val="009F6BFB"/>
    <w:rsid w:val="00A00034"/>
    <w:rsid w:val="00A000E0"/>
    <w:rsid w:val="00A001F5"/>
    <w:rsid w:val="00A00817"/>
    <w:rsid w:val="00A00850"/>
    <w:rsid w:val="00A008F1"/>
    <w:rsid w:val="00A00C4C"/>
    <w:rsid w:val="00A012E1"/>
    <w:rsid w:val="00A0171D"/>
    <w:rsid w:val="00A01BF9"/>
    <w:rsid w:val="00A02501"/>
    <w:rsid w:val="00A02731"/>
    <w:rsid w:val="00A032A9"/>
    <w:rsid w:val="00A03564"/>
    <w:rsid w:val="00A0376E"/>
    <w:rsid w:val="00A03B78"/>
    <w:rsid w:val="00A045BA"/>
    <w:rsid w:val="00A05DD8"/>
    <w:rsid w:val="00A06058"/>
    <w:rsid w:val="00A06961"/>
    <w:rsid w:val="00A06B0D"/>
    <w:rsid w:val="00A06F91"/>
    <w:rsid w:val="00A07187"/>
    <w:rsid w:val="00A07BC4"/>
    <w:rsid w:val="00A10050"/>
    <w:rsid w:val="00A107B4"/>
    <w:rsid w:val="00A10892"/>
    <w:rsid w:val="00A11B6A"/>
    <w:rsid w:val="00A11BB3"/>
    <w:rsid w:val="00A12983"/>
    <w:rsid w:val="00A129B9"/>
    <w:rsid w:val="00A13095"/>
    <w:rsid w:val="00A13107"/>
    <w:rsid w:val="00A131C2"/>
    <w:rsid w:val="00A1340A"/>
    <w:rsid w:val="00A1377F"/>
    <w:rsid w:val="00A13A75"/>
    <w:rsid w:val="00A13E55"/>
    <w:rsid w:val="00A14930"/>
    <w:rsid w:val="00A14D1B"/>
    <w:rsid w:val="00A14DDE"/>
    <w:rsid w:val="00A14E25"/>
    <w:rsid w:val="00A151B9"/>
    <w:rsid w:val="00A152CE"/>
    <w:rsid w:val="00A153DC"/>
    <w:rsid w:val="00A15F4E"/>
    <w:rsid w:val="00A16AD8"/>
    <w:rsid w:val="00A17AD8"/>
    <w:rsid w:val="00A20176"/>
    <w:rsid w:val="00A20CAF"/>
    <w:rsid w:val="00A20E56"/>
    <w:rsid w:val="00A21257"/>
    <w:rsid w:val="00A21B3C"/>
    <w:rsid w:val="00A22262"/>
    <w:rsid w:val="00A22AD6"/>
    <w:rsid w:val="00A22B50"/>
    <w:rsid w:val="00A22E0E"/>
    <w:rsid w:val="00A23686"/>
    <w:rsid w:val="00A239C4"/>
    <w:rsid w:val="00A23B97"/>
    <w:rsid w:val="00A24348"/>
    <w:rsid w:val="00A245D8"/>
    <w:rsid w:val="00A245FC"/>
    <w:rsid w:val="00A25744"/>
    <w:rsid w:val="00A25EDF"/>
    <w:rsid w:val="00A26296"/>
    <w:rsid w:val="00A26E58"/>
    <w:rsid w:val="00A2726F"/>
    <w:rsid w:val="00A27389"/>
    <w:rsid w:val="00A27E1C"/>
    <w:rsid w:val="00A30CAC"/>
    <w:rsid w:val="00A3110F"/>
    <w:rsid w:val="00A3164B"/>
    <w:rsid w:val="00A31DF2"/>
    <w:rsid w:val="00A3241C"/>
    <w:rsid w:val="00A328F0"/>
    <w:rsid w:val="00A32AAF"/>
    <w:rsid w:val="00A3315A"/>
    <w:rsid w:val="00A3457C"/>
    <w:rsid w:val="00A34BCD"/>
    <w:rsid w:val="00A35413"/>
    <w:rsid w:val="00A35828"/>
    <w:rsid w:val="00A35F9D"/>
    <w:rsid w:val="00A36763"/>
    <w:rsid w:val="00A3683B"/>
    <w:rsid w:val="00A376AA"/>
    <w:rsid w:val="00A379C7"/>
    <w:rsid w:val="00A40F1A"/>
    <w:rsid w:val="00A40F2C"/>
    <w:rsid w:val="00A4195D"/>
    <w:rsid w:val="00A4241F"/>
    <w:rsid w:val="00A429C8"/>
    <w:rsid w:val="00A42CFD"/>
    <w:rsid w:val="00A4343A"/>
    <w:rsid w:val="00A44BA0"/>
    <w:rsid w:val="00A44CCE"/>
    <w:rsid w:val="00A44CDC"/>
    <w:rsid w:val="00A44D40"/>
    <w:rsid w:val="00A44F57"/>
    <w:rsid w:val="00A45057"/>
    <w:rsid w:val="00A45306"/>
    <w:rsid w:val="00A457AB"/>
    <w:rsid w:val="00A458CF"/>
    <w:rsid w:val="00A45BD8"/>
    <w:rsid w:val="00A45CE6"/>
    <w:rsid w:val="00A45EC6"/>
    <w:rsid w:val="00A46778"/>
    <w:rsid w:val="00A46B06"/>
    <w:rsid w:val="00A47323"/>
    <w:rsid w:val="00A476F2"/>
    <w:rsid w:val="00A47AE9"/>
    <w:rsid w:val="00A47F6B"/>
    <w:rsid w:val="00A50346"/>
    <w:rsid w:val="00A50779"/>
    <w:rsid w:val="00A51073"/>
    <w:rsid w:val="00A510AD"/>
    <w:rsid w:val="00A51150"/>
    <w:rsid w:val="00A511A8"/>
    <w:rsid w:val="00A5168B"/>
    <w:rsid w:val="00A517BC"/>
    <w:rsid w:val="00A51E56"/>
    <w:rsid w:val="00A525DE"/>
    <w:rsid w:val="00A529EB"/>
    <w:rsid w:val="00A531D2"/>
    <w:rsid w:val="00A532E3"/>
    <w:rsid w:val="00A53CD4"/>
    <w:rsid w:val="00A5487B"/>
    <w:rsid w:val="00A55C5B"/>
    <w:rsid w:val="00A561E4"/>
    <w:rsid w:val="00A56520"/>
    <w:rsid w:val="00A56976"/>
    <w:rsid w:val="00A5746A"/>
    <w:rsid w:val="00A603EF"/>
    <w:rsid w:val="00A60642"/>
    <w:rsid w:val="00A60ABC"/>
    <w:rsid w:val="00A60FC9"/>
    <w:rsid w:val="00A615DF"/>
    <w:rsid w:val="00A616DD"/>
    <w:rsid w:val="00A61A37"/>
    <w:rsid w:val="00A62B38"/>
    <w:rsid w:val="00A62EF2"/>
    <w:rsid w:val="00A641A2"/>
    <w:rsid w:val="00A646E9"/>
    <w:rsid w:val="00A64A41"/>
    <w:rsid w:val="00A64FDD"/>
    <w:rsid w:val="00A659EC"/>
    <w:rsid w:val="00A65D61"/>
    <w:rsid w:val="00A66855"/>
    <w:rsid w:val="00A66995"/>
    <w:rsid w:val="00A66A48"/>
    <w:rsid w:val="00A66DE3"/>
    <w:rsid w:val="00A66DE9"/>
    <w:rsid w:val="00A6717D"/>
    <w:rsid w:val="00A67268"/>
    <w:rsid w:val="00A674AE"/>
    <w:rsid w:val="00A67DDF"/>
    <w:rsid w:val="00A700BF"/>
    <w:rsid w:val="00A701C0"/>
    <w:rsid w:val="00A7098A"/>
    <w:rsid w:val="00A7342A"/>
    <w:rsid w:val="00A73647"/>
    <w:rsid w:val="00A73A02"/>
    <w:rsid w:val="00A73A76"/>
    <w:rsid w:val="00A73BC3"/>
    <w:rsid w:val="00A74033"/>
    <w:rsid w:val="00A745A8"/>
    <w:rsid w:val="00A74CD0"/>
    <w:rsid w:val="00A751C1"/>
    <w:rsid w:val="00A75647"/>
    <w:rsid w:val="00A75A03"/>
    <w:rsid w:val="00A7608F"/>
    <w:rsid w:val="00A76282"/>
    <w:rsid w:val="00A769A8"/>
    <w:rsid w:val="00A7719A"/>
    <w:rsid w:val="00A77695"/>
    <w:rsid w:val="00A7788F"/>
    <w:rsid w:val="00A80290"/>
    <w:rsid w:val="00A80DDD"/>
    <w:rsid w:val="00A81090"/>
    <w:rsid w:val="00A8153D"/>
    <w:rsid w:val="00A81542"/>
    <w:rsid w:val="00A8155C"/>
    <w:rsid w:val="00A816CC"/>
    <w:rsid w:val="00A81F58"/>
    <w:rsid w:val="00A82197"/>
    <w:rsid w:val="00A8221F"/>
    <w:rsid w:val="00A8232F"/>
    <w:rsid w:val="00A82753"/>
    <w:rsid w:val="00A83CB5"/>
    <w:rsid w:val="00A83E60"/>
    <w:rsid w:val="00A844C2"/>
    <w:rsid w:val="00A84801"/>
    <w:rsid w:val="00A84D7F"/>
    <w:rsid w:val="00A84EEC"/>
    <w:rsid w:val="00A8507B"/>
    <w:rsid w:val="00A85199"/>
    <w:rsid w:val="00A853F5"/>
    <w:rsid w:val="00A8579C"/>
    <w:rsid w:val="00A8647F"/>
    <w:rsid w:val="00A864A9"/>
    <w:rsid w:val="00A86BF8"/>
    <w:rsid w:val="00A87148"/>
    <w:rsid w:val="00A875BB"/>
    <w:rsid w:val="00A9056F"/>
    <w:rsid w:val="00A912C0"/>
    <w:rsid w:val="00A9151D"/>
    <w:rsid w:val="00A92227"/>
    <w:rsid w:val="00A92B6D"/>
    <w:rsid w:val="00A93B83"/>
    <w:rsid w:val="00A93F14"/>
    <w:rsid w:val="00A945C8"/>
    <w:rsid w:val="00A94746"/>
    <w:rsid w:val="00A948B7"/>
    <w:rsid w:val="00A9490E"/>
    <w:rsid w:val="00A94E2E"/>
    <w:rsid w:val="00A950A0"/>
    <w:rsid w:val="00A95A7F"/>
    <w:rsid w:val="00A961A3"/>
    <w:rsid w:val="00A962F1"/>
    <w:rsid w:val="00A964C9"/>
    <w:rsid w:val="00A9675E"/>
    <w:rsid w:val="00A96798"/>
    <w:rsid w:val="00A96C5F"/>
    <w:rsid w:val="00A9740B"/>
    <w:rsid w:val="00A97450"/>
    <w:rsid w:val="00A977D5"/>
    <w:rsid w:val="00AA04F1"/>
    <w:rsid w:val="00AA07FE"/>
    <w:rsid w:val="00AA1395"/>
    <w:rsid w:val="00AA14CC"/>
    <w:rsid w:val="00AA2218"/>
    <w:rsid w:val="00AA23BA"/>
    <w:rsid w:val="00AA2763"/>
    <w:rsid w:val="00AA3B68"/>
    <w:rsid w:val="00AA5518"/>
    <w:rsid w:val="00AA58AE"/>
    <w:rsid w:val="00AA5CF8"/>
    <w:rsid w:val="00AA5FC4"/>
    <w:rsid w:val="00AA6334"/>
    <w:rsid w:val="00AA7213"/>
    <w:rsid w:val="00AA74E0"/>
    <w:rsid w:val="00AB00B6"/>
    <w:rsid w:val="00AB08EA"/>
    <w:rsid w:val="00AB09EC"/>
    <w:rsid w:val="00AB0A15"/>
    <w:rsid w:val="00AB0DA0"/>
    <w:rsid w:val="00AB0F69"/>
    <w:rsid w:val="00AB2179"/>
    <w:rsid w:val="00AB2C6C"/>
    <w:rsid w:val="00AB3F75"/>
    <w:rsid w:val="00AB4BE5"/>
    <w:rsid w:val="00AB4CC3"/>
    <w:rsid w:val="00AB4EEA"/>
    <w:rsid w:val="00AB582F"/>
    <w:rsid w:val="00AB5A6F"/>
    <w:rsid w:val="00AB5EDE"/>
    <w:rsid w:val="00AB6017"/>
    <w:rsid w:val="00AB6E95"/>
    <w:rsid w:val="00AB7398"/>
    <w:rsid w:val="00AB7AD7"/>
    <w:rsid w:val="00AB7B98"/>
    <w:rsid w:val="00AC07DF"/>
    <w:rsid w:val="00AC095F"/>
    <w:rsid w:val="00AC0A20"/>
    <w:rsid w:val="00AC0F8A"/>
    <w:rsid w:val="00AC188D"/>
    <w:rsid w:val="00AC1E72"/>
    <w:rsid w:val="00AC1FD2"/>
    <w:rsid w:val="00AC29C4"/>
    <w:rsid w:val="00AC2A06"/>
    <w:rsid w:val="00AC40C1"/>
    <w:rsid w:val="00AC41F9"/>
    <w:rsid w:val="00AC4FB6"/>
    <w:rsid w:val="00AC5168"/>
    <w:rsid w:val="00AC564C"/>
    <w:rsid w:val="00AC568C"/>
    <w:rsid w:val="00AC5CB2"/>
    <w:rsid w:val="00AC604F"/>
    <w:rsid w:val="00AC6B89"/>
    <w:rsid w:val="00AC6BB8"/>
    <w:rsid w:val="00AC6C1D"/>
    <w:rsid w:val="00AC6D9C"/>
    <w:rsid w:val="00AC7698"/>
    <w:rsid w:val="00AD0509"/>
    <w:rsid w:val="00AD111F"/>
    <w:rsid w:val="00AD1C64"/>
    <w:rsid w:val="00AD1ED1"/>
    <w:rsid w:val="00AD2057"/>
    <w:rsid w:val="00AD2869"/>
    <w:rsid w:val="00AD2B1E"/>
    <w:rsid w:val="00AD3BDA"/>
    <w:rsid w:val="00AD4840"/>
    <w:rsid w:val="00AD48CB"/>
    <w:rsid w:val="00AD52F1"/>
    <w:rsid w:val="00AD5B60"/>
    <w:rsid w:val="00AD5E53"/>
    <w:rsid w:val="00AD5FA0"/>
    <w:rsid w:val="00AD61AC"/>
    <w:rsid w:val="00AD6A84"/>
    <w:rsid w:val="00AD6BA4"/>
    <w:rsid w:val="00AD6EB5"/>
    <w:rsid w:val="00AD7460"/>
    <w:rsid w:val="00AD7B9C"/>
    <w:rsid w:val="00AE103B"/>
    <w:rsid w:val="00AE120E"/>
    <w:rsid w:val="00AE129B"/>
    <w:rsid w:val="00AE1350"/>
    <w:rsid w:val="00AE1668"/>
    <w:rsid w:val="00AE167F"/>
    <w:rsid w:val="00AE189E"/>
    <w:rsid w:val="00AE1C08"/>
    <w:rsid w:val="00AE1E5D"/>
    <w:rsid w:val="00AE1FD3"/>
    <w:rsid w:val="00AE23EC"/>
    <w:rsid w:val="00AE240E"/>
    <w:rsid w:val="00AE2572"/>
    <w:rsid w:val="00AE2758"/>
    <w:rsid w:val="00AE2F25"/>
    <w:rsid w:val="00AE3594"/>
    <w:rsid w:val="00AE3A57"/>
    <w:rsid w:val="00AE3E26"/>
    <w:rsid w:val="00AE40AB"/>
    <w:rsid w:val="00AE4250"/>
    <w:rsid w:val="00AE5570"/>
    <w:rsid w:val="00AE5575"/>
    <w:rsid w:val="00AE55AC"/>
    <w:rsid w:val="00AE567E"/>
    <w:rsid w:val="00AE5DB6"/>
    <w:rsid w:val="00AE5F17"/>
    <w:rsid w:val="00AE5F1D"/>
    <w:rsid w:val="00AE63F2"/>
    <w:rsid w:val="00AE6673"/>
    <w:rsid w:val="00AE6F12"/>
    <w:rsid w:val="00AE7E4A"/>
    <w:rsid w:val="00AF04C9"/>
    <w:rsid w:val="00AF0CB4"/>
    <w:rsid w:val="00AF0EA6"/>
    <w:rsid w:val="00AF0FD8"/>
    <w:rsid w:val="00AF11E7"/>
    <w:rsid w:val="00AF16D9"/>
    <w:rsid w:val="00AF1897"/>
    <w:rsid w:val="00AF1BCD"/>
    <w:rsid w:val="00AF1C0A"/>
    <w:rsid w:val="00AF2436"/>
    <w:rsid w:val="00AF25EB"/>
    <w:rsid w:val="00AF31BC"/>
    <w:rsid w:val="00AF33A2"/>
    <w:rsid w:val="00AF3901"/>
    <w:rsid w:val="00AF4D7C"/>
    <w:rsid w:val="00AF4D95"/>
    <w:rsid w:val="00AF5265"/>
    <w:rsid w:val="00AF528E"/>
    <w:rsid w:val="00AF5D6F"/>
    <w:rsid w:val="00AF5F26"/>
    <w:rsid w:val="00AF6B91"/>
    <w:rsid w:val="00AF702A"/>
    <w:rsid w:val="00AF7C6E"/>
    <w:rsid w:val="00B007D4"/>
    <w:rsid w:val="00B014EA"/>
    <w:rsid w:val="00B014F1"/>
    <w:rsid w:val="00B0173F"/>
    <w:rsid w:val="00B01A0E"/>
    <w:rsid w:val="00B01D7A"/>
    <w:rsid w:val="00B020E8"/>
    <w:rsid w:val="00B0236C"/>
    <w:rsid w:val="00B0295F"/>
    <w:rsid w:val="00B029FC"/>
    <w:rsid w:val="00B02EB7"/>
    <w:rsid w:val="00B03A66"/>
    <w:rsid w:val="00B048FF"/>
    <w:rsid w:val="00B04AFF"/>
    <w:rsid w:val="00B04E2D"/>
    <w:rsid w:val="00B0507A"/>
    <w:rsid w:val="00B05598"/>
    <w:rsid w:val="00B05934"/>
    <w:rsid w:val="00B05DEA"/>
    <w:rsid w:val="00B0669D"/>
    <w:rsid w:val="00B068CE"/>
    <w:rsid w:val="00B0723F"/>
    <w:rsid w:val="00B07C87"/>
    <w:rsid w:val="00B10BCC"/>
    <w:rsid w:val="00B11518"/>
    <w:rsid w:val="00B115B6"/>
    <w:rsid w:val="00B121CD"/>
    <w:rsid w:val="00B124AE"/>
    <w:rsid w:val="00B12994"/>
    <w:rsid w:val="00B12B82"/>
    <w:rsid w:val="00B135F3"/>
    <w:rsid w:val="00B13F3E"/>
    <w:rsid w:val="00B13FED"/>
    <w:rsid w:val="00B1455C"/>
    <w:rsid w:val="00B14852"/>
    <w:rsid w:val="00B15A19"/>
    <w:rsid w:val="00B169CC"/>
    <w:rsid w:val="00B16EE3"/>
    <w:rsid w:val="00B1775A"/>
    <w:rsid w:val="00B17C9A"/>
    <w:rsid w:val="00B20B24"/>
    <w:rsid w:val="00B20E80"/>
    <w:rsid w:val="00B213BC"/>
    <w:rsid w:val="00B218B7"/>
    <w:rsid w:val="00B219CB"/>
    <w:rsid w:val="00B21DA9"/>
    <w:rsid w:val="00B21E51"/>
    <w:rsid w:val="00B22279"/>
    <w:rsid w:val="00B228B0"/>
    <w:rsid w:val="00B23930"/>
    <w:rsid w:val="00B242DE"/>
    <w:rsid w:val="00B2443F"/>
    <w:rsid w:val="00B247A4"/>
    <w:rsid w:val="00B24A0E"/>
    <w:rsid w:val="00B24B0D"/>
    <w:rsid w:val="00B24FD3"/>
    <w:rsid w:val="00B25476"/>
    <w:rsid w:val="00B2579A"/>
    <w:rsid w:val="00B258F4"/>
    <w:rsid w:val="00B259A1"/>
    <w:rsid w:val="00B26873"/>
    <w:rsid w:val="00B26CD6"/>
    <w:rsid w:val="00B26E60"/>
    <w:rsid w:val="00B27950"/>
    <w:rsid w:val="00B279FA"/>
    <w:rsid w:val="00B300ED"/>
    <w:rsid w:val="00B31204"/>
    <w:rsid w:val="00B32ACA"/>
    <w:rsid w:val="00B32E4C"/>
    <w:rsid w:val="00B33241"/>
    <w:rsid w:val="00B33F47"/>
    <w:rsid w:val="00B34356"/>
    <w:rsid w:val="00B3448D"/>
    <w:rsid w:val="00B344D9"/>
    <w:rsid w:val="00B3473C"/>
    <w:rsid w:val="00B34A2B"/>
    <w:rsid w:val="00B34EA1"/>
    <w:rsid w:val="00B35018"/>
    <w:rsid w:val="00B357D8"/>
    <w:rsid w:val="00B35ADF"/>
    <w:rsid w:val="00B36391"/>
    <w:rsid w:val="00B36603"/>
    <w:rsid w:val="00B369AB"/>
    <w:rsid w:val="00B36A9E"/>
    <w:rsid w:val="00B37875"/>
    <w:rsid w:val="00B37BF9"/>
    <w:rsid w:val="00B40300"/>
    <w:rsid w:val="00B4031B"/>
    <w:rsid w:val="00B411B2"/>
    <w:rsid w:val="00B4191C"/>
    <w:rsid w:val="00B41B72"/>
    <w:rsid w:val="00B41F8A"/>
    <w:rsid w:val="00B423B3"/>
    <w:rsid w:val="00B4258F"/>
    <w:rsid w:val="00B4269A"/>
    <w:rsid w:val="00B42A74"/>
    <w:rsid w:val="00B42D2D"/>
    <w:rsid w:val="00B432CD"/>
    <w:rsid w:val="00B4335E"/>
    <w:rsid w:val="00B434CA"/>
    <w:rsid w:val="00B4359D"/>
    <w:rsid w:val="00B43909"/>
    <w:rsid w:val="00B43CD1"/>
    <w:rsid w:val="00B43D0C"/>
    <w:rsid w:val="00B43DCE"/>
    <w:rsid w:val="00B446DC"/>
    <w:rsid w:val="00B44CC4"/>
    <w:rsid w:val="00B454C1"/>
    <w:rsid w:val="00B456B8"/>
    <w:rsid w:val="00B46641"/>
    <w:rsid w:val="00B466E6"/>
    <w:rsid w:val="00B46C08"/>
    <w:rsid w:val="00B471BF"/>
    <w:rsid w:val="00B4728D"/>
    <w:rsid w:val="00B47AAA"/>
    <w:rsid w:val="00B47C44"/>
    <w:rsid w:val="00B47E9E"/>
    <w:rsid w:val="00B50573"/>
    <w:rsid w:val="00B50E79"/>
    <w:rsid w:val="00B51071"/>
    <w:rsid w:val="00B512AA"/>
    <w:rsid w:val="00B51509"/>
    <w:rsid w:val="00B519D4"/>
    <w:rsid w:val="00B526DA"/>
    <w:rsid w:val="00B5281E"/>
    <w:rsid w:val="00B530C3"/>
    <w:rsid w:val="00B5319B"/>
    <w:rsid w:val="00B53459"/>
    <w:rsid w:val="00B548ED"/>
    <w:rsid w:val="00B54BAB"/>
    <w:rsid w:val="00B54C86"/>
    <w:rsid w:val="00B55268"/>
    <w:rsid w:val="00B5591B"/>
    <w:rsid w:val="00B561E3"/>
    <w:rsid w:val="00B566EE"/>
    <w:rsid w:val="00B5695B"/>
    <w:rsid w:val="00B56BBA"/>
    <w:rsid w:val="00B56D7B"/>
    <w:rsid w:val="00B57382"/>
    <w:rsid w:val="00B5746A"/>
    <w:rsid w:val="00B5796C"/>
    <w:rsid w:val="00B601DC"/>
    <w:rsid w:val="00B60C9D"/>
    <w:rsid w:val="00B6227C"/>
    <w:rsid w:val="00B625D2"/>
    <w:rsid w:val="00B62639"/>
    <w:rsid w:val="00B62BF8"/>
    <w:rsid w:val="00B62E18"/>
    <w:rsid w:val="00B6308F"/>
    <w:rsid w:val="00B6330E"/>
    <w:rsid w:val="00B633D9"/>
    <w:rsid w:val="00B63822"/>
    <w:rsid w:val="00B63934"/>
    <w:rsid w:val="00B64186"/>
    <w:rsid w:val="00B64413"/>
    <w:rsid w:val="00B64628"/>
    <w:rsid w:val="00B6590C"/>
    <w:rsid w:val="00B66506"/>
    <w:rsid w:val="00B6685C"/>
    <w:rsid w:val="00B66D0F"/>
    <w:rsid w:val="00B70021"/>
    <w:rsid w:val="00B7073A"/>
    <w:rsid w:val="00B70E19"/>
    <w:rsid w:val="00B71362"/>
    <w:rsid w:val="00B71711"/>
    <w:rsid w:val="00B724B1"/>
    <w:rsid w:val="00B729EB"/>
    <w:rsid w:val="00B72A14"/>
    <w:rsid w:val="00B73540"/>
    <w:rsid w:val="00B738C7"/>
    <w:rsid w:val="00B73929"/>
    <w:rsid w:val="00B74398"/>
    <w:rsid w:val="00B74DAD"/>
    <w:rsid w:val="00B75467"/>
    <w:rsid w:val="00B75534"/>
    <w:rsid w:val="00B75935"/>
    <w:rsid w:val="00B759F2"/>
    <w:rsid w:val="00B759FF"/>
    <w:rsid w:val="00B75DF2"/>
    <w:rsid w:val="00B75F00"/>
    <w:rsid w:val="00B7749A"/>
    <w:rsid w:val="00B778ED"/>
    <w:rsid w:val="00B7790C"/>
    <w:rsid w:val="00B77BDA"/>
    <w:rsid w:val="00B77E31"/>
    <w:rsid w:val="00B800F1"/>
    <w:rsid w:val="00B80257"/>
    <w:rsid w:val="00B802D4"/>
    <w:rsid w:val="00B803C3"/>
    <w:rsid w:val="00B80F0C"/>
    <w:rsid w:val="00B814DA"/>
    <w:rsid w:val="00B81FD4"/>
    <w:rsid w:val="00B83471"/>
    <w:rsid w:val="00B8354F"/>
    <w:rsid w:val="00B83F9F"/>
    <w:rsid w:val="00B83FFA"/>
    <w:rsid w:val="00B84021"/>
    <w:rsid w:val="00B840B2"/>
    <w:rsid w:val="00B84608"/>
    <w:rsid w:val="00B84B45"/>
    <w:rsid w:val="00B852DC"/>
    <w:rsid w:val="00B85680"/>
    <w:rsid w:val="00B85838"/>
    <w:rsid w:val="00B85DA9"/>
    <w:rsid w:val="00B86162"/>
    <w:rsid w:val="00B8663D"/>
    <w:rsid w:val="00B86A0E"/>
    <w:rsid w:val="00B87154"/>
    <w:rsid w:val="00B87860"/>
    <w:rsid w:val="00B87B0E"/>
    <w:rsid w:val="00B90057"/>
    <w:rsid w:val="00B9057E"/>
    <w:rsid w:val="00B90F26"/>
    <w:rsid w:val="00B91567"/>
    <w:rsid w:val="00B9172E"/>
    <w:rsid w:val="00B91A03"/>
    <w:rsid w:val="00B91CD3"/>
    <w:rsid w:val="00B92304"/>
    <w:rsid w:val="00B9275F"/>
    <w:rsid w:val="00B9294F"/>
    <w:rsid w:val="00B92B3C"/>
    <w:rsid w:val="00B930A6"/>
    <w:rsid w:val="00B931E2"/>
    <w:rsid w:val="00B932CF"/>
    <w:rsid w:val="00B9383F"/>
    <w:rsid w:val="00B93C90"/>
    <w:rsid w:val="00B93EFB"/>
    <w:rsid w:val="00B94082"/>
    <w:rsid w:val="00B9418C"/>
    <w:rsid w:val="00B94547"/>
    <w:rsid w:val="00B94C6A"/>
    <w:rsid w:val="00B94CEC"/>
    <w:rsid w:val="00B95580"/>
    <w:rsid w:val="00B958F3"/>
    <w:rsid w:val="00B95D63"/>
    <w:rsid w:val="00B95EFB"/>
    <w:rsid w:val="00B95F26"/>
    <w:rsid w:val="00B96127"/>
    <w:rsid w:val="00B9612D"/>
    <w:rsid w:val="00B97492"/>
    <w:rsid w:val="00BA0134"/>
    <w:rsid w:val="00BA02A6"/>
    <w:rsid w:val="00BA154D"/>
    <w:rsid w:val="00BA16CD"/>
    <w:rsid w:val="00BA1724"/>
    <w:rsid w:val="00BA1F7B"/>
    <w:rsid w:val="00BA25B3"/>
    <w:rsid w:val="00BA3119"/>
    <w:rsid w:val="00BA317C"/>
    <w:rsid w:val="00BA3456"/>
    <w:rsid w:val="00BA3B40"/>
    <w:rsid w:val="00BA3BB2"/>
    <w:rsid w:val="00BA3EA1"/>
    <w:rsid w:val="00BA3FCC"/>
    <w:rsid w:val="00BA4D1E"/>
    <w:rsid w:val="00BA4DD0"/>
    <w:rsid w:val="00BA5A04"/>
    <w:rsid w:val="00BA5DE3"/>
    <w:rsid w:val="00BA65B6"/>
    <w:rsid w:val="00BA6663"/>
    <w:rsid w:val="00BA667A"/>
    <w:rsid w:val="00BA6A84"/>
    <w:rsid w:val="00BA71CC"/>
    <w:rsid w:val="00BA729E"/>
    <w:rsid w:val="00BA79DD"/>
    <w:rsid w:val="00BB00D7"/>
    <w:rsid w:val="00BB0785"/>
    <w:rsid w:val="00BB078C"/>
    <w:rsid w:val="00BB0A0E"/>
    <w:rsid w:val="00BB0BC3"/>
    <w:rsid w:val="00BB0D18"/>
    <w:rsid w:val="00BB13B5"/>
    <w:rsid w:val="00BB1867"/>
    <w:rsid w:val="00BB1EEB"/>
    <w:rsid w:val="00BB2C95"/>
    <w:rsid w:val="00BB3E9B"/>
    <w:rsid w:val="00BB4C42"/>
    <w:rsid w:val="00BB4EBE"/>
    <w:rsid w:val="00BB54D5"/>
    <w:rsid w:val="00BB54F2"/>
    <w:rsid w:val="00BB5A7F"/>
    <w:rsid w:val="00BB6140"/>
    <w:rsid w:val="00BB66C4"/>
    <w:rsid w:val="00BB6910"/>
    <w:rsid w:val="00BB6FB0"/>
    <w:rsid w:val="00BB7750"/>
    <w:rsid w:val="00BB7EC4"/>
    <w:rsid w:val="00BC035B"/>
    <w:rsid w:val="00BC0BC4"/>
    <w:rsid w:val="00BC0F53"/>
    <w:rsid w:val="00BC106D"/>
    <w:rsid w:val="00BC1431"/>
    <w:rsid w:val="00BC1485"/>
    <w:rsid w:val="00BC2D8E"/>
    <w:rsid w:val="00BC2F00"/>
    <w:rsid w:val="00BC3323"/>
    <w:rsid w:val="00BC3F09"/>
    <w:rsid w:val="00BC3F7A"/>
    <w:rsid w:val="00BC4B73"/>
    <w:rsid w:val="00BC4C56"/>
    <w:rsid w:val="00BC5B5F"/>
    <w:rsid w:val="00BC6255"/>
    <w:rsid w:val="00BC6463"/>
    <w:rsid w:val="00BC655A"/>
    <w:rsid w:val="00BC67B8"/>
    <w:rsid w:val="00BC6870"/>
    <w:rsid w:val="00BC69BE"/>
    <w:rsid w:val="00BC785E"/>
    <w:rsid w:val="00BC7CA6"/>
    <w:rsid w:val="00BC7D47"/>
    <w:rsid w:val="00BC7F29"/>
    <w:rsid w:val="00BD006A"/>
    <w:rsid w:val="00BD05EC"/>
    <w:rsid w:val="00BD1516"/>
    <w:rsid w:val="00BD17AB"/>
    <w:rsid w:val="00BD1F41"/>
    <w:rsid w:val="00BD2CA7"/>
    <w:rsid w:val="00BD3F3B"/>
    <w:rsid w:val="00BD5378"/>
    <w:rsid w:val="00BD5E25"/>
    <w:rsid w:val="00BD6334"/>
    <w:rsid w:val="00BD6CA4"/>
    <w:rsid w:val="00BD6DF0"/>
    <w:rsid w:val="00BD6E00"/>
    <w:rsid w:val="00BD6FCA"/>
    <w:rsid w:val="00BD774F"/>
    <w:rsid w:val="00BD780E"/>
    <w:rsid w:val="00BD785E"/>
    <w:rsid w:val="00BE037B"/>
    <w:rsid w:val="00BE0994"/>
    <w:rsid w:val="00BE0B4D"/>
    <w:rsid w:val="00BE1100"/>
    <w:rsid w:val="00BE1B1B"/>
    <w:rsid w:val="00BE1BB1"/>
    <w:rsid w:val="00BE2031"/>
    <w:rsid w:val="00BE20E9"/>
    <w:rsid w:val="00BE2824"/>
    <w:rsid w:val="00BE2B2F"/>
    <w:rsid w:val="00BE2BC5"/>
    <w:rsid w:val="00BE2BE5"/>
    <w:rsid w:val="00BE2C00"/>
    <w:rsid w:val="00BE2C04"/>
    <w:rsid w:val="00BE42FB"/>
    <w:rsid w:val="00BE4490"/>
    <w:rsid w:val="00BE4A80"/>
    <w:rsid w:val="00BE4A8F"/>
    <w:rsid w:val="00BE4F23"/>
    <w:rsid w:val="00BE5183"/>
    <w:rsid w:val="00BE55FC"/>
    <w:rsid w:val="00BE58EF"/>
    <w:rsid w:val="00BE6010"/>
    <w:rsid w:val="00BE61EC"/>
    <w:rsid w:val="00BE65C1"/>
    <w:rsid w:val="00BE65D0"/>
    <w:rsid w:val="00BE6E30"/>
    <w:rsid w:val="00BE6EF9"/>
    <w:rsid w:val="00BE728C"/>
    <w:rsid w:val="00BE7671"/>
    <w:rsid w:val="00BE7B46"/>
    <w:rsid w:val="00BE7C10"/>
    <w:rsid w:val="00BE7CF0"/>
    <w:rsid w:val="00BF072E"/>
    <w:rsid w:val="00BF0CC2"/>
    <w:rsid w:val="00BF1998"/>
    <w:rsid w:val="00BF1A40"/>
    <w:rsid w:val="00BF2322"/>
    <w:rsid w:val="00BF2959"/>
    <w:rsid w:val="00BF2DA5"/>
    <w:rsid w:val="00BF2F0F"/>
    <w:rsid w:val="00BF43E2"/>
    <w:rsid w:val="00BF4525"/>
    <w:rsid w:val="00BF475C"/>
    <w:rsid w:val="00BF48F4"/>
    <w:rsid w:val="00BF5103"/>
    <w:rsid w:val="00BF528D"/>
    <w:rsid w:val="00BF556A"/>
    <w:rsid w:val="00BF697E"/>
    <w:rsid w:val="00BF6EC5"/>
    <w:rsid w:val="00BF7277"/>
    <w:rsid w:val="00BF74E7"/>
    <w:rsid w:val="00BF7EE5"/>
    <w:rsid w:val="00C00034"/>
    <w:rsid w:val="00C008E8"/>
    <w:rsid w:val="00C00A7C"/>
    <w:rsid w:val="00C012C4"/>
    <w:rsid w:val="00C025F7"/>
    <w:rsid w:val="00C03952"/>
    <w:rsid w:val="00C04650"/>
    <w:rsid w:val="00C04656"/>
    <w:rsid w:val="00C0497E"/>
    <w:rsid w:val="00C04980"/>
    <w:rsid w:val="00C04D8C"/>
    <w:rsid w:val="00C05531"/>
    <w:rsid w:val="00C05779"/>
    <w:rsid w:val="00C05E81"/>
    <w:rsid w:val="00C06492"/>
    <w:rsid w:val="00C073DC"/>
    <w:rsid w:val="00C07A28"/>
    <w:rsid w:val="00C07B68"/>
    <w:rsid w:val="00C1088A"/>
    <w:rsid w:val="00C10D8A"/>
    <w:rsid w:val="00C110E4"/>
    <w:rsid w:val="00C115AD"/>
    <w:rsid w:val="00C1173C"/>
    <w:rsid w:val="00C11BF7"/>
    <w:rsid w:val="00C11CFF"/>
    <w:rsid w:val="00C12263"/>
    <w:rsid w:val="00C12A1E"/>
    <w:rsid w:val="00C136CB"/>
    <w:rsid w:val="00C1436F"/>
    <w:rsid w:val="00C1464F"/>
    <w:rsid w:val="00C15D81"/>
    <w:rsid w:val="00C15FAE"/>
    <w:rsid w:val="00C16166"/>
    <w:rsid w:val="00C1798F"/>
    <w:rsid w:val="00C17F38"/>
    <w:rsid w:val="00C207C0"/>
    <w:rsid w:val="00C20986"/>
    <w:rsid w:val="00C20DF3"/>
    <w:rsid w:val="00C21372"/>
    <w:rsid w:val="00C215B1"/>
    <w:rsid w:val="00C21D78"/>
    <w:rsid w:val="00C22F2D"/>
    <w:rsid w:val="00C2307F"/>
    <w:rsid w:val="00C234FC"/>
    <w:rsid w:val="00C23E8C"/>
    <w:rsid w:val="00C24055"/>
    <w:rsid w:val="00C248E8"/>
    <w:rsid w:val="00C24D20"/>
    <w:rsid w:val="00C2522C"/>
    <w:rsid w:val="00C25CFE"/>
    <w:rsid w:val="00C25D95"/>
    <w:rsid w:val="00C266A2"/>
    <w:rsid w:val="00C27A28"/>
    <w:rsid w:val="00C27A83"/>
    <w:rsid w:val="00C27BBA"/>
    <w:rsid w:val="00C27DCF"/>
    <w:rsid w:val="00C303B9"/>
    <w:rsid w:val="00C3064D"/>
    <w:rsid w:val="00C319A7"/>
    <w:rsid w:val="00C31B98"/>
    <w:rsid w:val="00C3216A"/>
    <w:rsid w:val="00C321F7"/>
    <w:rsid w:val="00C322A5"/>
    <w:rsid w:val="00C32874"/>
    <w:rsid w:val="00C329F2"/>
    <w:rsid w:val="00C32AC7"/>
    <w:rsid w:val="00C32C3C"/>
    <w:rsid w:val="00C331EE"/>
    <w:rsid w:val="00C33480"/>
    <w:rsid w:val="00C33520"/>
    <w:rsid w:val="00C33C1F"/>
    <w:rsid w:val="00C33DFA"/>
    <w:rsid w:val="00C345A0"/>
    <w:rsid w:val="00C3465E"/>
    <w:rsid w:val="00C34B83"/>
    <w:rsid w:val="00C34FE5"/>
    <w:rsid w:val="00C35708"/>
    <w:rsid w:val="00C3696F"/>
    <w:rsid w:val="00C36B3E"/>
    <w:rsid w:val="00C370F5"/>
    <w:rsid w:val="00C37C85"/>
    <w:rsid w:val="00C401BF"/>
    <w:rsid w:val="00C40E3C"/>
    <w:rsid w:val="00C40E71"/>
    <w:rsid w:val="00C4166E"/>
    <w:rsid w:val="00C417BB"/>
    <w:rsid w:val="00C41861"/>
    <w:rsid w:val="00C4251A"/>
    <w:rsid w:val="00C42BEB"/>
    <w:rsid w:val="00C43222"/>
    <w:rsid w:val="00C43B5F"/>
    <w:rsid w:val="00C43B96"/>
    <w:rsid w:val="00C43D9D"/>
    <w:rsid w:val="00C44986"/>
    <w:rsid w:val="00C44AC9"/>
    <w:rsid w:val="00C44B88"/>
    <w:rsid w:val="00C453BA"/>
    <w:rsid w:val="00C45779"/>
    <w:rsid w:val="00C45999"/>
    <w:rsid w:val="00C45AD9"/>
    <w:rsid w:val="00C46309"/>
    <w:rsid w:val="00C469DC"/>
    <w:rsid w:val="00C46A72"/>
    <w:rsid w:val="00C46B33"/>
    <w:rsid w:val="00C46F1A"/>
    <w:rsid w:val="00C47214"/>
    <w:rsid w:val="00C47B13"/>
    <w:rsid w:val="00C511D0"/>
    <w:rsid w:val="00C51DD2"/>
    <w:rsid w:val="00C51E7D"/>
    <w:rsid w:val="00C5228C"/>
    <w:rsid w:val="00C52713"/>
    <w:rsid w:val="00C528E7"/>
    <w:rsid w:val="00C52AE9"/>
    <w:rsid w:val="00C531FA"/>
    <w:rsid w:val="00C536DE"/>
    <w:rsid w:val="00C5385B"/>
    <w:rsid w:val="00C5397E"/>
    <w:rsid w:val="00C54476"/>
    <w:rsid w:val="00C54537"/>
    <w:rsid w:val="00C54912"/>
    <w:rsid w:val="00C54F1E"/>
    <w:rsid w:val="00C55236"/>
    <w:rsid w:val="00C55275"/>
    <w:rsid w:val="00C55B85"/>
    <w:rsid w:val="00C55D9A"/>
    <w:rsid w:val="00C55E24"/>
    <w:rsid w:val="00C56587"/>
    <w:rsid w:val="00C565D7"/>
    <w:rsid w:val="00C57596"/>
    <w:rsid w:val="00C60CB3"/>
    <w:rsid w:val="00C60D95"/>
    <w:rsid w:val="00C61D86"/>
    <w:rsid w:val="00C61DF7"/>
    <w:rsid w:val="00C62453"/>
    <w:rsid w:val="00C62645"/>
    <w:rsid w:val="00C627DE"/>
    <w:rsid w:val="00C629DE"/>
    <w:rsid w:val="00C62A47"/>
    <w:rsid w:val="00C62AC7"/>
    <w:rsid w:val="00C62C2A"/>
    <w:rsid w:val="00C62D8A"/>
    <w:rsid w:val="00C62FE6"/>
    <w:rsid w:val="00C63471"/>
    <w:rsid w:val="00C634C5"/>
    <w:rsid w:val="00C641A6"/>
    <w:rsid w:val="00C64467"/>
    <w:rsid w:val="00C64A78"/>
    <w:rsid w:val="00C64E4A"/>
    <w:rsid w:val="00C64F10"/>
    <w:rsid w:val="00C64FC1"/>
    <w:rsid w:val="00C657F7"/>
    <w:rsid w:val="00C65A5A"/>
    <w:rsid w:val="00C65DBA"/>
    <w:rsid w:val="00C65F52"/>
    <w:rsid w:val="00C67936"/>
    <w:rsid w:val="00C702A0"/>
    <w:rsid w:val="00C70645"/>
    <w:rsid w:val="00C706EF"/>
    <w:rsid w:val="00C7074B"/>
    <w:rsid w:val="00C707D7"/>
    <w:rsid w:val="00C709BE"/>
    <w:rsid w:val="00C7112D"/>
    <w:rsid w:val="00C7293F"/>
    <w:rsid w:val="00C73569"/>
    <w:rsid w:val="00C737CC"/>
    <w:rsid w:val="00C73DE8"/>
    <w:rsid w:val="00C746EF"/>
    <w:rsid w:val="00C74F68"/>
    <w:rsid w:val="00C7559F"/>
    <w:rsid w:val="00C75B06"/>
    <w:rsid w:val="00C75C05"/>
    <w:rsid w:val="00C773D9"/>
    <w:rsid w:val="00C77CF0"/>
    <w:rsid w:val="00C77F13"/>
    <w:rsid w:val="00C809AF"/>
    <w:rsid w:val="00C80BBC"/>
    <w:rsid w:val="00C80E7A"/>
    <w:rsid w:val="00C810FF"/>
    <w:rsid w:val="00C8154F"/>
    <w:rsid w:val="00C825E6"/>
    <w:rsid w:val="00C826C9"/>
    <w:rsid w:val="00C82D7F"/>
    <w:rsid w:val="00C835DC"/>
    <w:rsid w:val="00C836D2"/>
    <w:rsid w:val="00C83C50"/>
    <w:rsid w:val="00C840ED"/>
    <w:rsid w:val="00C8478B"/>
    <w:rsid w:val="00C849D0"/>
    <w:rsid w:val="00C84B48"/>
    <w:rsid w:val="00C84D21"/>
    <w:rsid w:val="00C84E90"/>
    <w:rsid w:val="00C85233"/>
    <w:rsid w:val="00C859BB"/>
    <w:rsid w:val="00C85A3E"/>
    <w:rsid w:val="00C85A87"/>
    <w:rsid w:val="00C85B81"/>
    <w:rsid w:val="00C86043"/>
    <w:rsid w:val="00C86E23"/>
    <w:rsid w:val="00C874B3"/>
    <w:rsid w:val="00C87A0C"/>
    <w:rsid w:val="00C87BB6"/>
    <w:rsid w:val="00C9067E"/>
    <w:rsid w:val="00C90867"/>
    <w:rsid w:val="00C9110F"/>
    <w:rsid w:val="00C91C4D"/>
    <w:rsid w:val="00C91FF4"/>
    <w:rsid w:val="00C92128"/>
    <w:rsid w:val="00C9264A"/>
    <w:rsid w:val="00C92776"/>
    <w:rsid w:val="00C92DBB"/>
    <w:rsid w:val="00C9327C"/>
    <w:rsid w:val="00C933EB"/>
    <w:rsid w:val="00C939BC"/>
    <w:rsid w:val="00C94257"/>
    <w:rsid w:val="00C9426B"/>
    <w:rsid w:val="00C9544C"/>
    <w:rsid w:val="00C9553C"/>
    <w:rsid w:val="00C95A40"/>
    <w:rsid w:val="00C96067"/>
    <w:rsid w:val="00C96522"/>
    <w:rsid w:val="00C968A1"/>
    <w:rsid w:val="00C97304"/>
    <w:rsid w:val="00CA006F"/>
    <w:rsid w:val="00CA017C"/>
    <w:rsid w:val="00CA06ED"/>
    <w:rsid w:val="00CA1161"/>
    <w:rsid w:val="00CA2DAB"/>
    <w:rsid w:val="00CA397C"/>
    <w:rsid w:val="00CA3D93"/>
    <w:rsid w:val="00CA42C5"/>
    <w:rsid w:val="00CA4706"/>
    <w:rsid w:val="00CA47CA"/>
    <w:rsid w:val="00CA4A03"/>
    <w:rsid w:val="00CA4E36"/>
    <w:rsid w:val="00CA5007"/>
    <w:rsid w:val="00CA50F5"/>
    <w:rsid w:val="00CA566C"/>
    <w:rsid w:val="00CA593A"/>
    <w:rsid w:val="00CA64FD"/>
    <w:rsid w:val="00CA658D"/>
    <w:rsid w:val="00CA665C"/>
    <w:rsid w:val="00CA698A"/>
    <w:rsid w:val="00CA6DA4"/>
    <w:rsid w:val="00CA7181"/>
    <w:rsid w:val="00CA7438"/>
    <w:rsid w:val="00CA7A6B"/>
    <w:rsid w:val="00CB0916"/>
    <w:rsid w:val="00CB0E0A"/>
    <w:rsid w:val="00CB0F1C"/>
    <w:rsid w:val="00CB1048"/>
    <w:rsid w:val="00CB12CC"/>
    <w:rsid w:val="00CB15E3"/>
    <w:rsid w:val="00CB1D5B"/>
    <w:rsid w:val="00CB2408"/>
    <w:rsid w:val="00CB26E1"/>
    <w:rsid w:val="00CB2731"/>
    <w:rsid w:val="00CB4510"/>
    <w:rsid w:val="00CB47B4"/>
    <w:rsid w:val="00CB4DD8"/>
    <w:rsid w:val="00CB50E2"/>
    <w:rsid w:val="00CB53BA"/>
    <w:rsid w:val="00CB56F4"/>
    <w:rsid w:val="00CB59ED"/>
    <w:rsid w:val="00CB6CA9"/>
    <w:rsid w:val="00CB6F14"/>
    <w:rsid w:val="00CB7002"/>
    <w:rsid w:val="00CB70EF"/>
    <w:rsid w:val="00CB79BC"/>
    <w:rsid w:val="00CC0AF1"/>
    <w:rsid w:val="00CC165D"/>
    <w:rsid w:val="00CC186C"/>
    <w:rsid w:val="00CC19D7"/>
    <w:rsid w:val="00CC1E3B"/>
    <w:rsid w:val="00CC1F86"/>
    <w:rsid w:val="00CC2652"/>
    <w:rsid w:val="00CC2A51"/>
    <w:rsid w:val="00CC2E1E"/>
    <w:rsid w:val="00CC2EC6"/>
    <w:rsid w:val="00CC2F17"/>
    <w:rsid w:val="00CC31FD"/>
    <w:rsid w:val="00CC3321"/>
    <w:rsid w:val="00CC3FE6"/>
    <w:rsid w:val="00CC485F"/>
    <w:rsid w:val="00CC4935"/>
    <w:rsid w:val="00CC5B5E"/>
    <w:rsid w:val="00CC6255"/>
    <w:rsid w:val="00CC66A6"/>
    <w:rsid w:val="00CC6752"/>
    <w:rsid w:val="00CC6CF6"/>
    <w:rsid w:val="00CC6D28"/>
    <w:rsid w:val="00CC71B6"/>
    <w:rsid w:val="00CC744D"/>
    <w:rsid w:val="00CC7516"/>
    <w:rsid w:val="00CC777C"/>
    <w:rsid w:val="00CC7A1B"/>
    <w:rsid w:val="00CD069D"/>
    <w:rsid w:val="00CD094D"/>
    <w:rsid w:val="00CD0A15"/>
    <w:rsid w:val="00CD199C"/>
    <w:rsid w:val="00CD1ADF"/>
    <w:rsid w:val="00CD1BEF"/>
    <w:rsid w:val="00CD266C"/>
    <w:rsid w:val="00CD2A05"/>
    <w:rsid w:val="00CD36B1"/>
    <w:rsid w:val="00CD3CA4"/>
    <w:rsid w:val="00CD3EDB"/>
    <w:rsid w:val="00CD41D3"/>
    <w:rsid w:val="00CD545A"/>
    <w:rsid w:val="00CD5DE9"/>
    <w:rsid w:val="00CD61D4"/>
    <w:rsid w:val="00CD62DE"/>
    <w:rsid w:val="00CD694B"/>
    <w:rsid w:val="00CD7AFE"/>
    <w:rsid w:val="00CD7DC6"/>
    <w:rsid w:val="00CE08B0"/>
    <w:rsid w:val="00CE126A"/>
    <w:rsid w:val="00CE128A"/>
    <w:rsid w:val="00CE16AB"/>
    <w:rsid w:val="00CE1728"/>
    <w:rsid w:val="00CE1887"/>
    <w:rsid w:val="00CE1DD3"/>
    <w:rsid w:val="00CE1F74"/>
    <w:rsid w:val="00CE1FBC"/>
    <w:rsid w:val="00CE22C3"/>
    <w:rsid w:val="00CE30B3"/>
    <w:rsid w:val="00CE38BD"/>
    <w:rsid w:val="00CE3977"/>
    <w:rsid w:val="00CE4143"/>
    <w:rsid w:val="00CE54E6"/>
    <w:rsid w:val="00CE55F0"/>
    <w:rsid w:val="00CE586C"/>
    <w:rsid w:val="00CE5D5D"/>
    <w:rsid w:val="00CE6389"/>
    <w:rsid w:val="00CE6B87"/>
    <w:rsid w:val="00CE6CE5"/>
    <w:rsid w:val="00CE7212"/>
    <w:rsid w:val="00CE7386"/>
    <w:rsid w:val="00CE752B"/>
    <w:rsid w:val="00CE798F"/>
    <w:rsid w:val="00CE79F4"/>
    <w:rsid w:val="00CF0116"/>
    <w:rsid w:val="00CF014C"/>
    <w:rsid w:val="00CF0195"/>
    <w:rsid w:val="00CF023C"/>
    <w:rsid w:val="00CF047A"/>
    <w:rsid w:val="00CF1627"/>
    <w:rsid w:val="00CF1A4D"/>
    <w:rsid w:val="00CF1C40"/>
    <w:rsid w:val="00CF2662"/>
    <w:rsid w:val="00CF2DDF"/>
    <w:rsid w:val="00CF3607"/>
    <w:rsid w:val="00CF3F85"/>
    <w:rsid w:val="00CF40BA"/>
    <w:rsid w:val="00CF4FC1"/>
    <w:rsid w:val="00CF5161"/>
    <w:rsid w:val="00CF5CDB"/>
    <w:rsid w:val="00CF5D0E"/>
    <w:rsid w:val="00CF5FA9"/>
    <w:rsid w:val="00CF62B3"/>
    <w:rsid w:val="00CF6703"/>
    <w:rsid w:val="00CF694D"/>
    <w:rsid w:val="00CF6B3A"/>
    <w:rsid w:val="00CF6DBB"/>
    <w:rsid w:val="00CF7555"/>
    <w:rsid w:val="00CF76D4"/>
    <w:rsid w:val="00CF7955"/>
    <w:rsid w:val="00D00403"/>
    <w:rsid w:val="00D00E84"/>
    <w:rsid w:val="00D01670"/>
    <w:rsid w:val="00D01950"/>
    <w:rsid w:val="00D01ADB"/>
    <w:rsid w:val="00D01F18"/>
    <w:rsid w:val="00D02051"/>
    <w:rsid w:val="00D02463"/>
    <w:rsid w:val="00D026F1"/>
    <w:rsid w:val="00D029D5"/>
    <w:rsid w:val="00D0337A"/>
    <w:rsid w:val="00D035BE"/>
    <w:rsid w:val="00D03D92"/>
    <w:rsid w:val="00D04317"/>
    <w:rsid w:val="00D043F6"/>
    <w:rsid w:val="00D0548D"/>
    <w:rsid w:val="00D0569E"/>
    <w:rsid w:val="00D05E21"/>
    <w:rsid w:val="00D0615B"/>
    <w:rsid w:val="00D062B1"/>
    <w:rsid w:val="00D07778"/>
    <w:rsid w:val="00D077D4"/>
    <w:rsid w:val="00D07E4D"/>
    <w:rsid w:val="00D1034D"/>
    <w:rsid w:val="00D12635"/>
    <w:rsid w:val="00D12C3B"/>
    <w:rsid w:val="00D13334"/>
    <w:rsid w:val="00D1380E"/>
    <w:rsid w:val="00D13829"/>
    <w:rsid w:val="00D13BCE"/>
    <w:rsid w:val="00D14627"/>
    <w:rsid w:val="00D14E15"/>
    <w:rsid w:val="00D1503D"/>
    <w:rsid w:val="00D1505D"/>
    <w:rsid w:val="00D1525E"/>
    <w:rsid w:val="00D15633"/>
    <w:rsid w:val="00D15B0A"/>
    <w:rsid w:val="00D15D5F"/>
    <w:rsid w:val="00D15E26"/>
    <w:rsid w:val="00D15F38"/>
    <w:rsid w:val="00D16610"/>
    <w:rsid w:val="00D167B3"/>
    <w:rsid w:val="00D1698A"/>
    <w:rsid w:val="00D16D4C"/>
    <w:rsid w:val="00D16D54"/>
    <w:rsid w:val="00D16F82"/>
    <w:rsid w:val="00D16FD9"/>
    <w:rsid w:val="00D17928"/>
    <w:rsid w:val="00D1796C"/>
    <w:rsid w:val="00D17B7F"/>
    <w:rsid w:val="00D17D9A"/>
    <w:rsid w:val="00D17E2D"/>
    <w:rsid w:val="00D209D1"/>
    <w:rsid w:val="00D21B83"/>
    <w:rsid w:val="00D22054"/>
    <w:rsid w:val="00D220F1"/>
    <w:rsid w:val="00D2233A"/>
    <w:rsid w:val="00D2265D"/>
    <w:rsid w:val="00D227F3"/>
    <w:rsid w:val="00D22A6D"/>
    <w:rsid w:val="00D22E37"/>
    <w:rsid w:val="00D2336C"/>
    <w:rsid w:val="00D23729"/>
    <w:rsid w:val="00D23F0B"/>
    <w:rsid w:val="00D24229"/>
    <w:rsid w:val="00D2465D"/>
    <w:rsid w:val="00D2477D"/>
    <w:rsid w:val="00D24DA1"/>
    <w:rsid w:val="00D253E7"/>
    <w:rsid w:val="00D25481"/>
    <w:rsid w:val="00D25587"/>
    <w:rsid w:val="00D266A8"/>
    <w:rsid w:val="00D26BB3"/>
    <w:rsid w:val="00D26E3B"/>
    <w:rsid w:val="00D26E51"/>
    <w:rsid w:val="00D30254"/>
    <w:rsid w:val="00D302EE"/>
    <w:rsid w:val="00D302FD"/>
    <w:rsid w:val="00D30309"/>
    <w:rsid w:val="00D303C6"/>
    <w:rsid w:val="00D31A9F"/>
    <w:rsid w:val="00D323D2"/>
    <w:rsid w:val="00D32B65"/>
    <w:rsid w:val="00D3336B"/>
    <w:rsid w:val="00D33F3C"/>
    <w:rsid w:val="00D33F6D"/>
    <w:rsid w:val="00D34224"/>
    <w:rsid w:val="00D34435"/>
    <w:rsid w:val="00D350B5"/>
    <w:rsid w:val="00D352E8"/>
    <w:rsid w:val="00D35DEA"/>
    <w:rsid w:val="00D36745"/>
    <w:rsid w:val="00D36ACA"/>
    <w:rsid w:val="00D41600"/>
    <w:rsid w:val="00D4245E"/>
    <w:rsid w:val="00D42586"/>
    <w:rsid w:val="00D427B7"/>
    <w:rsid w:val="00D42BBD"/>
    <w:rsid w:val="00D42C14"/>
    <w:rsid w:val="00D42C45"/>
    <w:rsid w:val="00D433CC"/>
    <w:rsid w:val="00D43546"/>
    <w:rsid w:val="00D43A1A"/>
    <w:rsid w:val="00D44044"/>
    <w:rsid w:val="00D441BF"/>
    <w:rsid w:val="00D4460C"/>
    <w:rsid w:val="00D44ADF"/>
    <w:rsid w:val="00D454D6"/>
    <w:rsid w:val="00D45934"/>
    <w:rsid w:val="00D45C47"/>
    <w:rsid w:val="00D46794"/>
    <w:rsid w:val="00D46D7A"/>
    <w:rsid w:val="00D4706C"/>
    <w:rsid w:val="00D470D0"/>
    <w:rsid w:val="00D472C5"/>
    <w:rsid w:val="00D47471"/>
    <w:rsid w:val="00D47F07"/>
    <w:rsid w:val="00D5042B"/>
    <w:rsid w:val="00D50430"/>
    <w:rsid w:val="00D506EA"/>
    <w:rsid w:val="00D50936"/>
    <w:rsid w:val="00D5137D"/>
    <w:rsid w:val="00D51D77"/>
    <w:rsid w:val="00D51F1F"/>
    <w:rsid w:val="00D51F84"/>
    <w:rsid w:val="00D529EC"/>
    <w:rsid w:val="00D52BD7"/>
    <w:rsid w:val="00D52D4E"/>
    <w:rsid w:val="00D52E5D"/>
    <w:rsid w:val="00D53289"/>
    <w:rsid w:val="00D5371B"/>
    <w:rsid w:val="00D537E8"/>
    <w:rsid w:val="00D544CD"/>
    <w:rsid w:val="00D5462B"/>
    <w:rsid w:val="00D546D0"/>
    <w:rsid w:val="00D549B0"/>
    <w:rsid w:val="00D54E94"/>
    <w:rsid w:val="00D5504C"/>
    <w:rsid w:val="00D55E0E"/>
    <w:rsid w:val="00D560A6"/>
    <w:rsid w:val="00D56471"/>
    <w:rsid w:val="00D566A8"/>
    <w:rsid w:val="00D57162"/>
    <w:rsid w:val="00D57761"/>
    <w:rsid w:val="00D57973"/>
    <w:rsid w:val="00D57F19"/>
    <w:rsid w:val="00D607C7"/>
    <w:rsid w:val="00D60842"/>
    <w:rsid w:val="00D615D0"/>
    <w:rsid w:val="00D62F99"/>
    <w:rsid w:val="00D63A92"/>
    <w:rsid w:val="00D63CF2"/>
    <w:rsid w:val="00D63F62"/>
    <w:rsid w:val="00D648D9"/>
    <w:rsid w:val="00D65674"/>
    <w:rsid w:val="00D65B95"/>
    <w:rsid w:val="00D65CC1"/>
    <w:rsid w:val="00D65EEB"/>
    <w:rsid w:val="00D66559"/>
    <w:rsid w:val="00D6655D"/>
    <w:rsid w:val="00D66F04"/>
    <w:rsid w:val="00D66FE5"/>
    <w:rsid w:val="00D67354"/>
    <w:rsid w:val="00D67715"/>
    <w:rsid w:val="00D67D23"/>
    <w:rsid w:val="00D7014B"/>
    <w:rsid w:val="00D709E6"/>
    <w:rsid w:val="00D7189C"/>
    <w:rsid w:val="00D71906"/>
    <w:rsid w:val="00D71C25"/>
    <w:rsid w:val="00D71F56"/>
    <w:rsid w:val="00D71F71"/>
    <w:rsid w:val="00D726AA"/>
    <w:rsid w:val="00D72F14"/>
    <w:rsid w:val="00D72F1B"/>
    <w:rsid w:val="00D73A59"/>
    <w:rsid w:val="00D73C04"/>
    <w:rsid w:val="00D749E3"/>
    <w:rsid w:val="00D754CE"/>
    <w:rsid w:val="00D7569F"/>
    <w:rsid w:val="00D756E9"/>
    <w:rsid w:val="00D75ABB"/>
    <w:rsid w:val="00D75F13"/>
    <w:rsid w:val="00D767BA"/>
    <w:rsid w:val="00D767D2"/>
    <w:rsid w:val="00D768B6"/>
    <w:rsid w:val="00D77523"/>
    <w:rsid w:val="00D77F24"/>
    <w:rsid w:val="00D8064B"/>
    <w:rsid w:val="00D80C42"/>
    <w:rsid w:val="00D80D23"/>
    <w:rsid w:val="00D80D52"/>
    <w:rsid w:val="00D81467"/>
    <w:rsid w:val="00D81541"/>
    <w:rsid w:val="00D81985"/>
    <w:rsid w:val="00D819D7"/>
    <w:rsid w:val="00D81E28"/>
    <w:rsid w:val="00D81F4B"/>
    <w:rsid w:val="00D822B1"/>
    <w:rsid w:val="00D82409"/>
    <w:rsid w:val="00D82A1D"/>
    <w:rsid w:val="00D82E4A"/>
    <w:rsid w:val="00D83C86"/>
    <w:rsid w:val="00D8465F"/>
    <w:rsid w:val="00D84760"/>
    <w:rsid w:val="00D84BEE"/>
    <w:rsid w:val="00D851CF"/>
    <w:rsid w:val="00D8567E"/>
    <w:rsid w:val="00D85905"/>
    <w:rsid w:val="00D8627D"/>
    <w:rsid w:val="00D8696C"/>
    <w:rsid w:val="00D86EB7"/>
    <w:rsid w:val="00D87837"/>
    <w:rsid w:val="00D87A7E"/>
    <w:rsid w:val="00D87BFE"/>
    <w:rsid w:val="00D87EA4"/>
    <w:rsid w:val="00D87F81"/>
    <w:rsid w:val="00D903FC"/>
    <w:rsid w:val="00D90F63"/>
    <w:rsid w:val="00D912FB"/>
    <w:rsid w:val="00D91460"/>
    <w:rsid w:val="00D9472E"/>
    <w:rsid w:val="00D94898"/>
    <w:rsid w:val="00D949F0"/>
    <w:rsid w:val="00D94A95"/>
    <w:rsid w:val="00D94D01"/>
    <w:rsid w:val="00D94ED8"/>
    <w:rsid w:val="00D9531C"/>
    <w:rsid w:val="00D95356"/>
    <w:rsid w:val="00D954E4"/>
    <w:rsid w:val="00D95853"/>
    <w:rsid w:val="00D95A49"/>
    <w:rsid w:val="00D95C8D"/>
    <w:rsid w:val="00D9636A"/>
    <w:rsid w:val="00D96A33"/>
    <w:rsid w:val="00D96AC1"/>
    <w:rsid w:val="00D974EF"/>
    <w:rsid w:val="00D976B0"/>
    <w:rsid w:val="00D97720"/>
    <w:rsid w:val="00D978C4"/>
    <w:rsid w:val="00DA0448"/>
    <w:rsid w:val="00DA0CE1"/>
    <w:rsid w:val="00DA0F04"/>
    <w:rsid w:val="00DA1891"/>
    <w:rsid w:val="00DA20FF"/>
    <w:rsid w:val="00DA2A75"/>
    <w:rsid w:val="00DA2B23"/>
    <w:rsid w:val="00DA2D0F"/>
    <w:rsid w:val="00DA3091"/>
    <w:rsid w:val="00DA30FC"/>
    <w:rsid w:val="00DA3919"/>
    <w:rsid w:val="00DA3E24"/>
    <w:rsid w:val="00DA40F9"/>
    <w:rsid w:val="00DA418E"/>
    <w:rsid w:val="00DA4B73"/>
    <w:rsid w:val="00DA4D00"/>
    <w:rsid w:val="00DA4EAA"/>
    <w:rsid w:val="00DA515D"/>
    <w:rsid w:val="00DA567B"/>
    <w:rsid w:val="00DA5D18"/>
    <w:rsid w:val="00DA5D26"/>
    <w:rsid w:val="00DA5DF9"/>
    <w:rsid w:val="00DA6128"/>
    <w:rsid w:val="00DA61E9"/>
    <w:rsid w:val="00DA6226"/>
    <w:rsid w:val="00DA6F8E"/>
    <w:rsid w:val="00DA7A64"/>
    <w:rsid w:val="00DA7A7E"/>
    <w:rsid w:val="00DB069E"/>
    <w:rsid w:val="00DB06DA"/>
    <w:rsid w:val="00DB0FAD"/>
    <w:rsid w:val="00DB1C03"/>
    <w:rsid w:val="00DB1F18"/>
    <w:rsid w:val="00DB1FE0"/>
    <w:rsid w:val="00DB28A1"/>
    <w:rsid w:val="00DB32F2"/>
    <w:rsid w:val="00DB33D4"/>
    <w:rsid w:val="00DB35FE"/>
    <w:rsid w:val="00DB407F"/>
    <w:rsid w:val="00DB43B3"/>
    <w:rsid w:val="00DB46B5"/>
    <w:rsid w:val="00DB5909"/>
    <w:rsid w:val="00DB6795"/>
    <w:rsid w:val="00DB6A07"/>
    <w:rsid w:val="00DB6D60"/>
    <w:rsid w:val="00DB6E4B"/>
    <w:rsid w:val="00DB6FC7"/>
    <w:rsid w:val="00DB732C"/>
    <w:rsid w:val="00DB761E"/>
    <w:rsid w:val="00DC1943"/>
    <w:rsid w:val="00DC1BE8"/>
    <w:rsid w:val="00DC23AC"/>
    <w:rsid w:val="00DC274D"/>
    <w:rsid w:val="00DC2886"/>
    <w:rsid w:val="00DC2B7A"/>
    <w:rsid w:val="00DC2CCE"/>
    <w:rsid w:val="00DC2D47"/>
    <w:rsid w:val="00DC2D67"/>
    <w:rsid w:val="00DC3649"/>
    <w:rsid w:val="00DC37BE"/>
    <w:rsid w:val="00DC37DD"/>
    <w:rsid w:val="00DC3A2C"/>
    <w:rsid w:val="00DC3BBE"/>
    <w:rsid w:val="00DC3EB8"/>
    <w:rsid w:val="00DC437F"/>
    <w:rsid w:val="00DC520B"/>
    <w:rsid w:val="00DC5236"/>
    <w:rsid w:val="00DC54CF"/>
    <w:rsid w:val="00DC573E"/>
    <w:rsid w:val="00DC5740"/>
    <w:rsid w:val="00DC6B11"/>
    <w:rsid w:val="00DC6C77"/>
    <w:rsid w:val="00DC719A"/>
    <w:rsid w:val="00DC7E4E"/>
    <w:rsid w:val="00DD07DF"/>
    <w:rsid w:val="00DD085B"/>
    <w:rsid w:val="00DD180F"/>
    <w:rsid w:val="00DD1DD3"/>
    <w:rsid w:val="00DD202F"/>
    <w:rsid w:val="00DD32CC"/>
    <w:rsid w:val="00DD3890"/>
    <w:rsid w:val="00DD43AC"/>
    <w:rsid w:val="00DD44F8"/>
    <w:rsid w:val="00DD49F2"/>
    <w:rsid w:val="00DD5183"/>
    <w:rsid w:val="00DD568B"/>
    <w:rsid w:val="00DD5AE9"/>
    <w:rsid w:val="00DD5D5A"/>
    <w:rsid w:val="00DD67B7"/>
    <w:rsid w:val="00DD692D"/>
    <w:rsid w:val="00DD74AD"/>
    <w:rsid w:val="00DD7599"/>
    <w:rsid w:val="00DD774E"/>
    <w:rsid w:val="00DE01AE"/>
    <w:rsid w:val="00DE059D"/>
    <w:rsid w:val="00DE1243"/>
    <w:rsid w:val="00DE1303"/>
    <w:rsid w:val="00DE168B"/>
    <w:rsid w:val="00DE1BFC"/>
    <w:rsid w:val="00DE1C31"/>
    <w:rsid w:val="00DE235B"/>
    <w:rsid w:val="00DE284B"/>
    <w:rsid w:val="00DE2D55"/>
    <w:rsid w:val="00DE321C"/>
    <w:rsid w:val="00DE4465"/>
    <w:rsid w:val="00DE4BA0"/>
    <w:rsid w:val="00DE5243"/>
    <w:rsid w:val="00DE5783"/>
    <w:rsid w:val="00DE5A68"/>
    <w:rsid w:val="00DE66FF"/>
    <w:rsid w:val="00DE6BCC"/>
    <w:rsid w:val="00DE6CF5"/>
    <w:rsid w:val="00DE6DD2"/>
    <w:rsid w:val="00DE71BD"/>
    <w:rsid w:val="00DE75D6"/>
    <w:rsid w:val="00DE78AB"/>
    <w:rsid w:val="00DE7B6E"/>
    <w:rsid w:val="00DE7C1C"/>
    <w:rsid w:val="00DF0141"/>
    <w:rsid w:val="00DF0568"/>
    <w:rsid w:val="00DF0867"/>
    <w:rsid w:val="00DF0D9C"/>
    <w:rsid w:val="00DF184B"/>
    <w:rsid w:val="00DF1B24"/>
    <w:rsid w:val="00DF1FD7"/>
    <w:rsid w:val="00DF2450"/>
    <w:rsid w:val="00DF2633"/>
    <w:rsid w:val="00DF2D4C"/>
    <w:rsid w:val="00DF3096"/>
    <w:rsid w:val="00DF3A73"/>
    <w:rsid w:val="00DF3B12"/>
    <w:rsid w:val="00DF3E6F"/>
    <w:rsid w:val="00DF4F3B"/>
    <w:rsid w:val="00DF55BD"/>
    <w:rsid w:val="00DF56EB"/>
    <w:rsid w:val="00DF5C1F"/>
    <w:rsid w:val="00DF6DF9"/>
    <w:rsid w:val="00DF6EE6"/>
    <w:rsid w:val="00DF7458"/>
    <w:rsid w:val="00DF7778"/>
    <w:rsid w:val="00DF7A06"/>
    <w:rsid w:val="00DF7BC1"/>
    <w:rsid w:val="00DF7D4E"/>
    <w:rsid w:val="00E00420"/>
    <w:rsid w:val="00E00467"/>
    <w:rsid w:val="00E00795"/>
    <w:rsid w:val="00E015A2"/>
    <w:rsid w:val="00E023C4"/>
    <w:rsid w:val="00E023F1"/>
    <w:rsid w:val="00E028DD"/>
    <w:rsid w:val="00E038AF"/>
    <w:rsid w:val="00E03E1F"/>
    <w:rsid w:val="00E04124"/>
    <w:rsid w:val="00E04D06"/>
    <w:rsid w:val="00E04D2C"/>
    <w:rsid w:val="00E056A4"/>
    <w:rsid w:val="00E05763"/>
    <w:rsid w:val="00E06F02"/>
    <w:rsid w:val="00E07D40"/>
    <w:rsid w:val="00E10244"/>
    <w:rsid w:val="00E103FB"/>
    <w:rsid w:val="00E116C4"/>
    <w:rsid w:val="00E11FE4"/>
    <w:rsid w:val="00E12D04"/>
    <w:rsid w:val="00E1302E"/>
    <w:rsid w:val="00E131F9"/>
    <w:rsid w:val="00E13893"/>
    <w:rsid w:val="00E1393F"/>
    <w:rsid w:val="00E13BD0"/>
    <w:rsid w:val="00E142D5"/>
    <w:rsid w:val="00E14ABB"/>
    <w:rsid w:val="00E14BD7"/>
    <w:rsid w:val="00E14E91"/>
    <w:rsid w:val="00E15344"/>
    <w:rsid w:val="00E159FA"/>
    <w:rsid w:val="00E15BB5"/>
    <w:rsid w:val="00E16134"/>
    <w:rsid w:val="00E16243"/>
    <w:rsid w:val="00E163D7"/>
    <w:rsid w:val="00E1685D"/>
    <w:rsid w:val="00E16915"/>
    <w:rsid w:val="00E17319"/>
    <w:rsid w:val="00E17CA1"/>
    <w:rsid w:val="00E17FB4"/>
    <w:rsid w:val="00E20959"/>
    <w:rsid w:val="00E209FE"/>
    <w:rsid w:val="00E20FDC"/>
    <w:rsid w:val="00E21001"/>
    <w:rsid w:val="00E21103"/>
    <w:rsid w:val="00E216BE"/>
    <w:rsid w:val="00E21783"/>
    <w:rsid w:val="00E21CD5"/>
    <w:rsid w:val="00E21D7B"/>
    <w:rsid w:val="00E22253"/>
    <w:rsid w:val="00E227A1"/>
    <w:rsid w:val="00E22923"/>
    <w:rsid w:val="00E22C70"/>
    <w:rsid w:val="00E22EA5"/>
    <w:rsid w:val="00E239A1"/>
    <w:rsid w:val="00E2485B"/>
    <w:rsid w:val="00E24A64"/>
    <w:rsid w:val="00E25BCF"/>
    <w:rsid w:val="00E264CC"/>
    <w:rsid w:val="00E26684"/>
    <w:rsid w:val="00E268F4"/>
    <w:rsid w:val="00E26CBA"/>
    <w:rsid w:val="00E26DE4"/>
    <w:rsid w:val="00E26E35"/>
    <w:rsid w:val="00E271A2"/>
    <w:rsid w:val="00E27FB0"/>
    <w:rsid w:val="00E3023A"/>
    <w:rsid w:val="00E305B3"/>
    <w:rsid w:val="00E30605"/>
    <w:rsid w:val="00E31077"/>
    <w:rsid w:val="00E313B6"/>
    <w:rsid w:val="00E32052"/>
    <w:rsid w:val="00E3217A"/>
    <w:rsid w:val="00E32700"/>
    <w:rsid w:val="00E327CE"/>
    <w:rsid w:val="00E32E9B"/>
    <w:rsid w:val="00E33685"/>
    <w:rsid w:val="00E33867"/>
    <w:rsid w:val="00E339FB"/>
    <w:rsid w:val="00E34413"/>
    <w:rsid w:val="00E34625"/>
    <w:rsid w:val="00E34BB4"/>
    <w:rsid w:val="00E34C48"/>
    <w:rsid w:val="00E34DCF"/>
    <w:rsid w:val="00E34E4F"/>
    <w:rsid w:val="00E353BA"/>
    <w:rsid w:val="00E35DE2"/>
    <w:rsid w:val="00E36007"/>
    <w:rsid w:val="00E360E7"/>
    <w:rsid w:val="00E363AA"/>
    <w:rsid w:val="00E364B3"/>
    <w:rsid w:val="00E36F6E"/>
    <w:rsid w:val="00E372CF"/>
    <w:rsid w:val="00E37E55"/>
    <w:rsid w:val="00E40466"/>
    <w:rsid w:val="00E405F9"/>
    <w:rsid w:val="00E40918"/>
    <w:rsid w:val="00E40BC7"/>
    <w:rsid w:val="00E41153"/>
    <w:rsid w:val="00E41826"/>
    <w:rsid w:val="00E41930"/>
    <w:rsid w:val="00E42497"/>
    <w:rsid w:val="00E42562"/>
    <w:rsid w:val="00E42D5A"/>
    <w:rsid w:val="00E43102"/>
    <w:rsid w:val="00E4329A"/>
    <w:rsid w:val="00E435BD"/>
    <w:rsid w:val="00E43D24"/>
    <w:rsid w:val="00E4493A"/>
    <w:rsid w:val="00E44F26"/>
    <w:rsid w:val="00E452BE"/>
    <w:rsid w:val="00E4535B"/>
    <w:rsid w:val="00E45874"/>
    <w:rsid w:val="00E45CF9"/>
    <w:rsid w:val="00E45D24"/>
    <w:rsid w:val="00E46A19"/>
    <w:rsid w:val="00E46F4B"/>
    <w:rsid w:val="00E47366"/>
    <w:rsid w:val="00E478BB"/>
    <w:rsid w:val="00E47AF2"/>
    <w:rsid w:val="00E47BA6"/>
    <w:rsid w:val="00E52384"/>
    <w:rsid w:val="00E52BFF"/>
    <w:rsid w:val="00E52F55"/>
    <w:rsid w:val="00E5368C"/>
    <w:rsid w:val="00E53700"/>
    <w:rsid w:val="00E543B7"/>
    <w:rsid w:val="00E5532D"/>
    <w:rsid w:val="00E553C4"/>
    <w:rsid w:val="00E553FF"/>
    <w:rsid w:val="00E5544A"/>
    <w:rsid w:val="00E55BE4"/>
    <w:rsid w:val="00E55F41"/>
    <w:rsid w:val="00E56295"/>
    <w:rsid w:val="00E56912"/>
    <w:rsid w:val="00E56B78"/>
    <w:rsid w:val="00E56BE4"/>
    <w:rsid w:val="00E56D2F"/>
    <w:rsid w:val="00E5711E"/>
    <w:rsid w:val="00E5790D"/>
    <w:rsid w:val="00E57CAF"/>
    <w:rsid w:val="00E57EB7"/>
    <w:rsid w:val="00E615E5"/>
    <w:rsid w:val="00E6161F"/>
    <w:rsid w:val="00E616B9"/>
    <w:rsid w:val="00E623F9"/>
    <w:rsid w:val="00E6254D"/>
    <w:rsid w:val="00E6321B"/>
    <w:rsid w:val="00E63B66"/>
    <w:rsid w:val="00E64965"/>
    <w:rsid w:val="00E65414"/>
    <w:rsid w:val="00E655D8"/>
    <w:rsid w:val="00E6599E"/>
    <w:rsid w:val="00E65B0F"/>
    <w:rsid w:val="00E65FC9"/>
    <w:rsid w:val="00E664D1"/>
    <w:rsid w:val="00E66886"/>
    <w:rsid w:val="00E66908"/>
    <w:rsid w:val="00E66A01"/>
    <w:rsid w:val="00E66E68"/>
    <w:rsid w:val="00E67189"/>
    <w:rsid w:val="00E6724A"/>
    <w:rsid w:val="00E6725D"/>
    <w:rsid w:val="00E6753E"/>
    <w:rsid w:val="00E6785B"/>
    <w:rsid w:val="00E709E4"/>
    <w:rsid w:val="00E70E34"/>
    <w:rsid w:val="00E711CB"/>
    <w:rsid w:val="00E7182A"/>
    <w:rsid w:val="00E72960"/>
    <w:rsid w:val="00E72D86"/>
    <w:rsid w:val="00E73859"/>
    <w:rsid w:val="00E73B11"/>
    <w:rsid w:val="00E74557"/>
    <w:rsid w:val="00E74E46"/>
    <w:rsid w:val="00E7505C"/>
    <w:rsid w:val="00E75128"/>
    <w:rsid w:val="00E76502"/>
    <w:rsid w:val="00E76DE4"/>
    <w:rsid w:val="00E77406"/>
    <w:rsid w:val="00E77634"/>
    <w:rsid w:val="00E77737"/>
    <w:rsid w:val="00E77EAC"/>
    <w:rsid w:val="00E77FE5"/>
    <w:rsid w:val="00E80000"/>
    <w:rsid w:val="00E80BF2"/>
    <w:rsid w:val="00E81E8C"/>
    <w:rsid w:val="00E82066"/>
    <w:rsid w:val="00E82078"/>
    <w:rsid w:val="00E82CC0"/>
    <w:rsid w:val="00E838CB"/>
    <w:rsid w:val="00E848D3"/>
    <w:rsid w:val="00E84E53"/>
    <w:rsid w:val="00E86095"/>
    <w:rsid w:val="00E8649F"/>
    <w:rsid w:val="00E864F0"/>
    <w:rsid w:val="00E86606"/>
    <w:rsid w:val="00E866A5"/>
    <w:rsid w:val="00E90480"/>
    <w:rsid w:val="00E90515"/>
    <w:rsid w:val="00E91460"/>
    <w:rsid w:val="00E91AB0"/>
    <w:rsid w:val="00E9212C"/>
    <w:rsid w:val="00E9240A"/>
    <w:rsid w:val="00E9252E"/>
    <w:rsid w:val="00E9277F"/>
    <w:rsid w:val="00E92CA5"/>
    <w:rsid w:val="00E92D16"/>
    <w:rsid w:val="00E93374"/>
    <w:rsid w:val="00E93BC1"/>
    <w:rsid w:val="00E948B6"/>
    <w:rsid w:val="00E95A00"/>
    <w:rsid w:val="00E95A9C"/>
    <w:rsid w:val="00E95E0B"/>
    <w:rsid w:val="00E96BF9"/>
    <w:rsid w:val="00E96DCE"/>
    <w:rsid w:val="00E979FC"/>
    <w:rsid w:val="00E97C85"/>
    <w:rsid w:val="00EA018C"/>
    <w:rsid w:val="00EA1539"/>
    <w:rsid w:val="00EA2303"/>
    <w:rsid w:val="00EA2540"/>
    <w:rsid w:val="00EA2633"/>
    <w:rsid w:val="00EA2B19"/>
    <w:rsid w:val="00EA2C82"/>
    <w:rsid w:val="00EA2CE4"/>
    <w:rsid w:val="00EA2F9A"/>
    <w:rsid w:val="00EA4A89"/>
    <w:rsid w:val="00EA5881"/>
    <w:rsid w:val="00EA682E"/>
    <w:rsid w:val="00EA6843"/>
    <w:rsid w:val="00EA68A1"/>
    <w:rsid w:val="00EA73BC"/>
    <w:rsid w:val="00EA7BF5"/>
    <w:rsid w:val="00EA7CD6"/>
    <w:rsid w:val="00EA7EF8"/>
    <w:rsid w:val="00EB04CD"/>
    <w:rsid w:val="00EB052B"/>
    <w:rsid w:val="00EB0774"/>
    <w:rsid w:val="00EB19BB"/>
    <w:rsid w:val="00EB1BB1"/>
    <w:rsid w:val="00EB2F2C"/>
    <w:rsid w:val="00EB2F33"/>
    <w:rsid w:val="00EB2FF4"/>
    <w:rsid w:val="00EB3083"/>
    <w:rsid w:val="00EB3D17"/>
    <w:rsid w:val="00EB4088"/>
    <w:rsid w:val="00EB481E"/>
    <w:rsid w:val="00EB4870"/>
    <w:rsid w:val="00EB49F3"/>
    <w:rsid w:val="00EB4A34"/>
    <w:rsid w:val="00EB597F"/>
    <w:rsid w:val="00EB64E7"/>
    <w:rsid w:val="00EB65AE"/>
    <w:rsid w:val="00EB688F"/>
    <w:rsid w:val="00EB6BC3"/>
    <w:rsid w:val="00EB6E4D"/>
    <w:rsid w:val="00EB70B1"/>
    <w:rsid w:val="00EB7198"/>
    <w:rsid w:val="00EB724D"/>
    <w:rsid w:val="00EB7268"/>
    <w:rsid w:val="00EB77AA"/>
    <w:rsid w:val="00EC03CB"/>
    <w:rsid w:val="00EC04BC"/>
    <w:rsid w:val="00EC04F8"/>
    <w:rsid w:val="00EC0566"/>
    <w:rsid w:val="00EC06D5"/>
    <w:rsid w:val="00EC1530"/>
    <w:rsid w:val="00EC169E"/>
    <w:rsid w:val="00EC2442"/>
    <w:rsid w:val="00EC2710"/>
    <w:rsid w:val="00EC2823"/>
    <w:rsid w:val="00EC2CA2"/>
    <w:rsid w:val="00EC339C"/>
    <w:rsid w:val="00EC33DF"/>
    <w:rsid w:val="00EC39B5"/>
    <w:rsid w:val="00EC3C96"/>
    <w:rsid w:val="00EC4265"/>
    <w:rsid w:val="00EC4670"/>
    <w:rsid w:val="00EC47CF"/>
    <w:rsid w:val="00EC4897"/>
    <w:rsid w:val="00EC4C36"/>
    <w:rsid w:val="00EC54A5"/>
    <w:rsid w:val="00EC575F"/>
    <w:rsid w:val="00EC5A87"/>
    <w:rsid w:val="00EC769C"/>
    <w:rsid w:val="00EC7BB7"/>
    <w:rsid w:val="00EC7EB7"/>
    <w:rsid w:val="00ED1D90"/>
    <w:rsid w:val="00ED2392"/>
    <w:rsid w:val="00ED26B4"/>
    <w:rsid w:val="00ED2C60"/>
    <w:rsid w:val="00ED2E31"/>
    <w:rsid w:val="00ED3668"/>
    <w:rsid w:val="00ED38BA"/>
    <w:rsid w:val="00ED42C3"/>
    <w:rsid w:val="00ED4517"/>
    <w:rsid w:val="00ED483B"/>
    <w:rsid w:val="00ED5347"/>
    <w:rsid w:val="00ED54F7"/>
    <w:rsid w:val="00ED65C0"/>
    <w:rsid w:val="00ED69A7"/>
    <w:rsid w:val="00ED7666"/>
    <w:rsid w:val="00ED7D4C"/>
    <w:rsid w:val="00ED7D73"/>
    <w:rsid w:val="00EE0009"/>
    <w:rsid w:val="00EE088E"/>
    <w:rsid w:val="00EE0F15"/>
    <w:rsid w:val="00EE169D"/>
    <w:rsid w:val="00EE2657"/>
    <w:rsid w:val="00EE2C18"/>
    <w:rsid w:val="00EE31AE"/>
    <w:rsid w:val="00EE36FE"/>
    <w:rsid w:val="00EE383A"/>
    <w:rsid w:val="00EE3CEA"/>
    <w:rsid w:val="00EE41CA"/>
    <w:rsid w:val="00EE4458"/>
    <w:rsid w:val="00EE5A2A"/>
    <w:rsid w:val="00EE5A52"/>
    <w:rsid w:val="00EE5BC6"/>
    <w:rsid w:val="00EE5C0D"/>
    <w:rsid w:val="00EE5CB9"/>
    <w:rsid w:val="00EE5D92"/>
    <w:rsid w:val="00EE6E58"/>
    <w:rsid w:val="00EE723A"/>
    <w:rsid w:val="00EF1843"/>
    <w:rsid w:val="00EF1A6D"/>
    <w:rsid w:val="00EF1B09"/>
    <w:rsid w:val="00EF2DB9"/>
    <w:rsid w:val="00EF39D9"/>
    <w:rsid w:val="00EF3ED1"/>
    <w:rsid w:val="00EF4216"/>
    <w:rsid w:val="00EF4CD1"/>
    <w:rsid w:val="00EF5535"/>
    <w:rsid w:val="00EF5641"/>
    <w:rsid w:val="00EF5801"/>
    <w:rsid w:val="00EF6915"/>
    <w:rsid w:val="00EF7218"/>
    <w:rsid w:val="00EF7C73"/>
    <w:rsid w:val="00F00A5A"/>
    <w:rsid w:val="00F00F97"/>
    <w:rsid w:val="00F01068"/>
    <w:rsid w:val="00F0153D"/>
    <w:rsid w:val="00F019F8"/>
    <w:rsid w:val="00F01C46"/>
    <w:rsid w:val="00F02328"/>
    <w:rsid w:val="00F0246B"/>
    <w:rsid w:val="00F02821"/>
    <w:rsid w:val="00F029F4"/>
    <w:rsid w:val="00F0308F"/>
    <w:rsid w:val="00F03DF3"/>
    <w:rsid w:val="00F03E61"/>
    <w:rsid w:val="00F0454E"/>
    <w:rsid w:val="00F04BAD"/>
    <w:rsid w:val="00F054A0"/>
    <w:rsid w:val="00F05A1A"/>
    <w:rsid w:val="00F05B6B"/>
    <w:rsid w:val="00F0643A"/>
    <w:rsid w:val="00F0681B"/>
    <w:rsid w:val="00F06B4C"/>
    <w:rsid w:val="00F06C99"/>
    <w:rsid w:val="00F0772A"/>
    <w:rsid w:val="00F07EB4"/>
    <w:rsid w:val="00F1003B"/>
    <w:rsid w:val="00F10110"/>
    <w:rsid w:val="00F10660"/>
    <w:rsid w:val="00F107D6"/>
    <w:rsid w:val="00F112DB"/>
    <w:rsid w:val="00F11381"/>
    <w:rsid w:val="00F1157E"/>
    <w:rsid w:val="00F11D74"/>
    <w:rsid w:val="00F12DCC"/>
    <w:rsid w:val="00F131E9"/>
    <w:rsid w:val="00F134E8"/>
    <w:rsid w:val="00F14044"/>
    <w:rsid w:val="00F14189"/>
    <w:rsid w:val="00F1474D"/>
    <w:rsid w:val="00F14E4E"/>
    <w:rsid w:val="00F14E6D"/>
    <w:rsid w:val="00F15143"/>
    <w:rsid w:val="00F15B27"/>
    <w:rsid w:val="00F15FB1"/>
    <w:rsid w:val="00F171F0"/>
    <w:rsid w:val="00F172C0"/>
    <w:rsid w:val="00F1733C"/>
    <w:rsid w:val="00F174BF"/>
    <w:rsid w:val="00F17E1B"/>
    <w:rsid w:val="00F218B4"/>
    <w:rsid w:val="00F2208B"/>
    <w:rsid w:val="00F225A2"/>
    <w:rsid w:val="00F225AC"/>
    <w:rsid w:val="00F22E30"/>
    <w:rsid w:val="00F230C4"/>
    <w:rsid w:val="00F23C42"/>
    <w:rsid w:val="00F23FD7"/>
    <w:rsid w:val="00F24608"/>
    <w:rsid w:val="00F248A8"/>
    <w:rsid w:val="00F24C48"/>
    <w:rsid w:val="00F24F0D"/>
    <w:rsid w:val="00F25CA2"/>
    <w:rsid w:val="00F25D45"/>
    <w:rsid w:val="00F26355"/>
    <w:rsid w:val="00F269A6"/>
    <w:rsid w:val="00F27A59"/>
    <w:rsid w:val="00F27CE9"/>
    <w:rsid w:val="00F3023E"/>
    <w:rsid w:val="00F30E3C"/>
    <w:rsid w:val="00F313A0"/>
    <w:rsid w:val="00F3160C"/>
    <w:rsid w:val="00F316BF"/>
    <w:rsid w:val="00F3197C"/>
    <w:rsid w:val="00F33A75"/>
    <w:rsid w:val="00F33E2E"/>
    <w:rsid w:val="00F34DCA"/>
    <w:rsid w:val="00F35A3A"/>
    <w:rsid w:val="00F36976"/>
    <w:rsid w:val="00F36C73"/>
    <w:rsid w:val="00F37207"/>
    <w:rsid w:val="00F37A7C"/>
    <w:rsid w:val="00F37F48"/>
    <w:rsid w:val="00F4042D"/>
    <w:rsid w:val="00F4059A"/>
    <w:rsid w:val="00F407EF"/>
    <w:rsid w:val="00F40AC6"/>
    <w:rsid w:val="00F41504"/>
    <w:rsid w:val="00F41D4B"/>
    <w:rsid w:val="00F42168"/>
    <w:rsid w:val="00F42DE6"/>
    <w:rsid w:val="00F4300A"/>
    <w:rsid w:val="00F43058"/>
    <w:rsid w:val="00F435BD"/>
    <w:rsid w:val="00F43A3D"/>
    <w:rsid w:val="00F43F07"/>
    <w:rsid w:val="00F44030"/>
    <w:rsid w:val="00F44231"/>
    <w:rsid w:val="00F44422"/>
    <w:rsid w:val="00F450CF"/>
    <w:rsid w:val="00F45601"/>
    <w:rsid w:val="00F46525"/>
    <w:rsid w:val="00F46C69"/>
    <w:rsid w:val="00F46F53"/>
    <w:rsid w:val="00F47025"/>
    <w:rsid w:val="00F47912"/>
    <w:rsid w:val="00F479BA"/>
    <w:rsid w:val="00F47F9D"/>
    <w:rsid w:val="00F50B25"/>
    <w:rsid w:val="00F50BC9"/>
    <w:rsid w:val="00F50F70"/>
    <w:rsid w:val="00F51234"/>
    <w:rsid w:val="00F52A09"/>
    <w:rsid w:val="00F52E2A"/>
    <w:rsid w:val="00F5300A"/>
    <w:rsid w:val="00F5335E"/>
    <w:rsid w:val="00F533DA"/>
    <w:rsid w:val="00F5369C"/>
    <w:rsid w:val="00F537A0"/>
    <w:rsid w:val="00F53A52"/>
    <w:rsid w:val="00F53FE3"/>
    <w:rsid w:val="00F54208"/>
    <w:rsid w:val="00F54DDD"/>
    <w:rsid w:val="00F55AF8"/>
    <w:rsid w:val="00F55C05"/>
    <w:rsid w:val="00F55D40"/>
    <w:rsid w:val="00F5619F"/>
    <w:rsid w:val="00F56994"/>
    <w:rsid w:val="00F56FAF"/>
    <w:rsid w:val="00F57A6B"/>
    <w:rsid w:val="00F6066A"/>
    <w:rsid w:val="00F60925"/>
    <w:rsid w:val="00F6123E"/>
    <w:rsid w:val="00F61443"/>
    <w:rsid w:val="00F62334"/>
    <w:rsid w:val="00F62BA1"/>
    <w:rsid w:val="00F637E5"/>
    <w:rsid w:val="00F63F4F"/>
    <w:rsid w:val="00F64C7D"/>
    <w:rsid w:val="00F655AD"/>
    <w:rsid w:val="00F65680"/>
    <w:rsid w:val="00F65B66"/>
    <w:rsid w:val="00F6650A"/>
    <w:rsid w:val="00F66649"/>
    <w:rsid w:val="00F66A06"/>
    <w:rsid w:val="00F66A7A"/>
    <w:rsid w:val="00F66ED2"/>
    <w:rsid w:val="00F66F2D"/>
    <w:rsid w:val="00F678B4"/>
    <w:rsid w:val="00F70B2D"/>
    <w:rsid w:val="00F70CA9"/>
    <w:rsid w:val="00F71008"/>
    <w:rsid w:val="00F7119F"/>
    <w:rsid w:val="00F711A4"/>
    <w:rsid w:val="00F713CD"/>
    <w:rsid w:val="00F719A2"/>
    <w:rsid w:val="00F71B9B"/>
    <w:rsid w:val="00F71BA3"/>
    <w:rsid w:val="00F71E28"/>
    <w:rsid w:val="00F72586"/>
    <w:rsid w:val="00F729A7"/>
    <w:rsid w:val="00F72C69"/>
    <w:rsid w:val="00F72FA3"/>
    <w:rsid w:val="00F73F24"/>
    <w:rsid w:val="00F73F55"/>
    <w:rsid w:val="00F7408B"/>
    <w:rsid w:val="00F747FF"/>
    <w:rsid w:val="00F749F7"/>
    <w:rsid w:val="00F74E94"/>
    <w:rsid w:val="00F75511"/>
    <w:rsid w:val="00F755FC"/>
    <w:rsid w:val="00F7585A"/>
    <w:rsid w:val="00F769AF"/>
    <w:rsid w:val="00F76BE9"/>
    <w:rsid w:val="00F76CFE"/>
    <w:rsid w:val="00F77183"/>
    <w:rsid w:val="00F77450"/>
    <w:rsid w:val="00F77A70"/>
    <w:rsid w:val="00F77D8C"/>
    <w:rsid w:val="00F77FD3"/>
    <w:rsid w:val="00F80B38"/>
    <w:rsid w:val="00F80E59"/>
    <w:rsid w:val="00F81B68"/>
    <w:rsid w:val="00F81BF3"/>
    <w:rsid w:val="00F81DA7"/>
    <w:rsid w:val="00F81E30"/>
    <w:rsid w:val="00F82397"/>
    <w:rsid w:val="00F82A38"/>
    <w:rsid w:val="00F82B33"/>
    <w:rsid w:val="00F83F21"/>
    <w:rsid w:val="00F8454C"/>
    <w:rsid w:val="00F84815"/>
    <w:rsid w:val="00F84EA7"/>
    <w:rsid w:val="00F85D92"/>
    <w:rsid w:val="00F860E5"/>
    <w:rsid w:val="00F8613A"/>
    <w:rsid w:val="00F86530"/>
    <w:rsid w:val="00F8794C"/>
    <w:rsid w:val="00F87F9F"/>
    <w:rsid w:val="00F900B2"/>
    <w:rsid w:val="00F904F8"/>
    <w:rsid w:val="00F916AD"/>
    <w:rsid w:val="00F917E4"/>
    <w:rsid w:val="00F9270A"/>
    <w:rsid w:val="00F92BCD"/>
    <w:rsid w:val="00F9396B"/>
    <w:rsid w:val="00F93C6A"/>
    <w:rsid w:val="00F93D6E"/>
    <w:rsid w:val="00F93DA7"/>
    <w:rsid w:val="00F940BB"/>
    <w:rsid w:val="00F9448A"/>
    <w:rsid w:val="00F94F3F"/>
    <w:rsid w:val="00F94F8E"/>
    <w:rsid w:val="00F950F3"/>
    <w:rsid w:val="00F95365"/>
    <w:rsid w:val="00F954E0"/>
    <w:rsid w:val="00F96171"/>
    <w:rsid w:val="00F962D6"/>
    <w:rsid w:val="00F9639B"/>
    <w:rsid w:val="00F96EF3"/>
    <w:rsid w:val="00F97001"/>
    <w:rsid w:val="00F97DEB"/>
    <w:rsid w:val="00F97EB7"/>
    <w:rsid w:val="00FA060F"/>
    <w:rsid w:val="00FA09F3"/>
    <w:rsid w:val="00FA0BA7"/>
    <w:rsid w:val="00FA16E3"/>
    <w:rsid w:val="00FA188B"/>
    <w:rsid w:val="00FA1C49"/>
    <w:rsid w:val="00FA1E86"/>
    <w:rsid w:val="00FA226D"/>
    <w:rsid w:val="00FA3434"/>
    <w:rsid w:val="00FA3757"/>
    <w:rsid w:val="00FA3D49"/>
    <w:rsid w:val="00FA412D"/>
    <w:rsid w:val="00FA4449"/>
    <w:rsid w:val="00FA455A"/>
    <w:rsid w:val="00FA45CC"/>
    <w:rsid w:val="00FA5101"/>
    <w:rsid w:val="00FA568F"/>
    <w:rsid w:val="00FA6424"/>
    <w:rsid w:val="00FA6AF8"/>
    <w:rsid w:val="00FA6BDC"/>
    <w:rsid w:val="00FA6FE6"/>
    <w:rsid w:val="00FA75AD"/>
    <w:rsid w:val="00FA75CF"/>
    <w:rsid w:val="00FA7604"/>
    <w:rsid w:val="00FA79CF"/>
    <w:rsid w:val="00FB078D"/>
    <w:rsid w:val="00FB0C67"/>
    <w:rsid w:val="00FB1110"/>
    <w:rsid w:val="00FB23AA"/>
    <w:rsid w:val="00FB25BC"/>
    <w:rsid w:val="00FB29C6"/>
    <w:rsid w:val="00FB29F9"/>
    <w:rsid w:val="00FB357E"/>
    <w:rsid w:val="00FB3ABC"/>
    <w:rsid w:val="00FB3AFA"/>
    <w:rsid w:val="00FB4780"/>
    <w:rsid w:val="00FB4A80"/>
    <w:rsid w:val="00FB4CAF"/>
    <w:rsid w:val="00FB5045"/>
    <w:rsid w:val="00FB5300"/>
    <w:rsid w:val="00FB55A0"/>
    <w:rsid w:val="00FB55B1"/>
    <w:rsid w:val="00FB5B4A"/>
    <w:rsid w:val="00FB5DC3"/>
    <w:rsid w:val="00FB663E"/>
    <w:rsid w:val="00FB693D"/>
    <w:rsid w:val="00FB6C9D"/>
    <w:rsid w:val="00FB6D9E"/>
    <w:rsid w:val="00FB6FF3"/>
    <w:rsid w:val="00FB72D5"/>
    <w:rsid w:val="00FB7B29"/>
    <w:rsid w:val="00FC044E"/>
    <w:rsid w:val="00FC0996"/>
    <w:rsid w:val="00FC1731"/>
    <w:rsid w:val="00FC1BA3"/>
    <w:rsid w:val="00FC1FA4"/>
    <w:rsid w:val="00FC233F"/>
    <w:rsid w:val="00FC3092"/>
    <w:rsid w:val="00FC3C9F"/>
    <w:rsid w:val="00FC4369"/>
    <w:rsid w:val="00FC4710"/>
    <w:rsid w:val="00FC48CC"/>
    <w:rsid w:val="00FC49A5"/>
    <w:rsid w:val="00FC4A05"/>
    <w:rsid w:val="00FC5482"/>
    <w:rsid w:val="00FC5732"/>
    <w:rsid w:val="00FC60D8"/>
    <w:rsid w:val="00FC618B"/>
    <w:rsid w:val="00FC6446"/>
    <w:rsid w:val="00FC7071"/>
    <w:rsid w:val="00FC71F8"/>
    <w:rsid w:val="00FC7DF3"/>
    <w:rsid w:val="00FD0980"/>
    <w:rsid w:val="00FD0C8E"/>
    <w:rsid w:val="00FD127F"/>
    <w:rsid w:val="00FD14FF"/>
    <w:rsid w:val="00FD270F"/>
    <w:rsid w:val="00FD2898"/>
    <w:rsid w:val="00FD32E8"/>
    <w:rsid w:val="00FD36C7"/>
    <w:rsid w:val="00FD3DFA"/>
    <w:rsid w:val="00FD44F9"/>
    <w:rsid w:val="00FD49C7"/>
    <w:rsid w:val="00FD4D48"/>
    <w:rsid w:val="00FD5986"/>
    <w:rsid w:val="00FD607E"/>
    <w:rsid w:val="00FD6555"/>
    <w:rsid w:val="00FD6567"/>
    <w:rsid w:val="00FD6B11"/>
    <w:rsid w:val="00FD7262"/>
    <w:rsid w:val="00FE0333"/>
    <w:rsid w:val="00FE155F"/>
    <w:rsid w:val="00FE1816"/>
    <w:rsid w:val="00FE1D33"/>
    <w:rsid w:val="00FE205D"/>
    <w:rsid w:val="00FE257B"/>
    <w:rsid w:val="00FE25BD"/>
    <w:rsid w:val="00FE2778"/>
    <w:rsid w:val="00FE2903"/>
    <w:rsid w:val="00FE29A0"/>
    <w:rsid w:val="00FE2B31"/>
    <w:rsid w:val="00FE32BF"/>
    <w:rsid w:val="00FE3548"/>
    <w:rsid w:val="00FE41DC"/>
    <w:rsid w:val="00FE44D9"/>
    <w:rsid w:val="00FE4B9F"/>
    <w:rsid w:val="00FE4BDF"/>
    <w:rsid w:val="00FE4F74"/>
    <w:rsid w:val="00FE5DAF"/>
    <w:rsid w:val="00FE63AA"/>
    <w:rsid w:val="00FE6CF8"/>
    <w:rsid w:val="00FE6F06"/>
    <w:rsid w:val="00FE72F6"/>
    <w:rsid w:val="00FE7714"/>
    <w:rsid w:val="00FF0011"/>
    <w:rsid w:val="00FF03C0"/>
    <w:rsid w:val="00FF07EF"/>
    <w:rsid w:val="00FF0FCD"/>
    <w:rsid w:val="00FF1D9F"/>
    <w:rsid w:val="00FF231B"/>
    <w:rsid w:val="00FF240C"/>
    <w:rsid w:val="00FF24B0"/>
    <w:rsid w:val="00FF26DE"/>
    <w:rsid w:val="00FF28B6"/>
    <w:rsid w:val="00FF32ED"/>
    <w:rsid w:val="00FF355C"/>
    <w:rsid w:val="00FF383F"/>
    <w:rsid w:val="00FF4C79"/>
    <w:rsid w:val="00FF4E3B"/>
    <w:rsid w:val="00FF58DB"/>
    <w:rsid w:val="00FF5EC6"/>
    <w:rsid w:val="00FF6A46"/>
    <w:rsid w:val="00FF6B4D"/>
    <w:rsid w:val="01046F20"/>
    <w:rsid w:val="010C6331"/>
    <w:rsid w:val="01183758"/>
    <w:rsid w:val="012A7960"/>
    <w:rsid w:val="012C2185"/>
    <w:rsid w:val="014C1BE5"/>
    <w:rsid w:val="014C5F38"/>
    <w:rsid w:val="0154507F"/>
    <w:rsid w:val="015B6D15"/>
    <w:rsid w:val="01632BEB"/>
    <w:rsid w:val="01692DBD"/>
    <w:rsid w:val="017413D2"/>
    <w:rsid w:val="01746536"/>
    <w:rsid w:val="017F3189"/>
    <w:rsid w:val="01981342"/>
    <w:rsid w:val="01A55E8F"/>
    <w:rsid w:val="01C92F9E"/>
    <w:rsid w:val="01F42703"/>
    <w:rsid w:val="0203732C"/>
    <w:rsid w:val="02053F60"/>
    <w:rsid w:val="02181EA0"/>
    <w:rsid w:val="021C730F"/>
    <w:rsid w:val="022007A0"/>
    <w:rsid w:val="022E2E6A"/>
    <w:rsid w:val="02343E4F"/>
    <w:rsid w:val="024E6D50"/>
    <w:rsid w:val="02636746"/>
    <w:rsid w:val="0276519D"/>
    <w:rsid w:val="029E585B"/>
    <w:rsid w:val="02C748AE"/>
    <w:rsid w:val="02CB6B63"/>
    <w:rsid w:val="02CE1CE2"/>
    <w:rsid w:val="02D046A9"/>
    <w:rsid w:val="02FB740E"/>
    <w:rsid w:val="031E451D"/>
    <w:rsid w:val="03996F46"/>
    <w:rsid w:val="03CC31AE"/>
    <w:rsid w:val="03E3081B"/>
    <w:rsid w:val="040749AA"/>
    <w:rsid w:val="04215D86"/>
    <w:rsid w:val="044B3675"/>
    <w:rsid w:val="04D55B3D"/>
    <w:rsid w:val="04D86B14"/>
    <w:rsid w:val="04E56BE5"/>
    <w:rsid w:val="04E86B91"/>
    <w:rsid w:val="04E92A55"/>
    <w:rsid w:val="04EE1A34"/>
    <w:rsid w:val="050E601F"/>
    <w:rsid w:val="0540185F"/>
    <w:rsid w:val="05462716"/>
    <w:rsid w:val="05483E47"/>
    <w:rsid w:val="054F6EDC"/>
    <w:rsid w:val="056E0A2C"/>
    <w:rsid w:val="05966561"/>
    <w:rsid w:val="05A751A9"/>
    <w:rsid w:val="05AD6B02"/>
    <w:rsid w:val="05B57AC5"/>
    <w:rsid w:val="05C13F70"/>
    <w:rsid w:val="05CD364A"/>
    <w:rsid w:val="05D82D08"/>
    <w:rsid w:val="05EC71AE"/>
    <w:rsid w:val="05EF21A1"/>
    <w:rsid w:val="05F0539A"/>
    <w:rsid w:val="06251BC3"/>
    <w:rsid w:val="063A686C"/>
    <w:rsid w:val="06483AE4"/>
    <w:rsid w:val="0662770E"/>
    <w:rsid w:val="068208CA"/>
    <w:rsid w:val="06954B37"/>
    <w:rsid w:val="06B3585B"/>
    <w:rsid w:val="06C4682F"/>
    <w:rsid w:val="06D746CB"/>
    <w:rsid w:val="06D93197"/>
    <w:rsid w:val="06E91717"/>
    <w:rsid w:val="07177AEE"/>
    <w:rsid w:val="07207527"/>
    <w:rsid w:val="072E7FFB"/>
    <w:rsid w:val="07376442"/>
    <w:rsid w:val="075A40E4"/>
    <w:rsid w:val="076E10A0"/>
    <w:rsid w:val="07930272"/>
    <w:rsid w:val="07A77F23"/>
    <w:rsid w:val="07A83C07"/>
    <w:rsid w:val="07C62516"/>
    <w:rsid w:val="07D625A5"/>
    <w:rsid w:val="07FB01EA"/>
    <w:rsid w:val="08013275"/>
    <w:rsid w:val="08041135"/>
    <w:rsid w:val="08097FE5"/>
    <w:rsid w:val="080B0B29"/>
    <w:rsid w:val="08103D8C"/>
    <w:rsid w:val="082C5DAC"/>
    <w:rsid w:val="0833774B"/>
    <w:rsid w:val="084F4BC3"/>
    <w:rsid w:val="08554AA7"/>
    <w:rsid w:val="08684F5F"/>
    <w:rsid w:val="087E6B82"/>
    <w:rsid w:val="088E5E27"/>
    <w:rsid w:val="08AE48A0"/>
    <w:rsid w:val="08CF4C64"/>
    <w:rsid w:val="08D252CD"/>
    <w:rsid w:val="08D3797E"/>
    <w:rsid w:val="08E75D67"/>
    <w:rsid w:val="092B2E0E"/>
    <w:rsid w:val="092E0A59"/>
    <w:rsid w:val="092F745D"/>
    <w:rsid w:val="09307F35"/>
    <w:rsid w:val="09317263"/>
    <w:rsid w:val="096442EE"/>
    <w:rsid w:val="0977729D"/>
    <w:rsid w:val="09896996"/>
    <w:rsid w:val="098E2356"/>
    <w:rsid w:val="099B0869"/>
    <w:rsid w:val="09A40D54"/>
    <w:rsid w:val="09D1707F"/>
    <w:rsid w:val="09D4188C"/>
    <w:rsid w:val="09F95437"/>
    <w:rsid w:val="0A40264B"/>
    <w:rsid w:val="0A696933"/>
    <w:rsid w:val="0A6B2ACF"/>
    <w:rsid w:val="0A7E53FE"/>
    <w:rsid w:val="0A960283"/>
    <w:rsid w:val="0B035132"/>
    <w:rsid w:val="0B380146"/>
    <w:rsid w:val="0B556D1F"/>
    <w:rsid w:val="0B6D4A94"/>
    <w:rsid w:val="0B7C1687"/>
    <w:rsid w:val="0B845139"/>
    <w:rsid w:val="0B9F4DD3"/>
    <w:rsid w:val="0BA44F88"/>
    <w:rsid w:val="0BA47E6C"/>
    <w:rsid w:val="0BB34201"/>
    <w:rsid w:val="0BB630E9"/>
    <w:rsid w:val="0BBB2120"/>
    <w:rsid w:val="0BC31B21"/>
    <w:rsid w:val="0BC40F24"/>
    <w:rsid w:val="0BCA6502"/>
    <w:rsid w:val="0BD81B0F"/>
    <w:rsid w:val="0C020639"/>
    <w:rsid w:val="0C0903AA"/>
    <w:rsid w:val="0C171FD5"/>
    <w:rsid w:val="0C2C0ABA"/>
    <w:rsid w:val="0C515BCE"/>
    <w:rsid w:val="0C7C56CF"/>
    <w:rsid w:val="0C7F2A8C"/>
    <w:rsid w:val="0C99571D"/>
    <w:rsid w:val="0CAA0F24"/>
    <w:rsid w:val="0CAE6912"/>
    <w:rsid w:val="0CB072F4"/>
    <w:rsid w:val="0CC50CD7"/>
    <w:rsid w:val="0CC75DB2"/>
    <w:rsid w:val="0CF62681"/>
    <w:rsid w:val="0CFB4AF5"/>
    <w:rsid w:val="0D0622FF"/>
    <w:rsid w:val="0D345577"/>
    <w:rsid w:val="0D3863A5"/>
    <w:rsid w:val="0D5D2CD4"/>
    <w:rsid w:val="0D603FE2"/>
    <w:rsid w:val="0D7130F9"/>
    <w:rsid w:val="0D7B2D5A"/>
    <w:rsid w:val="0D8302BE"/>
    <w:rsid w:val="0D843A94"/>
    <w:rsid w:val="0D982942"/>
    <w:rsid w:val="0DB30988"/>
    <w:rsid w:val="0DB46F13"/>
    <w:rsid w:val="0DC040B3"/>
    <w:rsid w:val="0DC12BC4"/>
    <w:rsid w:val="0DC74C9E"/>
    <w:rsid w:val="0DCC1BBB"/>
    <w:rsid w:val="0E255313"/>
    <w:rsid w:val="0E4829C8"/>
    <w:rsid w:val="0E661750"/>
    <w:rsid w:val="0E703AAF"/>
    <w:rsid w:val="0E7C1092"/>
    <w:rsid w:val="0E81756B"/>
    <w:rsid w:val="0EBF45F7"/>
    <w:rsid w:val="0EC662A2"/>
    <w:rsid w:val="0EE22118"/>
    <w:rsid w:val="0EE44F61"/>
    <w:rsid w:val="0EEB25E0"/>
    <w:rsid w:val="0EED7616"/>
    <w:rsid w:val="0F13353D"/>
    <w:rsid w:val="0F351146"/>
    <w:rsid w:val="0F4A458C"/>
    <w:rsid w:val="0F530CF7"/>
    <w:rsid w:val="0F5D0DDE"/>
    <w:rsid w:val="0F8D7643"/>
    <w:rsid w:val="0FA35048"/>
    <w:rsid w:val="0FA651CF"/>
    <w:rsid w:val="0FAF24AA"/>
    <w:rsid w:val="0FBB7C03"/>
    <w:rsid w:val="0FE50782"/>
    <w:rsid w:val="0FEF7370"/>
    <w:rsid w:val="0FF062CC"/>
    <w:rsid w:val="0FFF06EB"/>
    <w:rsid w:val="10382BDA"/>
    <w:rsid w:val="10431145"/>
    <w:rsid w:val="104346B6"/>
    <w:rsid w:val="10571B95"/>
    <w:rsid w:val="106255F0"/>
    <w:rsid w:val="10800507"/>
    <w:rsid w:val="1096418C"/>
    <w:rsid w:val="10A4214A"/>
    <w:rsid w:val="10CD43B1"/>
    <w:rsid w:val="10D4749A"/>
    <w:rsid w:val="10DE2AEC"/>
    <w:rsid w:val="10E35CF7"/>
    <w:rsid w:val="10E755DB"/>
    <w:rsid w:val="10FA7DD9"/>
    <w:rsid w:val="10FE1BC4"/>
    <w:rsid w:val="111F6D63"/>
    <w:rsid w:val="112667FB"/>
    <w:rsid w:val="112E2BA8"/>
    <w:rsid w:val="11434279"/>
    <w:rsid w:val="11743179"/>
    <w:rsid w:val="117F3D15"/>
    <w:rsid w:val="118A6366"/>
    <w:rsid w:val="119F6DC6"/>
    <w:rsid w:val="11AD5E5F"/>
    <w:rsid w:val="11CC1C88"/>
    <w:rsid w:val="11D65E50"/>
    <w:rsid w:val="11ED21E0"/>
    <w:rsid w:val="12016691"/>
    <w:rsid w:val="12070EAB"/>
    <w:rsid w:val="12341055"/>
    <w:rsid w:val="123A7F77"/>
    <w:rsid w:val="12584937"/>
    <w:rsid w:val="1258688A"/>
    <w:rsid w:val="129B4CA5"/>
    <w:rsid w:val="12BF50EE"/>
    <w:rsid w:val="12C90FF6"/>
    <w:rsid w:val="12E67974"/>
    <w:rsid w:val="12EB0DCA"/>
    <w:rsid w:val="12EE0E6C"/>
    <w:rsid w:val="12F512C9"/>
    <w:rsid w:val="132615CC"/>
    <w:rsid w:val="133D454B"/>
    <w:rsid w:val="134A497D"/>
    <w:rsid w:val="135225CD"/>
    <w:rsid w:val="1357772F"/>
    <w:rsid w:val="135A001D"/>
    <w:rsid w:val="135F6956"/>
    <w:rsid w:val="135F6EC3"/>
    <w:rsid w:val="13644C5B"/>
    <w:rsid w:val="13BD0F7D"/>
    <w:rsid w:val="13D97C24"/>
    <w:rsid w:val="13E17A52"/>
    <w:rsid w:val="13E718BF"/>
    <w:rsid w:val="13EC0C0F"/>
    <w:rsid w:val="13EE7235"/>
    <w:rsid w:val="13F23336"/>
    <w:rsid w:val="13F44882"/>
    <w:rsid w:val="141751B7"/>
    <w:rsid w:val="141B37E8"/>
    <w:rsid w:val="14234966"/>
    <w:rsid w:val="14693919"/>
    <w:rsid w:val="14745826"/>
    <w:rsid w:val="14824F13"/>
    <w:rsid w:val="14CA02F0"/>
    <w:rsid w:val="14F42F9C"/>
    <w:rsid w:val="14F540B6"/>
    <w:rsid w:val="15027874"/>
    <w:rsid w:val="150646C3"/>
    <w:rsid w:val="15225FB0"/>
    <w:rsid w:val="153557D5"/>
    <w:rsid w:val="153B540E"/>
    <w:rsid w:val="1547251F"/>
    <w:rsid w:val="154A7AA4"/>
    <w:rsid w:val="154B5928"/>
    <w:rsid w:val="155F487B"/>
    <w:rsid w:val="156143B6"/>
    <w:rsid w:val="15695ACC"/>
    <w:rsid w:val="157B166C"/>
    <w:rsid w:val="157D12AD"/>
    <w:rsid w:val="159D1783"/>
    <w:rsid w:val="15A517B3"/>
    <w:rsid w:val="15B01CF6"/>
    <w:rsid w:val="15C61A73"/>
    <w:rsid w:val="15D137A2"/>
    <w:rsid w:val="15E03F48"/>
    <w:rsid w:val="15EE0AA0"/>
    <w:rsid w:val="15F319F0"/>
    <w:rsid w:val="15F360FE"/>
    <w:rsid w:val="15F829AC"/>
    <w:rsid w:val="16260CA4"/>
    <w:rsid w:val="163D3DF7"/>
    <w:rsid w:val="16425C8A"/>
    <w:rsid w:val="164E7731"/>
    <w:rsid w:val="165A44CC"/>
    <w:rsid w:val="166138A5"/>
    <w:rsid w:val="167964FF"/>
    <w:rsid w:val="167A5E02"/>
    <w:rsid w:val="167D16FC"/>
    <w:rsid w:val="169B759E"/>
    <w:rsid w:val="16C36DD4"/>
    <w:rsid w:val="16C42CFD"/>
    <w:rsid w:val="16E063C8"/>
    <w:rsid w:val="17203F68"/>
    <w:rsid w:val="172F0584"/>
    <w:rsid w:val="17381317"/>
    <w:rsid w:val="17432106"/>
    <w:rsid w:val="177132C2"/>
    <w:rsid w:val="177C1CF3"/>
    <w:rsid w:val="178C321E"/>
    <w:rsid w:val="1796247C"/>
    <w:rsid w:val="179F662C"/>
    <w:rsid w:val="17A277CF"/>
    <w:rsid w:val="17A45C02"/>
    <w:rsid w:val="17BD5C97"/>
    <w:rsid w:val="17CA7E0E"/>
    <w:rsid w:val="17D436D9"/>
    <w:rsid w:val="17F70135"/>
    <w:rsid w:val="17FC70B1"/>
    <w:rsid w:val="182461E1"/>
    <w:rsid w:val="18282C5C"/>
    <w:rsid w:val="18392E3E"/>
    <w:rsid w:val="18441757"/>
    <w:rsid w:val="18445D7C"/>
    <w:rsid w:val="18785560"/>
    <w:rsid w:val="18AD1D84"/>
    <w:rsid w:val="18AF4825"/>
    <w:rsid w:val="18C5672E"/>
    <w:rsid w:val="18D76358"/>
    <w:rsid w:val="18F46501"/>
    <w:rsid w:val="18FC623B"/>
    <w:rsid w:val="192A20AC"/>
    <w:rsid w:val="19486E24"/>
    <w:rsid w:val="1966104D"/>
    <w:rsid w:val="19791000"/>
    <w:rsid w:val="199D766C"/>
    <w:rsid w:val="19AD135D"/>
    <w:rsid w:val="19E27402"/>
    <w:rsid w:val="1A136832"/>
    <w:rsid w:val="1A2E1510"/>
    <w:rsid w:val="1A35301B"/>
    <w:rsid w:val="1A4E18DD"/>
    <w:rsid w:val="1A567476"/>
    <w:rsid w:val="1A6B52A5"/>
    <w:rsid w:val="1A7F6C61"/>
    <w:rsid w:val="1A827344"/>
    <w:rsid w:val="1A8334D8"/>
    <w:rsid w:val="1A840AF1"/>
    <w:rsid w:val="1AB966E1"/>
    <w:rsid w:val="1ADB2C67"/>
    <w:rsid w:val="1AEC67DE"/>
    <w:rsid w:val="1AF21DA1"/>
    <w:rsid w:val="1AF55CE2"/>
    <w:rsid w:val="1B45618F"/>
    <w:rsid w:val="1B526598"/>
    <w:rsid w:val="1B5808D2"/>
    <w:rsid w:val="1B6F11C5"/>
    <w:rsid w:val="1B9D7175"/>
    <w:rsid w:val="1BA50E03"/>
    <w:rsid w:val="1BC54F7E"/>
    <w:rsid w:val="1BDE43F2"/>
    <w:rsid w:val="1BE534BE"/>
    <w:rsid w:val="1BE5505B"/>
    <w:rsid w:val="1BEA7674"/>
    <w:rsid w:val="1BF74E2F"/>
    <w:rsid w:val="1C0866C9"/>
    <w:rsid w:val="1C401E81"/>
    <w:rsid w:val="1C4C630E"/>
    <w:rsid w:val="1C552ED6"/>
    <w:rsid w:val="1C78674F"/>
    <w:rsid w:val="1C803AA7"/>
    <w:rsid w:val="1C923767"/>
    <w:rsid w:val="1CAE1EDC"/>
    <w:rsid w:val="1CAF593A"/>
    <w:rsid w:val="1CB85236"/>
    <w:rsid w:val="1CD2651E"/>
    <w:rsid w:val="1CDE5880"/>
    <w:rsid w:val="1D5664C0"/>
    <w:rsid w:val="1D65301C"/>
    <w:rsid w:val="1D733F2F"/>
    <w:rsid w:val="1D892F24"/>
    <w:rsid w:val="1DD56580"/>
    <w:rsid w:val="1DD65CC8"/>
    <w:rsid w:val="1DDA1736"/>
    <w:rsid w:val="1DDF29EE"/>
    <w:rsid w:val="1DE16E25"/>
    <w:rsid w:val="1DE85C1B"/>
    <w:rsid w:val="1DEB4F1D"/>
    <w:rsid w:val="1DF349DB"/>
    <w:rsid w:val="1E042817"/>
    <w:rsid w:val="1E093977"/>
    <w:rsid w:val="1E1A06E7"/>
    <w:rsid w:val="1E3410DD"/>
    <w:rsid w:val="1E4B5AF0"/>
    <w:rsid w:val="1E627DAE"/>
    <w:rsid w:val="1E94348E"/>
    <w:rsid w:val="1EA505A0"/>
    <w:rsid w:val="1EA526DE"/>
    <w:rsid w:val="1EB84E36"/>
    <w:rsid w:val="1EF35218"/>
    <w:rsid w:val="1F0077EE"/>
    <w:rsid w:val="1F1961A0"/>
    <w:rsid w:val="1F2B2DD1"/>
    <w:rsid w:val="1F38767D"/>
    <w:rsid w:val="1F411A3A"/>
    <w:rsid w:val="1F495A3C"/>
    <w:rsid w:val="1F4B5DD4"/>
    <w:rsid w:val="1F4F7D27"/>
    <w:rsid w:val="1F5036CA"/>
    <w:rsid w:val="1F5B37D6"/>
    <w:rsid w:val="1F5C7527"/>
    <w:rsid w:val="1F8600AB"/>
    <w:rsid w:val="1FA428A4"/>
    <w:rsid w:val="1FD83DA8"/>
    <w:rsid w:val="1FE4334B"/>
    <w:rsid w:val="200E52BC"/>
    <w:rsid w:val="20193BF8"/>
    <w:rsid w:val="20382421"/>
    <w:rsid w:val="2085738C"/>
    <w:rsid w:val="20896CC6"/>
    <w:rsid w:val="20921260"/>
    <w:rsid w:val="20986AE4"/>
    <w:rsid w:val="20AB192C"/>
    <w:rsid w:val="20AD3363"/>
    <w:rsid w:val="20C00F82"/>
    <w:rsid w:val="20CF2870"/>
    <w:rsid w:val="20F960D8"/>
    <w:rsid w:val="20FD1384"/>
    <w:rsid w:val="2106355D"/>
    <w:rsid w:val="213B6F79"/>
    <w:rsid w:val="21457549"/>
    <w:rsid w:val="214A1EDE"/>
    <w:rsid w:val="214A6377"/>
    <w:rsid w:val="21504EC5"/>
    <w:rsid w:val="21526CCA"/>
    <w:rsid w:val="21BA6B34"/>
    <w:rsid w:val="21BD03EB"/>
    <w:rsid w:val="21C411FB"/>
    <w:rsid w:val="21D04F0B"/>
    <w:rsid w:val="21D54E31"/>
    <w:rsid w:val="21D779C9"/>
    <w:rsid w:val="21F025F0"/>
    <w:rsid w:val="21F11323"/>
    <w:rsid w:val="220C1E22"/>
    <w:rsid w:val="220F3557"/>
    <w:rsid w:val="221B4AA6"/>
    <w:rsid w:val="221C756F"/>
    <w:rsid w:val="223F229A"/>
    <w:rsid w:val="22447668"/>
    <w:rsid w:val="227E7769"/>
    <w:rsid w:val="22811840"/>
    <w:rsid w:val="2290021E"/>
    <w:rsid w:val="22DB58AD"/>
    <w:rsid w:val="23082EE2"/>
    <w:rsid w:val="23252FC3"/>
    <w:rsid w:val="232B210C"/>
    <w:rsid w:val="234B0FB1"/>
    <w:rsid w:val="23554BB3"/>
    <w:rsid w:val="23757D31"/>
    <w:rsid w:val="23786656"/>
    <w:rsid w:val="23A6182F"/>
    <w:rsid w:val="23A851B5"/>
    <w:rsid w:val="23BE44F3"/>
    <w:rsid w:val="23C44BD3"/>
    <w:rsid w:val="23D234B4"/>
    <w:rsid w:val="23E516BE"/>
    <w:rsid w:val="23E9710B"/>
    <w:rsid w:val="23ED6D50"/>
    <w:rsid w:val="23F5263F"/>
    <w:rsid w:val="23FC5156"/>
    <w:rsid w:val="241108B9"/>
    <w:rsid w:val="24117A77"/>
    <w:rsid w:val="24554E41"/>
    <w:rsid w:val="247D30CC"/>
    <w:rsid w:val="24810B05"/>
    <w:rsid w:val="2482400D"/>
    <w:rsid w:val="248A4955"/>
    <w:rsid w:val="24905584"/>
    <w:rsid w:val="24A101BC"/>
    <w:rsid w:val="24AC77A9"/>
    <w:rsid w:val="24E116E7"/>
    <w:rsid w:val="24FB5BDF"/>
    <w:rsid w:val="25017F67"/>
    <w:rsid w:val="2517737B"/>
    <w:rsid w:val="252D0FA6"/>
    <w:rsid w:val="254711E2"/>
    <w:rsid w:val="255D5A51"/>
    <w:rsid w:val="256E7F43"/>
    <w:rsid w:val="25851033"/>
    <w:rsid w:val="2587033C"/>
    <w:rsid w:val="25880EE9"/>
    <w:rsid w:val="258B3BCA"/>
    <w:rsid w:val="25CD5C03"/>
    <w:rsid w:val="25DF0C86"/>
    <w:rsid w:val="25E70DEE"/>
    <w:rsid w:val="25EF3DCB"/>
    <w:rsid w:val="25FA6CA7"/>
    <w:rsid w:val="26061115"/>
    <w:rsid w:val="260A7AAA"/>
    <w:rsid w:val="26246122"/>
    <w:rsid w:val="262632FD"/>
    <w:rsid w:val="26401008"/>
    <w:rsid w:val="26494ED9"/>
    <w:rsid w:val="2654105F"/>
    <w:rsid w:val="26796956"/>
    <w:rsid w:val="269029A3"/>
    <w:rsid w:val="26DC3BE3"/>
    <w:rsid w:val="26FF43A0"/>
    <w:rsid w:val="270D1DCE"/>
    <w:rsid w:val="270E0A34"/>
    <w:rsid w:val="270F4CFE"/>
    <w:rsid w:val="2727362C"/>
    <w:rsid w:val="27293776"/>
    <w:rsid w:val="274E2CFC"/>
    <w:rsid w:val="27530ACE"/>
    <w:rsid w:val="27586E96"/>
    <w:rsid w:val="27621C7A"/>
    <w:rsid w:val="276A1928"/>
    <w:rsid w:val="27747483"/>
    <w:rsid w:val="278011EB"/>
    <w:rsid w:val="278464C4"/>
    <w:rsid w:val="278F4A3F"/>
    <w:rsid w:val="2799612E"/>
    <w:rsid w:val="27AE2154"/>
    <w:rsid w:val="27B40A9A"/>
    <w:rsid w:val="27B8592F"/>
    <w:rsid w:val="27DA134B"/>
    <w:rsid w:val="27DF0D06"/>
    <w:rsid w:val="27EE3B77"/>
    <w:rsid w:val="27F8032F"/>
    <w:rsid w:val="27FC7024"/>
    <w:rsid w:val="28052694"/>
    <w:rsid w:val="280F34F3"/>
    <w:rsid w:val="281A5AFA"/>
    <w:rsid w:val="285B4719"/>
    <w:rsid w:val="285E1B8D"/>
    <w:rsid w:val="28AE3665"/>
    <w:rsid w:val="28B66099"/>
    <w:rsid w:val="28BB23AC"/>
    <w:rsid w:val="28C563DA"/>
    <w:rsid w:val="28C57188"/>
    <w:rsid w:val="28C63091"/>
    <w:rsid w:val="28EF0A37"/>
    <w:rsid w:val="28F32A88"/>
    <w:rsid w:val="29033E7E"/>
    <w:rsid w:val="29267EE4"/>
    <w:rsid w:val="292E2C4C"/>
    <w:rsid w:val="293D16D8"/>
    <w:rsid w:val="29537C03"/>
    <w:rsid w:val="29743067"/>
    <w:rsid w:val="29976410"/>
    <w:rsid w:val="29A12E0B"/>
    <w:rsid w:val="29AA6333"/>
    <w:rsid w:val="29B33521"/>
    <w:rsid w:val="29B7380F"/>
    <w:rsid w:val="29E0314B"/>
    <w:rsid w:val="29F4657E"/>
    <w:rsid w:val="2A2B739C"/>
    <w:rsid w:val="2A5657C1"/>
    <w:rsid w:val="2A685C4B"/>
    <w:rsid w:val="2A7C45E1"/>
    <w:rsid w:val="2A8A3800"/>
    <w:rsid w:val="2AA413D5"/>
    <w:rsid w:val="2AA92B6F"/>
    <w:rsid w:val="2ABC37BB"/>
    <w:rsid w:val="2B116B7D"/>
    <w:rsid w:val="2B1F7856"/>
    <w:rsid w:val="2B2E12F6"/>
    <w:rsid w:val="2B3E5AC6"/>
    <w:rsid w:val="2B4017B6"/>
    <w:rsid w:val="2B462641"/>
    <w:rsid w:val="2B851B10"/>
    <w:rsid w:val="2B8E32BF"/>
    <w:rsid w:val="2BA425D7"/>
    <w:rsid w:val="2BCB7E19"/>
    <w:rsid w:val="2BCC1DBC"/>
    <w:rsid w:val="2BD70DC4"/>
    <w:rsid w:val="2BE050BE"/>
    <w:rsid w:val="2BE50618"/>
    <w:rsid w:val="2BEB79F0"/>
    <w:rsid w:val="2C1A7D85"/>
    <w:rsid w:val="2C4E241A"/>
    <w:rsid w:val="2C680F04"/>
    <w:rsid w:val="2C88083C"/>
    <w:rsid w:val="2C9907F9"/>
    <w:rsid w:val="2CAB672A"/>
    <w:rsid w:val="2CB3285E"/>
    <w:rsid w:val="2CB81384"/>
    <w:rsid w:val="2CBB4A88"/>
    <w:rsid w:val="2CBC29A3"/>
    <w:rsid w:val="2CC44B01"/>
    <w:rsid w:val="2D246DD6"/>
    <w:rsid w:val="2D3631CE"/>
    <w:rsid w:val="2D492218"/>
    <w:rsid w:val="2D4F7BD5"/>
    <w:rsid w:val="2D657571"/>
    <w:rsid w:val="2D754F38"/>
    <w:rsid w:val="2D867C27"/>
    <w:rsid w:val="2D90521C"/>
    <w:rsid w:val="2DA65E29"/>
    <w:rsid w:val="2DAC0D53"/>
    <w:rsid w:val="2DE10EEF"/>
    <w:rsid w:val="2DE14935"/>
    <w:rsid w:val="2E100E85"/>
    <w:rsid w:val="2E143130"/>
    <w:rsid w:val="2E1B1BAC"/>
    <w:rsid w:val="2E495309"/>
    <w:rsid w:val="2E513012"/>
    <w:rsid w:val="2E54465F"/>
    <w:rsid w:val="2E557C99"/>
    <w:rsid w:val="2E6F7F63"/>
    <w:rsid w:val="2E7A6816"/>
    <w:rsid w:val="2E7D0A4D"/>
    <w:rsid w:val="2E91797C"/>
    <w:rsid w:val="2E97709F"/>
    <w:rsid w:val="2EAD7E31"/>
    <w:rsid w:val="2EB83565"/>
    <w:rsid w:val="2EC75BF2"/>
    <w:rsid w:val="2EEB2436"/>
    <w:rsid w:val="2EEC6722"/>
    <w:rsid w:val="2EFC0310"/>
    <w:rsid w:val="2EFD0771"/>
    <w:rsid w:val="2F207740"/>
    <w:rsid w:val="2F28061D"/>
    <w:rsid w:val="2F2813A5"/>
    <w:rsid w:val="2F2827CE"/>
    <w:rsid w:val="2F59558E"/>
    <w:rsid w:val="2FAF673E"/>
    <w:rsid w:val="2FB1236A"/>
    <w:rsid w:val="2FBF3526"/>
    <w:rsid w:val="2FC64F2A"/>
    <w:rsid w:val="2FEC7F84"/>
    <w:rsid w:val="30014F74"/>
    <w:rsid w:val="301E2DDF"/>
    <w:rsid w:val="302D10F4"/>
    <w:rsid w:val="303210DC"/>
    <w:rsid w:val="304529BA"/>
    <w:rsid w:val="305F7D9F"/>
    <w:rsid w:val="306A321E"/>
    <w:rsid w:val="308F0788"/>
    <w:rsid w:val="3092334E"/>
    <w:rsid w:val="30992225"/>
    <w:rsid w:val="309A1AE4"/>
    <w:rsid w:val="30BA07A6"/>
    <w:rsid w:val="30DF127F"/>
    <w:rsid w:val="30EB1633"/>
    <w:rsid w:val="30EB7BE1"/>
    <w:rsid w:val="31216CDB"/>
    <w:rsid w:val="3127018A"/>
    <w:rsid w:val="313032FF"/>
    <w:rsid w:val="315A6391"/>
    <w:rsid w:val="3162670C"/>
    <w:rsid w:val="3172268F"/>
    <w:rsid w:val="317E2518"/>
    <w:rsid w:val="319A0C85"/>
    <w:rsid w:val="31A0622F"/>
    <w:rsid w:val="31A668DE"/>
    <w:rsid w:val="31E55DC3"/>
    <w:rsid w:val="31F40264"/>
    <w:rsid w:val="31FE1DB9"/>
    <w:rsid w:val="32016E99"/>
    <w:rsid w:val="320520C4"/>
    <w:rsid w:val="3210495D"/>
    <w:rsid w:val="3216749B"/>
    <w:rsid w:val="321A46DD"/>
    <w:rsid w:val="321B09DF"/>
    <w:rsid w:val="321E205C"/>
    <w:rsid w:val="321F4D9D"/>
    <w:rsid w:val="32365A70"/>
    <w:rsid w:val="325C52A6"/>
    <w:rsid w:val="325E79CA"/>
    <w:rsid w:val="326F1E0C"/>
    <w:rsid w:val="32787D08"/>
    <w:rsid w:val="32911DEC"/>
    <w:rsid w:val="32CB6C20"/>
    <w:rsid w:val="32CC2CD0"/>
    <w:rsid w:val="32DD5280"/>
    <w:rsid w:val="32FB201F"/>
    <w:rsid w:val="33043361"/>
    <w:rsid w:val="33081947"/>
    <w:rsid w:val="330A3D32"/>
    <w:rsid w:val="33227C08"/>
    <w:rsid w:val="33453FB9"/>
    <w:rsid w:val="33583214"/>
    <w:rsid w:val="33604515"/>
    <w:rsid w:val="337141F1"/>
    <w:rsid w:val="337C292F"/>
    <w:rsid w:val="33957634"/>
    <w:rsid w:val="339A6ED6"/>
    <w:rsid w:val="33AF2520"/>
    <w:rsid w:val="33F84194"/>
    <w:rsid w:val="340015E5"/>
    <w:rsid w:val="340A7F2C"/>
    <w:rsid w:val="3438723B"/>
    <w:rsid w:val="343B388B"/>
    <w:rsid w:val="344A4798"/>
    <w:rsid w:val="34652D93"/>
    <w:rsid w:val="34812F1C"/>
    <w:rsid w:val="349456C3"/>
    <w:rsid w:val="34957D63"/>
    <w:rsid w:val="34BF3A60"/>
    <w:rsid w:val="34C94268"/>
    <w:rsid w:val="34CB2A0B"/>
    <w:rsid w:val="34D37D18"/>
    <w:rsid w:val="34D9661B"/>
    <w:rsid w:val="34F1505A"/>
    <w:rsid w:val="34F37747"/>
    <w:rsid w:val="34F76FE3"/>
    <w:rsid w:val="350D1313"/>
    <w:rsid w:val="351D6185"/>
    <w:rsid w:val="352B4A0B"/>
    <w:rsid w:val="35306D3E"/>
    <w:rsid w:val="35311B6D"/>
    <w:rsid w:val="35461A94"/>
    <w:rsid w:val="356A22E3"/>
    <w:rsid w:val="356B4500"/>
    <w:rsid w:val="358E75A5"/>
    <w:rsid w:val="359F0C3E"/>
    <w:rsid w:val="35A214AC"/>
    <w:rsid w:val="36154826"/>
    <w:rsid w:val="36425FC8"/>
    <w:rsid w:val="36446A88"/>
    <w:rsid w:val="3647012E"/>
    <w:rsid w:val="365909FA"/>
    <w:rsid w:val="36807B38"/>
    <w:rsid w:val="369B54C3"/>
    <w:rsid w:val="36A06A1F"/>
    <w:rsid w:val="36AD654F"/>
    <w:rsid w:val="36AE3264"/>
    <w:rsid w:val="36D62C8A"/>
    <w:rsid w:val="36DE2CB5"/>
    <w:rsid w:val="36F0392D"/>
    <w:rsid w:val="36FF31FF"/>
    <w:rsid w:val="370B1701"/>
    <w:rsid w:val="371362BD"/>
    <w:rsid w:val="37453EC5"/>
    <w:rsid w:val="37524F4A"/>
    <w:rsid w:val="375963B5"/>
    <w:rsid w:val="377B7BB5"/>
    <w:rsid w:val="378942E0"/>
    <w:rsid w:val="378D439F"/>
    <w:rsid w:val="378F0008"/>
    <w:rsid w:val="37BA3EF4"/>
    <w:rsid w:val="37C8212B"/>
    <w:rsid w:val="38106970"/>
    <w:rsid w:val="38306FCB"/>
    <w:rsid w:val="38323AEA"/>
    <w:rsid w:val="384F6205"/>
    <w:rsid w:val="385220E6"/>
    <w:rsid w:val="385B0AD3"/>
    <w:rsid w:val="385E274B"/>
    <w:rsid w:val="385E6B98"/>
    <w:rsid w:val="388903C4"/>
    <w:rsid w:val="38895637"/>
    <w:rsid w:val="38957260"/>
    <w:rsid w:val="38A841DC"/>
    <w:rsid w:val="38A95CA0"/>
    <w:rsid w:val="38C0006B"/>
    <w:rsid w:val="38C8225A"/>
    <w:rsid w:val="38CC4660"/>
    <w:rsid w:val="38DF37E0"/>
    <w:rsid w:val="38F004FE"/>
    <w:rsid w:val="38F33EC6"/>
    <w:rsid w:val="38F366E4"/>
    <w:rsid w:val="39017EDA"/>
    <w:rsid w:val="39124263"/>
    <w:rsid w:val="391E012A"/>
    <w:rsid w:val="395D5175"/>
    <w:rsid w:val="396E0DB7"/>
    <w:rsid w:val="396E623D"/>
    <w:rsid w:val="39751478"/>
    <w:rsid w:val="398F6433"/>
    <w:rsid w:val="399C08EA"/>
    <w:rsid w:val="39B61451"/>
    <w:rsid w:val="39CB21BD"/>
    <w:rsid w:val="3A1B3DAA"/>
    <w:rsid w:val="3A4122C4"/>
    <w:rsid w:val="3A4C094F"/>
    <w:rsid w:val="3A4C6FF5"/>
    <w:rsid w:val="3A5B691C"/>
    <w:rsid w:val="3A9F5BCD"/>
    <w:rsid w:val="3AAA3085"/>
    <w:rsid w:val="3AB66460"/>
    <w:rsid w:val="3AD53384"/>
    <w:rsid w:val="3AF7480D"/>
    <w:rsid w:val="3B085546"/>
    <w:rsid w:val="3B0D7DE4"/>
    <w:rsid w:val="3B29633B"/>
    <w:rsid w:val="3B3134D4"/>
    <w:rsid w:val="3B3C320F"/>
    <w:rsid w:val="3B3E75F8"/>
    <w:rsid w:val="3B521AF4"/>
    <w:rsid w:val="3B6C263D"/>
    <w:rsid w:val="3B7F7F2A"/>
    <w:rsid w:val="3B884FAC"/>
    <w:rsid w:val="3B8E0E32"/>
    <w:rsid w:val="3B974F56"/>
    <w:rsid w:val="3BA36F14"/>
    <w:rsid w:val="3BB100D1"/>
    <w:rsid w:val="3BB13F25"/>
    <w:rsid w:val="3BB337A4"/>
    <w:rsid w:val="3BC13628"/>
    <w:rsid w:val="3BCA4107"/>
    <w:rsid w:val="3BCF45E1"/>
    <w:rsid w:val="3BD32B00"/>
    <w:rsid w:val="3C064F20"/>
    <w:rsid w:val="3C20071D"/>
    <w:rsid w:val="3C22553E"/>
    <w:rsid w:val="3C2445A8"/>
    <w:rsid w:val="3C2B2FD3"/>
    <w:rsid w:val="3C3B6221"/>
    <w:rsid w:val="3C732016"/>
    <w:rsid w:val="3C736CC7"/>
    <w:rsid w:val="3C780793"/>
    <w:rsid w:val="3C9556B9"/>
    <w:rsid w:val="3C960281"/>
    <w:rsid w:val="3C9A5CBB"/>
    <w:rsid w:val="3CA20E05"/>
    <w:rsid w:val="3CA411AE"/>
    <w:rsid w:val="3CBE43F5"/>
    <w:rsid w:val="3CC46209"/>
    <w:rsid w:val="3CDE153A"/>
    <w:rsid w:val="3CE52F88"/>
    <w:rsid w:val="3D0243E2"/>
    <w:rsid w:val="3D193AF5"/>
    <w:rsid w:val="3D205B10"/>
    <w:rsid w:val="3D3D511A"/>
    <w:rsid w:val="3D3E4C2A"/>
    <w:rsid w:val="3D516C65"/>
    <w:rsid w:val="3D680A6D"/>
    <w:rsid w:val="3D8C0AD0"/>
    <w:rsid w:val="3D957549"/>
    <w:rsid w:val="3DA511F4"/>
    <w:rsid w:val="3DA87C00"/>
    <w:rsid w:val="3DC152B3"/>
    <w:rsid w:val="3DCA54F8"/>
    <w:rsid w:val="3DE83EA4"/>
    <w:rsid w:val="3DEC2B1F"/>
    <w:rsid w:val="3DEE0367"/>
    <w:rsid w:val="3DEE3975"/>
    <w:rsid w:val="3DF21D37"/>
    <w:rsid w:val="3DFC4703"/>
    <w:rsid w:val="3E160078"/>
    <w:rsid w:val="3E4E09F3"/>
    <w:rsid w:val="3E630093"/>
    <w:rsid w:val="3EA04362"/>
    <w:rsid w:val="3EB26C02"/>
    <w:rsid w:val="3ED047B3"/>
    <w:rsid w:val="3EDC3EE1"/>
    <w:rsid w:val="3F016BE3"/>
    <w:rsid w:val="3F177A97"/>
    <w:rsid w:val="3F1D4082"/>
    <w:rsid w:val="3F2B2F7B"/>
    <w:rsid w:val="3F464AD8"/>
    <w:rsid w:val="3F542979"/>
    <w:rsid w:val="3F703D60"/>
    <w:rsid w:val="3F7622E0"/>
    <w:rsid w:val="3F8228D0"/>
    <w:rsid w:val="3F89533D"/>
    <w:rsid w:val="3FA5471C"/>
    <w:rsid w:val="3FB037FE"/>
    <w:rsid w:val="3FC018DA"/>
    <w:rsid w:val="400C54D3"/>
    <w:rsid w:val="401E453F"/>
    <w:rsid w:val="405506AF"/>
    <w:rsid w:val="407978C8"/>
    <w:rsid w:val="408808A0"/>
    <w:rsid w:val="40B0466C"/>
    <w:rsid w:val="40CA42F2"/>
    <w:rsid w:val="40E22FED"/>
    <w:rsid w:val="412C22A9"/>
    <w:rsid w:val="4142099F"/>
    <w:rsid w:val="415A141F"/>
    <w:rsid w:val="41663534"/>
    <w:rsid w:val="417264D6"/>
    <w:rsid w:val="41803863"/>
    <w:rsid w:val="41840C26"/>
    <w:rsid w:val="41B0013E"/>
    <w:rsid w:val="41C06FA3"/>
    <w:rsid w:val="41CF50EC"/>
    <w:rsid w:val="41DA7707"/>
    <w:rsid w:val="41EA4962"/>
    <w:rsid w:val="422D0069"/>
    <w:rsid w:val="423B3ECD"/>
    <w:rsid w:val="42680705"/>
    <w:rsid w:val="426B665A"/>
    <w:rsid w:val="42B30E37"/>
    <w:rsid w:val="42BC698B"/>
    <w:rsid w:val="42E37886"/>
    <w:rsid w:val="42E503E1"/>
    <w:rsid w:val="42F14644"/>
    <w:rsid w:val="42F70DFC"/>
    <w:rsid w:val="43006396"/>
    <w:rsid w:val="430D29BD"/>
    <w:rsid w:val="432D7734"/>
    <w:rsid w:val="434955F9"/>
    <w:rsid w:val="43764B10"/>
    <w:rsid w:val="43943933"/>
    <w:rsid w:val="43A140A5"/>
    <w:rsid w:val="43AE21D2"/>
    <w:rsid w:val="43C03354"/>
    <w:rsid w:val="43C22025"/>
    <w:rsid w:val="43C33C54"/>
    <w:rsid w:val="44233FE1"/>
    <w:rsid w:val="44432267"/>
    <w:rsid w:val="44457F9F"/>
    <w:rsid w:val="444F29EB"/>
    <w:rsid w:val="44E467D9"/>
    <w:rsid w:val="44E81E4B"/>
    <w:rsid w:val="44ED02EE"/>
    <w:rsid w:val="44ED1776"/>
    <w:rsid w:val="44F47163"/>
    <w:rsid w:val="44FE0641"/>
    <w:rsid w:val="45156A54"/>
    <w:rsid w:val="45252B8C"/>
    <w:rsid w:val="455C39F0"/>
    <w:rsid w:val="458B2BE0"/>
    <w:rsid w:val="458E42E9"/>
    <w:rsid w:val="45954EAA"/>
    <w:rsid w:val="45961BC8"/>
    <w:rsid w:val="459F7FF5"/>
    <w:rsid w:val="45B17B20"/>
    <w:rsid w:val="45BC3E78"/>
    <w:rsid w:val="45E56E26"/>
    <w:rsid w:val="45E67152"/>
    <w:rsid w:val="45E94938"/>
    <w:rsid w:val="45F95AE7"/>
    <w:rsid w:val="45FC219A"/>
    <w:rsid w:val="460656B1"/>
    <w:rsid w:val="460D3EB8"/>
    <w:rsid w:val="46195017"/>
    <w:rsid w:val="461E1059"/>
    <w:rsid w:val="4646138E"/>
    <w:rsid w:val="46814EA1"/>
    <w:rsid w:val="46910899"/>
    <w:rsid w:val="46C579DF"/>
    <w:rsid w:val="46EF599E"/>
    <w:rsid w:val="46F0532C"/>
    <w:rsid w:val="46F43329"/>
    <w:rsid w:val="46F522DA"/>
    <w:rsid w:val="46FB1A64"/>
    <w:rsid w:val="47197A29"/>
    <w:rsid w:val="47583C32"/>
    <w:rsid w:val="476B6888"/>
    <w:rsid w:val="4771532C"/>
    <w:rsid w:val="47A54BED"/>
    <w:rsid w:val="47B36801"/>
    <w:rsid w:val="47CA014A"/>
    <w:rsid w:val="47D869A2"/>
    <w:rsid w:val="47FB43BC"/>
    <w:rsid w:val="480A62F0"/>
    <w:rsid w:val="482006B1"/>
    <w:rsid w:val="48874882"/>
    <w:rsid w:val="48C4300B"/>
    <w:rsid w:val="48DE05A1"/>
    <w:rsid w:val="48E42379"/>
    <w:rsid w:val="48F0206E"/>
    <w:rsid w:val="48FE7807"/>
    <w:rsid w:val="49033B3B"/>
    <w:rsid w:val="49043CD8"/>
    <w:rsid w:val="490C02D3"/>
    <w:rsid w:val="49113154"/>
    <w:rsid w:val="491E4823"/>
    <w:rsid w:val="49262DC6"/>
    <w:rsid w:val="49387813"/>
    <w:rsid w:val="499B2971"/>
    <w:rsid w:val="49AF7474"/>
    <w:rsid w:val="49BB16A3"/>
    <w:rsid w:val="49BE5361"/>
    <w:rsid w:val="49BF1461"/>
    <w:rsid w:val="49E656EF"/>
    <w:rsid w:val="4A132940"/>
    <w:rsid w:val="4A1B1EA7"/>
    <w:rsid w:val="4A1E3CE9"/>
    <w:rsid w:val="4A3614F2"/>
    <w:rsid w:val="4A3B2DC8"/>
    <w:rsid w:val="4A505384"/>
    <w:rsid w:val="4A6C25A6"/>
    <w:rsid w:val="4A8C5F6E"/>
    <w:rsid w:val="4A995EF3"/>
    <w:rsid w:val="4AB328EE"/>
    <w:rsid w:val="4AB95509"/>
    <w:rsid w:val="4ABD4C9E"/>
    <w:rsid w:val="4AD30EAA"/>
    <w:rsid w:val="4ADC4728"/>
    <w:rsid w:val="4B0C4C48"/>
    <w:rsid w:val="4B35577D"/>
    <w:rsid w:val="4B3611E2"/>
    <w:rsid w:val="4B3E3ABA"/>
    <w:rsid w:val="4B64437D"/>
    <w:rsid w:val="4B7C491B"/>
    <w:rsid w:val="4B9033C0"/>
    <w:rsid w:val="4BA873D3"/>
    <w:rsid w:val="4BAF1D8B"/>
    <w:rsid w:val="4BBD59FB"/>
    <w:rsid w:val="4BE342A6"/>
    <w:rsid w:val="4BE464F6"/>
    <w:rsid w:val="4BE62B4D"/>
    <w:rsid w:val="4C0217C4"/>
    <w:rsid w:val="4C1350E3"/>
    <w:rsid w:val="4C167C53"/>
    <w:rsid w:val="4C1A0D7A"/>
    <w:rsid w:val="4C290774"/>
    <w:rsid w:val="4C4278C2"/>
    <w:rsid w:val="4C5071AA"/>
    <w:rsid w:val="4C6A452F"/>
    <w:rsid w:val="4C814C6D"/>
    <w:rsid w:val="4C864A37"/>
    <w:rsid w:val="4C8C634C"/>
    <w:rsid w:val="4CA82EE8"/>
    <w:rsid w:val="4CAA6001"/>
    <w:rsid w:val="4D4B4F57"/>
    <w:rsid w:val="4D6A1EBE"/>
    <w:rsid w:val="4D7A6A02"/>
    <w:rsid w:val="4D8176EC"/>
    <w:rsid w:val="4D9639AE"/>
    <w:rsid w:val="4D991577"/>
    <w:rsid w:val="4DCE178C"/>
    <w:rsid w:val="4DD83394"/>
    <w:rsid w:val="4DDC61AD"/>
    <w:rsid w:val="4DFE0CDA"/>
    <w:rsid w:val="4E045B18"/>
    <w:rsid w:val="4E0F4D26"/>
    <w:rsid w:val="4E1336A8"/>
    <w:rsid w:val="4E144F47"/>
    <w:rsid w:val="4E237871"/>
    <w:rsid w:val="4E2D1495"/>
    <w:rsid w:val="4E326091"/>
    <w:rsid w:val="4E4A1F01"/>
    <w:rsid w:val="4E74636C"/>
    <w:rsid w:val="4E7B6B79"/>
    <w:rsid w:val="4E944C22"/>
    <w:rsid w:val="4EA826C6"/>
    <w:rsid w:val="4EB0474F"/>
    <w:rsid w:val="4F0323A8"/>
    <w:rsid w:val="4F0B253F"/>
    <w:rsid w:val="4F2F3AC0"/>
    <w:rsid w:val="4F43474F"/>
    <w:rsid w:val="4F5166AD"/>
    <w:rsid w:val="4F524C7F"/>
    <w:rsid w:val="4F593D11"/>
    <w:rsid w:val="4F5E1FC0"/>
    <w:rsid w:val="4F612DDC"/>
    <w:rsid w:val="4F630CE2"/>
    <w:rsid w:val="4F643138"/>
    <w:rsid w:val="4F8954F6"/>
    <w:rsid w:val="4F8B1BBF"/>
    <w:rsid w:val="4F92501D"/>
    <w:rsid w:val="4F987E02"/>
    <w:rsid w:val="4FA34388"/>
    <w:rsid w:val="4FA56A0F"/>
    <w:rsid w:val="4FCA5D0D"/>
    <w:rsid w:val="4FEC008F"/>
    <w:rsid w:val="4FEE1253"/>
    <w:rsid w:val="4FFF46BF"/>
    <w:rsid w:val="500768E6"/>
    <w:rsid w:val="50510507"/>
    <w:rsid w:val="506A49F5"/>
    <w:rsid w:val="509043DB"/>
    <w:rsid w:val="509A29D0"/>
    <w:rsid w:val="50A4400C"/>
    <w:rsid w:val="50C31C05"/>
    <w:rsid w:val="50CA1D21"/>
    <w:rsid w:val="50D62208"/>
    <w:rsid w:val="50DA15FC"/>
    <w:rsid w:val="50E038A6"/>
    <w:rsid w:val="50E31CAF"/>
    <w:rsid w:val="510176E4"/>
    <w:rsid w:val="51053958"/>
    <w:rsid w:val="51154A66"/>
    <w:rsid w:val="511F43EB"/>
    <w:rsid w:val="513F4C94"/>
    <w:rsid w:val="513F513F"/>
    <w:rsid w:val="51453074"/>
    <w:rsid w:val="51550818"/>
    <w:rsid w:val="51847446"/>
    <w:rsid w:val="518A2582"/>
    <w:rsid w:val="51947D55"/>
    <w:rsid w:val="51A065D5"/>
    <w:rsid w:val="51C9369F"/>
    <w:rsid w:val="52333994"/>
    <w:rsid w:val="52557B66"/>
    <w:rsid w:val="52654D61"/>
    <w:rsid w:val="52871C50"/>
    <w:rsid w:val="52A04A38"/>
    <w:rsid w:val="52A97F2E"/>
    <w:rsid w:val="52B821A2"/>
    <w:rsid w:val="53304FFD"/>
    <w:rsid w:val="53560856"/>
    <w:rsid w:val="53752C50"/>
    <w:rsid w:val="5395417A"/>
    <w:rsid w:val="53BB3212"/>
    <w:rsid w:val="53DF1A43"/>
    <w:rsid w:val="53E5564F"/>
    <w:rsid w:val="540817B5"/>
    <w:rsid w:val="545C7FB9"/>
    <w:rsid w:val="54600A66"/>
    <w:rsid w:val="54637D6E"/>
    <w:rsid w:val="54815E78"/>
    <w:rsid w:val="54976EE9"/>
    <w:rsid w:val="54C072C7"/>
    <w:rsid w:val="54DD145B"/>
    <w:rsid w:val="54F3041C"/>
    <w:rsid w:val="55135331"/>
    <w:rsid w:val="5513591E"/>
    <w:rsid w:val="554A360D"/>
    <w:rsid w:val="556D7856"/>
    <w:rsid w:val="559B6ECA"/>
    <w:rsid w:val="55C64053"/>
    <w:rsid w:val="55D26514"/>
    <w:rsid w:val="55DE7106"/>
    <w:rsid w:val="55F00119"/>
    <w:rsid w:val="55F7333C"/>
    <w:rsid w:val="560120E5"/>
    <w:rsid w:val="560F2F91"/>
    <w:rsid w:val="565735A3"/>
    <w:rsid w:val="56826DC2"/>
    <w:rsid w:val="56940514"/>
    <w:rsid w:val="569F54D8"/>
    <w:rsid w:val="56A019A8"/>
    <w:rsid w:val="56A45F7C"/>
    <w:rsid w:val="56B401E6"/>
    <w:rsid w:val="56B56D4E"/>
    <w:rsid w:val="56B7508D"/>
    <w:rsid w:val="57231C07"/>
    <w:rsid w:val="573968E9"/>
    <w:rsid w:val="574C2923"/>
    <w:rsid w:val="575127FE"/>
    <w:rsid w:val="57602812"/>
    <w:rsid w:val="57767DB3"/>
    <w:rsid w:val="57782E6C"/>
    <w:rsid w:val="577E7277"/>
    <w:rsid w:val="57827F8C"/>
    <w:rsid w:val="57875B87"/>
    <w:rsid w:val="57914EA7"/>
    <w:rsid w:val="579571A4"/>
    <w:rsid w:val="57A64265"/>
    <w:rsid w:val="57AE0C03"/>
    <w:rsid w:val="57ED2730"/>
    <w:rsid w:val="57F561A2"/>
    <w:rsid w:val="58215965"/>
    <w:rsid w:val="582510B5"/>
    <w:rsid w:val="582B608A"/>
    <w:rsid w:val="58455699"/>
    <w:rsid w:val="584C7FD6"/>
    <w:rsid w:val="586974CB"/>
    <w:rsid w:val="58851CA6"/>
    <w:rsid w:val="5885685B"/>
    <w:rsid w:val="58C721B2"/>
    <w:rsid w:val="58CA7BFC"/>
    <w:rsid w:val="58D1413E"/>
    <w:rsid w:val="58D36365"/>
    <w:rsid w:val="58D538F8"/>
    <w:rsid w:val="58D62F0B"/>
    <w:rsid w:val="58EB5DA6"/>
    <w:rsid w:val="58F86533"/>
    <w:rsid w:val="59045F06"/>
    <w:rsid w:val="593C3C0C"/>
    <w:rsid w:val="595C585B"/>
    <w:rsid w:val="59944C6A"/>
    <w:rsid w:val="599C0E6D"/>
    <w:rsid w:val="59AF08C7"/>
    <w:rsid w:val="59DA7CCE"/>
    <w:rsid w:val="5A4E52F7"/>
    <w:rsid w:val="5A653C7C"/>
    <w:rsid w:val="5A654182"/>
    <w:rsid w:val="5A785701"/>
    <w:rsid w:val="5A862928"/>
    <w:rsid w:val="5A99541A"/>
    <w:rsid w:val="5AAE0556"/>
    <w:rsid w:val="5AD0060C"/>
    <w:rsid w:val="5AD64F0C"/>
    <w:rsid w:val="5AF820D3"/>
    <w:rsid w:val="5AF92B9B"/>
    <w:rsid w:val="5B213E8A"/>
    <w:rsid w:val="5B28470A"/>
    <w:rsid w:val="5B2D1352"/>
    <w:rsid w:val="5B3173A9"/>
    <w:rsid w:val="5B461C04"/>
    <w:rsid w:val="5B475703"/>
    <w:rsid w:val="5B95319D"/>
    <w:rsid w:val="5B9C71EF"/>
    <w:rsid w:val="5BD548A1"/>
    <w:rsid w:val="5BE72D31"/>
    <w:rsid w:val="5C1B4549"/>
    <w:rsid w:val="5C3F678F"/>
    <w:rsid w:val="5C4F314E"/>
    <w:rsid w:val="5C5B0C98"/>
    <w:rsid w:val="5C622399"/>
    <w:rsid w:val="5C891CF0"/>
    <w:rsid w:val="5C9A451F"/>
    <w:rsid w:val="5CB85FBE"/>
    <w:rsid w:val="5CCB5AA3"/>
    <w:rsid w:val="5D0248EB"/>
    <w:rsid w:val="5D042038"/>
    <w:rsid w:val="5D12741B"/>
    <w:rsid w:val="5D210EFC"/>
    <w:rsid w:val="5D2D6201"/>
    <w:rsid w:val="5D752C9A"/>
    <w:rsid w:val="5D7B4C54"/>
    <w:rsid w:val="5D9C0177"/>
    <w:rsid w:val="5DA21587"/>
    <w:rsid w:val="5DAA494D"/>
    <w:rsid w:val="5DAE47D4"/>
    <w:rsid w:val="5DBD4D0E"/>
    <w:rsid w:val="5DD607E7"/>
    <w:rsid w:val="5DE22988"/>
    <w:rsid w:val="5DF209F4"/>
    <w:rsid w:val="5E04557C"/>
    <w:rsid w:val="5E0C2D1A"/>
    <w:rsid w:val="5E16536B"/>
    <w:rsid w:val="5E26558E"/>
    <w:rsid w:val="5E30683A"/>
    <w:rsid w:val="5E390D12"/>
    <w:rsid w:val="5E8A1780"/>
    <w:rsid w:val="5E9A2D62"/>
    <w:rsid w:val="5EB26516"/>
    <w:rsid w:val="5EB5482A"/>
    <w:rsid w:val="5EC15C61"/>
    <w:rsid w:val="5EEE0A89"/>
    <w:rsid w:val="5EF22CE9"/>
    <w:rsid w:val="5F007A45"/>
    <w:rsid w:val="5F13397F"/>
    <w:rsid w:val="5F230066"/>
    <w:rsid w:val="5F3C3A17"/>
    <w:rsid w:val="5F4454A3"/>
    <w:rsid w:val="5F5E2684"/>
    <w:rsid w:val="5F947839"/>
    <w:rsid w:val="5FAF488B"/>
    <w:rsid w:val="5FDF691B"/>
    <w:rsid w:val="5FF05B13"/>
    <w:rsid w:val="60057800"/>
    <w:rsid w:val="601E178B"/>
    <w:rsid w:val="604571EB"/>
    <w:rsid w:val="6072322F"/>
    <w:rsid w:val="60724093"/>
    <w:rsid w:val="607B1AA6"/>
    <w:rsid w:val="608911C7"/>
    <w:rsid w:val="60892E65"/>
    <w:rsid w:val="609E6645"/>
    <w:rsid w:val="60AB3623"/>
    <w:rsid w:val="60C467B8"/>
    <w:rsid w:val="60DC74E2"/>
    <w:rsid w:val="60E66AC7"/>
    <w:rsid w:val="60F949D3"/>
    <w:rsid w:val="61227D83"/>
    <w:rsid w:val="61234093"/>
    <w:rsid w:val="61271EE6"/>
    <w:rsid w:val="613015E4"/>
    <w:rsid w:val="6134285B"/>
    <w:rsid w:val="61494558"/>
    <w:rsid w:val="6159784B"/>
    <w:rsid w:val="616D23C4"/>
    <w:rsid w:val="618925DC"/>
    <w:rsid w:val="619F4C00"/>
    <w:rsid w:val="61B45E79"/>
    <w:rsid w:val="61C373EC"/>
    <w:rsid w:val="61C950CB"/>
    <w:rsid w:val="62030E4C"/>
    <w:rsid w:val="62215B53"/>
    <w:rsid w:val="622B55DA"/>
    <w:rsid w:val="62435E73"/>
    <w:rsid w:val="624C7242"/>
    <w:rsid w:val="62504FDB"/>
    <w:rsid w:val="62597CE6"/>
    <w:rsid w:val="62736653"/>
    <w:rsid w:val="627B39F1"/>
    <w:rsid w:val="62862AB7"/>
    <w:rsid w:val="629D494D"/>
    <w:rsid w:val="62A15C27"/>
    <w:rsid w:val="62AA4BDD"/>
    <w:rsid w:val="62AF0E3B"/>
    <w:rsid w:val="62BB3A2B"/>
    <w:rsid w:val="62C80463"/>
    <w:rsid w:val="62CB02F7"/>
    <w:rsid w:val="62FB486D"/>
    <w:rsid w:val="631E6596"/>
    <w:rsid w:val="638F1ECB"/>
    <w:rsid w:val="63C847B8"/>
    <w:rsid w:val="63CE243F"/>
    <w:rsid w:val="63EE787B"/>
    <w:rsid w:val="63EF19E4"/>
    <w:rsid w:val="63FC4B61"/>
    <w:rsid w:val="640A31E3"/>
    <w:rsid w:val="64353E93"/>
    <w:rsid w:val="64782CFD"/>
    <w:rsid w:val="648A2124"/>
    <w:rsid w:val="649369FB"/>
    <w:rsid w:val="649873F4"/>
    <w:rsid w:val="64A55F4E"/>
    <w:rsid w:val="64AA0952"/>
    <w:rsid w:val="64AE48AC"/>
    <w:rsid w:val="64BC3CA4"/>
    <w:rsid w:val="64C33504"/>
    <w:rsid w:val="64C86FBA"/>
    <w:rsid w:val="64CE0F19"/>
    <w:rsid w:val="64DB0A9B"/>
    <w:rsid w:val="64EE0963"/>
    <w:rsid w:val="650D51FA"/>
    <w:rsid w:val="651F4284"/>
    <w:rsid w:val="65381E10"/>
    <w:rsid w:val="653E347A"/>
    <w:rsid w:val="656767BA"/>
    <w:rsid w:val="657D7EAB"/>
    <w:rsid w:val="65914236"/>
    <w:rsid w:val="65B01F37"/>
    <w:rsid w:val="65BB2755"/>
    <w:rsid w:val="65C325AB"/>
    <w:rsid w:val="65D259ED"/>
    <w:rsid w:val="65F75A11"/>
    <w:rsid w:val="660B5781"/>
    <w:rsid w:val="660F7F78"/>
    <w:rsid w:val="66527A9A"/>
    <w:rsid w:val="66633552"/>
    <w:rsid w:val="66A574E6"/>
    <w:rsid w:val="66A852F5"/>
    <w:rsid w:val="670B7E40"/>
    <w:rsid w:val="671072CB"/>
    <w:rsid w:val="671E7AC8"/>
    <w:rsid w:val="6727301A"/>
    <w:rsid w:val="672B6E8D"/>
    <w:rsid w:val="67373AE0"/>
    <w:rsid w:val="673F004A"/>
    <w:rsid w:val="673F369D"/>
    <w:rsid w:val="67557D67"/>
    <w:rsid w:val="67632A6B"/>
    <w:rsid w:val="67641D49"/>
    <w:rsid w:val="676D1E23"/>
    <w:rsid w:val="676F3190"/>
    <w:rsid w:val="67843D68"/>
    <w:rsid w:val="678B794B"/>
    <w:rsid w:val="67B47150"/>
    <w:rsid w:val="67BA3198"/>
    <w:rsid w:val="67CE5DDA"/>
    <w:rsid w:val="67D339F2"/>
    <w:rsid w:val="67E619EF"/>
    <w:rsid w:val="67F77854"/>
    <w:rsid w:val="681D3222"/>
    <w:rsid w:val="681E74F9"/>
    <w:rsid w:val="682236C3"/>
    <w:rsid w:val="68822ED2"/>
    <w:rsid w:val="68C92D89"/>
    <w:rsid w:val="68ED3FA8"/>
    <w:rsid w:val="68F206A0"/>
    <w:rsid w:val="69071CFE"/>
    <w:rsid w:val="69152DE2"/>
    <w:rsid w:val="69397748"/>
    <w:rsid w:val="69474CC3"/>
    <w:rsid w:val="694E212F"/>
    <w:rsid w:val="69541B44"/>
    <w:rsid w:val="695A28F6"/>
    <w:rsid w:val="696B03F5"/>
    <w:rsid w:val="697858E5"/>
    <w:rsid w:val="697C66D3"/>
    <w:rsid w:val="697E150F"/>
    <w:rsid w:val="69852FB5"/>
    <w:rsid w:val="698A0718"/>
    <w:rsid w:val="699E1723"/>
    <w:rsid w:val="69A47EB0"/>
    <w:rsid w:val="6A124ADA"/>
    <w:rsid w:val="6A1D00CE"/>
    <w:rsid w:val="6A2E7DD3"/>
    <w:rsid w:val="6A377F7C"/>
    <w:rsid w:val="6A6D3666"/>
    <w:rsid w:val="6A9A055D"/>
    <w:rsid w:val="6AC8766A"/>
    <w:rsid w:val="6AF0247A"/>
    <w:rsid w:val="6AF738F3"/>
    <w:rsid w:val="6AFE7E13"/>
    <w:rsid w:val="6B222F35"/>
    <w:rsid w:val="6B2D7F14"/>
    <w:rsid w:val="6B877FB3"/>
    <w:rsid w:val="6B9D152D"/>
    <w:rsid w:val="6BA824F4"/>
    <w:rsid w:val="6BDB61B5"/>
    <w:rsid w:val="6BF325CA"/>
    <w:rsid w:val="6C12102A"/>
    <w:rsid w:val="6C3F1E5A"/>
    <w:rsid w:val="6C436119"/>
    <w:rsid w:val="6C4A6AFE"/>
    <w:rsid w:val="6C57226F"/>
    <w:rsid w:val="6C58143D"/>
    <w:rsid w:val="6C6F7D08"/>
    <w:rsid w:val="6C8B0861"/>
    <w:rsid w:val="6C8C5D05"/>
    <w:rsid w:val="6C92315A"/>
    <w:rsid w:val="6C9C4D71"/>
    <w:rsid w:val="6CAF2987"/>
    <w:rsid w:val="6CB52489"/>
    <w:rsid w:val="6CDF7EA1"/>
    <w:rsid w:val="6CED2570"/>
    <w:rsid w:val="6CF0749D"/>
    <w:rsid w:val="6CF575C7"/>
    <w:rsid w:val="6CF81762"/>
    <w:rsid w:val="6D151AB6"/>
    <w:rsid w:val="6D39729F"/>
    <w:rsid w:val="6D6508D4"/>
    <w:rsid w:val="6D6834A3"/>
    <w:rsid w:val="6D9E51DB"/>
    <w:rsid w:val="6DA957CA"/>
    <w:rsid w:val="6DBC48E6"/>
    <w:rsid w:val="6DBE23B6"/>
    <w:rsid w:val="6DDF1A78"/>
    <w:rsid w:val="6E2D594E"/>
    <w:rsid w:val="6E3138D9"/>
    <w:rsid w:val="6E492E0C"/>
    <w:rsid w:val="6E5A2342"/>
    <w:rsid w:val="6E5A7572"/>
    <w:rsid w:val="6E673BCD"/>
    <w:rsid w:val="6E6C4977"/>
    <w:rsid w:val="6E79317A"/>
    <w:rsid w:val="6E912285"/>
    <w:rsid w:val="6E9A0A02"/>
    <w:rsid w:val="6EA35507"/>
    <w:rsid w:val="6EAC1F8F"/>
    <w:rsid w:val="6EC00BBC"/>
    <w:rsid w:val="6EC25FF3"/>
    <w:rsid w:val="6EED07CC"/>
    <w:rsid w:val="6F194913"/>
    <w:rsid w:val="6F364A08"/>
    <w:rsid w:val="6F534BED"/>
    <w:rsid w:val="6F733E7E"/>
    <w:rsid w:val="6F8C69B5"/>
    <w:rsid w:val="6FA40679"/>
    <w:rsid w:val="6FC87499"/>
    <w:rsid w:val="6FEF1B71"/>
    <w:rsid w:val="700E69C2"/>
    <w:rsid w:val="70240FDE"/>
    <w:rsid w:val="702D573C"/>
    <w:rsid w:val="70482751"/>
    <w:rsid w:val="70617EF0"/>
    <w:rsid w:val="706A7177"/>
    <w:rsid w:val="7070630D"/>
    <w:rsid w:val="708A23D1"/>
    <w:rsid w:val="70906079"/>
    <w:rsid w:val="70917FD3"/>
    <w:rsid w:val="70A027C3"/>
    <w:rsid w:val="70A07091"/>
    <w:rsid w:val="70AE0D52"/>
    <w:rsid w:val="70C52999"/>
    <w:rsid w:val="70D13EDE"/>
    <w:rsid w:val="70E778C8"/>
    <w:rsid w:val="70EE4D07"/>
    <w:rsid w:val="70F14B21"/>
    <w:rsid w:val="71000111"/>
    <w:rsid w:val="71090472"/>
    <w:rsid w:val="711C4E5B"/>
    <w:rsid w:val="7126696C"/>
    <w:rsid w:val="714B45F1"/>
    <w:rsid w:val="715907AF"/>
    <w:rsid w:val="71712FFC"/>
    <w:rsid w:val="718D59F5"/>
    <w:rsid w:val="719A0C1D"/>
    <w:rsid w:val="719E2BB6"/>
    <w:rsid w:val="71B965C1"/>
    <w:rsid w:val="71BD319D"/>
    <w:rsid w:val="71D35418"/>
    <w:rsid w:val="71D87512"/>
    <w:rsid w:val="71F3230E"/>
    <w:rsid w:val="71F45789"/>
    <w:rsid w:val="725221B0"/>
    <w:rsid w:val="725A3A5F"/>
    <w:rsid w:val="726C5E60"/>
    <w:rsid w:val="729C5E8B"/>
    <w:rsid w:val="72BF1349"/>
    <w:rsid w:val="72F258AF"/>
    <w:rsid w:val="73163B45"/>
    <w:rsid w:val="731D5F8F"/>
    <w:rsid w:val="735E2FF8"/>
    <w:rsid w:val="73821DBF"/>
    <w:rsid w:val="738257E4"/>
    <w:rsid w:val="73856103"/>
    <w:rsid w:val="73C40E24"/>
    <w:rsid w:val="73ED4347"/>
    <w:rsid w:val="73EF7631"/>
    <w:rsid w:val="74490C17"/>
    <w:rsid w:val="744D5410"/>
    <w:rsid w:val="745F0E2F"/>
    <w:rsid w:val="74814412"/>
    <w:rsid w:val="74A3351E"/>
    <w:rsid w:val="74A61BF5"/>
    <w:rsid w:val="74B34FA3"/>
    <w:rsid w:val="74B442E7"/>
    <w:rsid w:val="74B872C8"/>
    <w:rsid w:val="74BC1060"/>
    <w:rsid w:val="74CE2DAD"/>
    <w:rsid w:val="74E16BAD"/>
    <w:rsid w:val="74F73855"/>
    <w:rsid w:val="75051EAE"/>
    <w:rsid w:val="750F04AD"/>
    <w:rsid w:val="752E0B23"/>
    <w:rsid w:val="75484A46"/>
    <w:rsid w:val="75502946"/>
    <w:rsid w:val="75546891"/>
    <w:rsid w:val="7564344B"/>
    <w:rsid w:val="756D6B44"/>
    <w:rsid w:val="75E25CA5"/>
    <w:rsid w:val="75E4603A"/>
    <w:rsid w:val="75E70F26"/>
    <w:rsid w:val="762D7975"/>
    <w:rsid w:val="76321437"/>
    <w:rsid w:val="763421D8"/>
    <w:rsid w:val="763448CD"/>
    <w:rsid w:val="76382D9A"/>
    <w:rsid w:val="764C2581"/>
    <w:rsid w:val="76597B46"/>
    <w:rsid w:val="766A33DC"/>
    <w:rsid w:val="769C0662"/>
    <w:rsid w:val="76A41C07"/>
    <w:rsid w:val="76AD277D"/>
    <w:rsid w:val="76AE44E0"/>
    <w:rsid w:val="76C42AB0"/>
    <w:rsid w:val="76D11140"/>
    <w:rsid w:val="76D37617"/>
    <w:rsid w:val="76ED7F1C"/>
    <w:rsid w:val="770175FD"/>
    <w:rsid w:val="770E0B9D"/>
    <w:rsid w:val="77203FC0"/>
    <w:rsid w:val="774F03EA"/>
    <w:rsid w:val="775455C0"/>
    <w:rsid w:val="775559C6"/>
    <w:rsid w:val="7755779C"/>
    <w:rsid w:val="776E14FF"/>
    <w:rsid w:val="77713DED"/>
    <w:rsid w:val="77A61402"/>
    <w:rsid w:val="77EA377D"/>
    <w:rsid w:val="781F5315"/>
    <w:rsid w:val="784A5A83"/>
    <w:rsid w:val="785874D0"/>
    <w:rsid w:val="78642EE1"/>
    <w:rsid w:val="78807225"/>
    <w:rsid w:val="78A730C3"/>
    <w:rsid w:val="78A9555C"/>
    <w:rsid w:val="78B67179"/>
    <w:rsid w:val="78BC6D32"/>
    <w:rsid w:val="78C672FD"/>
    <w:rsid w:val="78CB3D0F"/>
    <w:rsid w:val="791E2903"/>
    <w:rsid w:val="7940316B"/>
    <w:rsid w:val="799C0AFD"/>
    <w:rsid w:val="79B84597"/>
    <w:rsid w:val="79E2074A"/>
    <w:rsid w:val="79EA1098"/>
    <w:rsid w:val="79FC5DC5"/>
    <w:rsid w:val="7A122D59"/>
    <w:rsid w:val="7A246BEB"/>
    <w:rsid w:val="7A260D3B"/>
    <w:rsid w:val="7A29406F"/>
    <w:rsid w:val="7A411602"/>
    <w:rsid w:val="7A447834"/>
    <w:rsid w:val="7A4E06F5"/>
    <w:rsid w:val="7A8F3D31"/>
    <w:rsid w:val="7A986C31"/>
    <w:rsid w:val="7AAB29A3"/>
    <w:rsid w:val="7AB5714C"/>
    <w:rsid w:val="7AC315FB"/>
    <w:rsid w:val="7AC64EDA"/>
    <w:rsid w:val="7ADC08BD"/>
    <w:rsid w:val="7ADE79CB"/>
    <w:rsid w:val="7AE67CA7"/>
    <w:rsid w:val="7AE82EA8"/>
    <w:rsid w:val="7AE950F4"/>
    <w:rsid w:val="7AF064C8"/>
    <w:rsid w:val="7B023CE3"/>
    <w:rsid w:val="7B096EAD"/>
    <w:rsid w:val="7B0A5B8F"/>
    <w:rsid w:val="7B187941"/>
    <w:rsid w:val="7B2C0FEF"/>
    <w:rsid w:val="7B41048F"/>
    <w:rsid w:val="7B98025B"/>
    <w:rsid w:val="7BB463C8"/>
    <w:rsid w:val="7BBD4661"/>
    <w:rsid w:val="7BEE6B4C"/>
    <w:rsid w:val="7C1C5F92"/>
    <w:rsid w:val="7C567482"/>
    <w:rsid w:val="7C7560C7"/>
    <w:rsid w:val="7C8B46A4"/>
    <w:rsid w:val="7CA311E3"/>
    <w:rsid w:val="7CAC1EED"/>
    <w:rsid w:val="7CB163D0"/>
    <w:rsid w:val="7CBA012D"/>
    <w:rsid w:val="7CF000D0"/>
    <w:rsid w:val="7CFB7F47"/>
    <w:rsid w:val="7D1B0C8C"/>
    <w:rsid w:val="7D301D12"/>
    <w:rsid w:val="7D464428"/>
    <w:rsid w:val="7D7B6B9D"/>
    <w:rsid w:val="7D7F477C"/>
    <w:rsid w:val="7D864176"/>
    <w:rsid w:val="7D90459D"/>
    <w:rsid w:val="7DBF0D30"/>
    <w:rsid w:val="7DC90172"/>
    <w:rsid w:val="7DCB4807"/>
    <w:rsid w:val="7DCB6D4B"/>
    <w:rsid w:val="7DE53228"/>
    <w:rsid w:val="7DE80A12"/>
    <w:rsid w:val="7DE857F8"/>
    <w:rsid w:val="7E1D01B8"/>
    <w:rsid w:val="7E312EFA"/>
    <w:rsid w:val="7E386B07"/>
    <w:rsid w:val="7E493095"/>
    <w:rsid w:val="7E9B240E"/>
    <w:rsid w:val="7EB30E32"/>
    <w:rsid w:val="7EC234D9"/>
    <w:rsid w:val="7EDF4000"/>
    <w:rsid w:val="7EFC3AB7"/>
    <w:rsid w:val="7EFF1821"/>
    <w:rsid w:val="7F21091C"/>
    <w:rsid w:val="7F2A1DC7"/>
    <w:rsid w:val="7F3D0D60"/>
    <w:rsid w:val="7F494BB0"/>
    <w:rsid w:val="7F903BBA"/>
    <w:rsid w:val="7F9C118E"/>
    <w:rsid w:val="7FB5024D"/>
    <w:rsid w:val="7FC21792"/>
    <w:rsid w:val="7FE45B53"/>
    <w:rsid w:val="7FE76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99"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iPriority="0"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qFormat="1" w:unhideWhenUsed="0" w:uiPriority="0" w:semiHidden="0"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60" w:lineRule="auto"/>
      <w:ind w:firstLine="200" w:firstLineChars="200"/>
    </w:pPr>
    <w:rPr>
      <w:rFonts w:ascii="Times New Roman" w:hAnsi="Times New Roman" w:eastAsia="宋体" w:cs="Times New Roman"/>
      <w:kern w:val="2"/>
      <w:sz w:val="24"/>
      <w:lang w:val="en-US" w:eastAsia="zh-CN" w:bidi="ar-SA"/>
    </w:rPr>
  </w:style>
  <w:style w:type="paragraph" w:styleId="9">
    <w:name w:val="heading 1"/>
    <w:basedOn w:val="1"/>
    <w:next w:val="1"/>
    <w:link w:val="107"/>
    <w:autoRedefine/>
    <w:qFormat/>
    <w:uiPriority w:val="9"/>
    <w:pPr>
      <w:keepNext/>
      <w:keepLines/>
      <w:ind w:firstLine="0" w:firstLineChars="0"/>
      <w:outlineLvl w:val="0"/>
    </w:pPr>
    <w:rPr>
      <w:b/>
      <w:bCs/>
      <w:kern w:val="44"/>
      <w:sz w:val="32"/>
      <w:szCs w:val="44"/>
    </w:rPr>
  </w:style>
  <w:style w:type="paragraph" w:styleId="10">
    <w:name w:val="heading 2"/>
    <w:basedOn w:val="1"/>
    <w:next w:val="1"/>
    <w:link w:val="720"/>
    <w:autoRedefine/>
    <w:qFormat/>
    <w:uiPriority w:val="0"/>
    <w:pPr>
      <w:keepNext/>
      <w:keepLines/>
      <w:ind w:firstLine="0" w:firstLineChars="0"/>
      <w:outlineLvl w:val="1"/>
    </w:pPr>
    <w:rPr>
      <w:b/>
      <w:bCs/>
      <w:kern w:val="0"/>
      <w:sz w:val="30"/>
      <w:szCs w:val="32"/>
    </w:rPr>
  </w:style>
  <w:style w:type="paragraph" w:styleId="11">
    <w:name w:val="heading 3"/>
    <w:basedOn w:val="1"/>
    <w:next w:val="1"/>
    <w:link w:val="507"/>
    <w:autoRedefine/>
    <w:qFormat/>
    <w:uiPriority w:val="0"/>
    <w:pPr>
      <w:keepNext/>
      <w:keepLines/>
      <w:ind w:firstLine="0" w:firstLineChars="0"/>
      <w:outlineLvl w:val="2"/>
    </w:pPr>
    <w:rPr>
      <w:b/>
      <w:bCs/>
      <w:kern w:val="0"/>
      <w:sz w:val="28"/>
      <w:szCs w:val="32"/>
    </w:rPr>
  </w:style>
  <w:style w:type="paragraph" w:styleId="12">
    <w:name w:val="heading 4"/>
    <w:basedOn w:val="1"/>
    <w:next w:val="1"/>
    <w:link w:val="111"/>
    <w:autoRedefine/>
    <w:qFormat/>
    <w:uiPriority w:val="9"/>
    <w:pPr>
      <w:keepNext/>
      <w:keepLines/>
      <w:ind w:firstLine="0" w:firstLineChars="0"/>
      <w:outlineLvl w:val="3"/>
    </w:pPr>
    <w:rPr>
      <w:b/>
      <w:bCs/>
      <w:kern w:val="0"/>
      <w:szCs w:val="28"/>
    </w:rPr>
  </w:style>
  <w:style w:type="paragraph" w:styleId="13">
    <w:name w:val="heading 5"/>
    <w:basedOn w:val="1"/>
    <w:next w:val="1"/>
    <w:link w:val="517"/>
    <w:autoRedefine/>
    <w:qFormat/>
    <w:uiPriority w:val="0"/>
    <w:pPr>
      <w:keepNext/>
      <w:keepLines/>
      <w:spacing w:before="280" w:after="290" w:line="374" w:lineRule="auto"/>
      <w:ind w:left="1008" w:hanging="1008"/>
      <w:outlineLvl w:val="4"/>
    </w:pPr>
    <w:rPr>
      <w:b/>
      <w:bCs/>
      <w:color w:val="000000"/>
      <w:kern w:val="0"/>
      <w:sz w:val="28"/>
      <w:szCs w:val="28"/>
    </w:rPr>
  </w:style>
  <w:style w:type="paragraph" w:styleId="14">
    <w:name w:val="heading 6"/>
    <w:basedOn w:val="1"/>
    <w:next w:val="1"/>
    <w:link w:val="679"/>
    <w:autoRedefine/>
    <w:qFormat/>
    <w:uiPriority w:val="0"/>
    <w:pPr>
      <w:keepNext/>
      <w:keepLines/>
      <w:spacing w:before="240" w:after="64" w:line="319" w:lineRule="auto"/>
      <w:ind w:left="1152" w:hanging="1152"/>
      <w:outlineLvl w:val="5"/>
    </w:pPr>
    <w:rPr>
      <w:rFonts w:ascii="Arial" w:hAnsi="Arial" w:eastAsia="黑体"/>
      <w:b/>
      <w:bCs/>
      <w:color w:val="000000"/>
      <w:kern w:val="0"/>
      <w:szCs w:val="24"/>
    </w:rPr>
  </w:style>
  <w:style w:type="paragraph" w:styleId="15">
    <w:name w:val="heading 7"/>
    <w:basedOn w:val="1"/>
    <w:next w:val="1"/>
    <w:link w:val="625"/>
    <w:autoRedefine/>
    <w:qFormat/>
    <w:uiPriority w:val="0"/>
    <w:pPr>
      <w:keepNext/>
      <w:keepLines/>
      <w:spacing w:before="240" w:after="64" w:line="319" w:lineRule="auto"/>
      <w:ind w:left="1296" w:hanging="1296"/>
      <w:outlineLvl w:val="6"/>
    </w:pPr>
    <w:rPr>
      <w:b/>
      <w:bCs/>
      <w:color w:val="000000"/>
      <w:kern w:val="0"/>
      <w:szCs w:val="24"/>
    </w:rPr>
  </w:style>
  <w:style w:type="paragraph" w:styleId="16">
    <w:name w:val="heading 8"/>
    <w:basedOn w:val="1"/>
    <w:next w:val="1"/>
    <w:link w:val="534"/>
    <w:autoRedefine/>
    <w:qFormat/>
    <w:uiPriority w:val="0"/>
    <w:pPr>
      <w:keepNext/>
      <w:keepLines/>
      <w:spacing w:before="240" w:after="64" w:line="319" w:lineRule="auto"/>
      <w:ind w:left="1440" w:hanging="1440"/>
      <w:outlineLvl w:val="7"/>
    </w:pPr>
    <w:rPr>
      <w:rFonts w:ascii="Arial" w:hAnsi="Arial" w:eastAsia="黑体"/>
      <w:color w:val="000000"/>
      <w:kern w:val="0"/>
      <w:szCs w:val="24"/>
    </w:rPr>
  </w:style>
  <w:style w:type="paragraph" w:styleId="17">
    <w:name w:val="heading 9"/>
    <w:basedOn w:val="1"/>
    <w:next w:val="1"/>
    <w:link w:val="638"/>
    <w:autoRedefine/>
    <w:qFormat/>
    <w:uiPriority w:val="0"/>
    <w:pPr>
      <w:keepNext/>
      <w:keepLines/>
      <w:spacing w:beforeLines="50" w:after="64" w:line="400" w:lineRule="exact"/>
      <w:ind w:left="1584" w:hanging="1584"/>
      <w:jc w:val="center"/>
      <w:outlineLvl w:val="8"/>
    </w:pPr>
    <w:rPr>
      <w:color w:val="000000"/>
      <w:kern w:val="0"/>
      <w:szCs w:val="21"/>
    </w:rPr>
  </w:style>
  <w:style w:type="character" w:default="1" w:styleId="86">
    <w:name w:val="Default Paragraph Font"/>
    <w:semiHidden/>
    <w:unhideWhenUsed/>
    <w:qFormat/>
    <w:uiPriority w:val="1"/>
  </w:style>
  <w:style w:type="table" w:default="1" w:styleId="82">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link w:val="1670"/>
    <w:autoRedefine/>
    <w:qFormat/>
    <w:uiPriority w:val="0"/>
    <w:pPr>
      <w:widowControl w:val="0"/>
      <w:adjustRightInd w:val="0"/>
      <w:ind w:firstLine="0" w:firstLineChars="0"/>
    </w:pPr>
    <w:rPr>
      <w:color w:val="000000"/>
      <w:lang w:val="en-US"/>
    </w:rPr>
  </w:style>
  <w:style w:type="paragraph" w:customStyle="1" w:styleId="3">
    <w:name w:val="文本"/>
    <w:basedOn w:val="1"/>
    <w:next w:val="1"/>
    <w:autoRedefine/>
    <w:qFormat/>
    <w:uiPriority w:val="0"/>
    <w:pPr>
      <w:autoSpaceDE w:val="0"/>
      <w:autoSpaceDN w:val="0"/>
      <w:ind w:firstLine="480"/>
    </w:pPr>
    <w:rPr>
      <w:szCs w:val="24"/>
      <w:lang w:val="zh-CN"/>
    </w:rPr>
  </w:style>
  <w:style w:type="paragraph" w:customStyle="1" w:styleId="4">
    <w:name w:val="表格文字"/>
    <w:basedOn w:val="5"/>
    <w:next w:val="1"/>
    <w:link w:val="481"/>
    <w:autoRedefine/>
    <w:qFormat/>
    <w:uiPriority w:val="0"/>
    <w:pPr>
      <w:jc w:val="center"/>
    </w:pPr>
    <w:rPr>
      <w:rFonts w:ascii="new times roma" w:hAnsi="new times roma"/>
      <w:szCs w:val="24"/>
    </w:rPr>
  </w:style>
  <w:style w:type="paragraph" w:styleId="5">
    <w:name w:val="Body Text"/>
    <w:basedOn w:val="1"/>
    <w:next w:val="6"/>
    <w:link w:val="497"/>
    <w:autoRedefine/>
    <w:unhideWhenUsed/>
    <w:qFormat/>
    <w:uiPriority w:val="0"/>
    <w:pPr>
      <w:spacing w:after="120"/>
    </w:pPr>
    <w:rPr>
      <w:kern w:val="0"/>
      <w:sz w:val="20"/>
    </w:rPr>
  </w:style>
  <w:style w:type="paragraph" w:customStyle="1" w:styleId="6">
    <w:name w:val="xl27"/>
    <w:basedOn w:val="1"/>
    <w:next w:val="7"/>
    <w:autoRedefine/>
    <w:qFormat/>
    <w:uiPriority w:val="0"/>
    <w:pPr>
      <w:spacing w:before="100" w:after="100"/>
      <w:jc w:val="center"/>
      <w:textAlignment w:val="center"/>
    </w:pPr>
    <w:rPr>
      <w:rFonts w:hint="eastAsia" w:ascii="黑体" w:hAnsi="Arial Unicode MS" w:eastAsia="黑体"/>
      <w:kern w:val="0"/>
    </w:rPr>
  </w:style>
  <w:style w:type="paragraph" w:styleId="7">
    <w:name w:val="annotation text"/>
    <w:basedOn w:val="1"/>
    <w:next w:val="8"/>
    <w:link w:val="582"/>
    <w:autoRedefine/>
    <w:unhideWhenUsed/>
    <w:qFormat/>
    <w:uiPriority w:val="0"/>
    <w:rPr>
      <w:kern w:val="0"/>
      <w:sz w:val="20"/>
    </w:rPr>
  </w:style>
  <w:style w:type="paragraph" w:styleId="8">
    <w:name w:val="annotation subject"/>
    <w:basedOn w:val="7"/>
    <w:next w:val="7"/>
    <w:link w:val="658"/>
    <w:autoRedefine/>
    <w:unhideWhenUsed/>
    <w:qFormat/>
    <w:uiPriority w:val="0"/>
    <w:rPr>
      <w:b/>
      <w:bCs/>
    </w:rPr>
  </w:style>
  <w:style w:type="paragraph" w:styleId="18">
    <w:name w:val="List 3"/>
    <w:basedOn w:val="1"/>
    <w:autoRedefine/>
    <w:qFormat/>
    <w:uiPriority w:val="0"/>
    <w:pPr>
      <w:ind w:left="100" w:leftChars="400" w:hanging="200" w:hangingChars="200"/>
    </w:pPr>
    <w:rPr>
      <w:szCs w:val="24"/>
    </w:rPr>
  </w:style>
  <w:style w:type="paragraph" w:styleId="19">
    <w:name w:val="toc 7"/>
    <w:basedOn w:val="1"/>
    <w:next w:val="1"/>
    <w:autoRedefine/>
    <w:qFormat/>
    <w:uiPriority w:val="39"/>
    <w:pPr>
      <w:ind w:left="1200"/>
    </w:pPr>
    <w:rPr>
      <w:rFonts w:ascii="Calibri" w:hAnsi="Calibri" w:cs="Calibri"/>
      <w:kern w:val="0"/>
      <w:sz w:val="18"/>
      <w:szCs w:val="18"/>
    </w:rPr>
  </w:style>
  <w:style w:type="paragraph" w:styleId="20">
    <w:name w:val="List Number 2"/>
    <w:basedOn w:val="1"/>
    <w:autoRedefine/>
    <w:qFormat/>
    <w:uiPriority w:val="0"/>
    <w:pPr>
      <w:tabs>
        <w:tab w:val="left" w:pos="780"/>
      </w:tabs>
      <w:ind w:left="780" w:leftChars="200" w:hanging="360" w:hangingChars="200"/>
    </w:pPr>
    <w:rPr>
      <w:szCs w:val="24"/>
    </w:rPr>
  </w:style>
  <w:style w:type="paragraph" w:styleId="21">
    <w:name w:val="Note Heading"/>
    <w:basedOn w:val="1"/>
    <w:next w:val="1"/>
    <w:link w:val="790"/>
    <w:autoRedefine/>
    <w:qFormat/>
    <w:uiPriority w:val="0"/>
    <w:pPr>
      <w:snapToGrid w:val="0"/>
      <w:spacing w:before="312" w:after="156" w:line="340" w:lineRule="atLeast"/>
      <w:jc w:val="center"/>
    </w:pPr>
    <w:rPr>
      <w:rFonts w:ascii="仿宋_GB2312" w:eastAsia="仿宋_GB2312"/>
      <w:b/>
      <w:kern w:val="0"/>
      <w:szCs w:val="24"/>
      <w:lang w:val="en-GB"/>
    </w:rPr>
  </w:style>
  <w:style w:type="paragraph" w:styleId="22">
    <w:name w:val="List Bullet 4"/>
    <w:basedOn w:val="1"/>
    <w:autoRedefine/>
    <w:qFormat/>
    <w:uiPriority w:val="0"/>
    <w:pPr>
      <w:tabs>
        <w:tab w:val="left" w:pos="1620"/>
      </w:tabs>
      <w:ind w:left="1620" w:leftChars="600" w:hanging="360" w:hangingChars="200"/>
    </w:pPr>
    <w:rPr>
      <w:szCs w:val="24"/>
    </w:rPr>
  </w:style>
  <w:style w:type="paragraph" w:styleId="23">
    <w:name w:val="E-mail Signature"/>
    <w:basedOn w:val="1"/>
    <w:link w:val="704"/>
    <w:autoRedefine/>
    <w:qFormat/>
    <w:uiPriority w:val="0"/>
    <w:rPr>
      <w:kern w:val="0"/>
      <w:szCs w:val="24"/>
    </w:rPr>
  </w:style>
  <w:style w:type="paragraph" w:styleId="24">
    <w:name w:val="List Number"/>
    <w:basedOn w:val="1"/>
    <w:autoRedefine/>
    <w:qFormat/>
    <w:uiPriority w:val="0"/>
    <w:pPr>
      <w:tabs>
        <w:tab w:val="left" w:pos="360"/>
      </w:tabs>
      <w:ind w:left="360" w:hanging="360" w:hangingChars="200"/>
    </w:pPr>
    <w:rPr>
      <w:szCs w:val="24"/>
    </w:rPr>
  </w:style>
  <w:style w:type="paragraph" w:styleId="25">
    <w:name w:val="Normal Indent"/>
    <w:basedOn w:val="1"/>
    <w:next w:val="1"/>
    <w:link w:val="493"/>
    <w:autoRedefine/>
    <w:qFormat/>
    <w:uiPriority w:val="99"/>
    <w:pPr>
      <w:tabs>
        <w:tab w:val="left" w:pos="0"/>
      </w:tabs>
      <w:spacing w:line="480" w:lineRule="exact"/>
      <w:ind w:firstLine="480"/>
    </w:pPr>
    <w:rPr>
      <w:color w:val="000000"/>
      <w:kern w:val="0"/>
    </w:rPr>
  </w:style>
  <w:style w:type="paragraph" w:styleId="26">
    <w:name w:val="caption"/>
    <w:basedOn w:val="1"/>
    <w:next w:val="1"/>
    <w:link w:val="1594"/>
    <w:autoRedefine/>
    <w:qFormat/>
    <w:uiPriority w:val="0"/>
    <w:pPr>
      <w:spacing w:line="560" w:lineRule="exact"/>
    </w:pPr>
    <w:rPr>
      <w:rFonts w:ascii="Arial" w:hAnsi="Arial" w:eastAsia="黑体"/>
      <w:kern w:val="0"/>
      <w:sz w:val="20"/>
    </w:rPr>
  </w:style>
  <w:style w:type="paragraph" w:styleId="27">
    <w:name w:val="List Bullet"/>
    <w:basedOn w:val="1"/>
    <w:autoRedefine/>
    <w:qFormat/>
    <w:uiPriority w:val="0"/>
    <w:pPr>
      <w:tabs>
        <w:tab w:val="left" w:pos="360"/>
      </w:tabs>
      <w:ind w:left="360" w:hanging="360" w:hangingChars="200"/>
    </w:pPr>
    <w:rPr>
      <w:szCs w:val="24"/>
    </w:rPr>
  </w:style>
  <w:style w:type="paragraph" w:styleId="28">
    <w:name w:val="envelope address"/>
    <w:basedOn w:val="1"/>
    <w:autoRedefine/>
    <w:qFormat/>
    <w:uiPriority w:val="0"/>
    <w:pPr>
      <w:snapToGrid w:val="0"/>
      <w:ind w:left="100" w:leftChars="1400"/>
    </w:pPr>
    <w:rPr>
      <w:rFonts w:ascii="Arial" w:hAnsi="Arial" w:cs="Arial"/>
      <w:szCs w:val="24"/>
    </w:rPr>
  </w:style>
  <w:style w:type="paragraph" w:styleId="29">
    <w:name w:val="Document Map"/>
    <w:basedOn w:val="1"/>
    <w:link w:val="1672"/>
    <w:autoRedefine/>
    <w:unhideWhenUsed/>
    <w:qFormat/>
    <w:uiPriority w:val="0"/>
    <w:rPr>
      <w:rFonts w:ascii="宋体"/>
      <w:kern w:val="0"/>
      <w:sz w:val="18"/>
      <w:szCs w:val="18"/>
    </w:rPr>
  </w:style>
  <w:style w:type="paragraph" w:styleId="30">
    <w:name w:val="toa heading"/>
    <w:basedOn w:val="1"/>
    <w:next w:val="1"/>
    <w:autoRedefine/>
    <w:qFormat/>
    <w:uiPriority w:val="0"/>
    <w:pPr>
      <w:spacing w:before="120"/>
    </w:pPr>
    <w:rPr>
      <w:rFonts w:ascii="Arial" w:hAnsi="Arial"/>
    </w:rPr>
  </w:style>
  <w:style w:type="paragraph" w:styleId="31">
    <w:name w:val="Salutation"/>
    <w:basedOn w:val="1"/>
    <w:next w:val="1"/>
    <w:link w:val="590"/>
    <w:autoRedefine/>
    <w:qFormat/>
    <w:uiPriority w:val="0"/>
    <w:rPr>
      <w:kern w:val="0"/>
      <w:sz w:val="20"/>
    </w:rPr>
  </w:style>
  <w:style w:type="paragraph" w:styleId="32">
    <w:name w:val="Body Text 3"/>
    <w:basedOn w:val="1"/>
    <w:link w:val="514"/>
    <w:autoRedefine/>
    <w:qFormat/>
    <w:uiPriority w:val="0"/>
    <w:pPr>
      <w:spacing w:after="120"/>
    </w:pPr>
    <w:rPr>
      <w:rFonts w:ascii="宋体" w:hAnsi="Courier New" w:eastAsia="Times New Roman"/>
      <w:kern w:val="0"/>
      <w:sz w:val="20"/>
    </w:rPr>
  </w:style>
  <w:style w:type="paragraph" w:styleId="33">
    <w:name w:val="Closing"/>
    <w:basedOn w:val="1"/>
    <w:link w:val="533"/>
    <w:autoRedefine/>
    <w:qFormat/>
    <w:uiPriority w:val="0"/>
    <w:pPr>
      <w:ind w:left="100" w:leftChars="2100"/>
    </w:pPr>
    <w:rPr>
      <w:kern w:val="0"/>
      <w:szCs w:val="24"/>
    </w:rPr>
  </w:style>
  <w:style w:type="paragraph" w:styleId="34">
    <w:name w:val="List Bullet 3"/>
    <w:basedOn w:val="1"/>
    <w:autoRedefine/>
    <w:qFormat/>
    <w:uiPriority w:val="0"/>
    <w:pPr>
      <w:tabs>
        <w:tab w:val="left" w:pos="1200"/>
      </w:tabs>
      <w:ind w:left="1200" w:leftChars="400" w:hanging="360" w:hangingChars="200"/>
    </w:pPr>
    <w:rPr>
      <w:szCs w:val="24"/>
    </w:rPr>
  </w:style>
  <w:style w:type="paragraph" w:styleId="35">
    <w:name w:val="Body Text Indent"/>
    <w:basedOn w:val="1"/>
    <w:link w:val="773"/>
    <w:autoRedefine/>
    <w:unhideWhenUsed/>
    <w:qFormat/>
    <w:uiPriority w:val="99"/>
    <w:pPr>
      <w:spacing w:after="120"/>
      <w:ind w:left="420" w:leftChars="200"/>
    </w:pPr>
  </w:style>
  <w:style w:type="paragraph" w:styleId="36">
    <w:name w:val="List Number 3"/>
    <w:basedOn w:val="1"/>
    <w:autoRedefine/>
    <w:qFormat/>
    <w:uiPriority w:val="0"/>
    <w:pPr>
      <w:tabs>
        <w:tab w:val="left" w:pos="1200"/>
      </w:tabs>
      <w:ind w:left="1200" w:leftChars="400" w:hanging="360" w:hangingChars="200"/>
    </w:pPr>
    <w:rPr>
      <w:szCs w:val="24"/>
    </w:rPr>
  </w:style>
  <w:style w:type="paragraph" w:styleId="37">
    <w:name w:val="List 2"/>
    <w:basedOn w:val="1"/>
    <w:autoRedefine/>
    <w:qFormat/>
    <w:uiPriority w:val="0"/>
    <w:pPr>
      <w:ind w:left="840" w:hanging="420"/>
    </w:pPr>
  </w:style>
  <w:style w:type="paragraph" w:styleId="38">
    <w:name w:val="List Continue"/>
    <w:basedOn w:val="1"/>
    <w:autoRedefine/>
    <w:qFormat/>
    <w:uiPriority w:val="0"/>
    <w:pPr>
      <w:spacing w:after="120"/>
      <w:ind w:left="420" w:leftChars="200"/>
    </w:pPr>
    <w:rPr>
      <w:szCs w:val="24"/>
    </w:rPr>
  </w:style>
  <w:style w:type="paragraph" w:styleId="39">
    <w:name w:val="Block Text"/>
    <w:basedOn w:val="1"/>
    <w:autoRedefine/>
    <w:qFormat/>
    <w:uiPriority w:val="0"/>
    <w:pPr>
      <w:ind w:left="-959" w:right="720" w:rightChars="256" w:firstLine="480"/>
    </w:pPr>
  </w:style>
  <w:style w:type="paragraph" w:styleId="40">
    <w:name w:val="List Bullet 2"/>
    <w:basedOn w:val="1"/>
    <w:autoRedefine/>
    <w:qFormat/>
    <w:uiPriority w:val="0"/>
    <w:pPr>
      <w:tabs>
        <w:tab w:val="left" w:pos="780"/>
      </w:tabs>
      <w:ind w:left="780" w:leftChars="200" w:hanging="360" w:hangingChars="200"/>
    </w:pPr>
    <w:rPr>
      <w:szCs w:val="24"/>
    </w:rPr>
  </w:style>
  <w:style w:type="paragraph" w:styleId="41">
    <w:name w:val="HTML Address"/>
    <w:basedOn w:val="1"/>
    <w:link w:val="792"/>
    <w:autoRedefine/>
    <w:qFormat/>
    <w:uiPriority w:val="0"/>
    <w:rPr>
      <w:i/>
      <w:iCs/>
      <w:kern w:val="0"/>
      <w:szCs w:val="24"/>
    </w:rPr>
  </w:style>
  <w:style w:type="paragraph" w:styleId="42">
    <w:name w:val="toc 5"/>
    <w:basedOn w:val="1"/>
    <w:next w:val="1"/>
    <w:autoRedefine/>
    <w:qFormat/>
    <w:uiPriority w:val="39"/>
    <w:pPr>
      <w:ind w:left="800"/>
    </w:pPr>
    <w:rPr>
      <w:rFonts w:ascii="Calibri" w:hAnsi="Calibri" w:cs="Calibri"/>
      <w:kern w:val="0"/>
      <w:sz w:val="18"/>
      <w:szCs w:val="18"/>
    </w:rPr>
  </w:style>
  <w:style w:type="paragraph" w:styleId="43">
    <w:name w:val="toc 3"/>
    <w:basedOn w:val="1"/>
    <w:next w:val="1"/>
    <w:autoRedefine/>
    <w:qFormat/>
    <w:uiPriority w:val="39"/>
    <w:pPr>
      <w:spacing w:line="240" w:lineRule="auto"/>
      <w:ind w:left="200" w:leftChars="200" w:firstLine="0" w:firstLineChars="0"/>
    </w:pPr>
  </w:style>
  <w:style w:type="paragraph" w:styleId="44">
    <w:name w:val="Plain Text"/>
    <w:basedOn w:val="1"/>
    <w:link w:val="635"/>
    <w:autoRedefine/>
    <w:qFormat/>
    <w:uiPriority w:val="0"/>
    <w:rPr>
      <w:rFonts w:ascii="宋体" w:hAnsi="Courier New"/>
      <w:kern w:val="0"/>
      <w:sz w:val="20"/>
      <w:szCs w:val="21"/>
    </w:rPr>
  </w:style>
  <w:style w:type="paragraph" w:styleId="45">
    <w:name w:val="List Bullet 5"/>
    <w:basedOn w:val="1"/>
    <w:autoRedefine/>
    <w:qFormat/>
    <w:uiPriority w:val="0"/>
    <w:pPr>
      <w:tabs>
        <w:tab w:val="left" w:pos="2040"/>
      </w:tabs>
      <w:ind w:left="2040" w:leftChars="800" w:hanging="360" w:hangingChars="200"/>
    </w:pPr>
    <w:rPr>
      <w:szCs w:val="24"/>
    </w:rPr>
  </w:style>
  <w:style w:type="paragraph" w:styleId="46">
    <w:name w:val="List Number 4"/>
    <w:basedOn w:val="1"/>
    <w:autoRedefine/>
    <w:qFormat/>
    <w:uiPriority w:val="0"/>
    <w:pPr>
      <w:tabs>
        <w:tab w:val="left" w:pos="1620"/>
      </w:tabs>
      <w:ind w:left="1620" w:leftChars="600" w:hanging="360" w:hangingChars="200"/>
    </w:pPr>
    <w:rPr>
      <w:szCs w:val="24"/>
    </w:rPr>
  </w:style>
  <w:style w:type="paragraph" w:styleId="47">
    <w:name w:val="toc 8"/>
    <w:basedOn w:val="1"/>
    <w:next w:val="1"/>
    <w:autoRedefine/>
    <w:qFormat/>
    <w:uiPriority w:val="39"/>
    <w:pPr>
      <w:ind w:left="1400"/>
    </w:pPr>
    <w:rPr>
      <w:rFonts w:ascii="Calibri" w:hAnsi="Calibri" w:cs="Calibri"/>
      <w:kern w:val="0"/>
      <w:sz w:val="18"/>
      <w:szCs w:val="18"/>
    </w:rPr>
  </w:style>
  <w:style w:type="paragraph" w:styleId="48">
    <w:name w:val="Date"/>
    <w:basedOn w:val="1"/>
    <w:next w:val="1"/>
    <w:link w:val="692"/>
    <w:autoRedefine/>
    <w:unhideWhenUsed/>
    <w:qFormat/>
    <w:uiPriority w:val="0"/>
    <w:pPr>
      <w:ind w:left="100" w:leftChars="2500"/>
    </w:pPr>
    <w:rPr>
      <w:kern w:val="0"/>
      <w:sz w:val="20"/>
    </w:rPr>
  </w:style>
  <w:style w:type="paragraph" w:styleId="49">
    <w:name w:val="Body Text Indent 2"/>
    <w:basedOn w:val="1"/>
    <w:link w:val="769"/>
    <w:autoRedefine/>
    <w:unhideWhenUsed/>
    <w:qFormat/>
    <w:uiPriority w:val="0"/>
    <w:pPr>
      <w:spacing w:after="120" w:line="480" w:lineRule="auto"/>
      <w:ind w:left="420" w:leftChars="200"/>
    </w:pPr>
  </w:style>
  <w:style w:type="paragraph" w:styleId="50">
    <w:name w:val="endnote text"/>
    <w:basedOn w:val="1"/>
    <w:link w:val="793"/>
    <w:autoRedefine/>
    <w:qFormat/>
    <w:uiPriority w:val="0"/>
    <w:pPr>
      <w:snapToGrid w:val="0"/>
      <w:ind w:firstLine="800"/>
    </w:pPr>
  </w:style>
  <w:style w:type="paragraph" w:styleId="51">
    <w:name w:val="List Continue 5"/>
    <w:basedOn w:val="1"/>
    <w:autoRedefine/>
    <w:qFormat/>
    <w:uiPriority w:val="0"/>
    <w:pPr>
      <w:spacing w:after="120"/>
      <w:ind w:left="2100" w:leftChars="1000"/>
    </w:pPr>
    <w:rPr>
      <w:szCs w:val="24"/>
    </w:rPr>
  </w:style>
  <w:style w:type="paragraph" w:styleId="52">
    <w:name w:val="Balloon Text"/>
    <w:basedOn w:val="1"/>
    <w:link w:val="653"/>
    <w:autoRedefine/>
    <w:unhideWhenUsed/>
    <w:qFormat/>
    <w:uiPriority w:val="0"/>
    <w:rPr>
      <w:kern w:val="0"/>
      <w:sz w:val="18"/>
      <w:szCs w:val="18"/>
    </w:rPr>
  </w:style>
  <w:style w:type="paragraph" w:styleId="53">
    <w:name w:val="footer"/>
    <w:basedOn w:val="1"/>
    <w:link w:val="726"/>
    <w:autoRedefine/>
    <w:unhideWhenUsed/>
    <w:qFormat/>
    <w:uiPriority w:val="99"/>
    <w:pPr>
      <w:tabs>
        <w:tab w:val="center" w:pos="4153"/>
        <w:tab w:val="right" w:pos="8306"/>
      </w:tabs>
      <w:snapToGrid w:val="0"/>
    </w:pPr>
    <w:rPr>
      <w:kern w:val="0"/>
      <w:sz w:val="18"/>
      <w:szCs w:val="18"/>
    </w:rPr>
  </w:style>
  <w:style w:type="paragraph" w:styleId="54">
    <w:name w:val="envelope return"/>
    <w:basedOn w:val="1"/>
    <w:autoRedefine/>
    <w:qFormat/>
    <w:uiPriority w:val="0"/>
    <w:pPr>
      <w:snapToGrid w:val="0"/>
    </w:pPr>
    <w:rPr>
      <w:rFonts w:ascii="Arial" w:hAnsi="Arial" w:cs="Arial"/>
      <w:szCs w:val="24"/>
    </w:rPr>
  </w:style>
  <w:style w:type="paragraph" w:styleId="55">
    <w:name w:val="header"/>
    <w:basedOn w:val="1"/>
    <w:link w:val="721"/>
    <w:autoRedefine/>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56">
    <w:name w:val="Signature"/>
    <w:basedOn w:val="1"/>
    <w:link w:val="696"/>
    <w:autoRedefine/>
    <w:qFormat/>
    <w:uiPriority w:val="0"/>
    <w:pPr>
      <w:ind w:left="100" w:leftChars="2100"/>
    </w:pPr>
    <w:rPr>
      <w:kern w:val="0"/>
      <w:szCs w:val="24"/>
    </w:rPr>
  </w:style>
  <w:style w:type="paragraph" w:styleId="57">
    <w:name w:val="toc 1"/>
    <w:basedOn w:val="1"/>
    <w:next w:val="1"/>
    <w:autoRedefine/>
    <w:qFormat/>
    <w:uiPriority w:val="39"/>
    <w:pPr>
      <w:spacing w:line="240" w:lineRule="auto"/>
      <w:ind w:firstLine="0" w:firstLineChars="0"/>
    </w:pPr>
    <w:rPr>
      <w:b/>
    </w:rPr>
  </w:style>
  <w:style w:type="paragraph" w:styleId="58">
    <w:name w:val="List Continue 4"/>
    <w:basedOn w:val="1"/>
    <w:autoRedefine/>
    <w:qFormat/>
    <w:uiPriority w:val="0"/>
    <w:pPr>
      <w:spacing w:after="120"/>
      <w:ind w:left="1680" w:leftChars="800"/>
    </w:pPr>
    <w:rPr>
      <w:szCs w:val="24"/>
    </w:rPr>
  </w:style>
  <w:style w:type="paragraph" w:styleId="59">
    <w:name w:val="toc 4"/>
    <w:basedOn w:val="1"/>
    <w:next w:val="1"/>
    <w:autoRedefine/>
    <w:qFormat/>
    <w:uiPriority w:val="39"/>
    <w:pPr>
      <w:ind w:left="600" w:leftChars="600"/>
    </w:pPr>
  </w:style>
  <w:style w:type="paragraph" w:styleId="60">
    <w:name w:val="Subtitle"/>
    <w:basedOn w:val="1"/>
    <w:link w:val="569"/>
    <w:autoRedefine/>
    <w:qFormat/>
    <w:uiPriority w:val="0"/>
    <w:pPr>
      <w:adjustRightInd w:val="0"/>
      <w:snapToGrid w:val="0"/>
      <w:spacing w:before="120" w:after="120" w:line="240" w:lineRule="atLeast"/>
      <w:jc w:val="center"/>
      <w:outlineLvl w:val="1"/>
    </w:pPr>
    <w:rPr>
      <w:rFonts w:eastAsia="黑体"/>
      <w:bCs/>
      <w:kern w:val="28"/>
      <w:szCs w:val="32"/>
    </w:rPr>
  </w:style>
  <w:style w:type="paragraph" w:styleId="61">
    <w:name w:val="List Number 5"/>
    <w:basedOn w:val="1"/>
    <w:autoRedefine/>
    <w:qFormat/>
    <w:uiPriority w:val="0"/>
    <w:pPr>
      <w:tabs>
        <w:tab w:val="left" w:pos="2040"/>
      </w:tabs>
      <w:ind w:left="2040" w:leftChars="800" w:hanging="360" w:hangingChars="200"/>
    </w:pPr>
    <w:rPr>
      <w:szCs w:val="24"/>
    </w:rPr>
  </w:style>
  <w:style w:type="paragraph" w:styleId="62">
    <w:name w:val="List"/>
    <w:basedOn w:val="1"/>
    <w:link w:val="677"/>
    <w:autoRedefine/>
    <w:qFormat/>
    <w:uiPriority w:val="0"/>
    <w:pPr>
      <w:spacing w:line="320" w:lineRule="exact"/>
      <w:ind w:left="-120" w:right="-120" w:firstLine="90"/>
      <w:jc w:val="center"/>
    </w:pPr>
    <w:rPr>
      <w:rFonts w:ascii="仿宋_GB2312" w:eastAsia="仿宋_GB2312"/>
    </w:rPr>
  </w:style>
  <w:style w:type="paragraph" w:styleId="63">
    <w:name w:val="footnote text"/>
    <w:basedOn w:val="1"/>
    <w:link w:val="667"/>
    <w:autoRedefine/>
    <w:qFormat/>
    <w:uiPriority w:val="0"/>
    <w:pPr>
      <w:snapToGrid w:val="0"/>
    </w:pPr>
    <w:rPr>
      <w:kern w:val="0"/>
      <w:sz w:val="18"/>
      <w:szCs w:val="18"/>
    </w:rPr>
  </w:style>
  <w:style w:type="paragraph" w:styleId="64">
    <w:name w:val="toc 6"/>
    <w:basedOn w:val="1"/>
    <w:next w:val="1"/>
    <w:autoRedefine/>
    <w:qFormat/>
    <w:uiPriority w:val="39"/>
    <w:pPr>
      <w:ind w:left="1000"/>
    </w:pPr>
    <w:rPr>
      <w:rFonts w:ascii="Calibri" w:hAnsi="Calibri" w:cs="Calibri"/>
      <w:kern w:val="0"/>
      <w:sz w:val="18"/>
      <w:szCs w:val="18"/>
    </w:rPr>
  </w:style>
  <w:style w:type="paragraph" w:styleId="65">
    <w:name w:val="List 5"/>
    <w:basedOn w:val="1"/>
    <w:autoRedefine/>
    <w:qFormat/>
    <w:uiPriority w:val="0"/>
    <w:pPr>
      <w:ind w:left="100" w:leftChars="800" w:hanging="200" w:hangingChars="200"/>
    </w:pPr>
    <w:rPr>
      <w:szCs w:val="24"/>
    </w:rPr>
  </w:style>
  <w:style w:type="paragraph" w:styleId="66">
    <w:name w:val="Body Text Indent 3"/>
    <w:basedOn w:val="1"/>
    <w:link w:val="794"/>
    <w:autoRedefine/>
    <w:qFormat/>
    <w:uiPriority w:val="0"/>
    <w:pPr>
      <w:spacing w:after="120"/>
      <w:ind w:left="200" w:leftChars="200"/>
    </w:pPr>
    <w:rPr>
      <w:kern w:val="0"/>
      <w:sz w:val="16"/>
      <w:szCs w:val="16"/>
    </w:rPr>
  </w:style>
  <w:style w:type="paragraph" w:styleId="67">
    <w:name w:val="index 7"/>
    <w:next w:val="1"/>
    <w:autoRedefine/>
    <w:qFormat/>
    <w:uiPriority w:val="0"/>
    <w:pPr>
      <w:widowControl w:val="0"/>
      <w:ind w:left="2520"/>
      <w:jc w:val="both"/>
    </w:pPr>
    <w:rPr>
      <w:rFonts w:ascii="Times New Roman" w:hAnsi="Times New Roman" w:eastAsia="宋体" w:cs="Times New Roman"/>
      <w:kern w:val="2"/>
      <w:sz w:val="21"/>
      <w:lang w:val="en-US" w:eastAsia="zh-CN" w:bidi="ar-SA"/>
    </w:rPr>
  </w:style>
  <w:style w:type="paragraph" w:styleId="68">
    <w:name w:val="table of figures"/>
    <w:basedOn w:val="1"/>
    <w:next w:val="1"/>
    <w:autoRedefine/>
    <w:qFormat/>
    <w:uiPriority w:val="0"/>
    <w:pPr>
      <w:snapToGrid w:val="0"/>
      <w:ind w:left="200" w:leftChars="200" w:hanging="200" w:hangingChars="200"/>
    </w:pPr>
    <w:rPr>
      <w:rFonts w:ascii="仿宋_GB2312"/>
      <w:szCs w:val="24"/>
    </w:rPr>
  </w:style>
  <w:style w:type="paragraph" w:styleId="69">
    <w:name w:val="toc 2"/>
    <w:basedOn w:val="1"/>
    <w:next w:val="1"/>
    <w:autoRedefine/>
    <w:qFormat/>
    <w:uiPriority w:val="39"/>
    <w:pPr>
      <w:spacing w:line="240" w:lineRule="auto"/>
      <w:ind w:left="100" w:leftChars="100" w:firstLine="0" w:firstLineChars="0"/>
    </w:pPr>
  </w:style>
  <w:style w:type="paragraph" w:styleId="70">
    <w:name w:val="toc 9"/>
    <w:basedOn w:val="1"/>
    <w:next w:val="1"/>
    <w:autoRedefine/>
    <w:qFormat/>
    <w:uiPriority w:val="39"/>
    <w:pPr>
      <w:ind w:left="3360" w:leftChars="1600"/>
    </w:pPr>
  </w:style>
  <w:style w:type="paragraph" w:styleId="71">
    <w:name w:val="Body Text 2"/>
    <w:basedOn w:val="1"/>
    <w:link w:val="715"/>
    <w:autoRedefine/>
    <w:qFormat/>
    <w:uiPriority w:val="0"/>
    <w:pPr>
      <w:spacing w:after="120" w:line="480" w:lineRule="auto"/>
    </w:pPr>
    <w:rPr>
      <w:kern w:val="0"/>
      <w:sz w:val="20"/>
    </w:rPr>
  </w:style>
  <w:style w:type="paragraph" w:styleId="72">
    <w:name w:val="List 4"/>
    <w:basedOn w:val="1"/>
    <w:autoRedefine/>
    <w:qFormat/>
    <w:uiPriority w:val="0"/>
    <w:pPr>
      <w:ind w:left="100" w:leftChars="600" w:hanging="200" w:hangingChars="200"/>
    </w:pPr>
    <w:rPr>
      <w:szCs w:val="24"/>
    </w:rPr>
  </w:style>
  <w:style w:type="paragraph" w:styleId="73">
    <w:name w:val="List Continue 2"/>
    <w:basedOn w:val="1"/>
    <w:autoRedefine/>
    <w:qFormat/>
    <w:uiPriority w:val="0"/>
    <w:pPr>
      <w:spacing w:after="120"/>
      <w:ind w:left="840" w:leftChars="400"/>
    </w:pPr>
    <w:rPr>
      <w:szCs w:val="24"/>
    </w:rPr>
  </w:style>
  <w:style w:type="paragraph" w:styleId="74">
    <w:name w:val="Message Header"/>
    <w:basedOn w:val="1"/>
    <w:link w:val="795"/>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kern w:val="0"/>
      <w:szCs w:val="24"/>
    </w:rPr>
  </w:style>
  <w:style w:type="paragraph" w:styleId="75">
    <w:name w:val="HTML Preformatted"/>
    <w:basedOn w:val="1"/>
    <w:link w:val="796"/>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pPr>
    <w:rPr>
      <w:rFonts w:ascii="Arial" w:hAnsi="Arial"/>
      <w:kern w:val="0"/>
      <w:sz w:val="20"/>
      <w:szCs w:val="21"/>
      <w:lang w:eastAsia="en-US"/>
    </w:rPr>
  </w:style>
  <w:style w:type="paragraph" w:styleId="76">
    <w:name w:val="Normal (Web)"/>
    <w:basedOn w:val="1"/>
    <w:link w:val="657"/>
    <w:autoRedefine/>
    <w:qFormat/>
    <w:uiPriority w:val="99"/>
    <w:pPr>
      <w:spacing w:before="100" w:beforeAutospacing="1" w:after="100" w:afterAutospacing="1"/>
    </w:pPr>
    <w:rPr>
      <w:rFonts w:ascii="宋体"/>
      <w:kern w:val="0"/>
      <w:szCs w:val="24"/>
    </w:rPr>
  </w:style>
  <w:style w:type="paragraph" w:styleId="77">
    <w:name w:val="List Continue 3"/>
    <w:basedOn w:val="1"/>
    <w:autoRedefine/>
    <w:qFormat/>
    <w:uiPriority w:val="0"/>
    <w:pPr>
      <w:spacing w:after="120"/>
      <w:ind w:left="1260" w:leftChars="600"/>
    </w:pPr>
    <w:rPr>
      <w:szCs w:val="24"/>
    </w:rPr>
  </w:style>
  <w:style w:type="paragraph" w:styleId="78">
    <w:name w:val="index 1"/>
    <w:basedOn w:val="1"/>
    <w:next w:val="1"/>
    <w:autoRedefine/>
    <w:qFormat/>
    <w:uiPriority w:val="0"/>
    <w:rPr>
      <w:rFonts w:ascii="Arial" w:hAnsi="Arial" w:cs="Arial"/>
      <w:szCs w:val="24"/>
    </w:rPr>
  </w:style>
  <w:style w:type="paragraph" w:styleId="79">
    <w:name w:val="Title"/>
    <w:basedOn w:val="9"/>
    <w:link w:val="797"/>
    <w:autoRedefine/>
    <w:qFormat/>
    <w:uiPriority w:val="10"/>
    <w:pPr>
      <w:snapToGrid w:val="0"/>
      <w:spacing w:afterLines="50" w:line="240" w:lineRule="auto"/>
      <w:ind w:hanging="360"/>
    </w:pPr>
    <w:rPr>
      <w:rFonts w:eastAsia="华文宋体"/>
      <w:szCs w:val="20"/>
    </w:rPr>
  </w:style>
  <w:style w:type="paragraph" w:styleId="80">
    <w:name w:val="Body Text First Indent"/>
    <w:basedOn w:val="5"/>
    <w:next w:val="1"/>
    <w:link w:val="576"/>
    <w:autoRedefine/>
    <w:qFormat/>
    <w:uiPriority w:val="0"/>
    <w:pPr>
      <w:ind w:firstLine="100" w:firstLineChars="100"/>
    </w:pPr>
  </w:style>
  <w:style w:type="paragraph" w:styleId="81">
    <w:name w:val="Body Text First Indent 2"/>
    <w:basedOn w:val="1"/>
    <w:next w:val="1"/>
    <w:link w:val="725"/>
    <w:autoRedefine/>
    <w:qFormat/>
    <w:uiPriority w:val="99"/>
    <w:pPr>
      <w:widowControl w:val="0"/>
      <w:spacing w:after="120"/>
      <w:ind w:left="420" w:leftChars="200" w:firstLine="420"/>
      <w:jc w:val="both"/>
    </w:pPr>
    <w:rPr>
      <w:szCs w:val="22"/>
    </w:rPr>
  </w:style>
  <w:style w:type="table" w:styleId="83">
    <w:name w:val="Table Grid"/>
    <w:basedOn w:val="8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4">
    <w:name w:val="Table Theme"/>
    <w:basedOn w:val="8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5">
    <w:name w:val="Table Contemporary"/>
    <w:basedOn w:val="82"/>
    <w:autoRedefine/>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87">
    <w:name w:val="Strong"/>
    <w:basedOn w:val="86"/>
    <w:autoRedefine/>
    <w:qFormat/>
    <w:uiPriority w:val="22"/>
    <w:rPr>
      <w:b/>
      <w:bCs/>
    </w:rPr>
  </w:style>
  <w:style w:type="character" w:styleId="88">
    <w:name w:val="endnote reference"/>
    <w:autoRedefine/>
    <w:qFormat/>
    <w:uiPriority w:val="0"/>
    <w:rPr>
      <w:vertAlign w:val="superscript"/>
    </w:rPr>
  </w:style>
  <w:style w:type="character" w:styleId="89">
    <w:name w:val="page number"/>
    <w:basedOn w:val="86"/>
    <w:autoRedefine/>
    <w:qFormat/>
    <w:uiPriority w:val="0"/>
  </w:style>
  <w:style w:type="character" w:styleId="90">
    <w:name w:val="FollowedHyperlink"/>
    <w:autoRedefine/>
    <w:unhideWhenUsed/>
    <w:qFormat/>
    <w:uiPriority w:val="0"/>
    <w:rPr>
      <w:color w:val="800080"/>
      <w:u w:val="none"/>
    </w:rPr>
  </w:style>
  <w:style w:type="character" w:styleId="91">
    <w:name w:val="Emphasis"/>
    <w:autoRedefine/>
    <w:qFormat/>
    <w:uiPriority w:val="20"/>
    <w:rPr>
      <w:i/>
      <w:iCs/>
    </w:rPr>
  </w:style>
  <w:style w:type="character" w:styleId="92">
    <w:name w:val="line number"/>
    <w:autoRedefine/>
    <w:qFormat/>
    <w:uiPriority w:val="0"/>
  </w:style>
  <w:style w:type="character" w:styleId="93">
    <w:name w:val="HTML Definition"/>
    <w:autoRedefine/>
    <w:qFormat/>
    <w:uiPriority w:val="0"/>
    <w:rPr>
      <w:i/>
      <w:iCs/>
    </w:rPr>
  </w:style>
  <w:style w:type="character" w:styleId="94">
    <w:name w:val="HTML Typewriter"/>
    <w:autoRedefine/>
    <w:qFormat/>
    <w:uiPriority w:val="0"/>
    <w:rPr>
      <w:rFonts w:hint="default" w:ascii="Courier New" w:hAnsi="Courier New" w:eastAsia="Times New Roman" w:cs="Courier New"/>
      <w:sz w:val="24"/>
      <w:szCs w:val="24"/>
    </w:rPr>
  </w:style>
  <w:style w:type="character" w:styleId="95">
    <w:name w:val="HTML Acronym"/>
    <w:basedOn w:val="86"/>
    <w:autoRedefine/>
    <w:qFormat/>
    <w:uiPriority w:val="0"/>
  </w:style>
  <w:style w:type="character" w:styleId="96">
    <w:name w:val="HTML Variable"/>
    <w:autoRedefine/>
    <w:qFormat/>
    <w:uiPriority w:val="0"/>
    <w:rPr>
      <w:i/>
      <w:iCs/>
    </w:rPr>
  </w:style>
  <w:style w:type="character" w:styleId="97">
    <w:name w:val="Hyperlink"/>
    <w:autoRedefine/>
    <w:unhideWhenUsed/>
    <w:qFormat/>
    <w:uiPriority w:val="99"/>
    <w:rPr>
      <w:color w:val="0000FF"/>
      <w:u w:val="none"/>
    </w:rPr>
  </w:style>
  <w:style w:type="character" w:styleId="98">
    <w:name w:val="HTML Code"/>
    <w:autoRedefine/>
    <w:qFormat/>
    <w:uiPriority w:val="0"/>
    <w:rPr>
      <w:rFonts w:hint="default" w:ascii="Courier New" w:hAnsi="Courier New" w:eastAsia="Times New Roman" w:cs="Courier New"/>
      <w:sz w:val="24"/>
      <w:szCs w:val="24"/>
    </w:rPr>
  </w:style>
  <w:style w:type="character" w:styleId="99">
    <w:name w:val="annotation reference"/>
    <w:basedOn w:val="86"/>
    <w:autoRedefine/>
    <w:unhideWhenUsed/>
    <w:qFormat/>
    <w:uiPriority w:val="0"/>
    <w:rPr>
      <w:sz w:val="21"/>
      <w:szCs w:val="21"/>
    </w:rPr>
  </w:style>
  <w:style w:type="character" w:styleId="100">
    <w:name w:val="HTML Cite"/>
    <w:autoRedefine/>
    <w:qFormat/>
    <w:uiPriority w:val="0"/>
    <w:rPr>
      <w:i/>
      <w:iCs/>
    </w:rPr>
  </w:style>
  <w:style w:type="character" w:styleId="101">
    <w:name w:val="HTML Keyboard"/>
    <w:autoRedefine/>
    <w:qFormat/>
    <w:uiPriority w:val="0"/>
    <w:rPr>
      <w:rFonts w:hint="default" w:ascii="Courier New" w:hAnsi="Courier New" w:eastAsia="Times New Roman" w:cs="Courier New"/>
      <w:sz w:val="24"/>
      <w:szCs w:val="24"/>
    </w:rPr>
  </w:style>
  <w:style w:type="character" w:styleId="102">
    <w:name w:val="HTML Sample"/>
    <w:autoRedefine/>
    <w:qFormat/>
    <w:uiPriority w:val="0"/>
    <w:rPr>
      <w:rFonts w:hint="default" w:ascii="Courier New" w:hAnsi="Courier New" w:eastAsia="Times New Roman" w:cs="Courier New"/>
    </w:rPr>
  </w:style>
  <w:style w:type="paragraph" w:customStyle="1" w:styleId="103">
    <w:name w:val="标题1."/>
    <w:basedOn w:val="9"/>
    <w:link w:val="106"/>
    <w:autoRedefine/>
    <w:qFormat/>
    <w:uiPriority w:val="0"/>
  </w:style>
  <w:style w:type="paragraph" w:customStyle="1" w:styleId="104">
    <w:name w:val="正文."/>
    <w:basedOn w:val="105"/>
    <w:link w:val="108"/>
    <w:autoRedefine/>
    <w:qFormat/>
    <w:uiPriority w:val="0"/>
    <w:pPr>
      <w:ind w:firstLine="480"/>
    </w:pPr>
  </w:style>
  <w:style w:type="paragraph" w:customStyle="1" w:styleId="105">
    <w:name w:val="正文格式1"/>
    <w:basedOn w:val="1"/>
    <w:link w:val="109"/>
    <w:autoRedefine/>
    <w:qFormat/>
    <w:uiPriority w:val="0"/>
  </w:style>
  <w:style w:type="character" w:customStyle="1" w:styleId="106">
    <w:name w:val="标题1. Char"/>
    <w:basedOn w:val="107"/>
    <w:link w:val="103"/>
    <w:autoRedefine/>
    <w:qFormat/>
    <w:uiPriority w:val="0"/>
    <w:rPr>
      <w:rFonts w:ascii="Times New Roman" w:hAnsi="Times New Roman" w:cs="Times New Roman"/>
      <w:kern w:val="44"/>
      <w:sz w:val="32"/>
      <w:szCs w:val="44"/>
    </w:rPr>
  </w:style>
  <w:style w:type="character" w:customStyle="1" w:styleId="107">
    <w:name w:val="标题 1 Char"/>
    <w:link w:val="9"/>
    <w:autoRedefine/>
    <w:qFormat/>
    <w:uiPriority w:val="9"/>
    <w:rPr>
      <w:rFonts w:ascii="Times New Roman" w:hAnsi="Times New Roman"/>
      <w:b/>
      <w:bCs/>
      <w:kern w:val="44"/>
      <w:sz w:val="32"/>
      <w:szCs w:val="44"/>
    </w:rPr>
  </w:style>
  <w:style w:type="character" w:customStyle="1" w:styleId="108">
    <w:name w:val="正文. Char"/>
    <w:basedOn w:val="109"/>
    <w:link w:val="104"/>
    <w:autoRedefine/>
    <w:qFormat/>
    <w:uiPriority w:val="0"/>
    <w:rPr>
      <w:rFonts w:ascii="Times New Roman" w:hAnsi="Times New Roman" w:cs="Times New Roman"/>
      <w:kern w:val="2"/>
      <w:sz w:val="24"/>
    </w:rPr>
  </w:style>
  <w:style w:type="character" w:customStyle="1" w:styleId="109">
    <w:name w:val="正文格式1 Char"/>
    <w:basedOn w:val="86"/>
    <w:link w:val="105"/>
    <w:autoRedefine/>
    <w:qFormat/>
    <w:uiPriority w:val="0"/>
    <w:rPr>
      <w:rFonts w:ascii="Times New Roman" w:hAnsi="Times New Roman"/>
      <w:kern w:val="2"/>
      <w:sz w:val="24"/>
    </w:rPr>
  </w:style>
  <w:style w:type="paragraph" w:customStyle="1" w:styleId="110">
    <w:name w:val="样式 正文文本缩进 + 行距: 1.5 倍行距"/>
    <w:basedOn w:val="1"/>
    <w:next w:val="1"/>
    <w:autoRedefine/>
    <w:qFormat/>
    <w:uiPriority w:val="0"/>
    <w:pPr>
      <w:spacing w:after="120" w:afterLines="100"/>
      <w:ind w:left="90" w:leftChars="32" w:firstLine="560"/>
    </w:pPr>
    <w:rPr>
      <w:rFonts w:ascii="宋体" w:cs="宋体"/>
      <w:kern w:val="0"/>
      <w:sz w:val="22"/>
      <w:lang w:eastAsia="en-US"/>
    </w:rPr>
  </w:style>
  <w:style w:type="character" w:customStyle="1" w:styleId="111">
    <w:name w:val="标题 4 Char"/>
    <w:link w:val="12"/>
    <w:autoRedefine/>
    <w:qFormat/>
    <w:uiPriority w:val="9"/>
    <w:rPr>
      <w:rFonts w:ascii="Times New Roman" w:hAnsi="Times New Roman"/>
      <w:b/>
      <w:bCs/>
      <w:sz w:val="24"/>
      <w:szCs w:val="28"/>
    </w:rPr>
  </w:style>
  <w:style w:type="paragraph" w:customStyle="1" w:styleId="112">
    <w:name w:val="列出段落111"/>
    <w:basedOn w:val="1"/>
    <w:autoRedefine/>
    <w:qFormat/>
    <w:uiPriority w:val="0"/>
    <w:rPr>
      <w:rFonts w:ascii="Calibri" w:hAnsi="Calibri"/>
      <w:szCs w:val="22"/>
    </w:rPr>
  </w:style>
  <w:style w:type="paragraph" w:customStyle="1" w:styleId="113">
    <w:name w:val="表格标题行文字胡"/>
    <w:basedOn w:val="1"/>
    <w:autoRedefine/>
    <w:qFormat/>
    <w:uiPriority w:val="0"/>
    <w:pPr>
      <w:jc w:val="center"/>
    </w:pPr>
    <w:rPr>
      <w:b/>
      <w:szCs w:val="24"/>
    </w:rPr>
  </w:style>
  <w:style w:type="paragraph" w:customStyle="1" w:styleId="114">
    <w:name w:val="样式 正文缩进表正文正文非缩进 + 首行缩进:  2 字符"/>
    <w:basedOn w:val="25"/>
    <w:link w:val="596"/>
    <w:autoRedefine/>
    <w:qFormat/>
    <w:uiPriority w:val="0"/>
    <w:pPr>
      <w:tabs>
        <w:tab w:val="clear" w:pos="0"/>
      </w:tabs>
      <w:spacing w:line="420" w:lineRule="exact"/>
      <w:ind w:firstLine="0" w:firstLineChars="0"/>
    </w:pPr>
    <w:rPr>
      <w:color w:val="auto"/>
    </w:rPr>
  </w:style>
  <w:style w:type="paragraph" w:customStyle="1" w:styleId="115">
    <w:name w:val="样式 亚行正文 + 自动设置"/>
    <w:basedOn w:val="1"/>
    <w:link w:val="504"/>
    <w:autoRedefine/>
    <w:qFormat/>
    <w:uiPriority w:val="0"/>
    <w:rPr>
      <w:snapToGrid w:val="0"/>
      <w:spacing w:val="-2"/>
      <w:kern w:val="0"/>
      <w:szCs w:val="24"/>
    </w:rPr>
  </w:style>
  <w:style w:type="paragraph" w:customStyle="1" w:styleId="116">
    <w:name w:val="默认段落字体 Para Char Char Char Char"/>
    <w:basedOn w:val="1"/>
    <w:autoRedefine/>
    <w:qFormat/>
    <w:uiPriority w:val="0"/>
    <w:rPr>
      <w:szCs w:val="24"/>
    </w:rPr>
  </w:style>
  <w:style w:type="paragraph" w:customStyle="1" w:styleId="117">
    <w:name w:val="环评正文2"/>
    <w:autoRedefine/>
    <w:qFormat/>
    <w:uiPriority w:val="0"/>
    <w:pPr>
      <w:spacing w:line="400" w:lineRule="exact"/>
      <w:ind w:firstLine="200" w:firstLineChars="200"/>
    </w:pPr>
    <w:rPr>
      <w:rFonts w:ascii="Times New Roman" w:hAnsi="Times New Roman" w:eastAsia="宋体" w:cs="Times New Roman"/>
      <w:bCs/>
      <w:kern w:val="2"/>
      <w:sz w:val="24"/>
      <w:szCs w:val="24"/>
      <w:lang w:val="en-US" w:eastAsia="zh-CN" w:bidi="ar-SA"/>
    </w:rPr>
  </w:style>
  <w:style w:type="paragraph" w:customStyle="1" w:styleId="118">
    <w:name w:val="标题4"/>
    <w:basedOn w:val="1"/>
    <w:next w:val="1"/>
    <w:autoRedefine/>
    <w:qFormat/>
    <w:uiPriority w:val="0"/>
    <w:pPr>
      <w:outlineLvl w:val="3"/>
    </w:pPr>
    <w:rPr>
      <w:b/>
      <w:sz w:val="28"/>
    </w:rPr>
  </w:style>
  <w:style w:type="paragraph" w:customStyle="1" w:styleId="119">
    <w:name w:val="表中文字"/>
    <w:basedOn w:val="1"/>
    <w:link w:val="643"/>
    <w:autoRedefine/>
    <w:qFormat/>
    <w:uiPriority w:val="0"/>
    <w:pPr>
      <w:jc w:val="center"/>
    </w:pPr>
    <w:rPr>
      <w:kern w:val="0"/>
      <w:sz w:val="20"/>
      <w:szCs w:val="24"/>
    </w:rPr>
  </w:style>
  <w:style w:type="paragraph" w:customStyle="1" w:styleId="120">
    <w:name w:val="样式 小四 行距: 固定值 24 磅"/>
    <w:basedOn w:val="1"/>
    <w:autoRedefine/>
    <w:qFormat/>
    <w:uiPriority w:val="0"/>
    <w:pPr>
      <w:adjustRightInd w:val="0"/>
      <w:snapToGrid w:val="0"/>
    </w:pPr>
    <w:rPr>
      <w:rFonts w:cs="宋体"/>
      <w:kern w:val="0"/>
    </w:rPr>
  </w:style>
  <w:style w:type="paragraph" w:customStyle="1" w:styleId="121">
    <w:name w:val="默认段落字体 Para Char"/>
    <w:basedOn w:val="1"/>
    <w:next w:val="1"/>
    <w:autoRedefine/>
    <w:qFormat/>
    <w:uiPriority w:val="0"/>
    <w:rPr>
      <w:rFonts w:ascii="宋体" w:cs="宋体"/>
      <w:kern w:val="0"/>
      <w:szCs w:val="24"/>
    </w:rPr>
  </w:style>
  <w:style w:type="paragraph" w:customStyle="1" w:styleId="122">
    <w:name w:val="流程文字"/>
    <w:basedOn w:val="1"/>
    <w:autoRedefine/>
    <w:qFormat/>
    <w:uiPriority w:val="0"/>
    <w:pPr>
      <w:tabs>
        <w:tab w:val="left" w:pos="6480"/>
      </w:tabs>
      <w:topLinePunct/>
      <w:adjustRightInd w:val="0"/>
      <w:snapToGrid w:val="0"/>
      <w:jc w:val="center"/>
    </w:pPr>
    <w:rPr>
      <w:rFonts w:eastAsia="仿宋_GB2312"/>
    </w:rPr>
  </w:style>
  <w:style w:type="paragraph" w:customStyle="1" w:styleId="123">
    <w:name w:val="正文(首行缩进2字)"/>
    <w:basedOn w:val="1"/>
    <w:next w:val="1"/>
    <w:link w:val="705"/>
    <w:autoRedefine/>
    <w:qFormat/>
    <w:uiPriority w:val="0"/>
    <w:pPr>
      <w:adjustRightInd w:val="0"/>
      <w:ind w:firstLine="560"/>
      <w:textAlignment w:val="baseline"/>
    </w:pPr>
    <w:rPr>
      <w:color w:val="000000"/>
      <w:kern w:val="0"/>
      <w:sz w:val="28"/>
    </w:rPr>
  </w:style>
  <w:style w:type="paragraph" w:customStyle="1" w:styleId="124">
    <w:name w:val="一级"/>
    <w:basedOn w:val="1"/>
    <w:autoRedefine/>
    <w:qFormat/>
    <w:uiPriority w:val="0"/>
    <w:pPr>
      <w:keepNext/>
      <w:keepLines/>
      <w:spacing w:beforeLines="50" w:afterLines="50"/>
      <w:ind w:firstLine="0" w:firstLineChars="0"/>
      <w:outlineLvl w:val="0"/>
    </w:pPr>
    <w:rPr>
      <w:rFonts w:eastAsia="黑体" w:cs="宋体"/>
      <w:b/>
      <w:color w:val="000000"/>
      <w:kern w:val="44"/>
      <w:sz w:val="32"/>
    </w:rPr>
  </w:style>
  <w:style w:type="paragraph" w:customStyle="1" w:styleId="125">
    <w:name w:val="样式 首行缩进:  2 字符1"/>
    <w:basedOn w:val="1"/>
    <w:autoRedefine/>
    <w:qFormat/>
    <w:uiPriority w:val="99"/>
    <w:pPr>
      <w:ind w:firstLine="560"/>
    </w:pPr>
    <w:rPr>
      <w:rFonts w:cs="宋体"/>
      <w:kern w:val="0"/>
      <w:sz w:val="28"/>
    </w:rPr>
  </w:style>
  <w:style w:type="paragraph" w:customStyle="1" w:styleId="126">
    <w:name w:val="付正文1"/>
    <w:basedOn w:val="1"/>
    <w:next w:val="1"/>
    <w:link w:val="699"/>
    <w:autoRedefine/>
    <w:semiHidden/>
    <w:qFormat/>
    <w:uiPriority w:val="0"/>
    <w:rPr>
      <w:rFonts w:ascii="宋体" w:hAnsi="宋体" w:cs="Arial"/>
      <w:color w:val="000000"/>
      <w:kern w:val="0"/>
      <w:szCs w:val="24"/>
    </w:rPr>
  </w:style>
  <w:style w:type="paragraph" w:customStyle="1" w:styleId="127">
    <w:name w:val="表内容中"/>
    <w:basedOn w:val="48"/>
    <w:autoRedefine/>
    <w:qFormat/>
    <w:uiPriority w:val="0"/>
    <w:pPr>
      <w:ind w:left="0" w:leftChars="0"/>
      <w:jc w:val="center"/>
    </w:pPr>
    <w:rPr>
      <w:rFonts w:ascii="宋体" w:hAnsi="宋体"/>
      <w:color w:val="000000"/>
      <w:sz w:val="24"/>
    </w:rPr>
  </w:style>
  <w:style w:type="paragraph" w:customStyle="1" w:styleId="128">
    <w:name w:val="标题4s"/>
    <w:basedOn w:val="1"/>
    <w:link w:val="630"/>
    <w:autoRedefine/>
    <w:qFormat/>
    <w:uiPriority w:val="0"/>
    <w:pPr>
      <w:keepNext/>
      <w:keepLines/>
      <w:tabs>
        <w:tab w:val="left" w:pos="1200"/>
      </w:tabs>
      <w:spacing w:line="500" w:lineRule="exact"/>
      <w:ind w:left="1200" w:hanging="360"/>
      <w:outlineLvl w:val="3"/>
    </w:pPr>
    <w:rPr>
      <w:rFonts w:ascii="Cambria" w:hAnsi="Cambria" w:eastAsia="黑体"/>
      <w:bCs/>
      <w:color w:val="0070C0"/>
      <w:kern w:val="0"/>
      <w:szCs w:val="28"/>
    </w:rPr>
  </w:style>
  <w:style w:type="paragraph" w:customStyle="1" w:styleId="129">
    <w:name w:val="正文缩进1"/>
    <w:basedOn w:val="1"/>
    <w:autoRedefine/>
    <w:qFormat/>
    <w:uiPriority w:val="0"/>
    <w:pPr>
      <w:spacing w:line="500" w:lineRule="exact"/>
    </w:pPr>
    <w:rPr>
      <w:rFonts w:ascii="宋体"/>
      <w:kern w:val="0"/>
    </w:rPr>
  </w:style>
  <w:style w:type="paragraph" w:customStyle="1" w:styleId="130">
    <w:name w:val="表中"/>
    <w:autoRedefine/>
    <w:qFormat/>
    <w:uiPriority w:val="0"/>
    <w:pPr>
      <w:spacing w:line="360" w:lineRule="auto"/>
      <w:ind w:firstLine="200" w:firstLineChars="200"/>
      <w:jc w:val="both"/>
    </w:pPr>
    <w:rPr>
      <w:rFonts w:ascii="Times New Roman" w:hAnsi="Times New Roman" w:eastAsia="宋体" w:cs="Times New Roman"/>
      <w:color w:val="000000"/>
      <w:sz w:val="24"/>
      <w:szCs w:val="24"/>
      <w:lang w:val="en-US" w:eastAsia="zh-CN" w:bidi="ar-SA"/>
    </w:rPr>
  </w:style>
  <w:style w:type="paragraph" w:customStyle="1" w:styleId="131">
    <w:name w:val="正文22"/>
    <w:basedOn w:val="1"/>
    <w:autoRedefine/>
    <w:qFormat/>
    <w:uiPriority w:val="0"/>
    <w:pPr>
      <w:adjustRightInd w:val="0"/>
      <w:snapToGrid w:val="0"/>
      <w:ind w:right="-107" w:rightChars="-51" w:firstLine="800"/>
      <w:jc w:val="center"/>
    </w:pPr>
    <w:rPr>
      <w:rFonts w:ascii="宋体" w:hAnsi="宋体"/>
      <w:kern w:val="0"/>
      <w:szCs w:val="21"/>
    </w:rPr>
  </w:style>
  <w:style w:type="paragraph" w:customStyle="1" w:styleId="132">
    <w:name w:val="彩色列表 - 强调文字颜色 11"/>
    <w:basedOn w:val="1"/>
    <w:autoRedefine/>
    <w:qFormat/>
    <w:uiPriority w:val="0"/>
    <w:pPr>
      <w:ind w:firstLine="420"/>
    </w:pPr>
    <w:rPr>
      <w:rFonts w:ascii="Calibri" w:hAnsi="Calibri"/>
      <w:szCs w:val="22"/>
    </w:rPr>
  </w:style>
  <w:style w:type="paragraph" w:customStyle="1" w:styleId="133">
    <w:name w:val="样式 样式5 + 四号"/>
    <w:basedOn w:val="134"/>
    <w:link w:val="723"/>
    <w:autoRedefine/>
    <w:qFormat/>
    <w:uiPriority w:val="0"/>
    <w:pPr>
      <w:widowControl w:val="0"/>
      <w:snapToGrid/>
      <w:ind w:firstLine="456"/>
      <w:jc w:val="both"/>
    </w:pPr>
    <w:rPr>
      <w:rFonts w:ascii="宋体" w:hAnsi="宋体"/>
      <w:b/>
      <w:bCs/>
      <w:spacing w:val="-6"/>
      <w:position w:val="-7"/>
      <w:sz w:val="28"/>
      <w:lang w:val="zh-CN"/>
    </w:rPr>
  </w:style>
  <w:style w:type="paragraph" w:customStyle="1" w:styleId="134">
    <w:name w:val="样式5"/>
    <w:basedOn w:val="1"/>
    <w:link w:val="698"/>
    <w:autoRedefine/>
    <w:qFormat/>
    <w:uiPriority w:val="0"/>
    <w:pPr>
      <w:snapToGrid w:val="0"/>
      <w:ind w:firstLine="510"/>
    </w:pPr>
    <w:rPr>
      <w:kern w:val="0"/>
      <w:szCs w:val="24"/>
      <w:lang w:eastAsia="en-US"/>
    </w:rPr>
  </w:style>
  <w:style w:type="paragraph" w:customStyle="1" w:styleId="135">
    <w:name w:val="标题02"/>
    <w:basedOn w:val="1"/>
    <w:next w:val="1"/>
    <w:autoRedefine/>
    <w:qFormat/>
    <w:uiPriority w:val="0"/>
    <w:pPr>
      <w:snapToGrid w:val="0"/>
      <w:outlineLvl w:val="1"/>
    </w:pPr>
    <w:rPr>
      <w:b/>
      <w:sz w:val="28"/>
    </w:rPr>
  </w:style>
  <w:style w:type="paragraph" w:customStyle="1" w:styleId="136">
    <w:name w:val="单行表格样式(5号)"/>
    <w:autoRedefine/>
    <w:qFormat/>
    <w:uiPriority w:val="0"/>
    <w:rPr>
      <w:rFonts w:ascii="宋体" w:hAnsi="宋体" w:eastAsia="宋体" w:cs="Times New Roman"/>
      <w:kern w:val="2"/>
      <w:sz w:val="21"/>
      <w:szCs w:val="24"/>
      <w:lang w:val="en-US" w:eastAsia="zh-CN" w:bidi="ar-SA"/>
    </w:rPr>
  </w:style>
  <w:style w:type="paragraph" w:customStyle="1" w:styleId="137">
    <w:name w:val="列表0"/>
    <w:basedOn w:val="1"/>
    <w:autoRedefine/>
    <w:qFormat/>
    <w:uiPriority w:val="0"/>
    <w:pPr>
      <w:jc w:val="center"/>
    </w:pPr>
    <w:rPr>
      <w:szCs w:val="24"/>
    </w:rPr>
  </w:style>
  <w:style w:type="paragraph" w:customStyle="1" w:styleId="138">
    <w:name w:val="单位名称"/>
    <w:basedOn w:val="1"/>
    <w:next w:val="1"/>
    <w:autoRedefine/>
    <w:qFormat/>
    <w:uiPriority w:val="0"/>
    <w:pPr>
      <w:spacing w:line="500" w:lineRule="atLeast"/>
      <w:jc w:val="center"/>
    </w:pPr>
    <w:rPr>
      <w:sz w:val="44"/>
      <w:szCs w:val="44"/>
    </w:rPr>
  </w:style>
  <w:style w:type="paragraph" w:customStyle="1" w:styleId="139">
    <w:name w:val="样式 样式 样式 首行缩进:  2 字符 + 首行缩进:  2 字符 + 首行缩进:  2 字符"/>
    <w:basedOn w:val="140"/>
    <w:autoRedefine/>
    <w:qFormat/>
    <w:uiPriority w:val="0"/>
    <w:pPr>
      <w:ind w:firstLine="567"/>
    </w:pPr>
    <w:rPr>
      <w:szCs w:val="20"/>
    </w:rPr>
  </w:style>
  <w:style w:type="paragraph" w:customStyle="1" w:styleId="140">
    <w:name w:val="样式 样式 首行缩进:  2 字符 + 首行缩进:  2 字符"/>
    <w:basedOn w:val="1"/>
    <w:autoRedefine/>
    <w:qFormat/>
    <w:uiPriority w:val="0"/>
    <w:pPr>
      <w:ind w:firstLine="587"/>
    </w:pPr>
    <w:rPr>
      <w:rFonts w:ascii="宋体"/>
      <w:sz w:val="27"/>
      <w:szCs w:val="27"/>
    </w:rPr>
  </w:style>
  <w:style w:type="paragraph" w:customStyle="1" w:styleId="141">
    <w:name w:val="空行"/>
    <w:basedOn w:val="1"/>
    <w:autoRedefine/>
    <w:qFormat/>
    <w:uiPriority w:val="0"/>
    <w:pPr>
      <w:adjustRightInd w:val="0"/>
      <w:snapToGrid w:val="0"/>
      <w:spacing w:beforeLines="50"/>
    </w:pPr>
    <w:rPr>
      <w:sz w:val="18"/>
      <w:szCs w:val="24"/>
    </w:rPr>
  </w:style>
  <w:style w:type="paragraph" w:customStyle="1" w:styleId="142">
    <w:name w:val="正文 + 四号"/>
    <w:basedOn w:val="1"/>
    <w:link w:val="519"/>
    <w:autoRedefine/>
    <w:qFormat/>
    <w:uiPriority w:val="0"/>
    <w:pPr>
      <w:spacing w:line="480" w:lineRule="exact"/>
      <w:ind w:firstLine="560"/>
    </w:pPr>
    <w:rPr>
      <w:kern w:val="0"/>
      <w:sz w:val="28"/>
      <w:szCs w:val="28"/>
    </w:rPr>
  </w:style>
  <w:style w:type="paragraph" w:customStyle="1" w:styleId="143">
    <w:name w:val="朝克正文"/>
    <w:basedOn w:val="1"/>
    <w:link w:val="675"/>
    <w:autoRedefine/>
    <w:qFormat/>
    <w:uiPriority w:val="0"/>
    <w:pPr>
      <w:topLinePunct/>
      <w:ind w:firstLine="528"/>
    </w:pPr>
    <w:rPr>
      <w:bCs/>
      <w:color w:val="000000"/>
      <w:kern w:val="0"/>
      <w:szCs w:val="24"/>
      <w:lang w:val="zh-CN"/>
    </w:rPr>
  </w:style>
  <w:style w:type="paragraph" w:customStyle="1" w:styleId="144">
    <w:name w:val="表、图标题"/>
    <w:basedOn w:val="1"/>
    <w:autoRedefine/>
    <w:qFormat/>
    <w:uiPriority w:val="0"/>
    <w:pPr>
      <w:adjustRightInd w:val="0"/>
      <w:snapToGrid w:val="0"/>
      <w:spacing w:line="480" w:lineRule="exact"/>
      <w:jc w:val="center"/>
    </w:pPr>
    <w:rPr>
      <w:rFonts w:ascii="宋体" w:hAnsi="宋体"/>
      <w:b/>
      <w:bCs/>
      <w:snapToGrid w:val="0"/>
      <w:kern w:val="0"/>
      <w:szCs w:val="21"/>
    </w:rPr>
  </w:style>
  <w:style w:type="paragraph" w:customStyle="1" w:styleId="145">
    <w:name w:val="页末正文"/>
    <w:basedOn w:val="1"/>
    <w:autoRedefine/>
    <w:qFormat/>
    <w:uiPriority w:val="0"/>
    <w:pPr>
      <w:spacing w:after="240" w:line="480" w:lineRule="exact"/>
      <w:ind w:firstLine="560"/>
    </w:pPr>
    <w:rPr>
      <w:rFonts w:eastAsia="楷体_GB2312"/>
      <w:color w:val="000000"/>
      <w:sz w:val="28"/>
    </w:rPr>
  </w:style>
  <w:style w:type="paragraph" w:customStyle="1" w:styleId="146">
    <w:name w:val="正文dh"/>
    <w:basedOn w:val="1"/>
    <w:autoRedefine/>
    <w:qFormat/>
    <w:uiPriority w:val="0"/>
    <w:pPr>
      <w:spacing w:line="540" w:lineRule="exact"/>
      <w:ind w:firstLine="658"/>
    </w:pPr>
    <w:rPr>
      <w:rFonts w:ascii="宋体"/>
      <w:spacing w:val="24"/>
      <w:sz w:val="28"/>
    </w:rPr>
  </w:style>
  <w:style w:type="paragraph" w:customStyle="1" w:styleId="147">
    <w:name w:val="样式 样式 黑体 小四 居中 + Times New Roman"/>
    <w:basedOn w:val="148"/>
    <w:autoRedefine/>
    <w:qFormat/>
    <w:uiPriority w:val="0"/>
    <w:rPr>
      <w:rFonts w:ascii="Times New Roman"/>
    </w:rPr>
  </w:style>
  <w:style w:type="paragraph" w:customStyle="1" w:styleId="148">
    <w:name w:val="样式 黑体 小四 居中"/>
    <w:basedOn w:val="1"/>
    <w:autoRedefine/>
    <w:qFormat/>
    <w:uiPriority w:val="0"/>
    <w:pPr>
      <w:jc w:val="center"/>
    </w:pPr>
    <w:rPr>
      <w:rFonts w:ascii="黑体" w:eastAsia="黑体"/>
    </w:rPr>
  </w:style>
  <w:style w:type="paragraph" w:customStyle="1" w:styleId="149">
    <w:name w:val="表格20"/>
    <w:basedOn w:val="1"/>
    <w:autoRedefine/>
    <w:qFormat/>
    <w:uiPriority w:val="0"/>
    <w:pPr>
      <w:spacing w:line="400" w:lineRule="exact"/>
      <w:jc w:val="center"/>
    </w:pPr>
    <w:rPr>
      <w:rFonts w:ascii="宋体"/>
      <w:color w:val="000000"/>
      <w:szCs w:val="21"/>
    </w:rPr>
  </w:style>
  <w:style w:type="paragraph" w:customStyle="1" w:styleId="150">
    <w:name w:val="样式 黑体 小四 首行缩进:  1 厘米 行距: 1.5 倍行距"/>
    <w:basedOn w:val="1"/>
    <w:autoRedefine/>
    <w:qFormat/>
    <w:uiPriority w:val="0"/>
    <w:pPr>
      <w:adjustRightInd w:val="0"/>
      <w:ind w:firstLine="567"/>
      <w:textAlignment w:val="baseline"/>
    </w:pPr>
    <w:rPr>
      <w:rFonts w:ascii="黑体" w:hAnsi="宋体" w:eastAsia="黑体"/>
    </w:rPr>
  </w:style>
  <w:style w:type="paragraph" w:customStyle="1" w:styleId="151">
    <w:name w:val="样式，标题 3"/>
    <w:basedOn w:val="1"/>
    <w:link w:val="574"/>
    <w:autoRedefine/>
    <w:qFormat/>
    <w:uiPriority w:val="0"/>
    <w:pPr>
      <w:keepNext/>
      <w:keepLines/>
      <w:spacing w:beforeLines="50" w:afterLines="50"/>
      <w:outlineLvl w:val="2"/>
    </w:pPr>
    <w:rPr>
      <w:rFonts w:eastAsia="黑体"/>
      <w:kern w:val="0"/>
      <w:sz w:val="28"/>
    </w:rPr>
  </w:style>
  <w:style w:type="paragraph" w:customStyle="1" w:styleId="152">
    <w:name w:val="表格正文"/>
    <w:basedOn w:val="1"/>
    <w:next w:val="1"/>
    <w:link w:val="529"/>
    <w:autoRedefine/>
    <w:qFormat/>
    <w:uiPriority w:val="0"/>
    <w:pPr>
      <w:adjustRightInd w:val="0"/>
      <w:snapToGrid w:val="0"/>
      <w:jc w:val="center"/>
      <w:textAlignment w:val="baseline"/>
    </w:pPr>
    <w:rPr>
      <w:rFonts w:ascii="宋体" w:hAnsi="宋体"/>
      <w:snapToGrid w:val="0"/>
      <w:spacing w:val="4"/>
      <w:w w:val="90"/>
      <w:kern w:val="0"/>
      <w:sz w:val="20"/>
      <w:szCs w:val="24"/>
    </w:rPr>
  </w:style>
  <w:style w:type="paragraph" w:customStyle="1" w:styleId="153">
    <w:name w:val="正文3"/>
    <w:basedOn w:val="1"/>
    <w:next w:val="1"/>
    <w:autoRedefine/>
    <w:qFormat/>
    <w:uiPriority w:val="0"/>
    <w:pPr>
      <w:adjustRightInd w:val="0"/>
      <w:snapToGrid w:val="0"/>
      <w:spacing w:line="420" w:lineRule="auto"/>
    </w:pPr>
    <w:rPr>
      <w:rFonts w:ascii="宋体"/>
      <w:kern w:val="0"/>
      <w:sz w:val="28"/>
      <w:szCs w:val="28"/>
      <w:lang w:eastAsia="en-US"/>
    </w:rPr>
  </w:style>
  <w:style w:type="paragraph" w:customStyle="1" w:styleId="154">
    <w:name w:val="正文4"/>
    <w:link w:val="602"/>
    <w:autoRedefine/>
    <w:qFormat/>
    <w:uiPriority w:val="0"/>
    <w:pPr>
      <w:widowControl w:val="0"/>
      <w:adjustRightInd w:val="0"/>
      <w:spacing w:line="360" w:lineRule="atLeast"/>
      <w:textAlignment w:val="baseline"/>
    </w:pPr>
    <w:rPr>
      <w:rFonts w:ascii="宋体" w:hAnsi="Times New Roman" w:eastAsia="宋体" w:cs="Times New Roman"/>
      <w:kern w:val="2"/>
      <w:sz w:val="24"/>
      <w:szCs w:val="22"/>
      <w:lang w:val="en-US" w:eastAsia="zh-CN" w:bidi="ar-SA"/>
    </w:rPr>
  </w:style>
  <w:style w:type="paragraph" w:customStyle="1" w:styleId="155">
    <w:name w:val="表格文字居中"/>
    <w:basedOn w:val="80"/>
    <w:autoRedefine/>
    <w:qFormat/>
    <w:uiPriority w:val="0"/>
    <w:pPr>
      <w:tabs>
        <w:tab w:val="left" w:pos="628"/>
        <w:tab w:val="left" w:pos="1727"/>
        <w:tab w:val="left" w:pos="1884"/>
      </w:tabs>
      <w:snapToGrid w:val="0"/>
      <w:ind w:firstLine="0" w:firstLineChars="200"/>
      <w:jc w:val="center"/>
    </w:pPr>
    <w:rPr>
      <w:rFonts w:ascii="宋体"/>
      <w:b/>
    </w:rPr>
  </w:style>
  <w:style w:type="paragraph" w:customStyle="1" w:styleId="156">
    <w:name w:val="样式4"/>
    <w:basedOn w:val="1"/>
    <w:link w:val="672"/>
    <w:autoRedefine/>
    <w:qFormat/>
    <w:uiPriority w:val="0"/>
    <w:pPr>
      <w:keepNext/>
      <w:keepLines/>
      <w:spacing w:before="120" w:after="120" w:line="440" w:lineRule="exact"/>
      <w:ind w:left="567" w:hanging="567"/>
      <w:outlineLvl w:val="1"/>
    </w:pPr>
    <w:rPr>
      <w:rFonts w:ascii="Calibri" w:hAnsi="Calibri" w:eastAsia="黑体"/>
      <w:b/>
      <w:bCs/>
      <w:kern w:val="0"/>
      <w:sz w:val="28"/>
      <w:szCs w:val="32"/>
    </w:rPr>
  </w:style>
  <w:style w:type="paragraph" w:customStyle="1" w:styleId="157">
    <w:name w:val="样式 黑体 小四 黑色 行距: 1.5 倍行距"/>
    <w:basedOn w:val="1"/>
    <w:autoRedefine/>
    <w:qFormat/>
    <w:uiPriority w:val="0"/>
    <w:rPr>
      <w:rFonts w:ascii="黑体" w:eastAsia="黑体"/>
      <w:color w:val="000000"/>
    </w:rPr>
  </w:style>
  <w:style w:type="paragraph" w:customStyle="1" w:styleId="158">
    <w:name w:val="样式表"/>
    <w:basedOn w:val="1"/>
    <w:link w:val="606"/>
    <w:autoRedefine/>
    <w:qFormat/>
    <w:uiPriority w:val="0"/>
    <w:pPr>
      <w:spacing w:beforeLines="50" w:afterLines="50" w:line="240" w:lineRule="auto"/>
      <w:jc w:val="center"/>
    </w:pPr>
    <w:rPr>
      <w:rFonts w:eastAsia="黑体"/>
      <w:b/>
      <w:color w:val="000000"/>
      <w:spacing w:val="8"/>
      <w:kern w:val="0"/>
      <w:szCs w:val="24"/>
    </w:rPr>
  </w:style>
  <w:style w:type="paragraph" w:customStyle="1" w:styleId="159">
    <w:name w:val="节"/>
    <w:basedOn w:val="1"/>
    <w:autoRedefine/>
    <w:qFormat/>
    <w:uiPriority w:val="0"/>
    <w:pPr>
      <w:autoSpaceDE w:val="0"/>
      <w:autoSpaceDN w:val="0"/>
      <w:adjustRightInd w:val="0"/>
      <w:snapToGrid w:val="0"/>
      <w:spacing w:line="480" w:lineRule="auto"/>
      <w:jc w:val="center"/>
      <w:textAlignment w:val="bottom"/>
    </w:pPr>
    <w:rPr>
      <w:rFonts w:ascii="黑体" w:hAnsi="宋体" w:eastAsia="黑体"/>
      <w:snapToGrid w:val="0"/>
      <w:spacing w:val="20"/>
      <w:sz w:val="32"/>
      <w:szCs w:val="32"/>
    </w:rPr>
  </w:style>
  <w:style w:type="paragraph" w:customStyle="1" w:styleId="160">
    <w:name w:val="样式 黑体 小三 居中 行距: 1.5 倍行距"/>
    <w:basedOn w:val="1"/>
    <w:autoRedefine/>
    <w:qFormat/>
    <w:uiPriority w:val="0"/>
    <w:pPr>
      <w:adjustRightInd w:val="0"/>
      <w:jc w:val="center"/>
      <w:textAlignment w:val="baseline"/>
    </w:pPr>
    <w:rPr>
      <w:rFonts w:ascii="黑体" w:eastAsia="黑体"/>
      <w:sz w:val="30"/>
    </w:rPr>
  </w:style>
  <w:style w:type="paragraph" w:customStyle="1" w:styleId="161">
    <w:name w:val="表格式"/>
    <w:basedOn w:val="62"/>
    <w:link w:val="629"/>
    <w:autoRedefine/>
    <w:qFormat/>
    <w:uiPriority w:val="0"/>
    <w:pPr>
      <w:spacing w:line="400" w:lineRule="exact"/>
      <w:ind w:left="0" w:right="0" w:firstLine="0"/>
    </w:pPr>
    <w:rPr>
      <w:rFonts w:ascii="宋体" w:eastAsia="宋体"/>
      <w:kern w:val="0"/>
      <w:sz w:val="20"/>
    </w:rPr>
  </w:style>
  <w:style w:type="paragraph" w:customStyle="1" w:styleId="162">
    <w:name w:val="表格样式文字1"/>
    <w:basedOn w:val="163"/>
    <w:autoRedefine/>
    <w:qFormat/>
    <w:uiPriority w:val="0"/>
    <w:pPr>
      <w:tabs>
        <w:tab w:val="left" w:pos="3312"/>
      </w:tabs>
      <w:jc w:val="left"/>
    </w:pPr>
  </w:style>
  <w:style w:type="paragraph" w:customStyle="1" w:styleId="163">
    <w:name w:val="表格样式文字"/>
    <w:basedOn w:val="1"/>
    <w:autoRedefine/>
    <w:qFormat/>
    <w:uiPriority w:val="0"/>
    <w:pPr>
      <w:widowControl w:val="0"/>
      <w:tabs>
        <w:tab w:val="left" w:pos="3312"/>
      </w:tabs>
      <w:autoSpaceDE w:val="0"/>
      <w:autoSpaceDN w:val="0"/>
      <w:snapToGrid w:val="0"/>
      <w:spacing w:line="240" w:lineRule="atLeast"/>
      <w:jc w:val="center"/>
      <w:textAlignment w:val="center"/>
    </w:pPr>
    <w:rPr>
      <w:rFonts w:ascii="宋体" w:cs="宋体"/>
    </w:rPr>
  </w:style>
  <w:style w:type="paragraph" w:customStyle="1" w:styleId="164">
    <w:name w:val="表格文字n"/>
    <w:basedOn w:val="1"/>
    <w:autoRedefine/>
    <w:qFormat/>
    <w:uiPriority w:val="0"/>
    <w:pPr>
      <w:spacing w:line="260" w:lineRule="exact"/>
      <w:jc w:val="center"/>
    </w:pPr>
  </w:style>
  <w:style w:type="paragraph" w:customStyle="1" w:styleId="165">
    <w:name w:val="表头名称"/>
    <w:basedOn w:val="25"/>
    <w:link w:val="609"/>
    <w:autoRedefine/>
    <w:qFormat/>
    <w:uiPriority w:val="0"/>
    <w:pPr>
      <w:tabs>
        <w:tab w:val="left" w:pos="3600"/>
        <w:tab w:val="left" w:pos="5040"/>
        <w:tab w:val="clear" w:pos="0"/>
      </w:tabs>
      <w:autoSpaceDE w:val="0"/>
      <w:autoSpaceDN w:val="0"/>
      <w:spacing w:line="360" w:lineRule="auto"/>
      <w:ind w:firstLine="0" w:firstLineChars="0"/>
      <w:jc w:val="center"/>
    </w:pPr>
    <w:rPr>
      <w:color w:val="auto"/>
      <w:sz w:val="20"/>
      <w:szCs w:val="24"/>
      <w:lang w:val="zh-CN" w:eastAsia="en-US"/>
    </w:rPr>
  </w:style>
  <w:style w:type="paragraph" w:customStyle="1" w:styleId="166">
    <w:name w:val="表格1"/>
    <w:basedOn w:val="1"/>
    <w:autoRedefine/>
    <w:qFormat/>
    <w:uiPriority w:val="0"/>
    <w:pPr>
      <w:adjustRightInd w:val="0"/>
      <w:jc w:val="center"/>
      <w:textAlignment w:val="baseline"/>
    </w:pPr>
    <w:rPr>
      <w:rFonts w:ascii="宋体"/>
      <w:kern w:val="0"/>
    </w:rPr>
  </w:style>
  <w:style w:type="paragraph" w:customStyle="1" w:styleId="167">
    <w:name w:val="表头1"/>
    <w:basedOn w:val="1"/>
    <w:next w:val="168"/>
    <w:link w:val="546"/>
    <w:autoRedefine/>
    <w:qFormat/>
    <w:uiPriority w:val="0"/>
    <w:pPr>
      <w:spacing w:beforeLines="50"/>
      <w:ind w:firstLine="120" w:firstLineChars="50"/>
      <w:jc w:val="center"/>
    </w:pPr>
    <w:rPr>
      <w:rFonts w:eastAsia="黑体"/>
      <w:kern w:val="0"/>
      <w:szCs w:val="28"/>
    </w:rPr>
  </w:style>
  <w:style w:type="paragraph" w:customStyle="1" w:styleId="168">
    <w:name w:val="正文28磅"/>
    <w:autoRedefine/>
    <w:qFormat/>
    <w:uiPriority w:val="0"/>
    <w:pPr>
      <w:spacing w:line="560" w:lineRule="exact"/>
      <w:ind w:firstLine="560"/>
    </w:pPr>
    <w:rPr>
      <w:rFonts w:ascii="Times New Roman" w:hAnsi="Times New Roman" w:eastAsia="宋体" w:cs="宋体"/>
      <w:kern w:val="28"/>
      <w:sz w:val="28"/>
      <w:szCs w:val="28"/>
      <w:lang w:val="en-GB" w:eastAsia="zh-CN" w:bidi="ar-SA"/>
    </w:rPr>
  </w:style>
  <w:style w:type="paragraph" w:customStyle="1" w:styleId="169">
    <w:name w:val="样式 王效杰正文 + 黑色"/>
    <w:basedOn w:val="1"/>
    <w:link w:val="682"/>
    <w:autoRedefine/>
    <w:qFormat/>
    <w:uiPriority w:val="0"/>
    <w:pPr>
      <w:ind w:firstLine="560"/>
    </w:pPr>
    <w:rPr>
      <w:rFonts w:ascii="楷体_GB2312"/>
      <w:color w:val="000000"/>
      <w:kern w:val="0"/>
      <w:sz w:val="28"/>
      <w:szCs w:val="28"/>
    </w:rPr>
  </w:style>
  <w:style w:type="paragraph" w:customStyle="1" w:styleId="170">
    <w:name w:val="已访问的超链接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1">
    <w:name w:val="朔电正文"/>
    <w:basedOn w:val="1"/>
    <w:link w:val="492"/>
    <w:autoRedefine/>
    <w:qFormat/>
    <w:uiPriority w:val="0"/>
    <w:pPr>
      <w:adjustRightInd w:val="0"/>
      <w:snapToGrid w:val="0"/>
      <w:spacing w:beforeLines="25" w:line="440" w:lineRule="exact"/>
    </w:pPr>
    <w:rPr>
      <w:color w:val="000000"/>
      <w:kern w:val="32"/>
      <w:szCs w:val="24"/>
    </w:rPr>
  </w:style>
  <w:style w:type="paragraph" w:customStyle="1" w:styleId="172">
    <w:name w:val="河南正文"/>
    <w:basedOn w:val="1"/>
    <w:autoRedefine/>
    <w:qFormat/>
    <w:uiPriority w:val="0"/>
    <w:pPr>
      <w:snapToGrid w:val="0"/>
      <w:ind w:firstLine="480"/>
    </w:pPr>
    <w:rPr>
      <w:kern w:val="0"/>
      <w:szCs w:val="24"/>
    </w:rPr>
  </w:style>
  <w:style w:type="paragraph" w:customStyle="1" w:styleId="173">
    <w:name w:val="第十三章表头"/>
    <w:basedOn w:val="1"/>
    <w:autoRedefine/>
    <w:qFormat/>
    <w:uiPriority w:val="0"/>
    <w:pPr>
      <w:tabs>
        <w:tab w:val="left" w:pos="1186"/>
      </w:tabs>
      <w:ind w:left="1186"/>
      <w:jc w:val="center"/>
    </w:pPr>
    <w:rPr>
      <w:b/>
      <w:color w:val="0000FF"/>
      <w:szCs w:val="24"/>
    </w:rPr>
  </w:style>
  <w:style w:type="paragraph" w:customStyle="1" w:styleId="174">
    <w:name w:val="表格文字（居中）"/>
    <w:basedOn w:val="1"/>
    <w:autoRedefine/>
    <w:qFormat/>
    <w:uiPriority w:val="0"/>
    <w:pPr>
      <w:jc w:val="center"/>
    </w:pPr>
    <w:rPr>
      <w:szCs w:val="21"/>
    </w:rPr>
  </w:style>
  <w:style w:type="paragraph" w:customStyle="1" w:styleId="175">
    <w:name w:val="三级编号"/>
    <w:basedOn w:val="11"/>
    <w:link w:val="570"/>
    <w:autoRedefine/>
    <w:qFormat/>
    <w:uiPriority w:val="0"/>
    <w:pPr>
      <w:ind w:right="100" w:rightChars="100" w:firstLine="57"/>
    </w:pPr>
    <w:rPr>
      <w:rFonts w:ascii="Calibri" w:hAnsi="Calibri"/>
      <w:sz w:val="30"/>
    </w:rPr>
  </w:style>
  <w:style w:type="paragraph" w:customStyle="1" w:styleId="176">
    <w:name w:val="样式 首行缩进:  0.77 厘米 行距: 固定值 20 磅"/>
    <w:basedOn w:val="1"/>
    <w:autoRedefine/>
    <w:qFormat/>
    <w:uiPriority w:val="0"/>
    <w:pPr>
      <w:ind w:firstLine="435"/>
    </w:pPr>
    <w:rPr>
      <w:kern w:val="0"/>
    </w:rPr>
  </w:style>
  <w:style w:type="paragraph" w:customStyle="1" w:styleId="177">
    <w:name w:val="样式 图号 + 宋体"/>
    <w:basedOn w:val="1"/>
    <w:link w:val="591"/>
    <w:autoRedefine/>
    <w:semiHidden/>
    <w:qFormat/>
    <w:uiPriority w:val="0"/>
    <w:pPr>
      <w:ind w:left="198"/>
    </w:pPr>
    <w:rPr>
      <w:rFonts w:ascii="宋体" w:hAnsi="宋体"/>
      <w:b/>
      <w:kern w:val="32"/>
    </w:rPr>
  </w:style>
  <w:style w:type="paragraph" w:customStyle="1" w:styleId="178">
    <w:name w:val="第七章表标头"/>
    <w:basedOn w:val="1"/>
    <w:autoRedefine/>
    <w:qFormat/>
    <w:uiPriority w:val="0"/>
    <w:pPr>
      <w:tabs>
        <w:tab w:val="left" w:pos="420"/>
      </w:tabs>
      <w:adjustRightInd w:val="0"/>
      <w:snapToGrid w:val="0"/>
      <w:spacing w:line="400" w:lineRule="exact"/>
      <w:jc w:val="center"/>
    </w:pPr>
    <w:rPr>
      <w:rFonts w:ascii="黑体" w:hAnsi="黑体" w:eastAsia="黑体"/>
      <w:color w:val="000000"/>
    </w:rPr>
  </w:style>
  <w:style w:type="paragraph" w:customStyle="1" w:styleId="179">
    <w:name w:val="表标号"/>
    <w:link w:val="617"/>
    <w:autoRedefine/>
    <w:qFormat/>
    <w:uiPriority w:val="0"/>
    <w:pPr>
      <w:adjustRightInd w:val="0"/>
      <w:spacing w:line="300" w:lineRule="exact"/>
      <w:ind w:left="700"/>
      <w:jc w:val="center"/>
    </w:pPr>
    <w:rPr>
      <w:rFonts w:ascii="Times New Roman" w:hAnsi="Times New Roman" w:eastAsia="宋体" w:cs="Times New Roman"/>
      <w:snapToGrid w:val="0"/>
      <w:szCs w:val="21"/>
      <w:lang w:val="en-US" w:eastAsia="zh-CN" w:bidi="ar-SA"/>
    </w:rPr>
  </w:style>
  <w:style w:type="paragraph" w:customStyle="1" w:styleId="180">
    <w:name w:val="二级标题 Char Char Char"/>
    <w:basedOn w:val="1"/>
    <w:next w:val="1"/>
    <w:autoRedefine/>
    <w:qFormat/>
    <w:uiPriority w:val="0"/>
    <w:pPr>
      <w:spacing w:line="529" w:lineRule="exact"/>
    </w:pPr>
    <w:rPr>
      <w:rFonts w:ascii="宋体" w:hAnsi="宋体" w:cs="宋体"/>
      <w:szCs w:val="24"/>
    </w:rPr>
  </w:style>
  <w:style w:type="paragraph" w:customStyle="1" w:styleId="181">
    <w:name w:val="二级条标题"/>
    <w:basedOn w:val="182"/>
    <w:next w:val="1"/>
    <w:autoRedefine/>
    <w:qFormat/>
    <w:uiPriority w:val="0"/>
    <w:pPr>
      <w:tabs>
        <w:tab w:val="left" w:pos="360"/>
      </w:tabs>
      <w:outlineLvl w:val="3"/>
    </w:pPr>
  </w:style>
  <w:style w:type="paragraph" w:customStyle="1" w:styleId="182">
    <w:name w:val="一级条标题"/>
    <w:basedOn w:val="1"/>
    <w:next w:val="1"/>
    <w:autoRedefine/>
    <w:qFormat/>
    <w:uiPriority w:val="0"/>
    <w:pPr>
      <w:tabs>
        <w:tab w:val="left" w:pos="360"/>
      </w:tabs>
      <w:outlineLvl w:val="2"/>
    </w:pPr>
    <w:rPr>
      <w:rFonts w:ascii="黑体" w:eastAsia="黑体"/>
      <w:kern w:val="0"/>
    </w:rPr>
  </w:style>
  <w:style w:type="paragraph" w:customStyle="1" w:styleId="183">
    <w:name w:val="第四章表头"/>
    <w:basedOn w:val="1"/>
    <w:autoRedefine/>
    <w:qFormat/>
    <w:uiPriority w:val="0"/>
    <w:pPr>
      <w:tabs>
        <w:tab w:val="left" w:pos="631"/>
      </w:tabs>
      <w:ind w:left="631" w:hanging="420"/>
      <w:jc w:val="center"/>
    </w:pPr>
    <w:rPr>
      <w:b/>
      <w:color w:val="0000FF"/>
      <w:szCs w:val="24"/>
    </w:rPr>
  </w:style>
  <w:style w:type="paragraph" w:customStyle="1" w:styleId="184">
    <w:name w:val="大田正文"/>
    <w:basedOn w:val="1"/>
    <w:autoRedefine/>
    <w:qFormat/>
    <w:uiPriority w:val="0"/>
    <w:pPr>
      <w:autoSpaceDE w:val="0"/>
      <w:autoSpaceDN w:val="0"/>
      <w:spacing w:line="500" w:lineRule="exact"/>
      <w:ind w:firstLine="567" w:firstLineChars="0"/>
    </w:pPr>
    <w:rPr>
      <w:rFonts w:ascii="宋体"/>
      <w:kern w:val="0"/>
      <w:sz w:val="28"/>
    </w:rPr>
  </w:style>
  <w:style w:type="paragraph" w:customStyle="1" w:styleId="185">
    <w:name w:val="表格名称6"/>
    <w:basedOn w:val="1"/>
    <w:autoRedefine/>
    <w:qFormat/>
    <w:uiPriority w:val="0"/>
    <w:pPr>
      <w:spacing w:beforeLines="20" w:afterLines="20"/>
      <w:jc w:val="center"/>
    </w:pPr>
    <w:rPr>
      <w:b/>
    </w:rPr>
  </w:style>
  <w:style w:type="paragraph" w:customStyle="1" w:styleId="186">
    <w:name w:val="表格文字Y"/>
    <w:basedOn w:val="1"/>
    <w:link w:val="716"/>
    <w:autoRedefine/>
    <w:qFormat/>
    <w:uiPriority w:val="0"/>
    <w:pPr>
      <w:spacing w:line="240" w:lineRule="atLeast"/>
      <w:jc w:val="center"/>
    </w:pPr>
    <w:rPr>
      <w:kern w:val="0"/>
      <w:sz w:val="20"/>
      <w:szCs w:val="21"/>
    </w:rPr>
  </w:style>
  <w:style w:type="paragraph" w:customStyle="1" w:styleId="187">
    <w:name w:val="简单回函地址"/>
    <w:basedOn w:val="1"/>
    <w:autoRedefine/>
    <w:qFormat/>
    <w:uiPriority w:val="0"/>
    <w:rPr>
      <w:szCs w:val="24"/>
    </w:rPr>
  </w:style>
  <w:style w:type="paragraph" w:customStyle="1" w:styleId="188">
    <w:name w:val="初设正文"/>
    <w:basedOn w:val="1"/>
    <w:autoRedefine/>
    <w:qFormat/>
    <w:uiPriority w:val="0"/>
    <w:pPr>
      <w:spacing w:after="120" w:line="440" w:lineRule="exact"/>
      <w:ind w:left="425" w:firstLine="425"/>
    </w:pPr>
    <w:rPr>
      <w:rFonts w:ascii="Arial" w:hAnsi="Arial"/>
      <w:kern w:val="0"/>
    </w:rPr>
  </w:style>
  <w:style w:type="paragraph" w:customStyle="1" w:styleId="189">
    <w:name w:val="表文"/>
    <w:basedOn w:val="1"/>
    <w:autoRedefine/>
    <w:qFormat/>
    <w:uiPriority w:val="0"/>
    <w:pPr>
      <w:spacing w:line="240" w:lineRule="exact"/>
      <w:jc w:val="center"/>
    </w:pPr>
    <w:rPr>
      <w:szCs w:val="24"/>
    </w:rPr>
  </w:style>
  <w:style w:type="paragraph" w:customStyle="1" w:styleId="190">
    <w:name w:val="样式 主要文字 + 小四"/>
    <w:basedOn w:val="1"/>
    <w:link w:val="542"/>
    <w:autoRedefine/>
    <w:qFormat/>
    <w:uiPriority w:val="0"/>
    <w:rPr>
      <w:rFonts w:hAnsi="宋体"/>
      <w:kern w:val="0"/>
      <w:szCs w:val="21"/>
    </w:rPr>
  </w:style>
  <w:style w:type="paragraph" w:customStyle="1" w:styleId="191">
    <w:name w:val="样式1"/>
    <w:basedOn w:val="1"/>
    <w:link w:val="506"/>
    <w:autoRedefine/>
    <w:qFormat/>
    <w:uiPriority w:val="0"/>
    <w:pPr>
      <w:spacing w:line="440" w:lineRule="exact"/>
    </w:pPr>
    <w:rPr>
      <w:kern w:val="0"/>
      <w:lang w:eastAsia="en-US"/>
    </w:rPr>
  </w:style>
  <w:style w:type="paragraph" w:customStyle="1" w:styleId="192">
    <w:name w:val="表格2"/>
    <w:basedOn w:val="1"/>
    <w:autoRedefine/>
    <w:qFormat/>
    <w:uiPriority w:val="0"/>
    <w:pPr>
      <w:autoSpaceDE w:val="0"/>
      <w:autoSpaceDN w:val="0"/>
      <w:adjustRightInd w:val="0"/>
      <w:snapToGrid w:val="0"/>
      <w:jc w:val="center"/>
    </w:pPr>
    <w:rPr>
      <w:rFonts w:ascii="宋体" w:hAnsi="宋体"/>
      <w:spacing w:val="-8"/>
      <w:szCs w:val="24"/>
    </w:rPr>
  </w:style>
  <w:style w:type="paragraph" w:customStyle="1" w:styleId="193">
    <w:name w:val="表居中（中文）"/>
    <w:basedOn w:val="1"/>
    <w:autoRedefine/>
    <w:qFormat/>
    <w:uiPriority w:val="0"/>
    <w:pPr>
      <w:adjustRightInd w:val="0"/>
      <w:spacing w:line="380" w:lineRule="atLeast"/>
      <w:jc w:val="center"/>
    </w:pPr>
    <w:rPr>
      <w:rFonts w:eastAsia="楷体_GB2312"/>
      <w:kern w:val="0"/>
    </w:rPr>
  </w:style>
  <w:style w:type="paragraph" w:customStyle="1" w:styleId="194">
    <w:name w:val="普通(网站)1"/>
    <w:basedOn w:val="1"/>
    <w:autoRedefine/>
    <w:qFormat/>
    <w:uiPriority w:val="0"/>
    <w:pPr>
      <w:spacing w:before="100" w:beforeAutospacing="1" w:after="100" w:afterAutospacing="1"/>
    </w:pPr>
    <w:rPr>
      <w:rFonts w:ascii="宋体" w:cs="宋体"/>
      <w:kern w:val="0"/>
      <w:szCs w:val="24"/>
    </w:rPr>
  </w:style>
  <w:style w:type="paragraph" w:customStyle="1" w:styleId="195">
    <w:name w:val="表内字"/>
    <w:basedOn w:val="1"/>
    <w:autoRedefine/>
    <w:qFormat/>
    <w:uiPriority w:val="0"/>
    <w:pPr>
      <w:adjustRightInd w:val="0"/>
      <w:snapToGrid w:val="0"/>
      <w:spacing w:line="360" w:lineRule="exact"/>
      <w:jc w:val="center"/>
    </w:pPr>
    <w:rPr>
      <w:snapToGrid w:val="0"/>
      <w:kern w:val="0"/>
    </w:rPr>
  </w:style>
  <w:style w:type="paragraph" w:customStyle="1" w:styleId="196">
    <w:name w:val="样式 样式 标题 2 + 右侧:  5.98 厘米 + 左侧:  0 厘米 首行缩进:  0 厘米"/>
    <w:basedOn w:val="1"/>
    <w:autoRedefine/>
    <w:qFormat/>
    <w:uiPriority w:val="0"/>
    <w:pPr>
      <w:keepNext/>
      <w:keepLines/>
      <w:tabs>
        <w:tab w:val="left" w:pos="420"/>
      </w:tabs>
      <w:spacing w:line="416" w:lineRule="auto"/>
      <w:ind w:right="3388" w:firstLine="0" w:firstLineChars="0"/>
      <w:outlineLvl w:val="1"/>
    </w:pPr>
    <w:rPr>
      <w:rFonts w:ascii="Arial" w:hAnsi="Arial" w:eastAsia="黑体" w:cs="宋体"/>
      <w:b/>
      <w:bCs/>
      <w:kern w:val="0"/>
      <w:sz w:val="30"/>
      <w:szCs w:val="32"/>
    </w:rPr>
  </w:style>
  <w:style w:type="paragraph" w:customStyle="1" w:styleId="197">
    <w:name w:val="基准页脚样式"/>
    <w:basedOn w:val="5"/>
    <w:autoRedefine/>
    <w:qFormat/>
    <w:uiPriority w:val="0"/>
    <w:pPr>
      <w:spacing w:after="0" w:line="240" w:lineRule="exact"/>
      <w:jc w:val="center"/>
    </w:pPr>
    <w:rPr>
      <w:bCs/>
      <w:szCs w:val="24"/>
    </w:rPr>
  </w:style>
  <w:style w:type="paragraph" w:customStyle="1" w:styleId="198">
    <w:name w:val="标准条文"/>
    <w:basedOn w:val="1"/>
    <w:next w:val="1"/>
    <w:autoRedefine/>
    <w:qFormat/>
    <w:uiPriority w:val="0"/>
    <w:pPr>
      <w:widowControl w:val="0"/>
      <w:autoSpaceDE w:val="0"/>
      <w:autoSpaceDN w:val="0"/>
      <w:adjustRightInd w:val="0"/>
      <w:spacing w:line="240" w:lineRule="auto"/>
      <w:ind w:firstLine="0" w:firstLineChars="0"/>
    </w:pPr>
    <w:rPr>
      <w:rFonts w:ascii="宋体"/>
      <w:kern w:val="0"/>
      <w:szCs w:val="24"/>
    </w:rPr>
  </w:style>
  <w:style w:type="paragraph" w:customStyle="1" w:styleId="199">
    <w:name w:val="单行表格样式(居中)"/>
    <w:autoRedefine/>
    <w:qFormat/>
    <w:uiPriority w:val="0"/>
    <w:pPr>
      <w:jc w:val="center"/>
    </w:pPr>
    <w:rPr>
      <w:rFonts w:ascii="宋体" w:hAnsi="宋体" w:eastAsia="宋体" w:cs="Times New Roman"/>
      <w:kern w:val="2"/>
      <w:sz w:val="21"/>
      <w:szCs w:val="28"/>
      <w:lang w:val="en-US" w:eastAsia="zh-CN" w:bidi="ar-SA"/>
    </w:rPr>
  </w:style>
  <w:style w:type="paragraph" w:customStyle="1" w:styleId="200">
    <w:name w:val="样式16"/>
    <w:basedOn w:val="1"/>
    <w:autoRedefine/>
    <w:qFormat/>
    <w:uiPriority w:val="0"/>
    <w:pPr>
      <w:jc w:val="center"/>
    </w:pPr>
    <w:rPr>
      <w:color w:val="000000"/>
      <w:kern w:val="0"/>
      <w:szCs w:val="21"/>
    </w:rPr>
  </w:style>
  <w:style w:type="paragraph" w:customStyle="1" w:styleId="201">
    <w:name w:val="加粗报告正文"/>
    <w:basedOn w:val="1"/>
    <w:autoRedefine/>
    <w:qFormat/>
    <w:uiPriority w:val="0"/>
    <w:pPr>
      <w:adjustRightInd w:val="0"/>
      <w:snapToGrid w:val="0"/>
    </w:pPr>
    <w:rPr>
      <w:b/>
      <w:szCs w:val="24"/>
    </w:rPr>
  </w:style>
  <w:style w:type="paragraph" w:customStyle="1" w:styleId="202">
    <w:name w:val="样式 样式 标题 3 + 段前: 7.8 磅 段后: 7.8 磅 行距: 固定值 20 磅 + 首行缩进:  0.66 字符"/>
    <w:basedOn w:val="1"/>
    <w:autoRedefine/>
    <w:qFormat/>
    <w:uiPriority w:val="0"/>
    <w:pPr>
      <w:keepNext/>
      <w:keepLines/>
      <w:spacing w:before="156" w:after="156" w:line="400" w:lineRule="exact"/>
      <w:ind w:firstLine="66" w:firstLineChars="66"/>
      <w:outlineLvl w:val="2"/>
    </w:pPr>
    <w:rPr>
      <w:b/>
      <w:bCs/>
      <w:kern w:val="0"/>
      <w:sz w:val="30"/>
      <w:szCs w:val="30"/>
    </w:rPr>
  </w:style>
  <w:style w:type="paragraph" w:customStyle="1" w:styleId="203">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04">
    <w:name w:val="内容"/>
    <w:basedOn w:val="1"/>
    <w:link w:val="697"/>
    <w:autoRedefine/>
    <w:qFormat/>
    <w:uiPriority w:val="99"/>
    <w:rPr>
      <w:rFonts w:ascii="宋体" w:hAnsi="宋体"/>
      <w:kern w:val="0"/>
      <w:sz w:val="28"/>
    </w:rPr>
  </w:style>
  <w:style w:type="paragraph" w:customStyle="1" w:styleId="205">
    <w:name w:val="表中文字1"/>
    <w:autoRedefine/>
    <w:qFormat/>
    <w:uiPriority w:val="0"/>
    <w:pPr>
      <w:widowControl w:val="0"/>
      <w:adjustRightInd w:val="0"/>
      <w:snapToGrid w:val="0"/>
      <w:jc w:val="center"/>
    </w:pPr>
    <w:rPr>
      <w:rFonts w:ascii="仿宋_GB2312" w:hAnsi="华文仿宋" w:eastAsia="仿宋_GB2312" w:cs="Times New Roman"/>
      <w:b/>
      <w:kern w:val="2"/>
      <w:sz w:val="21"/>
      <w:szCs w:val="21"/>
      <w:lang w:val="en-US" w:eastAsia="zh-CN" w:bidi="ar-SA"/>
    </w:rPr>
  </w:style>
  <w:style w:type="paragraph" w:customStyle="1" w:styleId="206">
    <w:name w:val="蒲表头"/>
    <w:basedOn w:val="1"/>
    <w:autoRedefine/>
    <w:qFormat/>
    <w:uiPriority w:val="0"/>
    <w:pPr>
      <w:adjustRightInd w:val="0"/>
      <w:snapToGrid w:val="0"/>
      <w:spacing w:beforeLines="150"/>
      <w:jc w:val="center"/>
    </w:pPr>
    <w:rPr>
      <w:rFonts w:hAnsi="宋体"/>
      <w:b/>
      <w:kern w:val="0"/>
      <w:szCs w:val="24"/>
    </w:rPr>
  </w:style>
  <w:style w:type="paragraph" w:customStyle="1" w:styleId="207">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宋体" w:cs="Times New Roman"/>
      <w:sz w:val="32"/>
      <w:lang w:val="en-US" w:eastAsia="zh-CN" w:bidi="ar-SA"/>
    </w:rPr>
  </w:style>
  <w:style w:type="paragraph" w:customStyle="1" w:styleId="208">
    <w:name w:val="样式 正文首行缩进正文5号报告书正文 + 宋体"/>
    <w:basedOn w:val="80"/>
    <w:autoRedefine/>
    <w:qFormat/>
    <w:uiPriority w:val="0"/>
    <w:pPr>
      <w:adjustRightInd w:val="0"/>
      <w:snapToGrid w:val="0"/>
      <w:spacing w:line="400" w:lineRule="exact"/>
      <w:ind w:firstLine="200" w:firstLineChars="200"/>
    </w:pPr>
    <w:rPr>
      <w:rFonts w:ascii="宋体" w:hAnsi="宋体"/>
      <w:szCs w:val="18"/>
    </w:rPr>
  </w:style>
  <w:style w:type="paragraph" w:customStyle="1" w:styleId="209">
    <w:name w:val="样式 题注 + 两端对齐"/>
    <w:basedOn w:val="1"/>
    <w:autoRedefine/>
    <w:qFormat/>
    <w:uiPriority w:val="0"/>
    <w:pPr>
      <w:spacing w:line="360" w:lineRule="exact"/>
      <w:jc w:val="center"/>
    </w:pPr>
    <w:rPr>
      <w:rFonts w:ascii="宋体" w:hAnsi="宋体"/>
      <w:kern w:val="0"/>
      <w:sz w:val="20"/>
    </w:rPr>
  </w:style>
  <w:style w:type="paragraph" w:customStyle="1" w:styleId="210">
    <w:name w:val="正文000000"/>
    <w:basedOn w:val="1"/>
    <w:next w:val="1"/>
    <w:autoRedefine/>
    <w:unhideWhenUsed/>
    <w:qFormat/>
    <w:uiPriority w:val="99"/>
    <w:pPr>
      <w:widowControl w:val="0"/>
      <w:adjustRightInd w:val="0"/>
      <w:snapToGrid w:val="0"/>
    </w:pPr>
    <w:rPr>
      <w:rFonts w:ascii="宋体" w:hAnsi="宋体"/>
      <w:b/>
    </w:rPr>
  </w:style>
  <w:style w:type="paragraph" w:customStyle="1" w:styleId="211">
    <w:name w:val="标题样式3"/>
    <w:basedOn w:val="1"/>
    <w:link w:val="601"/>
    <w:autoRedefine/>
    <w:qFormat/>
    <w:uiPriority w:val="0"/>
    <w:pPr>
      <w:ind w:left="510"/>
    </w:pPr>
    <w:rPr>
      <w:kern w:val="0"/>
      <w:szCs w:val="24"/>
    </w:rPr>
  </w:style>
  <w:style w:type="paragraph" w:customStyle="1" w:styleId="212">
    <w:name w:val="正文（小四）"/>
    <w:basedOn w:val="1"/>
    <w:autoRedefine/>
    <w:qFormat/>
    <w:uiPriority w:val="0"/>
    <w:pPr>
      <w:tabs>
        <w:tab w:val="left" w:pos="720"/>
      </w:tabs>
      <w:spacing w:line="360" w:lineRule="exact"/>
      <w:ind w:firstLine="480"/>
    </w:pPr>
    <w:rPr>
      <w:rFonts w:ascii="宋体" w:hAnsi="宋体"/>
      <w:color w:val="000000"/>
      <w:szCs w:val="28"/>
    </w:rPr>
  </w:style>
  <w:style w:type="paragraph" w:customStyle="1" w:styleId="213">
    <w:name w:val="普通(Web)8"/>
    <w:basedOn w:val="1"/>
    <w:autoRedefine/>
    <w:qFormat/>
    <w:uiPriority w:val="0"/>
    <w:pPr>
      <w:spacing w:after="212"/>
    </w:pPr>
    <w:rPr>
      <w:rFonts w:ascii="宋体" w:hAnsi="宋体" w:cs="宋体"/>
      <w:kern w:val="0"/>
      <w:szCs w:val="24"/>
    </w:rPr>
  </w:style>
  <w:style w:type="paragraph" w:customStyle="1" w:styleId="214">
    <w:name w:val="基准页眉样式"/>
    <w:basedOn w:val="5"/>
    <w:autoRedefine/>
    <w:qFormat/>
    <w:uiPriority w:val="0"/>
    <w:pPr>
      <w:spacing w:after="0"/>
      <w:jc w:val="center"/>
    </w:pPr>
    <w:rPr>
      <w:rFonts w:ascii="宋体" w:hAnsi="宋体"/>
      <w:szCs w:val="21"/>
    </w:rPr>
  </w:style>
  <w:style w:type="paragraph" w:customStyle="1" w:styleId="215">
    <w:name w:val="第十二章表头"/>
    <w:basedOn w:val="1"/>
    <w:autoRedefine/>
    <w:qFormat/>
    <w:uiPriority w:val="0"/>
    <w:pPr>
      <w:tabs>
        <w:tab w:val="left" w:pos="425"/>
      </w:tabs>
      <w:ind w:left="425"/>
      <w:jc w:val="center"/>
    </w:pPr>
    <w:rPr>
      <w:b/>
      <w:color w:val="0000FF"/>
      <w:szCs w:val="24"/>
    </w:rPr>
  </w:style>
  <w:style w:type="paragraph" w:customStyle="1" w:styleId="216">
    <w:name w:val="公式"/>
    <w:basedOn w:val="1"/>
    <w:autoRedefine/>
    <w:qFormat/>
    <w:uiPriority w:val="0"/>
    <w:pPr>
      <w:adjustRightInd w:val="0"/>
      <w:spacing w:before="240" w:after="240" w:line="480" w:lineRule="exact"/>
      <w:jc w:val="center"/>
    </w:pPr>
    <w:rPr>
      <w:rFonts w:ascii="宋体"/>
      <w:kern w:val="16"/>
    </w:rPr>
  </w:style>
  <w:style w:type="paragraph" w:customStyle="1" w:styleId="217">
    <w:name w:val="样式7"/>
    <w:basedOn w:val="134"/>
    <w:link w:val="516"/>
    <w:autoRedefine/>
    <w:qFormat/>
    <w:uiPriority w:val="0"/>
    <w:pPr>
      <w:widowControl w:val="0"/>
      <w:tabs>
        <w:tab w:val="left" w:pos="1404"/>
      </w:tabs>
      <w:ind w:left="1404" w:hanging="864"/>
      <w:jc w:val="both"/>
      <w:outlineLvl w:val="3"/>
    </w:pPr>
  </w:style>
  <w:style w:type="paragraph" w:customStyle="1" w:styleId="218">
    <w:name w:val="样式 小四 黑色 行距: 1.5 倍行距"/>
    <w:basedOn w:val="1"/>
    <w:autoRedefine/>
    <w:qFormat/>
    <w:uiPriority w:val="0"/>
    <w:pPr>
      <w:snapToGrid w:val="0"/>
      <w:ind w:firstLine="480"/>
    </w:pPr>
    <w:rPr>
      <w:rFonts w:cs="宋体"/>
      <w:color w:val="000000"/>
      <w:szCs w:val="28"/>
    </w:rPr>
  </w:style>
  <w:style w:type="paragraph" w:customStyle="1" w:styleId="219">
    <w:name w:val="书正文"/>
    <w:basedOn w:val="1"/>
    <w:autoRedefine/>
    <w:qFormat/>
    <w:uiPriority w:val="0"/>
    <w:pPr>
      <w:spacing w:line="420" w:lineRule="exact"/>
      <w:ind w:firstLine="560"/>
    </w:pPr>
    <w:rPr>
      <w:sz w:val="28"/>
      <w:szCs w:val="24"/>
    </w:rPr>
  </w:style>
  <w:style w:type="paragraph" w:customStyle="1" w:styleId="220">
    <w:name w:val="表格 仿宋5号"/>
    <w:basedOn w:val="1"/>
    <w:autoRedefine/>
    <w:qFormat/>
    <w:uiPriority w:val="0"/>
    <w:pPr>
      <w:adjustRightInd w:val="0"/>
      <w:snapToGrid w:val="0"/>
      <w:jc w:val="center"/>
    </w:pPr>
    <w:rPr>
      <w:rFonts w:eastAsia="仿宋"/>
      <w:color w:val="000000"/>
      <w:kern w:val="0"/>
      <w:szCs w:val="21"/>
    </w:rPr>
  </w:style>
  <w:style w:type="paragraph" w:customStyle="1" w:styleId="221">
    <w:name w:val="目录格式3"/>
    <w:basedOn w:val="11"/>
    <w:autoRedefine/>
    <w:qFormat/>
    <w:uiPriority w:val="0"/>
    <w:pPr>
      <w:adjustRightInd w:val="0"/>
      <w:spacing w:before="120" w:line="440" w:lineRule="exact"/>
      <w:textAlignment w:val="baseline"/>
    </w:pPr>
    <w:rPr>
      <w:rFonts w:ascii="黑体" w:eastAsia="黑体"/>
      <w:b w:val="0"/>
      <w:bCs w:val="0"/>
      <w:szCs w:val="28"/>
    </w:rPr>
  </w:style>
  <w:style w:type="paragraph" w:customStyle="1" w:styleId="222">
    <w:name w:val="表体宋旭峰"/>
    <w:basedOn w:val="1"/>
    <w:autoRedefine/>
    <w:qFormat/>
    <w:uiPriority w:val="0"/>
    <w:pPr>
      <w:overflowPunct w:val="0"/>
      <w:adjustRightInd w:val="0"/>
      <w:snapToGrid w:val="0"/>
      <w:jc w:val="center"/>
      <w:textAlignment w:val="baseline"/>
    </w:pPr>
    <w:rPr>
      <w:snapToGrid w:val="0"/>
      <w:szCs w:val="18"/>
    </w:rPr>
  </w:style>
  <w:style w:type="paragraph" w:customStyle="1" w:styleId="223">
    <w:name w:val="标题 2 + 黑体 小三 行距: 1.5 倍行距"/>
    <w:basedOn w:val="10"/>
    <w:autoRedefine/>
    <w:qFormat/>
    <w:uiPriority w:val="0"/>
    <w:pPr>
      <w:spacing w:beforeLines="50" w:afterLines="50"/>
      <w:ind w:right="14" w:rightChars="14" w:firstLine="482" w:firstLineChars="200"/>
      <w:jc w:val="center"/>
    </w:pPr>
    <w:rPr>
      <w:rFonts w:hAnsi="宋体" w:eastAsia="黑体"/>
      <w:bCs w:val="0"/>
      <w:sz w:val="24"/>
      <w:szCs w:val="20"/>
    </w:rPr>
  </w:style>
  <w:style w:type="paragraph" w:customStyle="1" w:styleId="224">
    <w:name w:val="样式 样式5 + 首行缩进:  0.85 厘米"/>
    <w:basedOn w:val="1"/>
    <w:autoRedefine/>
    <w:qFormat/>
    <w:uiPriority w:val="0"/>
    <w:pPr>
      <w:keepNext/>
      <w:keepLines/>
      <w:spacing w:beforeLines="50"/>
      <w:outlineLvl w:val="4"/>
    </w:pPr>
    <w:rPr>
      <w:rFonts w:ascii="宋体" w:hAnsi="宋体"/>
      <w:b/>
      <w:bCs/>
      <w:lang w:val="zh-CN"/>
    </w:rPr>
  </w:style>
  <w:style w:type="paragraph" w:customStyle="1" w:styleId="225">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226">
    <w:name w:val="正文2 Char"/>
    <w:basedOn w:val="1"/>
    <w:autoRedefine/>
    <w:qFormat/>
    <w:uiPriority w:val="0"/>
    <w:pPr>
      <w:adjustRightInd w:val="0"/>
      <w:snapToGrid w:val="0"/>
      <w:ind w:firstLine="197" w:firstLineChars="197"/>
    </w:pPr>
    <w:rPr>
      <w:rFonts w:ascii="宋体" w:hAnsi="宋体" w:cs="宋体"/>
      <w:color w:val="000000"/>
      <w:szCs w:val="21"/>
    </w:rPr>
  </w:style>
  <w:style w:type="paragraph" w:customStyle="1" w:styleId="227">
    <w:name w:val="表格内容五号"/>
    <w:basedOn w:val="1"/>
    <w:autoRedefine/>
    <w:qFormat/>
    <w:uiPriority w:val="0"/>
    <w:pPr>
      <w:jc w:val="center"/>
    </w:pPr>
    <w:rPr>
      <w:szCs w:val="21"/>
      <w:u w:val="single"/>
    </w:rPr>
  </w:style>
  <w:style w:type="paragraph" w:customStyle="1" w:styleId="228">
    <w:name w:val="表格内容新"/>
    <w:basedOn w:val="1"/>
    <w:link w:val="604"/>
    <w:autoRedefine/>
    <w:qFormat/>
    <w:uiPriority w:val="0"/>
    <w:pPr>
      <w:tabs>
        <w:tab w:val="left" w:pos="1680"/>
        <w:tab w:val="left" w:pos="3465"/>
      </w:tabs>
      <w:adjustRightInd w:val="0"/>
      <w:jc w:val="center"/>
      <w:textAlignment w:val="baseline"/>
    </w:pPr>
    <w:rPr>
      <w:rFonts w:ascii="宋体" w:hAnsi="宋体"/>
      <w:color w:val="FF0000"/>
      <w:spacing w:val="-8"/>
      <w:kern w:val="0"/>
      <w:sz w:val="20"/>
      <w:szCs w:val="21"/>
    </w:rPr>
  </w:style>
  <w:style w:type="paragraph" w:customStyle="1" w:styleId="229">
    <w:name w:val="表格内容2"/>
    <w:next w:val="230"/>
    <w:autoRedefine/>
    <w:qFormat/>
    <w:uiPriority w:val="0"/>
    <w:pPr>
      <w:jc w:val="center"/>
    </w:pPr>
    <w:rPr>
      <w:rFonts w:ascii="Times New Roman" w:hAnsi="Times New Roman" w:eastAsia="宋体" w:cs="宋体"/>
      <w:kern w:val="2"/>
      <w:sz w:val="21"/>
      <w:szCs w:val="21"/>
      <w:lang w:val="en-US" w:eastAsia="zh-CN" w:bidi="ar-SA"/>
    </w:rPr>
  </w:style>
  <w:style w:type="paragraph" w:customStyle="1" w:styleId="230">
    <w:name w:val="正文1"/>
    <w:basedOn w:val="1"/>
    <w:link w:val="567"/>
    <w:autoRedefine/>
    <w:qFormat/>
    <w:uiPriority w:val="0"/>
    <w:rPr>
      <w:snapToGrid w:val="0"/>
      <w:kern w:val="0"/>
      <w:szCs w:val="24"/>
      <w:lang w:eastAsia="en-US"/>
    </w:rPr>
  </w:style>
  <w:style w:type="paragraph" w:customStyle="1" w:styleId="231">
    <w:name w:val="正文缩"/>
    <w:basedOn w:val="1"/>
    <w:autoRedefine/>
    <w:qFormat/>
    <w:uiPriority w:val="0"/>
    <w:pPr>
      <w:adjustRightInd w:val="0"/>
      <w:snapToGrid w:val="0"/>
      <w:spacing w:line="480" w:lineRule="atLeast"/>
      <w:ind w:firstLine="567"/>
    </w:pPr>
    <w:rPr>
      <w:rFonts w:ascii="宋体"/>
      <w:spacing w:val="6"/>
      <w:kern w:val="0"/>
      <w:sz w:val="28"/>
    </w:rPr>
  </w:style>
  <w:style w:type="paragraph" w:customStyle="1" w:styleId="232">
    <w:name w:val="表格"/>
    <w:basedOn w:val="1"/>
    <w:next w:val="1"/>
    <w:link w:val="717"/>
    <w:autoRedefine/>
    <w:qFormat/>
    <w:uiPriority w:val="0"/>
    <w:pPr>
      <w:jc w:val="center"/>
    </w:pPr>
    <w:rPr>
      <w:rFonts w:ascii="宋体"/>
      <w:kern w:val="0"/>
      <w:sz w:val="18"/>
      <w:lang w:eastAsia="en-US"/>
    </w:rPr>
  </w:style>
  <w:style w:type="paragraph" w:customStyle="1" w:styleId="233">
    <w:name w:val="刘正文"/>
    <w:basedOn w:val="1"/>
    <w:autoRedefine/>
    <w:qFormat/>
    <w:uiPriority w:val="0"/>
    <w:pPr>
      <w:spacing w:line="500" w:lineRule="exact"/>
      <w:ind w:firstLine="567"/>
    </w:pPr>
    <w:rPr>
      <w:rFonts w:eastAsia="仿宋_GB2312"/>
      <w:color w:val="000000"/>
      <w:sz w:val="28"/>
    </w:rPr>
  </w:style>
  <w:style w:type="paragraph" w:customStyle="1" w:styleId="234">
    <w:name w:val="热电厂正文"/>
    <w:basedOn w:val="1"/>
    <w:autoRedefine/>
    <w:qFormat/>
    <w:uiPriority w:val="0"/>
    <w:pPr>
      <w:spacing w:line="440" w:lineRule="exact"/>
      <w:ind w:firstLine="480"/>
    </w:pPr>
    <w:rPr>
      <w:szCs w:val="24"/>
    </w:rPr>
  </w:style>
  <w:style w:type="paragraph" w:customStyle="1" w:styleId="235">
    <w:name w:val="表格1111"/>
    <w:basedOn w:val="1"/>
    <w:autoRedefine/>
    <w:qFormat/>
    <w:uiPriority w:val="99"/>
    <w:pPr>
      <w:spacing w:line="360" w:lineRule="exact"/>
      <w:jc w:val="center"/>
    </w:pPr>
    <w:rPr>
      <w:rFonts w:ascii="宋体" w:hAnsi="宋体"/>
      <w:szCs w:val="21"/>
    </w:rPr>
  </w:style>
  <w:style w:type="paragraph" w:customStyle="1" w:styleId="236">
    <w:name w:val="正文-"/>
    <w:basedOn w:val="1"/>
    <w:link w:val="568"/>
    <w:autoRedefine/>
    <w:qFormat/>
    <w:uiPriority w:val="0"/>
    <w:rPr>
      <w:bCs/>
      <w:szCs w:val="22"/>
    </w:rPr>
  </w:style>
  <w:style w:type="paragraph" w:customStyle="1" w:styleId="237">
    <w:name w:val="论文正文"/>
    <w:basedOn w:val="25"/>
    <w:autoRedefine/>
    <w:qFormat/>
    <w:uiPriority w:val="0"/>
    <w:pPr>
      <w:tabs>
        <w:tab w:val="clear" w:pos="0"/>
      </w:tabs>
      <w:spacing w:line="240" w:lineRule="auto"/>
      <w:jc w:val="both"/>
    </w:pPr>
    <w:rPr>
      <w:rFonts w:ascii="宋体" w:hAnsi="宋体"/>
      <w:color w:val="auto"/>
      <w:sz w:val="28"/>
      <w:szCs w:val="24"/>
    </w:rPr>
  </w:style>
  <w:style w:type="paragraph" w:customStyle="1" w:styleId="238">
    <w:name w:val="正文标题3"/>
    <w:basedOn w:val="11"/>
    <w:autoRedefine/>
    <w:qFormat/>
    <w:uiPriority w:val="0"/>
    <w:pPr>
      <w:spacing w:line="240" w:lineRule="auto"/>
    </w:pPr>
    <w:rPr>
      <w:rFonts w:eastAsia="黑体"/>
      <w:b w:val="0"/>
    </w:rPr>
  </w:style>
  <w:style w:type="paragraph" w:customStyle="1" w:styleId="239">
    <w:name w:val="样式2"/>
    <w:basedOn w:val="1"/>
    <w:link w:val="622"/>
    <w:autoRedefine/>
    <w:qFormat/>
    <w:uiPriority w:val="0"/>
    <w:pPr>
      <w:adjustRightInd w:val="0"/>
      <w:jc w:val="center"/>
      <w:outlineLvl w:val="0"/>
    </w:pPr>
    <w:rPr>
      <w:kern w:val="0"/>
      <w:sz w:val="20"/>
    </w:rPr>
  </w:style>
  <w:style w:type="paragraph" w:customStyle="1" w:styleId="240">
    <w:name w:val="正文缩进2字符 Char Char"/>
    <w:basedOn w:val="1"/>
    <w:link w:val="550"/>
    <w:autoRedefine/>
    <w:qFormat/>
    <w:uiPriority w:val="0"/>
    <w:pPr>
      <w:ind w:firstLine="537"/>
    </w:pPr>
    <w:rPr>
      <w:kern w:val="0"/>
      <w:sz w:val="28"/>
    </w:rPr>
  </w:style>
  <w:style w:type="paragraph" w:customStyle="1" w:styleId="241">
    <w:name w:val="表题 Char Char Char Char"/>
    <w:basedOn w:val="1"/>
    <w:autoRedefine/>
    <w:qFormat/>
    <w:uiPriority w:val="0"/>
    <w:pPr>
      <w:ind w:firstLine="1857" w:firstLineChars="881"/>
    </w:pPr>
    <w:rPr>
      <w:b/>
      <w:szCs w:val="21"/>
    </w:rPr>
  </w:style>
  <w:style w:type="paragraph" w:customStyle="1" w:styleId="242">
    <w:name w:val="样式 样式 加粗 + 首行缩进:  3.76 字符"/>
    <w:basedOn w:val="1"/>
    <w:autoRedefine/>
    <w:qFormat/>
    <w:uiPriority w:val="0"/>
    <w:pPr>
      <w:jc w:val="center"/>
    </w:pPr>
    <w:rPr>
      <w:rFonts w:cs="宋体"/>
      <w:b/>
      <w:bCs/>
    </w:rPr>
  </w:style>
  <w:style w:type="paragraph" w:customStyle="1" w:styleId="243">
    <w:name w:val="日期1"/>
    <w:basedOn w:val="1"/>
    <w:next w:val="1"/>
    <w:autoRedefine/>
    <w:qFormat/>
    <w:uiPriority w:val="0"/>
    <w:pPr>
      <w:adjustRightInd w:val="0"/>
      <w:textAlignment w:val="baseline"/>
    </w:pPr>
    <w:rPr>
      <w:rFonts w:ascii="宋体"/>
      <w:spacing w:val="24"/>
      <w:kern w:val="24"/>
    </w:rPr>
  </w:style>
  <w:style w:type="paragraph" w:customStyle="1" w:styleId="244">
    <w:name w:val="公式样式1"/>
    <w:basedOn w:val="1"/>
    <w:autoRedefine/>
    <w:qFormat/>
    <w:uiPriority w:val="0"/>
    <w:pPr>
      <w:tabs>
        <w:tab w:val="left" w:pos="5580"/>
      </w:tabs>
      <w:jc w:val="center"/>
    </w:pPr>
    <w:rPr>
      <w:rFonts w:ascii="宋体"/>
      <w:kern w:val="0"/>
      <w:szCs w:val="21"/>
      <w:lang w:bidi="en-US"/>
    </w:rPr>
  </w:style>
  <w:style w:type="paragraph" w:customStyle="1" w:styleId="245">
    <w:name w:val="表格13"/>
    <w:basedOn w:val="1"/>
    <w:link w:val="551"/>
    <w:autoRedefine/>
    <w:qFormat/>
    <w:uiPriority w:val="0"/>
    <w:pPr>
      <w:adjustRightInd w:val="0"/>
      <w:spacing w:line="260" w:lineRule="atLeast"/>
      <w:jc w:val="center"/>
      <w:textAlignment w:val="baseline"/>
    </w:pPr>
    <w:rPr>
      <w:rFonts w:ascii="宋体" w:cs="宋体"/>
      <w:kern w:val="0"/>
      <w:sz w:val="18"/>
      <w:szCs w:val="18"/>
      <w:lang w:val="zh-CN" w:eastAsia="en-US" w:bidi="en-US"/>
    </w:rPr>
  </w:style>
  <w:style w:type="paragraph" w:customStyle="1" w:styleId="246">
    <w:name w:val="基准脚注"/>
    <w:basedOn w:val="1"/>
    <w:autoRedefine/>
    <w:qFormat/>
    <w:uiPriority w:val="0"/>
    <w:rPr>
      <w:rFonts w:ascii="Garamond" w:hAnsi="Garamond"/>
      <w:kern w:val="0"/>
    </w:rPr>
  </w:style>
  <w:style w:type="paragraph" w:customStyle="1" w:styleId="247">
    <w:name w:val="环科院正文"/>
    <w:basedOn w:val="1"/>
    <w:link w:val="538"/>
    <w:autoRedefine/>
    <w:qFormat/>
    <w:uiPriority w:val="0"/>
    <w:pPr>
      <w:tabs>
        <w:tab w:val="left" w:pos="5760"/>
      </w:tabs>
      <w:spacing w:line="500" w:lineRule="exact"/>
      <w:ind w:firstLine="480"/>
    </w:pPr>
    <w:rPr>
      <w:rFonts w:hAnsi="宋体"/>
      <w:bCs/>
      <w:kern w:val="0"/>
      <w:szCs w:val="24"/>
      <w:u w:color="000000"/>
      <w:lang w:val="zh-CN"/>
    </w:rPr>
  </w:style>
  <w:style w:type="paragraph" w:customStyle="1" w:styleId="248">
    <w:name w:val="正文首行缩进1"/>
    <w:basedOn w:val="5"/>
    <w:autoRedefine/>
    <w:qFormat/>
    <w:uiPriority w:val="0"/>
    <w:pPr>
      <w:widowControl w:val="0"/>
      <w:tabs>
        <w:tab w:val="left" w:pos="3312"/>
      </w:tabs>
      <w:autoSpaceDE w:val="0"/>
      <w:autoSpaceDN w:val="0"/>
      <w:adjustRightInd w:val="0"/>
      <w:snapToGrid w:val="0"/>
      <w:spacing w:after="0" w:line="360" w:lineRule="exact"/>
      <w:ind w:firstLine="510"/>
      <w:jc w:val="both"/>
      <w:textAlignment w:val="baseline"/>
    </w:pPr>
    <w:rPr>
      <w:kern w:val="2"/>
      <w:sz w:val="21"/>
      <w:szCs w:val="21"/>
    </w:rPr>
  </w:style>
  <w:style w:type="paragraph" w:customStyle="1" w:styleId="249">
    <w:name w:val="三级dan"/>
    <w:basedOn w:val="1"/>
    <w:next w:val="1"/>
    <w:autoRedefine/>
    <w:qFormat/>
    <w:uiPriority w:val="0"/>
    <w:pPr>
      <w:keepNext/>
      <w:keepLines/>
      <w:adjustRightInd w:val="0"/>
      <w:spacing w:before="80" w:after="80"/>
      <w:outlineLvl w:val="2"/>
    </w:pPr>
    <w:rPr>
      <w:rFonts w:ascii="黑体" w:eastAsia="黑体" w:cs="宋体"/>
      <w:b/>
      <w:kern w:val="0"/>
      <w:sz w:val="28"/>
      <w:szCs w:val="28"/>
    </w:rPr>
  </w:style>
  <w:style w:type="paragraph" w:customStyle="1" w:styleId="250">
    <w:name w:val="标题12"/>
    <w:basedOn w:val="1"/>
    <w:autoRedefine/>
    <w:qFormat/>
    <w:uiPriority w:val="0"/>
    <w:pPr>
      <w:tabs>
        <w:tab w:val="left" w:pos="780"/>
        <w:tab w:val="left" w:pos="2490"/>
      </w:tabs>
      <w:spacing w:afterLines="50" w:line="360" w:lineRule="exact"/>
      <w:ind w:left="780" w:hanging="420"/>
      <w:outlineLvl w:val="0"/>
    </w:pPr>
    <w:rPr>
      <w:b/>
      <w:sz w:val="30"/>
      <w:szCs w:val="28"/>
    </w:rPr>
  </w:style>
  <w:style w:type="paragraph" w:customStyle="1" w:styleId="251">
    <w:name w:val="样式 宋体 小四 加粗 左 行距: 1.5 倍行距"/>
    <w:basedOn w:val="1"/>
    <w:autoRedefine/>
    <w:qFormat/>
    <w:uiPriority w:val="0"/>
    <w:pPr>
      <w:ind w:firstLine="480"/>
    </w:pPr>
    <w:rPr>
      <w:bCs/>
      <w:kern w:val="0"/>
      <w:szCs w:val="24"/>
    </w:rPr>
  </w:style>
  <w:style w:type="paragraph" w:customStyle="1" w:styleId="252">
    <w:name w:val="样式 样式 宋体 小四 行距: 多倍行距 1.4 字行 + 首行缩进:  2 字符"/>
    <w:basedOn w:val="1"/>
    <w:autoRedefine/>
    <w:qFormat/>
    <w:uiPriority w:val="0"/>
    <w:rPr>
      <w:rFonts w:ascii="宋体" w:hAnsi="宋体"/>
      <w:kern w:val="28"/>
      <w:sz w:val="28"/>
    </w:rPr>
  </w:style>
  <w:style w:type="paragraph" w:customStyle="1" w:styleId="253">
    <w:name w:val="样式 样式 正文@ + 首行缩进:  2 字符 + 首行缩进:  2 字符"/>
    <w:basedOn w:val="1"/>
    <w:link w:val="560"/>
    <w:autoRedefine/>
    <w:qFormat/>
    <w:uiPriority w:val="0"/>
    <w:pPr>
      <w:spacing w:line="312" w:lineRule="auto"/>
    </w:pPr>
    <w:rPr>
      <w:rFonts w:ascii="宋体" w:hAnsi="宋体"/>
      <w:kern w:val="0"/>
    </w:rPr>
  </w:style>
  <w:style w:type="paragraph" w:customStyle="1" w:styleId="254">
    <w:name w:val="表、图名"/>
    <w:basedOn w:val="1"/>
    <w:autoRedefine/>
    <w:qFormat/>
    <w:uiPriority w:val="0"/>
    <w:pPr>
      <w:adjustRightInd w:val="0"/>
      <w:snapToGrid w:val="0"/>
      <w:jc w:val="center"/>
    </w:pPr>
    <w:rPr>
      <w:rFonts w:ascii="黑体" w:hAnsi="宋体" w:eastAsia="黑体"/>
      <w:color w:val="000000"/>
      <w:szCs w:val="18"/>
    </w:rPr>
  </w:style>
  <w:style w:type="paragraph" w:customStyle="1" w:styleId="255">
    <w:name w:val="章标题"/>
    <w:next w:val="203"/>
    <w:autoRedefine/>
    <w:qFormat/>
    <w:uiPriority w:val="0"/>
    <w:pPr>
      <w:tabs>
        <w:tab w:val="left" w:pos="840"/>
        <w:tab w:val="left" w:pos="903"/>
      </w:tabs>
      <w:spacing w:before="50" w:after="50"/>
      <w:ind w:left="903" w:hanging="315"/>
      <w:jc w:val="both"/>
      <w:outlineLvl w:val="1"/>
    </w:pPr>
    <w:rPr>
      <w:rFonts w:ascii="黑体" w:hAnsi="Times New Roman" w:eastAsia="黑体" w:cs="Times New Roman"/>
      <w:sz w:val="21"/>
      <w:lang w:val="en-US" w:eastAsia="zh-CN" w:bidi="ar-SA"/>
    </w:rPr>
  </w:style>
  <w:style w:type="paragraph" w:customStyle="1" w:styleId="256">
    <w:name w:val="表格标题"/>
    <w:basedOn w:val="5"/>
    <w:next w:val="1"/>
    <w:link w:val="654"/>
    <w:autoRedefine/>
    <w:qFormat/>
    <w:uiPriority w:val="0"/>
    <w:pPr>
      <w:spacing w:before="120"/>
      <w:jc w:val="center"/>
    </w:pPr>
    <w:rPr>
      <w:sz w:val="24"/>
    </w:rPr>
  </w:style>
  <w:style w:type="paragraph" w:customStyle="1" w:styleId="257">
    <w:name w:val="正文文"/>
    <w:basedOn w:val="1"/>
    <w:next w:val="1"/>
    <w:autoRedefine/>
    <w:qFormat/>
    <w:uiPriority w:val="0"/>
    <w:pPr>
      <w:spacing w:beforeLines="25" w:afterLines="25" w:line="440" w:lineRule="exact"/>
    </w:pPr>
    <w:rPr>
      <w:rFonts w:cs="宋体"/>
    </w:rPr>
  </w:style>
  <w:style w:type="paragraph" w:customStyle="1" w:styleId="258">
    <w:name w:val="默认段落字体 Para Char Char Char Char Char Char Char Char Char Char"/>
    <w:basedOn w:val="1"/>
    <w:autoRedefine/>
    <w:qFormat/>
    <w:uiPriority w:val="0"/>
    <w:pPr>
      <w:adjustRightInd w:val="0"/>
    </w:pPr>
    <w:rPr>
      <w:kern w:val="0"/>
    </w:rPr>
  </w:style>
  <w:style w:type="paragraph" w:customStyle="1" w:styleId="259">
    <w:name w:val="正文格式"/>
    <w:basedOn w:val="1"/>
    <w:link w:val="702"/>
    <w:autoRedefine/>
    <w:qFormat/>
    <w:uiPriority w:val="0"/>
    <w:pPr>
      <w:ind w:firstLine="544"/>
    </w:pPr>
    <w:rPr>
      <w:kern w:val="0"/>
      <w:szCs w:val="24"/>
    </w:rPr>
  </w:style>
  <w:style w:type="paragraph" w:customStyle="1" w:styleId="260">
    <w:name w:val="页眉1"/>
    <w:basedOn w:val="1"/>
    <w:autoRedefine/>
    <w:qFormat/>
    <w:uiPriority w:val="0"/>
    <w:pPr>
      <w:pBdr>
        <w:bottom w:val="single" w:color="auto" w:sz="6" w:space="1"/>
      </w:pBdr>
      <w:snapToGrid w:val="0"/>
      <w:spacing w:line="240" w:lineRule="atLeast"/>
      <w:jc w:val="center"/>
    </w:pPr>
    <w:rPr>
      <w:rFonts w:ascii="宋体"/>
      <w:kern w:val="0"/>
      <w:sz w:val="18"/>
      <w:szCs w:val="18"/>
    </w:rPr>
  </w:style>
  <w:style w:type="paragraph" w:customStyle="1" w:styleId="261">
    <w:name w:val="二级无标题条"/>
    <w:basedOn w:val="1"/>
    <w:autoRedefine/>
    <w:qFormat/>
    <w:uiPriority w:val="0"/>
    <w:rPr>
      <w:sz w:val="28"/>
      <w:szCs w:val="24"/>
    </w:rPr>
  </w:style>
  <w:style w:type="paragraph" w:customStyle="1" w:styleId="262">
    <w:name w:val="标题一"/>
    <w:basedOn w:val="9"/>
    <w:next w:val="1"/>
    <w:autoRedefine/>
    <w:qFormat/>
    <w:uiPriority w:val="0"/>
    <w:pPr>
      <w:keepLines w:val="0"/>
      <w:spacing w:line="540" w:lineRule="exact"/>
      <w:jc w:val="center"/>
    </w:pPr>
    <w:rPr>
      <w:rFonts w:eastAsia="黑体"/>
      <w:bCs w:val="0"/>
      <w:kern w:val="2"/>
      <w:sz w:val="36"/>
      <w:szCs w:val="20"/>
    </w:rPr>
  </w:style>
  <w:style w:type="paragraph" w:customStyle="1" w:styleId="263">
    <w:name w:val="页脚1"/>
    <w:basedOn w:val="153"/>
    <w:autoRedefine/>
    <w:qFormat/>
    <w:uiPriority w:val="0"/>
    <w:pPr>
      <w:tabs>
        <w:tab w:val="center" w:pos="4153"/>
        <w:tab w:val="right" w:pos="8306"/>
      </w:tabs>
      <w:snapToGrid/>
      <w:spacing w:line="240" w:lineRule="atLeast"/>
      <w:ind w:firstLine="0" w:firstLineChars="0"/>
      <w:textAlignment w:val="baseline"/>
    </w:pPr>
    <w:rPr>
      <w:sz w:val="18"/>
      <w:szCs w:val="20"/>
      <w:lang w:eastAsia="zh-CN"/>
    </w:rPr>
  </w:style>
  <w:style w:type="paragraph" w:customStyle="1" w:styleId="264">
    <w:name w:val="正文21"/>
    <w:basedOn w:val="1"/>
    <w:autoRedefine/>
    <w:qFormat/>
    <w:uiPriority w:val="0"/>
    <w:pPr>
      <w:adjustRightInd w:val="0"/>
      <w:snapToGrid w:val="0"/>
      <w:ind w:right="-107" w:rightChars="-51"/>
      <w:jc w:val="center"/>
    </w:pPr>
    <w:rPr>
      <w:rFonts w:ascii="宋体" w:hAnsi="宋体"/>
      <w:szCs w:val="21"/>
    </w:rPr>
  </w:style>
  <w:style w:type="paragraph" w:customStyle="1" w:styleId="265">
    <w:name w:val="国电正文"/>
    <w:basedOn w:val="1"/>
    <w:link w:val="515"/>
    <w:autoRedefine/>
    <w:qFormat/>
    <w:uiPriority w:val="0"/>
    <w:rPr>
      <w:color w:val="000000"/>
      <w:kern w:val="0"/>
    </w:rPr>
  </w:style>
  <w:style w:type="paragraph" w:customStyle="1" w:styleId="266">
    <w:name w:val="四级条标题"/>
    <w:basedOn w:val="267"/>
    <w:next w:val="1"/>
    <w:autoRedefine/>
    <w:qFormat/>
    <w:uiPriority w:val="0"/>
    <w:pPr>
      <w:tabs>
        <w:tab w:val="left" w:pos="360"/>
        <w:tab w:val="left" w:pos="1440"/>
      </w:tabs>
      <w:ind w:left="1440" w:hanging="1440"/>
      <w:outlineLvl w:val="5"/>
    </w:pPr>
  </w:style>
  <w:style w:type="paragraph" w:customStyle="1" w:styleId="267">
    <w:name w:val="三级条标题"/>
    <w:basedOn w:val="181"/>
    <w:next w:val="1"/>
    <w:autoRedefine/>
    <w:qFormat/>
    <w:uiPriority w:val="0"/>
    <w:pPr>
      <w:outlineLvl w:val="4"/>
    </w:pPr>
  </w:style>
  <w:style w:type="paragraph" w:customStyle="1" w:styleId="268">
    <w:name w:val="正文（首行缩进） Charjophy"/>
    <w:basedOn w:val="1"/>
    <w:autoRedefine/>
    <w:qFormat/>
    <w:uiPriority w:val="0"/>
    <w:pPr>
      <w:overflowPunct w:val="0"/>
      <w:topLinePunct/>
      <w:autoSpaceDE w:val="0"/>
      <w:autoSpaceDN w:val="0"/>
      <w:adjustRightInd w:val="0"/>
      <w:snapToGrid w:val="0"/>
      <w:ind w:firstLine="480"/>
      <w:textAlignment w:val="baseline"/>
    </w:pPr>
    <w:rPr>
      <w:snapToGrid w:val="0"/>
      <w:szCs w:val="24"/>
    </w:rPr>
  </w:style>
  <w:style w:type="paragraph" w:customStyle="1" w:styleId="269">
    <w:name w:val="正文表标题"/>
    <w:next w:val="203"/>
    <w:autoRedefine/>
    <w:qFormat/>
    <w:uiPriority w:val="0"/>
    <w:pPr>
      <w:jc w:val="center"/>
    </w:pPr>
    <w:rPr>
      <w:rFonts w:ascii="黑体" w:hAnsi="Times New Roman" w:eastAsia="黑体" w:cs="Times New Roman"/>
      <w:sz w:val="21"/>
      <w:lang w:val="en-US" w:eastAsia="zh-CN" w:bidi="ar-SA"/>
    </w:rPr>
  </w:style>
  <w:style w:type="paragraph" w:customStyle="1" w:styleId="270">
    <w:name w:val="样式3(代正文)"/>
    <w:basedOn w:val="1"/>
    <w:autoRedefine/>
    <w:qFormat/>
    <w:uiPriority w:val="0"/>
    <w:pPr>
      <w:spacing w:line="640" w:lineRule="exact"/>
      <w:ind w:firstLine="560"/>
    </w:pPr>
    <w:rPr>
      <w:bCs/>
      <w:sz w:val="28"/>
      <w:szCs w:val="24"/>
    </w:rPr>
  </w:style>
  <w:style w:type="paragraph" w:customStyle="1" w:styleId="271">
    <w:name w:val="样式1－表头"/>
    <w:basedOn w:val="1"/>
    <w:autoRedefine/>
    <w:qFormat/>
    <w:uiPriority w:val="0"/>
    <w:pPr>
      <w:adjustRightInd w:val="0"/>
      <w:snapToGrid w:val="0"/>
      <w:spacing w:beforeLines="50" w:afterLines="50" w:line="336" w:lineRule="auto"/>
      <w:jc w:val="center"/>
    </w:pPr>
    <w:rPr>
      <w:rFonts w:eastAsia="黑体"/>
      <w:spacing w:val="6"/>
    </w:rPr>
  </w:style>
  <w:style w:type="paragraph" w:customStyle="1" w:styleId="272">
    <w:name w:val="正文文本 21"/>
    <w:basedOn w:val="1"/>
    <w:autoRedefine/>
    <w:qFormat/>
    <w:uiPriority w:val="0"/>
    <w:pPr>
      <w:autoSpaceDE w:val="0"/>
      <w:autoSpaceDN w:val="0"/>
      <w:adjustRightInd w:val="0"/>
      <w:spacing w:line="360" w:lineRule="atLeast"/>
      <w:ind w:firstLine="425"/>
      <w:textAlignment w:val="baseline"/>
    </w:pPr>
    <w:rPr>
      <w:rFonts w:ascii="宋体" w:hAnsi="Tms Rmn"/>
      <w:kern w:val="0"/>
      <w:sz w:val="28"/>
    </w:rPr>
  </w:style>
  <w:style w:type="paragraph" w:customStyle="1" w:styleId="273">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274">
    <w:name w:val="标题11"/>
    <w:basedOn w:val="1"/>
    <w:next w:val="1"/>
    <w:autoRedefine/>
    <w:qFormat/>
    <w:uiPriority w:val="0"/>
    <w:pPr>
      <w:tabs>
        <w:tab w:val="left" w:pos="0"/>
      </w:tabs>
    </w:pPr>
  </w:style>
  <w:style w:type="paragraph" w:customStyle="1" w:styleId="275">
    <w:name w:val="列出段落1"/>
    <w:basedOn w:val="1"/>
    <w:autoRedefine/>
    <w:qFormat/>
    <w:uiPriority w:val="34"/>
    <w:pPr>
      <w:ind w:firstLine="420"/>
    </w:pPr>
  </w:style>
  <w:style w:type="paragraph" w:customStyle="1" w:styleId="276">
    <w:name w:val="样式 宋体 小四 加粗 行距: 固定值 28 磅"/>
    <w:basedOn w:val="1"/>
    <w:autoRedefine/>
    <w:qFormat/>
    <w:uiPriority w:val="0"/>
    <w:pPr>
      <w:spacing w:line="560" w:lineRule="exact"/>
      <w:ind w:firstLine="482"/>
    </w:pPr>
    <w:rPr>
      <w:rFonts w:ascii="宋体" w:hAnsi="宋体" w:cs="宋体"/>
      <w:b/>
      <w:bCs/>
    </w:rPr>
  </w:style>
  <w:style w:type="paragraph" w:customStyle="1" w:styleId="277">
    <w:name w:val="标题3"/>
    <w:basedOn w:val="1"/>
    <w:next w:val="1"/>
    <w:autoRedefine/>
    <w:qFormat/>
    <w:uiPriority w:val="0"/>
    <w:pPr>
      <w:ind w:left="420" w:hanging="420"/>
    </w:pPr>
    <w:rPr>
      <w:rFonts w:ascii="宋体" w:hAnsi="宋体"/>
      <w:sz w:val="28"/>
      <w:szCs w:val="28"/>
    </w:rPr>
  </w:style>
  <w:style w:type="paragraph" w:customStyle="1" w:styleId="278">
    <w:name w:val="常用表头样式"/>
    <w:basedOn w:val="80"/>
    <w:link w:val="664"/>
    <w:autoRedefine/>
    <w:qFormat/>
    <w:uiPriority w:val="0"/>
    <w:pPr>
      <w:overflowPunct w:val="0"/>
      <w:autoSpaceDE w:val="0"/>
      <w:autoSpaceDN w:val="0"/>
      <w:adjustRightInd w:val="0"/>
      <w:ind w:firstLine="0" w:firstLineChars="0"/>
      <w:jc w:val="center"/>
      <w:textAlignment w:val="baseline"/>
    </w:pPr>
    <w:rPr>
      <w:rFonts w:ascii="黑体" w:eastAsia="仿宋_GB2312"/>
      <w:b/>
      <w:szCs w:val="21"/>
    </w:rPr>
  </w:style>
  <w:style w:type="paragraph" w:customStyle="1" w:styleId="279">
    <w:name w:val="样式 正文文本报告书2号 + 加粗"/>
    <w:basedOn w:val="5"/>
    <w:autoRedefine/>
    <w:qFormat/>
    <w:uiPriority w:val="0"/>
    <w:pPr>
      <w:snapToGrid w:val="0"/>
      <w:spacing w:after="0"/>
      <w:ind w:firstLine="487"/>
    </w:pPr>
    <w:rPr>
      <w:b/>
      <w:bCs/>
      <w:sz w:val="24"/>
    </w:rPr>
  </w:style>
  <w:style w:type="paragraph" w:customStyle="1" w:styleId="280">
    <w:name w:val="列出段落11"/>
    <w:basedOn w:val="1"/>
    <w:autoRedefine/>
    <w:qFormat/>
    <w:uiPriority w:val="0"/>
    <w:pPr>
      <w:ind w:firstLine="420"/>
    </w:pPr>
    <w:rPr>
      <w:rFonts w:ascii="Calibri" w:hAnsi="Calibri"/>
      <w:szCs w:val="22"/>
    </w:rPr>
  </w:style>
  <w:style w:type="paragraph" w:customStyle="1" w:styleId="281">
    <w:name w:val="表题"/>
    <w:basedOn w:val="5"/>
    <w:link w:val="676"/>
    <w:autoRedefine/>
    <w:qFormat/>
    <w:uiPriority w:val="0"/>
    <w:pPr>
      <w:spacing w:beforeLines="50" w:after="0"/>
      <w:jc w:val="center"/>
    </w:pPr>
    <w:rPr>
      <w:b/>
      <w:sz w:val="24"/>
      <w:szCs w:val="24"/>
    </w:rPr>
  </w:style>
  <w:style w:type="paragraph" w:customStyle="1" w:styleId="282">
    <w:name w:val="表格第一行"/>
    <w:basedOn w:val="1"/>
    <w:link w:val="572"/>
    <w:autoRedefine/>
    <w:qFormat/>
    <w:uiPriority w:val="0"/>
    <w:pPr>
      <w:jc w:val="center"/>
    </w:pPr>
    <w:rPr>
      <w:b/>
      <w:kern w:val="0"/>
      <w:sz w:val="20"/>
    </w:rPr>
  </w:style>
  <w:style w:type="paragraph" w:customStyle="1" w:styleId="283">
    <w:name w:val="表内5"/>
    <w:basedOn w:val="1"/>
    <w:autoRedefine/>
    <w:qFormat/>
    <w:uiPriority w:val="0"/>
    <w:pPr>
      <w:tabs>
        <w:tab w:val="left" w:pos="4680"/>
      </w:tabs>
      <w:adjustRightInd w:val="0"/>
      <w:snapToGrid w:val="0"/>
      <w:ind w:firstLine="350" w:firstLineChars="350"/>
      <w:jc w:val="center"/>
    </w:pPr>
    <w:rPr>
      <w:rFonts w:hAnsi="宋体"/>
      <w:color w:val="000000"/>
      <w:szCs w:val="21"/>
    </w:rPr>
  </w:style>
  <w:style w:type="paragraph" w:customStyle="1" w:styleId="284">
    <w:name w:val="表样式"/>
    <w:basedOn w:val="1"/>
    <w:link w:val="540"/>
    <w:autoRedefine/>
    <w:qFormat/>
    <w:uiPriority w:val="0"/>
    <w:pPr>
      <w:jc w:val="center"/>
    </w:pPr>
    <w:rPr>
      <w:rFonts w:ascii="仿宋_GB2312" w:eastAsia="黑体"/>
      <w:szCs w:val="24"/>
    </w:rPr>
  </w:style>
  <w:style w:type="paragraph" w:customStyle="1" w:styleId="285">
    <w:name w:val="表格内"/>
    <w:next w:val="1"/>
    <w:link w:val="687"/>
    <w:autoRedefine/>
    <w:qFormat/>
    <w:uiPriority w:val="0"/>
    <w:pPr>
      <w:adjustRightInd w:val="0"/>
      <w:snapToGrid w:val="0"/>
      <w:spacing w:before="40" w:after="40"/>
      <w:jc w:val="center"/>
    </w:pPr>
    <w:rPr>
      <w:rFonts w:ascii="Times New Roman" w:hAnsi="Times New Roman" w:eastAsia="宋体" w:cs="Times New Roman"/>
      <w:sz w:val="21"/>
      <w:szCs w:val="22"/>
      <w:lang w:val="en-US" w:eastAsia="zh-CN" w:bidi="ar-SA"/>
    </w:rPr>
  </w:style>
  <w:style w:type="paragraph" w:customStyle="1" w:styleId="286">
    <w:name w:val="正文规定"/>
    <w:basedOn w:val="1"/>
    <w:autoRedefine/>
    <w:qFormat/>
    <w:uiPriority w:val="0"/>
    <w:pPr>
      <w:ind w:firstLine="480"/>
    </w:pPr>
    <w:rPr>
      <w:rFonts w:ascii="宋体" w:hAnsi="宋体"/>
      <w:kern w:val="0"/>
    </w:rPr>
  </w:style>
  <w:style w:type="paragraph" w:customStyle="1" w:styleId="287">
    <w:name w:val="样式1（代章）"/>
    <w:autoRedefine/>
    <w:qFormat/>
    <w:uiPriority w:val="0"/>
    <w:pPr>
      <w:spacing w:beforeLines="200" w:afterLines="100"/>
      <w:jc w:val="center"/>
      <w:outlineLvl w:val="0"/>
    </w:pPr>
    <w:rPr>
      <w:rFonts w:ascii="Times New Roman" w:hAnsi="Times New Roman" w:eastAsia="宋体" w:cs="Times New Roman"/>
      <w:sz w:val="36"/>
      <w:lang w:val="en-US" w:eastAsia="zh-CN" w:bidi="ar-SA"/>
    </w:rPr>
  </w:style>
  <w:style w:type="paragraph" w:customStyle="1" w:styleId="288">
    <w:name w:val="正文2"/>
    <w:autoRedefine/>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89">
    <w:name w:val="正文23"/>
    <w:basedOn w:val="1"/>
    <w:autoRedefine/>
    <w:qFormat/>
    <w:uiPriority w:val="0"/>
    <w:pPr>
      <w:adjustRightInd w:val="0"/>
      <w:snapToGrid w:val="0"/>
      <w:ind w:right="-107" w:rightChars="-51"/>
      <w:jc w:val="center"/>
    </w:pPr>
    <w:rPr>
      <w:rFonts w:ascii="宋体" w:hAnsi="宋体"/>
      <w:szCs w:val="21"/>
    </w:rPr>
  </w:style>
  <w:style w:type="paragraph" w:customStyle="1" w:styleId="290">
    <w:name w:val="第七章表头"/>
    <w:basedOn w:val="1"/>
    <w:autoRedefine/>
    <w:qFormat/>
    <w:uiPriority w:val="0"/>
    <w:pPr>
      <w:tabs>
        <w:tab w:val="left" w:pos="1080"/>
      </w:tabs>
      <w:jc w:val="center"/>
    </w:pPr>
    <w:rPr>
      <w:b/>
      <w:color w:val="0000FF"/>
      <w:szCs w:val="24"/>
    </w:rPr>
  </w:style>
  <w:style w:type="paragraph" w:styleId="291">
    <w:name w:val="List Paragraph"/>
    <w:basedOn w:val="1"/>
    <w:autoRedefine/>
    <w:qFormat/>
    <w:uiPriority w:val="34"/>
    <w:rPr>
      <w:rFonts w:ascii="宋体"/>
      <w:kern w:val="0"/>
    </w:rPr>
  </w:style>
  <w:style w:type="paragraph" w:customStyle="1" w:styleId="292">
    <w:name w:val="目录格式2"/>
    <w:basedOn w:val="10"/>
    <w:autoRedefine/>
    <w:qFormat/>
    <w:uiPriority w:val="0"/>
    <w:pPr>
      <w:keepLines w:val="0"/>
      <w:adjustRightInd w:val="0"/>
      <w:spacing w:before="120" w:line="480" w:lineRule="exact"/>
      <w:textAlignment w:val="baseline"/>
    </w:pPr>
    <w:rPr>
      <w:rFonts w:ascii="黑体" w:eastAsia="黑体"/>
      <w:spacing w:val="20"/>
      <w:sz w:val="28"/>
      <w:szCs w:val="20"/>
    </w:rPr>
  </w:style>
  <w:style w:type="paragraph" w:customStyle="1" w:styleId="293">
    <w:name w:val="表格其他行胡"/>
    <w:basedOn w:val="1"/>
    <w:autoRedefine/>
    <w:qFormat/>
    <w:uiPriority w:val="0"/>
    <w:pPr>
      <w:jc w:val="center"/>
    </w:pPr>
    <w:rPr>
      <w:szCs w:val="24"/>
    </w:rPr>
  </w:style>
  <w:style w:type="paragraph" w:customStyle="1" w:styleId="294">
    <w:name w:val="表内－中5"/>
    <w:autoRedefine/>
    <w:qFormat/>
    <w:uiPriority w:val="0"/>
    <w:pPr>
      <w:spacing w:line="360" w:lineRule="exact"/>
      <w:jc w:val="center"/>
    </w:pPr>
    <w:rPr>
      <w:rFonts w:ascii="Times New Roman" w:hAnsi="Times New Roman" w:eastAsia="宋体" w:cs="宋体"/>
      <w:kern w:val="2"/>
      <w:sz w:val="21"/>
      <w:szCs w:val="24"/>
      <w:lang w:val="en-GB" w:eastAsia="zh-CN" w:bidi="ar-SA"/>
    </w:rPr>
  </w:style>
  <w:style w:type="paragraph" w:customStyle="1" w:styleId="295">
    <w:name w:val="样式 小四 加粗 居中 行距: 固定值 22 磅"/>
    <w:basedOn w:val="1"/>
    <w:autoRedefine/>
    <w:qFormat/>
    <w:uiPriority w:val="0"/>
    <w:pPr>
      <w:jc w:val="center"/>
    </w:pPr>
    <w:rPr>
      <w:rFonts w:cs="宋体"/>
      <w:b/>
      <w:bCs/>
    </w:rPr>
  </w:style>
  <w:style w:type="paragraph" w:customStyle="1" w:styleId="296">
    <w:name w:val="表格头"/>
    <w:basedOn w:val="1"/>
    <w:autoRedefine/>
    <w:qFormat/>
    <w:uiPriority w:val="0"/>
    <w:pPr>
      <w:adjustRightInd w:val="0"/>
      <w:spacing w:line="500" w:lineRule="exact"/>
      <w:jc w:val="center"/>
    </w:pPr>
    <w:rPr>
      <w:rFonts w:eastAsia="楷体_GB2312"/>
      <w:sz w:val="28"/>
    </w:rPr>
  </w:style>
  <w:style w:type="paragraph" w:customStyle="1" w:styleId="297">
    <w:name w:val="正文01"/>
    <w:basedOn w:val="1"/>
    <w:link w:val="556"/>
    <w:autoRedefine/>
    <w:qFormat/>
    <w:uiPriority w:val="0"/>
    <w:pPr>
      <w:adjustRightInd w:val="0"/>
      <w:snapToGrid w:val="0"/>
      <w:ind w:firstLine="480"/>
    </w:pPr>
    <w:rPr>
      <w:snapToGrid w:val="0"/>
      <w:kern w:val="56"/>
      <w:lang w:val="zh-CN"/>
    </w:rPr>
  </w:style>
  <w:style w:type="paragraph" w:customStyle="1" w:styleId="298">
    <w:name w:val="表格中"/>
    <w:basedOn w:val="1"/>
    <w:autoRedefine/>
    <w:qFormat/>
    <w:uiPriority w:val="0"/>
    <w:pPr>
      <w:spacing w:line="280" w:lineRule="exact"/>
      <w:jc w:val="center"/>
    </w:pPr>
    <w:rPr>
      <w:rFonts w:ascii="宋体"/>
      <w:sz w:val="18"/>
      <w:szCs w:val="24"/>
    </w:rPr>
  </w:style>
  <w:style w:type="paragraph" w:customStyle="1" w:styleId="299">
    <w:name w:val="表格字体"/>
    <w:basedOn w:val="44"/>
    <w:link w:val="651"/>
    <w:autoRedefine/>
    <w:qFormat/>
    <w:uiPriority w:val="0"/>
    <w:pPr>
      <w:snapToGrid w:val="0"/>
      <w:spacing w:line="240" w:lineRule="auto"/>
      <w:ind w:firstLine="0" w:firstLineChars="0"/>
      <w:jc w:val="center"/>
    </w:pPr>
    <w:rPr>
      <w:rFonts w:ascii="Times New Roman" w:hAnsi="Times New Roman"/>
      <w:szCs w:val="20"/>
    </w:rPr>
  </w:style>
  <w:style w:type="paragraph" w:customStyle="1" w:styleId="300">
    <w:name w:val="列表(L)"/>
    <w:basedOn w:val="62"/>
    <w:link w:val="541"/>
    <w:autoRedefine/>
    <w:qFormat/>
    <w:uiPriority w:val="0"/>
    <w:pPr>
      <w:keepLines/>
      <w:snapToGrid w:val="0"/>
      <w:spacing w:line="240" w:lineRule="auto"/>
      <w:ind w:left="0" w:right="0" w:firstLine="0"/>
      <w:jc w:val="both"/>
    </w:pPr>
    <w:rPr>
      <w:rFonts w:ascii="Times New Roman" w:eastAsia="宋体"/>
      <w:kern w:val="0"/>
      <w:sz w:val="20"/>
    </w:rPr>
  </w:style>
  <w:style w:type="paragraph" w:customStyle="1" w:styleId="301">
    <w:name w:val="评价样式1"/>
    <w:basedOn w:val="1"/>
    <w:next w:val="5"/>
    <w:autoRedefine/>
    <w:qFormat/>
    <w:uiPriority w:val="0"/>
    <w:pPr>
      <w:spacing w:line="460" w:lineRule="atLeast"/>
      <w:ind w:left="-288"/>
    </w:pPr>
    <w:rPr>
      <w:rFonts w:ascii="Times" w:hAnsi="Times"/>
      <w:bCs/>
      <w:szCs w:val="24"/>
    </w:rPr>
  </w:style>
  <w:style w:type="paragraph" w:customStyle="1" w:styleId="302">
    <w:name w:val="默认段落字体 Para Char Char Char Char Char Char Char Char Char Char Char"/>
    <w:basedOn w:val="1"/>
    <w:next w:val="1"/>
    <w:autoRedefine/>
    <w:qFormat/>
    <w:uiPriority w:val="0"/>
    <w:pPr>
      <w:tabs>
        <w:tab w:val="left" w:pos="360"/>
        <w:tab w:val="left" w:pos="900"/>
      </w:tabs>
      <w:snapToGrid w:val="0"/>
      <w:spacing w:before="120" w:after="120"/>
      <w:ind w:left="542" w:leftChars="-12"/>
    </w:pPr>
    <w:rPr>
      <w:b/>
      <w:bCs/>
      <w:snapToGrid w:val="0"/>
      <w:sz w:val="28"/>
      <w:szCs w:val="24"/>
    </w:rPr>
  </w:style>
  <w:style w:type="paragraph" w:customStyle="1" w:styleId="303">
    <w:name w:val="仿宋体"/>
    <w:basedOn w:val="1"/>
    <w:autoRedefine/>
    <w:qFormat/>
    <w:uiPriority w:val="0"/>
    <w:pPr>
      <w:spacing w:line="844" w:lineRule="atLeast"/>
      <w:ind w:firstLine="419"/>
      <w:textAlignment w:val="baseline"/>
    </w:pPr>
    <w:rPr>
      <w:rFonts w:ascii="宋体" w:hAnsi="宋体" w:eastAsia="仿宋_GB2312" w:cs="宋体"/>
      <w:color w:val="000000"/>
      <w:kern w:val="0"/>
      <w:sz w:val="31"/>
      <w:u w:color="000000"/>
    </w:rPr>
  </w:style>
  <w:style w:type="paragraph" w:customStyle="1" w:styleId="304">
    <w:name w:val="样式 样式 突出 + 首行缩进:  2 字符 段前: 0.5 行 + 首行缩进:  2 字符"/>
    <w:basedOn w:val="1"/>
    <w:autoRedefine/>
    <w:qFormat/>
    <w:uiPriority w:val="0"/>
    <w:pPr>
      <w:spacing w:beforeLines="50"/>
    </w:pPr>
    <w:rPr>
      <w:rFonts w:ascii="宋体" w:hAnsi="宋体" w:cs="宋体"/>
      <w:b/>
      <w:bCs/>
      <w:sz w:val="28"/>
    </w:rPr>
  </w:style>
  <w:style w:type="paragraph" w:customStyle="1" w:styleId="305">
    <w:name w:val="造纸正文"/>
    <w:basedOn w:val="1"/>
    <w:autoRedefine/>
    <w:qFormat/>
    <w:uiPriority w:val="0"/>
    <w:pPr>
      <w:adjustRightInd w:val="0"/>
      <w:snapToGrid w:val="0"/>
    </w:pPr>
    <w:rPr>
      <w:szCs w:val="24"/>
    </w:rPr>
  </w:style>
  <w:style w:type="paragraph" w:customStyle="1" w:styleId="306">
    <w:name w:val="正文 + (西文) 华文细黑"/>
    <w:basedOn w:val="1"/>
    <w:autoRedefine/>
    <w:qFormat/>
    <w:uiPriority w:val="0"/>
    <w:pPr>
      <w:overflowPunct w:val="0"/>
      <w:adjustRightInd w:val="0"/>
      <w:jc w:val="center"/>
      <w:textAlignment w:val="baseline"/>
    </w:pPr>
    <w:rPr>
      <w:rFonts w:ascii="华文细黑" w:hAnsi="华文细黑"/>
      <w:b/>
      <w:kern w:val="0"/>
      <w:szCs w:val="24"/>
    </w:rPr>
  </w:style>
  <w:style w:type="paragraph" w:customStyle="1" w:styleId="307">
    <w:name w:val="样式 样式 标题 1 + Times New Roman 首行缩进:  1.13 厘米 段前: 7.8 磅 段后: 0.5 行...."/>
    <w:basedOn w:val="1"/>
    <w:autoRedefine/>
    <w:qFormat/>
    <w:uiPriority w:val="0"/>
    <w:pPr>
      <w:keepNext/>
      <w:keepLines/>
      <w:pageBreakBefore/>
      <w:spacing w:before="156" w:afterLines="50" w:line="312" w:lineRule="auto"/>
      <w:outlineLvl w:val="0"/>
    </w:pPr>
    <w:rPr>
      <w:rFonts w:eastAsia="黑体" w:cs="宋体"/>
      <w:kern w:val="44"/>
      <w:sz w:val="32"/>
    </w:rPr>
  </w:style>
  <w:style w:type="paragraph" w:customStyle="1" w:styleId="308">
    <w:name w:val="表格标题s"/>
    <w:basedOn w:val="1"/>
    <w:link w:val="671"/>
    <w:autoRedefine/>
    <w:qFormat/>
    <w:uiPriority w:val="0"/>
    <w:pPr>
      <w:spacing w:line="560" w:lineRule="exact"/>
      <w:jc w:val="center"/>
    </w:pPr>
    <w:rPr>
      <w:rFonts w:ascii="黑体" w:eastAsia="黑体"/>
      <w:b/>
      <w:bCs/>
      <w:color w:val="0070C0"/>
      <w:kern w:val="0"/>
      <w:lang w:val="zh-CN"/>
    </w:rPr>
  </w:style>
  <w:style w:type="paragraph" w:customStyle="1" w:styleId="309">
    <w:name w:val="样式 四号 首行缩进:  2 字符"/>
    <w:basedOn w:val="1"/>
    <w:autoRedefine/>
    <w:qFormat/>
    <w:uiPriority w:val="0"/>
    <w:pPr>
      <w:spacing w:line="480" w:lineRule="atLeast"/>
    </w:pPr>
  </w:style>
  <w:style w:type="paragraph" w:customStyle="1" w:styleId="310">
    <w:name w:val="纯文本1"/>
    <w:basedOn w:val="1"/>
    <w:autoRedefine/>
    <w:qFormat/>
    <w:uiPriority w:val="0"/>
    <w:pPr>
      <w:adjustRightInd w:val="0"/>
      <w:spacing w:line="560" w:lineRule="exact"/>
      <w:ind w:firstLine="567"/>
      <w:textAlignment w:val="baseline"/>
    </w:pPr>
    <w:rPr>
      <w:rFonts w:ascii="宋体" w:hAnsi="宋体" w:eastAsia="仿宋_GB2312"/>
      <w:kern w:val="0"/>
      <w:sz w:val="28"/>
    </w:rPr>
  </w:style>
  <w:style w:type="paragraph" w:customStyle="1" w:styleId="311">
    <w:name w:val="正文dg"/>
    <w:basedOn w:val="1"/>
    <w:link w:val="668"/>
    <w:autoRedefine/>
    <w:qFormat/>
    <w:uiPriority w:val="0"/>
    <w:pPr>
      <w:spacing w:line="520" w:lineRule="exact"/>
      <w:ind w:firstLine="480"/>
    </w:pPr>
    <w:rPr>
      <w:rFonts w:ascii="新宋体" w:hAnsi="新宋体" w:eastAsia="新宋体"/>
      <w:kern w:val="0"/>
      <w:szCs w:val="24"/>
    </w:rPr>
  </w:style>
  <w:style w:type="paragraph" w:customStyle="1" w:styleId="312">
    <w:name w:val="三级标题"/>
    <w:basedOn w:val="11"/>
    <w:next w:val="1"/>
    <w:link w:val="740"/>
    <w:autoRedefine/>
    <w:qFormat/>
    <w:uiPriority w:val="0"/>
    <w:pPr>
      <w:tabs>
        <w:tab w:val="left" w:pos="720"/>
      </w:tabs>
      <w:adjustRightInd w:val="0"/>
      <w:spacing w:beforeLines="50" w:afterLines="50"/>
      <w:textAlignment w:val="baseline"/>
    </w:pPr>
    <w:rPr>
      <w:rFonts w:eastAsia="黑体"/>
      <w:b w:val="0"/>
      <w:bCs w:val="0"/>
      <w:szCs w:val="20"/>
    </w:rPr>
  </w:style>
  <w:style w:type="paragraph" w:customStyle="1" w:styleId="313">
    <w:name w:val="表格五号标题"/>
    <w:basedOn w:val="1"/>
    <w:link w:val="564"/>
    <w:autoRedefine/>
    <w:qFormat/>
    <w:uiPriority w:val="0"/>
    <w:pPr>
      <w:spacing w:before="60" w:line="400" w:lineRule="exact"/>
      <w:ind w:firstLine="800"/>
      <w:jc w:val="center"/>
    </w:pPr>
    <w:rPr>
      <w:kern w:val="0"/>
      <w:szCs w:val="24"/>
    </w:rPr>
  </w:style>
  <w:style w:type="paragraph" w:customStyle="1" w:styleId="314">
    <w:name w:val="目"/>
    <w:basedOn w:val="1"/>
    <w:next w:val="1"/>
    <w:autoRedefine/>
    <w:qFormat/>
    <w:uiPriority w:val="0"/>
    <w:pPr>
      <w:tabs>
        <w:tab w:val="left" w:pos="720"/>
      </w:tabs>
      <w:adjustRightInd w:val="0"/>
      <w:spacing w:before="120" w:after="120" w:line="480" w:lineRule="exact"/>
      <w:textAlignment w:val="baseline"/>
      <w:outlineLvl w:val="2"/>
    </w:pPr>
    <w:rPr>
      <w:rFonts w:ascii="楷体_GB2312" w:eastAsia="楷体_GB2312"/>
      <w:b/>
      <w:kern w:val="0"/>
      <w:sz w:val="32"/>
    </w:rPr>
  </w:style>
  <w:style w:type="paragraph" w:customStyle="1" w:styleId="315">
    <w:name w:val="样式 样式 标题 1 + 22 磅 + 段前: 7.8 磅"/>
    <w:basedOn w:val="1"/>
    <w:autoRedefine/>
    <w:qFormat/>
    <w:uiPriority w:val="0"/>
    <w:pPr>
      <w:keepNext/>
      <w:keepLines/>
      <w:tabs>
        <w:tab w:val="left" w:pos="1260"/>
      </w:tabs>
      <w:spacing w:before="156"/>
      <w:ind w:left="1260" w:hanging="780"/>
      <w:outlineLvl w:val="0"/>
    </w:pPr>
    <w:rPr>
      <w:rFonts w:ascii="宋体" w:hAnsi="宋体" w:eastAsia="黑体"/>
      <w:b/>
      <w:bCs/>
      <w:kern w:val="44"/>
      <w:sz w:val="36"/>
    </w:rPr>
  </w:style>
  <w:style w:type="paragraph" w:customStyle="1" w:styleId="316">
    <w:name w:val="环正文"/>
    <w:basedOn w:val="1"/>
    <w:autoRedefine/>
    <w:qFormat/>
    <w:uiPriority w:val="0"/>
    <w:pPr>
      <w:tabs>
        <w:tab w:val="left" w:pos="5094"/>
      </w:tabs>
      <w:adjustRightInd w:val="0"/>
      <w:spacing w:line="312" w:lineRule="atLeast"/>
      <w:ind w:firstLine="650" w:firstLineChars="232"/>
      <w:textAlignment w:val="baseline"/>
    </w:pPr>
    <w:rPr>
      <w:rFonts w:ascii="仿宋_GB2312" w:hAnsi="宋体" w:eastAsia="仿宋_GB2312"/>
      <w:sz w:val="28"/>
    </w:rPr>
  </w:style>
  <w:style w:type="paragraph" w:customStyle="1" w:styleId="317">
    <w:name w:val="普通(网站)11"/>
    <w:basedOn w:val="1"/>
    <w:autoRedefine/>
    <w:qFormat/>
    <w:uiPriority w:val="0"/>
    <w:pPr>
      <w:spacing w:before="100" w:beforeAutospacing="1" w:after="100" w:afterAutospacing="1"/>
    </w:pPr>
    <w:rPr>
      <w:rFonts w:ascii="宋体" w:cs="宋体"/>
      <w:kern w:val="0"/>
      <w:szCs w:val="24"/>
    </w:rPr>
  </w:style>
  <w:style w:type="paragraph" w:customStyle="1" w:styleId="318">
    <w:name w:val="正文-1"/>
    <w:basedOn w:val="1"/>
    <w:autoRedefine/>
    <w:qFormat/>
    <w:uiPriority w:val="0"/>
    <w:pPr>
      <w:ind w:firstLine="480"/>
    </w:pPr>
    <w:rPr>
      <w:szCs w:val="24"/>
    </w:rPr>
  </w:style>
  <w:style w:type="paragraph" w:customStyle="1" w:styleId="319">
    <w:name w:val="正"/>
    <w:basedOn w:val="1"/>
    <w:link w:val="544"/>
    <w:autoRedefine/>
    <w:qFormat/>
    <w:uiPriority w:val="0"/>
    <w:pPr>
      <w:spacing w:beforeLines="25" w:afterLines="25" w:line="440" w:lineRule="exact"/>
    </w:pPr>
    <w:rPr>
      <w:rFonts w:ascii="宋体" w:hAnsi="宋体"/>
      <w:kern w:val="0"/>
    </w:rPr>
  </w:style>
  <w:style w:type="paragraph" w:customStyle="1" w:styleId="320">
    <w:name w:val="正文四号"/>
    <w:basedOn w:val="1"/>
    <w:link w:val="631"/>
    <w:autoRedefine/>
    <w:qFormat/>
    <w:uiPriority w:val="0"/>
    <w:rPr>
      <w:kern w:val="0"/>
      <w:sz w:val="28"/>
    </w:rPr>
  </w:style>
  <w:style w:type="paragraph" w:customStyle="1" w:styleId="321">
    <w:name w:val="样式 五号 居中 右侧:  -0.11 厘米"/>
    <w:basedOn w:val="1"/>
    <w:autoRedefine/>
    <w:qFormat/>
    <w:uiPriority w:val="0"/>
    <w:pPr>
      <w:ind w:right="-64"/>
      <w:jc w:val="center"/>
    </w:pPr>
    <w:rPr>
      <w:rFonts w:cs="宋体"/>
    </w:rPr>
  </w:style>
  <w:style w:type="paragraph" w:customStyle="1" w:styleId="322">
    <w:name w:val="表字"/>
    <w:basedOn w:val="1"/>
    <w:autoRedefine/>
    <w:qFormat/>
    <w:uiPriority w:val="0"/>
    <w:pPr>
      <w:jc w:val="center"/>
    </w:pPr>
    <w:rPr>
      <w:rFonts w:ascii="宋体"/>
    </w:rPr>
  </w:style>
  <w:style w:type="paragraph" w:customStyle="1" w:styleId="323">
    <w:name w:val="标题2s"/>
    <w:basedOn w:val="10"/>
    <w:link w:val="623"/>
    <w:autoRedefine/>
    <w:qFormat/>
    <w:uiPriority w:val="0"/>
    <w:pPr>
      <w:tabs>
        <w:tab w:val="left" w:pos="1200"/>
      </w:tabs>
      <w:spacing w:line="500" w:lineRule="exact"/>
    </w:pPr>
    <w:rPr>
      <w:rFonts w:ascii="黑体" w:hAnsi="黑体" w:eastAsia="黑体"/>
      <w:color w:val="0070C0"/>
      <w:sz w:val="28"/>
      <w:szCs w:val="28"/>
    </w:rPr>
  </w:style>
  <w:style w:type="paragraph" w:customStyle="1" w:styleId="324">
    <w:name w:val="环评正文"/>
    <w:link w:val="496"/>
    <w:autoRedefine/>
    <w:qFormat/>
    <w:uiPriority w:val="0"/>
    <w:pPr>
      <w:spacing w:line="400" w:lineRule="exact"/>
      <w:ind w:firstLine="200" w:firstLineChars="200"/>
    </w:pPr>
    <w:rPr>
      <w:rFonts w:ascii="Times New Roman" w:hAnsi="Times New Roman" w:eastAsia="宋体" w:cs="Times New Roman"/>
      <w:bCs/>
      <w:sz w:val="24"/>
      <w:szCs w:val="24"/>
      <w:lang w:val="en-US" w:eastAsia="zh-CN" w:bidi="ar-SA"/>
    </w:rPr>
  </w:style>
  <w:style w:type="paragraph" w:customStyle="1" w:styleId="325">
    <w:name w:val="样式 样式 样式 默认段落字体 Para Char Char Char Char + 字距调整二号 + +"/>
    <w:basedOn w:val="1"/>
    <w:autoRedefine/>
    <w:qFormat/>
    <w:uiPriority w:val="0"/>
    <w:pPr>
      <w:spacing w:beforeLines="50" w:afterLines="50"/>
      <w:jc w:val="center"/>
    </w:pPr>
    <w:rPr>
      <w:rFonts w:eastAsia="黑体"/>
      <w:kern w:val="44"/>
      <w:sz w:val="32"/>
      <w:szCs w:val="24"/>
    </w:rPr>
  </w:style>
  <w:style w:type="paragraph" w:customStyle="1" w:styleId="326">
    <w:name w:val="样式 样式2 + 段前: 6 磅 行距: 单倍行距2"/>
    <w:basedOn w:val="1"/>
    <w:autoRedefine/>
    <w:qFormat/>
    <w:uiPriority w:val="0"/>
    <w:pPr>
      <w:autoSpaceDE w:val="0"/>
      <w:autoSpaceDN w:val="0"/>
      <w:adjustRightInd w:val="0"/>
      <w:snapToGrid w:val="0"/>
      <w:spacing w:before="120"/>
      <w:jc w:val="center"/>
      <w:textAlignment w:val="baseline"/>
    </w:pPr>
    <w:rPr>
      <w:spacing w:val="-16"/>
      <w:szCs w:val="21"/>
    </w:rPr>
  </w:style>
  <w:style w:type="paragraph" w:customStyle="1" w:styleId="327">
    <w:name w:val="表内"/>
    <w:basedOn w:val="5"/>
    <w:autoRedefine/>
    <w:qFormat/>
    <w:uiPriority w:val="0"/>
    <w:pPr>
      <w:spacing w:after="0"/>
      <w:ind w:left="-50" w:leftChars="-50" w:right="-50" w:rightChars="-50"/>
      <w:jc w:val="center"/>
    </w:pPr>
    <w:rPr>
      <w:szCs w:val="21"/>
    </w:rPr>
  </w:style>
  <w:style w:type="paragraph" w:customStyle="1" w:styleId="328">
    <w:name w:val="样式 样式  + 行距: 固定值 28 磅 首行缩进:  2 字符 + 首行缩进:  2 字符"/>
    <w:basedOn w:val="1"/>
    <w:autoRedefine/>
    <w:qFormat/>
    <w:uiPriority w:val="0"/>
    <w:pPr>
      <w:spacing w:line="288" w:lineRule="auto"/>
    </w:pPr>
    <w:rPr>
      <w:rFonts w:ascii="宋体" w:hAnsi="Courier New" w:cs="宋体"/>
    </w:rPr>
  </w:style>
  <w:style w:type="paragraph" w:customStyle="1" w:styleId="329">
    <w:name w:val="第二章表头"/>
    <w:basedOn w:val="1"/>
    <w:autoRedefine/>
    <w:qFormat/>
    <w:uiPriority w:val="0"/>
    <w:pPr>
      <w:ind w:left="2831" w:hanging="420"/>
      <w:jc w:val="center"/>
    </w:pPr>
    <w:rPr>
      <w:b/>
      <w:color w:val="0000FF"/>
      <w:szCs w:val="24"/>
    </w:rPr>
  </w:style>
  <w:style w:type="paragraph" w:customStyle="1" w:styleId="330">
    <w:name w:val="样式 宋体 小四 加粗 行距: 固定值 27 磅"/>
    <w:basedOn w:val="1"/>
    <w:autoRedefine/>
    <w:qFormat/>
    <w:uiPriority w:val="0"/>
    <w:pPr>
      <w:spacing w:line="540" w:lineRule="exact"/>
      <w:ind w:firstLine="482"/>
    </w:pPr>
    <w:rPr>
      <w:rFonts w:ascii="宋体" w:hAnsi="宋体" w:cs="宋体"/>
      <w:b/>
      <w:bCs/>
    </w:rPr>
  </w:style>
  <w:style w:type="paragraph" w:customStyle="1" w:styleId="331">
    <w:name w:val="样式 样式 首行缩进:  0.77 厘米 行距: 固定值 20 磅 + 居中 首行缩进:  0 厘米 行距: 单倍行距"/>
    <w:basedOn w:val="1"/>
    <w:autoRedefine/>
    <w:qFormat/>
    <w:uiPriority w:val="0"/>
    <w:pPr>
      <w:spacing w:line="320" w:lineRule="exact"/>
      <w:jc w:val="center"/>
    </w:pPr>
    <w:rPr>
      <w:rFonts w:cs="宋体"/>
    </w:rPr>
  </w:style>
  <w:style w:type="paragraph" w:customStyle="1" w:styleId="332">
    <w:name w:val="默认段落字体 Para Char Char Char Char Char Char Char Char Char1 Char Char Char Char Char Char Char"/>
    <w:basedOn w:val="1"/>
    <w:autoRedefine/>
    <w:qFormat/>
    <w:uiPriority w:val="0"/>
    <w:pPr>
      <w:shd w:val="clear" w:color="auto" w:fill="000080"/>
    </w:pPr>
    <w:rPr>
      <w:rFonts w:ascii="Tahoma" w:hAnsi="Tahoma" w:cs="Tahoma"/>
      <w:kern w:val="0"/>
      <w:szCs w:val="24"/>
    </w:rPr>
  </w:style>
  <w:style w:type="paragraph" w:customStyle="1" w:styleId="333">
    <w:name w:val="正文标准样式"/>
    <w:basedOn w:val="1"/>
    <w:link w:val="599"/>
    <w:autoRedefine/>
    <w:qFormat/>
    <w:uiPriority w:val="0"/>
    <w:pPr>
      <w:adjustRightInd w:val="0"/>
      <w:spacing w:line="300" w:lineRule="auto"/>
      <w:ind w:firstLine="482"/>
      <w:textAlignment w:val="baseline"/>
    </w:pPr>
    <w:rPr>
      <w:kern w:val="0"/>
    </w:rPr>
  </w:style>
  <w:style w:type="paragraph" w:customStyle="1" w:styleId="334">
    <w:name w:val="样式 样式 样式 标题 2 + 首行缩进:  0 厘米 + (中文) 仿宋_GB2312 四号 黑色 首行缩进:  0 厘米 ...."/>
    <w:basedOn w:val="1"/>
    <w:autoRedefine/>
    <w:qFormat/>
    <w:uiPriority w:val="0"/>
    <w:pPr>
      <w:keepNext/>
      <w:keepLines/>
      <w:tabs>
        <w:tab w:val="left" w:pos="840"/>
      </w:tabs>
      <w:overflowPunct w:val="0"/>
      <w:adjustRightInd w:val="0"/>
      <w:snapToGrid w:val="0"/>
      <w:spacing w:before="100" w:beforeAutospacing="1" w:line="560" w:lineRule="exact"/>
      <w:ind w:left="840" w:hanging="420"/>
      <w:textAlignment w:val="baseline"/>
      <w:outlineLvl w:val="1"/>
    </w:pPr>
    <w:rPr>
      <w:rFonts w:cs="宋体"/>
      <w:b/>
      <w:bCs/>
      <w:color w:val="000000"/>
      <w:kern w:val="0"/>
      <w:sz w:val="28"/>
    </w:rPr>
  </w:style>
  <w:style w:type="paragraph" w:customStyle="1" w:styleId="335">
    <w:name w:val="样式 正文001 + 首行缩进:  2 字符1"/>
    <w:basedOn w:val="1"/>
    <w:autoRedefine/>
    <w:qFormat/>
    <w:uiPriority w:val="0"/>
    <w:pPr>
      <w:spacing w:before="60" w:line="500" w:lineRule="atLeast"/>
      <w:ind w:firstLine="480"/>
    </w:pPr>
    <w:rPr>
      <w:rFonts w:ascii="宋体" w:cs="宋体"/>
      <w:kern w:val="0"/>
    </w:rPr>
  </w:style>
  <w:style w:type="paragraph" w:customStyle="1" w:styleId="336">
    <w:name w:val="电镀表"/>
    <w:basedOn w:val="1"/>
    <w:autoRedefine/>
    <w:qFormat/>
    <w:uiPriority w:val="0"/>
    <w:pPr>
      <w:autoSpaceDE w:val="0"/>
      <w:autoSpaceDN w:val="0"/>
      <w:adjustRightInd w:val="0"/>
      <w:jc w:val="center"/>
      <w:textAlignment w:val="center"/>
    </w:pPr>
    <w:rPr>
      <w:w w:val="105"/>
      <w:kern w:val="10"/>
      <w:szCs w:val="21"/>
    </w:rPr>
  </w:style>
  <w:style w:type="paragraph" w:customStyle="1" w:styleId="337">
    <w:name w:val="表中正文"/>
    <w:basedOn w:val="1"/>
    <w:autoRedefine/>
    <w:qFormat/>
    <w:uiPriority w:val="0"/>
    <w:pPr>
      <w:adjustRightInd w:val="0"/>
      <w:snapToGrid w:val="0"/>
      <w:jc w:val="center"/>
    </w:pPr>
    <w:rPr>
      <w:rFonts w:ascii="Calibri" w:hAnsi="Calibri"/>
      <w:spacing w:val="-8"/>
      <w:kern w:val="0"/>
      <w:szCs w:val="22"/>
      <w:lang w:eastAsia="en-US" w:bidi="en-US"/>
    </w:rPr>
  </w:style>
  <w:style w:type="paragraph" w:customStyle="1" w:styleId="338">
    <w:name w:val="样式 样式 111111正文 + 首行缩进:  2 字符 + 首行缩进:  2 字符"/>
    <w:basedOn w:val="1"/>
    <w:autoRedefine/>
    <w:qFormat/>
    <w:uiPriority w:val="0"/>
    <w:pPr>
      <w:adjustRightInd w:val="0"/>
      <w:snapToGrid w:val="0"/>
      <w:ind w:firstLine="480"/>
    </w:pPr>
    <w:rPr>
      <w:rFonts w:eastAsia="仿宋_GB2312" w:cs="宋体"/>
      <w:kern w:val="0"/>
    </w:rPr>
  </w:style>
  <w:style w:type="paragraph" w:customStyle="1" w:styleId="339">
    <w:name w:val="标题样式2"/>
    <w:basedOn w:val="10"/>
    <w:autoRedefine/>
    <w:qFormat/>
    <w:uiPriority w:val="0"/>
    <w:rPr>
      <w:rFonts w:ascii="黑体" w:hAnsi="Gungsuh" w:eastAsia="黑体"/>
      <w:color w:val="0000FF"/>
      <w:sz w:val="24"/>
      <w:szCs w:val="24"/>
    </w:rPr>
  </w:style>
  <w:style w:type="paragraph" w:customStyle="1" w:styleId="340">
    <w:name w:val="节编号"/>
    <w:basedOn w:val="10"/>
    <w:autoRedefine/>
    <w:qFormat/>
    <w:uiPriority w:val="0"/>
    <w:pPr>
      <w:spacing w:beforeLines="100"/>
      <w:ind w:firstLine="113"/>
    </w:pPr>
    <w:rPr>
      <w:rFonts w:eastAsia="黑体"/>
    </w:rPr>
  </w:style>
  <w:style w:type="paragraph" w:customStyle="1" w:styleId="341">
    <w:name w:val="标题二"/>
    <w:basedOn w:val="10"/>
    <w:autoRedefine/>
    <w:qFormat/>
    <w:uiPriority w:val="0"/>
    <w:pPr>
      <w:ind w:firstLine="480" w:firstLineChars="200"/>
    </w:pPr>
    <w:rPr>
      <w:rFonts w:eastAsia="黑体"/>
      <w:bCs w:val="0"/>
      <w:sz w:val="24"/>
    </w:rPr>
  </w:style>
  <w:style w:type="paragraph" w:customStyle="1" w:styleId="342">
    <w:name w:val="样式 样式 标题 3 + 段前: 7.8 磅 段后: 7.8 磅 行距: 固定值 20 磅 + 首行缩进:  2 字符"/>
    <w:basedOn w:val="1"/>
    <w:autoRedefine/>
    <w:qFormat/>
    <w:uiPriority w:val="0"/>
    <w:pPr>
      <w:keepNext/>
      <w:keepLines/>
      <w:spacing w:after="156" w:line="400" w:lineRule="exact"/>
      <w:ind w:firstLine="0" w:firstLineChars="0"/>
      <w:outlineLvl w:val="2"/>
    </w:pPr>
    <w:rPr>
      <w:b/>
      <w:bCs/>
      <w:kern w:val="0"/>
      <w:sz w:val="30"/>
    </w:rPr>
  </w:style>
  <w:style w:type="paragraph" w:customStyle="1" w:styleId="343">
    <w:name w:val="参加人员"/>
    <w:basedOn w:val="1"/>
    <w:autoRedefine/>
    <w:qFormat/>
    <w:uiPriority w:val="0"/>
    <w:pPr>
      <w:spacing w:line="500" w:lineRule="atLeast"/>
    </w:pPr>
  </w:style>
  <w:style w:type="paragraph" w:customStyle="1" w:styleId="344">
    <w:name w:val="第五章表头"/>
    <w:basedOn w:val="1"/>
    <w:autoRedefine/>
    <w:qFormat/>
    <w:uiPriority w:val="0"/>
    <w:pPr>
      <w:tabs>
        <w:tab w:val="left" w:pos="855"/>
      </w:tabs>
      <w:ind w:left="855"/>
      <w:jc w:val="center"/>
    </w:pPr>
    <w:rPr>
      <w:b/>
      <w:color w:val="0000FF"/>
      <w:szCs w:val="24"/>
    </w:rPr>
  </w:style>
  <w:style w:type="paragraph" w:customStyle="1" w:styleId="345">
    <w:name w:val="样式 居中1"/>
    <w:basedOn w:val="1"/>
    <w:autoRedefine/>
    <w:qFormat/>
    <w:uiPriority w:val="0"/>
    <w:pPr>
      <w:ind w:left="-105" w:leftChars="-50" w:right="-50" w:rightChars="-50"/>
      <w:jc w:val="center"/>
    </w:pPr>
  </w:style>
  <w:style w:type="paragraph" w:customStyle="1" w:styleId="346">
    <w:name w:val="表文字xxxxxxxx"/>
    <w:basedOn w:val="1"/>
    <w:link w:val="646"/>
    <w:autoRedefine/>
    <w:qFormat/>
    <w:uiPriority w:val="0"/>
    <w:pPr>
      <w:topLinePunct/>
      <w:adjustRightInd w:val="0"/>
      <w:spacing w:line="360" w:lineRule="exact"/>
      <w:jc w:val="center"/>
      <w:textAlignment w:val="baseline"/>
    </w:pPr>
    <w:rPr>
      <w:rFonts w:ascii="Calibri" w:hAnsi="Calibri"/>
      <w:kern w:val="0"/>
      <w:szCs w:val="21"/>
      <w:lang w:eastAsia="en-US" w:bidi="en-US"/>
    </w:rPr>
  </w:style>
  <w:style w:type="paragraph" w:customStyle="1" w:styleId="347">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348">
    <w:name w:val="普通(网站)2"/>
    <w:basedOn w:val="1"/>
    <w:autoRedefine/>
    <w:qFormat/>
    <w:uiPriority w:val="0"/>
    <w:pPr>
      <w:spacing w:before="100" w:beforeAutospacing="1" w:after="100" w:afterAutospacing="1"/>
      <w:ind w:firstLine="800"/>
    </w:pPr>
    <w:rPr>
      <w:rFonts w:ascii="宋体" w:cs="宋体"/>
      <w:kern w:val="0"/>
      <w:szCs w:val="24"/>
    </w:rPr>
  </w:style>
  <w:style w:type="paragraph" w:customStyle="1" w:styleId="349">
    <w:name w:val="表格样式"/>
    <w:basedOn w:val="1"/>
    <w:autoRedefine/>
    <w:qFormat/>
    <w:uiPriority w:val="0"/>
    <w:pPr>
      <w:spacing w:line="360" w:lineRule="exact"/>
      <w:jc w:val="center"/>
    </w:pPr>
    <w:rPr>
      <w:rFonts w:ascii="宋体" w:hAnsi="宋体"/>
      <w:sz w:val="28"/>
      <w:szCs w:val="24"/>
    </w:rPr>
  </w:style>
  <w:style w:type="paragraph" w:customStyle="1" w:styleId="350">
    <w:name w:val="样式 正文文本缩进 2正文文字缩进 2 + 小四 左侧:  0 厘米 段后: 0 磅 行距: 1.5 倍行距"/>
    <w:basedOn w:val="1"/>
    <w:autoRedefine/>
    <w:semiHidden/>
    <w:qFormat/>
    <w:uiPriority w:val="0"/>
    <w:pPr>
      <w:ind w:firstLine="480"/>
    </w:pPr>
    <w:rPr>
      <w:rFonts w:cs="宋体"/>
      <w:kern w:val="0"/>
    </w:rPr>
  </w:style>
  <w:style w:type="paragraph" w:customStyle="1" w:styleId="351">
    <w:name w:val="段落1 Char"/>
    <w:basedOn w:val="1"/>
    <w:autoRedefine/>
    <w:qFormat/>
    <w:uiPriority w:val="0"/>
    <w:pPr>
      <w:adjustRightInd w:val="0"/>
      <w:jc w:val="center"/>
    </w:pPr>
    <w:rPr>
      <w:bCs/>
      <w:spacing w:val="8"/>
      <w:szCs w:val="21"/>
    </w:rPr>
  </w:style>
  <w:style w:type="paragraph" w:customStyle="1" w:styleId="352">
    <w:name w:val="样式 样式 标题 4 + (西文) Times New Roman (中文) 宋体 非加粗 段前: 0 磅 段后: 0 磅 ....."/>
    <w:basedOn w:val="1"/>
    <w:autoRedefine/>
    <w:qFormat/>
    <w:uiPriority w:val="0"/>
    <w:pPr>
      <w:spacing w:after="100" w:afterAutospacing="1"/>
      <w:ind w:firstLine="566" w:firstLineChars="202"/>
    </w:pPr>
    <w:rPr>
      <w:rFonts w:ascii="宋体" w:hAnsi="宋体"/>
      <w:kern w:val="0"/>
      <w:sz w:val="28"/>
      <w:szCs w:val="28"/>
    </w:rPr>
  </w:style>
  <w:style w:type="paragraph" w:customStyle="1" w:styleId="353">
    <w:name w:val="可研文字小四"/>
    <w:basedOn w:val="1"/>
    <w:autoRedefine/>
    <w:qFormat/>
    <w:uiPriority w:val="0"/>
    <w:rPr>
      <w:rFonts w:ascii="宋体" w:hAnsi="宋体"/>
      <w:snapToGrid w:val="0"/>
      <w:kern w:val="32"/>
      <w:szCs w:val="32"/>
    </w:rPr>
  </w:style>
  <w:style w:type="paragraph" w:customStyle="1" w:styleId="354">
    <w:name w:val="表内1"/>
    <w:basedOn w:val="1"/>
    <w:link w:val="666"/>
    <w:autoRedefine/>
    <w:qFormat/>
    <w:uiPriority w:val="0"/>
    <w:pPr>
      <w:ind w:firstLine="0" w:firstLineChars="0"/>
      <w:jc w:val="center"/>
    </w:pPr>
    <w:rPr>
      <w:kern w:val="0"/>
      <w:szCs w:val="21"/>
      <w:lang w:eastAsia="en-US" w:bidi="en-US"/>
    </w:rPr>
  </w:style>
  <w:style w:type="paragraph" w:customStyle="1" w:styleId="355">
    <w:name w:val="李发荣个人正文"/>
    <w:basedOn w:val="1"/>
    <w:next w:val="1"/>
    <w:autoRedefine/>
    <w:qFormat/>
    <w:uiPriority w:val="0"/>
    <w:pPr>
      <w:ind w:firstLine="504"/>
    </w:pPr>
    <w:rPr>
      <w:rFonts w:ascii="宋体" w:hAnsi="宋体" w:cs="宋体"/>
      <w:kern w:val="0"/>
      <w:szCs w:val="24"/>
    </w:rPr>
  </w:style>
  <w:style w:type="paragraph" w:customStyle="1" w:styleId="356">
    <w:name w:val="表2"/>
    <w:basedOn w:val="1"/>
    <w:autoRedefine/>
    <w:qFormat/>
    <w:uiPriority w:val="0"/>
    <w:pPr>
      <w:snapToGrid w:val="0"/>
      <w:jc w:val="center"/>
    </w:pPr>
    <w:rPr>
      <w:spacing w:val="2"/>
    </w:rPr>
  </w:style>
  <w:style w:type="paragraph" w:customStyle="1" w:styleId="357">
    <w:name w:val="表格内容"/>
    <w:basedOn w:val="25"/>
    <w:link w:val="559"/>
    <w:autoRedefine/>
    <w:qFormat/>
    <w:uiPriority w:val="0"/>
    <w:pPr>
      <w:tabs>
        <w:tab w:val="clear" w:pos="0"/>
      </w:tabs>
      <w:spacing w:line="240" w:lineRule="auto"/>
      <w:ind w:firstLine="0" w:firstLineChars="0"/>
      <w:jc w:val="center"/>
    </w:pPr>
    <w:rPr>
      <w:color w:val="auto"/>
      <w:sz w:val="21"/>
      <w:lang w:eastAsia="en-US"/>
    </w:rPr>
  </w:style>
  <w:style w:type="paragraph" w:customStyle="1" w:styleId="358">
    <w:name w:val="样式 宋体 小四 行距: 固定值 25 磅"/>
    <w:basedOn w:val="1"/>
    <w:autoRedefine/>
    <w:qFormat/>
    <w:uiPriority w:val="99"/>
    <w:pPr>
      <w:spacing w:line="500" w:lineRule="exact"/>
      <w:ind w:firstLine="480"/>
    </w:pPr>
    <w:rPr>
      <w:spacing w:val="2"/>
    </w:rPr>
  </w:style>
  <w:style w:type="paragraph" w:customStyle="1" w:styleId="359">
    <w:name w:val="样式 样式 表格 + (中文) 黑体 + (中文) 黑体"/>
    <w:basedOn w:val="1"/>
    <w:link w:val="592"/>
    <w:autoRedefine/>
    <w:qFormat/>
    <w:uiPriority w:val="0"/>
    <w:pPr>
      <w:adjustRightInd w:val="0"/>
      <w:jc w:val="center"/>
      <w:textAlignment w:val="baseline"/>
    </w:pPr>
    <w:rPr>
      <w:color w:val="000000"/>
      <w:spacing w:val="-8"/>
      <w:kern w:val="0"/>
      <w:sz w:val="18"/>
      <w:szCs w:val="18"/>
    </w:rPr>
  </w:style>
  <w:style w:type="paragraph" w:customStyle="1" w:styleId="360">
    <w:name w:val="表内剧中"/>
    <w:basedOn w:val="1"/>
    <w:autoRedefine/>
    <w:qFormat/>
    <w:uiPriority w:val="0"/>
    <w:pPr>
      <w:jc w:val="center"/>
    </w:pPr>
    <w:rPr>
      <w:rFonts w:cs="宋体"/>
    </w:rPr>
  </w:style>
  <w:style w:type="paragraph" w:customStyle="1" w:styleId="361">
    <w:name w:val="表格文字2"/>
    <w:basedOn w:val="1"/>
    <w:autoRedefine/>
    <w:qFormat/>
    <w:uiPriority w:val="0"/>
    <w:pPr>
      <w:autoSpaceDE w:val="0"/>
      <w:autoSpaceDN w:val="0"/>
      <w:adjustRightInd w:val="0"/>
      <w:jc w:val="center"/>
    </w:pPr>
    <w:rPr>
      <w:rFonts w:ascii="宋体"/>
      <w:snapToGrid w:val="0"/>
      <w:kern w:val="0"/>
    </w:rPr>
  </w:style>
  <w:style w:type="paragraph" w:customStyle="1" w:styleId="362">
    <w:name w:val="四级标题"/>
    <w:basedOn w:val="1"/>
    <w:autoRedefine/>
    <w:qFormat/>
    <w:uiPriority w:val="0"/>
    <w:pPr>
      <w:keepNext/>
      <w:keepLines/>
      <w:autoSpaceDE w:val="0"/>
      <w:autoSpaceDN w:val="0"/>
      <w:adjustRightInd w:val="0"/>
      <w:snapToGrid w:val="0"/>
      <w:ind w:firstLine="0" w:firstLineChars="0"/>
      <w:textAlignment w:val="baseline"/>
      <w:outlineLvl w:val="3"/>
    </w:pPr>
    <w:rPr>
      <w:rFonts w:eastAsia="楷体_GB2312"/>
      <w:kern w:val="0"/>
      <w:sz w:val="28"/>
    </w:rPr>
  </w:style>
  <w:style w:type="paragraph" w:customStyle="1" w:styleId="363">
    <w:name w:val="样式 样式 宋体 四号 行距: 固定值 26 磅 + 首行缩进:  2 字符"/>
    <w:basedOn w:val="1"/>
    <w:autoRedefine/>
    <w:qFormat/>
    <w:uiPriority w:val="0"/>
    <w:pPr>
      <w:ind w:firstLine="480"/>
    </w:pPr>
    <w:rPr>
      <w:rFonts w:ascii="宋体" w:cs="宋体"/>
    </w:rPr>
  </w:style>
  <w:style w:type="paragraph" w:customStyle="1" w:styleId="364">
    <w:name w:val="表头"/>
    <w:basedOn w:val="1"/>
    <w:link w:val="577"/>
    <w:autoRedefine/>
    <w:qFormat/>
    <w:uiPriority w:val="0"/>
    <w:pPr>
      <w:spacing w:before="120"/>
      <w:jc w:val="center"/>
    </w:pPr>
    <w:rPr>
      <w:rFonts w:ascii="宋体"/>
      <w:b/>
      <w:bCs/>
      <w:color w:val="000000"/>
      <w:kern w:val="0"/>
      <w:sz w:val="20"/>
      <w:szCs w:val="24"/>
      <w:lang w:eastAsia="en-US"/>
    </w:rPr>
  </w:style>
  <w:style w:type="paragraph" w:customStyle="1" w:styleId="365">
    <w:name w:val="表头文字啊"/>
    <w:basedOn w:val="1"/>
    <w:autoRedefine/>
    <w:qFormat/>
    <w:uiPriority w:val="0"/>
    <w:pPr>
      <w:spacing w:before="60" w:line="460" w:lineRule="exact"/>
      <w:jc w:val="center"/>
    </w:pPr>
    <w:rPr>
      <w:szCs w:val="24"/>
    </w:rPr>
  </w:style>
  <w:style w:type="paragraph" w:customStyle="1" w:styleId="366">
    <w:name w:val="表第一列"/>
    <w:basedOn w:val="80"/>
    <w:autoRedefine/>
    <w:qFormat/>
    <w:uiPriority w:val="0"/>
    <w:pPr>
      <w:keepNext/>
      <w:keepLines/>
      <w:tabs>
        <w:tab w:val="left" w:pos="1727"/>
        <w:tab w:val="left" w:pos="1884"/>
        <w:tab w:val="left" w:pos="2940"/>
      </w:tabs>
      <w:adjustRightInd w:val="0"/>
      <w:snapToGrid w:val="0"/>
      <w:spacing w:line="0" w:lineRule="atLeast"/>
      <w:ind w:firstLine="0" w:firstLineChars="0"/>
      <w:jc w:val="center"/>
    </w:pPr>
    <w:rPr>
      <w:rFonts w:ascii="宋体" w:hAnsi="宋体"/>
      <w:b/>
      <w:bCs/>
      <w:color w:val="000000"/>
      <w:spacing w:val="-4"/>
      <w:szCs w:val="21"/>
    </w:rPr>
  </w:style>
  <w:style w:type="paragraph" w:customStyle="1" w:styleId="367">
    <w:name w:val="纯文本11"/>
    <w:basedOn w:val="1"/>
    <w:autoRedefine/>
    <w:qFormat/>
    <w:uiPriority w:val="0"/>
    <w:pPr>
      <w:adjustRightInd w:val="0"/>
      <w:spacing w:line="560" w:lineRule="exact"/>
      <w:ind w:firstLine="567"/>
      <w:textAlignment w:val="baseline"/>
    </w:pPr>
    <w:rPr>
      <w:rFonts w:ascii="宋体" w:hAnsi="宋体" w:eastAsia="仿宋_GB2312"/>
      <w:sz w:val="28"/>
    </w:rPr>
  </w:style>
  <w:style w:type="paragraph" w:customStyle="1" w:styleId="368">
    <w:name w:val="第八章表头"/>
    <w:basedOn w:val="1"/>
    <w:autoRedefine/>
    <w:qFormat/>
    <w:uiPriority w:val="0"/>
    <w:pPr>
      <w:tabs>
        <w:tab w:val="left" w:pos="1200"/>
      </w:tabs>
      <w:ind w:left="1200" w:hanging="720"/>
      <w:jc w:val="center"/>
    </w:pPr>
    <w:rPr>
      <w:b/>
      <w:color w:val="0000FF"/>
      <w:szCs w:val="24"/>
    </w:rPr>
  </w:style>
  <w:style w:type="paragraph" w:customStyle="1" w:styleId="369">
    <w:name w:val="表名"/>
    <w:basedOn w:val="1"/>
    <w:autoRedefine/>
    <w:qFormat/>
    <w:uiPriority w:val="0"/>
    <w:pPr>
      <w:overflowPunct w:val="0"/>
      <w:spacing w:line="240" w:lineRule="auto"/>
      <w:ind w:firstLine="0" w:firstLineChars="0"/>
      <w:jc w:val="center"/>
      <w:textAlignment w:val="baseline"/>
    </w:pPr>
    <w:rPr>
      <w:b/>
    </w:rPr>
  </w:style>
  <w:style w:type="paragraph" w:customStyle="1" w:styleId="370">
    <w:name w:val="表格后样式"/>
    <w:basedOn w:val="1"/>
    <w:autoRedefine/>
    <w:qFormat/>
    <w:uiPriority w:val="0"/>
    <w:pPr>
      <w:ind w:firstLine="482"/>
    </w:pPr>
    <w:rPr>
      <w:rFonts w:ascii="宋体" w:hAnsi="宋体"/>
      <w:b/>
      <w:bCs/>
      <w:szCs w:val="24"/>
    </w:rPr>
  </w:style>
  <w:style w:type="paragraph" w:customStyle="1" w:styleId="371">
    <w:name w:val="加重"/>
    <w:basedOn w:val="1"/>
    <w:next w:val="1"/>
    <w:autoRedefine/>
    <w:qFormat/>
    <w:uiPriority w:val="0"/>
    <w:pPr>
      <w:adjustRightInd w:val="0"/>
      <w:snapToGrid w:val="0"/>
      <w:spacing w:line="440" w:lineRule="exact"/>
    </w:pPr>
    <w:rPr>
      <w:b/>
      <w:kern w:val="0"/>
      <w:szCs w:val="24"/>
    </w:rPr>
  </w:style>
  <w:style w:type="paragraph" w:customStyle="1" w:styleId="372">
    <w:name w:val="样式 样式 样式 正文@ + 首行缩进:  2 字符 + 首行缩进:  2 字符 + 行距: 多倍行距 1.3 字行"/>
    <w:basedOn w:val="253"/>
    <w:autoRedefine/>
    <w:qFormat/>
    <w:uiPriority w:val="0"/>
  </w:style>
  <w:style w:type="paragraph" w:customStyle="1" w:styleId="373">
    <w:name w:val="正文表格"/>
    <w:basedOn w:val="1"/>
    <w:autoRedefine/>
    <w:qFormat/>
    <w:uiPriority w:val="0"/>
    <w:pPr>
      <w:keepNext/>
      <w:keepLines/>
      <w:tabs>
        <w:tab w:val="center" w:pos="6804"/>
      </w:tabs>
      <w:overflowPunct w:val="0"/>
      <w:adjustRightInd w:val="0"/>
      <w:spacing w:before="80"/>
      <w:jc w:val="center"/>
      <w:textAlignment w:val="bottom"/>
    </w:pPr>
    <w:rPr>
      <w:kern w:val="0"/>
      <w:sz w:val="28"/>
    </w:rPr>
  </w:style>
  <w:style w:type="paragraph" w:customStyle="1" w:styleId="374">
    <w:name w:val="样式 样式 样式 标题 1 + 居中 左侧:  0 厘米 首行缩进:  0 厘米 段前: 0.5 行 段后: 0.5 行 行距:..."/>
    <w:basedOn w:val="1"/>
    <w:autoRedefine/>
    <w:qFormat/>
    <w:uiPriority w:val="0"/>
    <w:pPr>
      <w:keepNext/>
      <w:keepLines/>
      <w:tabs>
        <w:tab w:val="left" w:pos="425"/>
      </w:tabs>
      <w:adjustRightInd w:val="0"/>
      <w:spacing w:beforeLines="50" w:afterLines="50" w:line="500" w:lineRule="exact"/>
      <w:ind w:left="425" w:hanging="425"/>
      <w:jc w:val="center"/>
      <w:textAlignment w:val="baseline"/>
      <w:outlineLvl w:val="0"/>
    </w:pPr>
    <w:rPr>
      <w:rFonts w:cs="宋体"/>
      <w:b/>
      <w:kern w:val="44"/>
      <w:sz w:val="32"/>
    </w:rPr>
  </w:style>
  <w:style w:type="paragraph" w:customStyle="1" w:styleId="375">
    <w:name w:val="样式 黑体 小四 加粗 左侧:  0.85 厘米 行距: 固定值 28 磅"/>
    <w:basedOn w:val="1"/>
    <w:autoRedefine/>
    <w:qFormat/>
    <w:uiPriority w:val="0"/>
    <w:pPr>
      <w:spacing w:line="560" w:lineRule="exact"/>
      <w:ind w:left="480"/>
    </w:pPr>
    <w:rPr>
      <w:rFonts w:ascii="黑体" w:eastAsia="黑体" w:cs="宋体"/>
      <w:b/>
      <w:bCs/>
    </w:rPr>
  </w:style>
  <w:style w:type="paragraph" w:customStyle="1" w:styleId="376">
    <w:name w:val="样式3wf"/>
    <w:basedOn w:val="239"/>
    <w:autoRedefine/>
    <w:qFormat/>
    <w:uiPriority w:val="0"/>
    <w:pPr>
      <w:autoSpaceDE w:val="0"/>
      <w:autoSpaceDN w:val="0"/>
      <w:snapToGrid w:val="0"/>
      <w:spacing w:before="120" w:line="240" w:lineRule="auto"/>
      <w:textAlignment w:val="baseline"/>
      <w:outlineLvl w:val="9"/>
    </w:pPr>
    <w:rPr>
      <w:szCs w:val="21"/>
    </w:rPr>
  </w:style>
  <w:style w:type="paragraph" w:customStyle="1" w:styleId="377">
    <w:name w:val="表格内文字"/>
    <w:basedOn w:val="1"/>
    <w:link w:val="488"/>
    <w:autoRedefine/>
    <w:qFormat/>
    <w:uiPriority w:val="0"/>
    <w:pPr>
      <w:tabs>
        <w:tab w:val="left" w:pos="0"/>
      </w:tabs>
      <w:adjustRightInd w:val="0"/>
      <w:snapToGrid w:val="0"/>
      <w:jc w:val="center"/>
    </w:pPr>
    <w:rPr>
      <w:rFonts w:eastAsia="仿宋_GB2312"/>
      <w:kern w:val="0"/>
      <w:szCs w:val="28"/>
    </w:rPr>
  </w:style>
  <w:style w:type="paragraph" w:customStyle="1" w:styleId="378">
    <w:name w:val="样式 首行缩进:  2 字符"/>
    <w:basedOn w:val="1"/>
    <w:next w:val="1"/>
    <w:autoRedefine/>
    <w:qFormat/>
    <w:uiPriority w:val="0"/>
    <w:pPr>
      <w:widowControl w:val="0"/>
      <w:autoSpaceDE w:val="0"/>
      <w:autoSpaceDN w:val="0"/>
      <w:adjustRightInd w:val="0"/>
      <w:spacing w:line="240" w:lineRule="auto"/>
      <w:ind w:firstLine="0" w:firstLineChars="0"/>
    </w:pPr>
    <w:rPr>
      <w:rFonts w:ascii="黑体"/>
      <w:kern w:val="0"/>
      <w:szCs w:val="24"/>
    </w:rPr>
  </w:style>
  <w:style w:type="paragraph" w:customStyle="1" w:styleId="379">
    <w:name w:val="强调内容"/>
    <w:basedOn w:val="1"/>
    <w:next w:val="1"/>
    <w:autoRedefine/>
    <w:qFormat/>
    <w:uiPriority w:val="0"/>
    <w:pPr>
      <w:adjustRightInd w:val="0"/>
      <w:snapToGrid w:val="0"/>
      <w:spacing w:line="400" w:lineRule="exact"/>
    </w:pPr>
    <w:rPr>
      <w:b/>
    </w:rPr>
  </w:style>
  <w:style w:type="paragraph" w:customStyle="1" w:styleId="380">
    <w:name w:val="正文11"/>
    <w:basedOn w:val="1"/>
    <w:next w:val="1"/>
    <w:link w:val="707"/>
    <w:autoRedefine/>
    <w:qFormat/>
    <w:uiPriority w:val="0"/>
    <w:pPr>
      <w:spacing w:line="460" w:lineRule="exact"/>
    </w:pPr>
    <w:rPr>
      <w:rFonts w:ascii="宋体"/>
      <w:kern w:val="0"/>
      <w:sz w:val="20"/>
      <w:szCs w:val="21"/>
      <w:lang w:eastAsia="en-US"/>
    </w:rPr>
  </w:style>
  <w:style w:type="paragraph" w:customStyle="1" w:styleId="381">
    <w:name w:val="表标"/>
    <w:next w:val="1"/>
    <w:autoRedefine/>
    <w:qFormat/>
    <w:uiPriority w:val="0"/>
    <w:pPr>
      <w:tabs>
        <w:tab w:val="left" w:pos="8207"/>
      </w:tabs>
      <w:adjustRightInd w:val="0"/>
      <w:snapToGrid w:val="0"/>
      <w:spacing w:before="120" w:line="312" w:lineRule="auto"/>
      <w:jc w:val="center"/>
      <w:textAlignment w:val="baseline"/>
    </w:pPr>
    <w:rPr>
      <w:rFonts w:ascii="Times New Roman" w:hAnsi="Times New Roman" w:eastAsia="黑体" w:cs="Times New Roman"/>
      <w:kern w:val="2"/>
      <w:sz w:val="24"/>
      <w:lang w:val="en-US" w:eastAsia="zh-CN" w:bidi="ar-SA"/>
    </w:rPr>
  </w:style>
  <w:style w:type="paragraph" w:customStyle="1" w:styleId="382">
    <w:name w:val="裴标题2"/>
    <w:basedOn w:val="1"/>
    <w:autoRedefine/>
    <w:qFormat/>
    <w:uiPriority w:val="0"/>
    <w:pPr>
      <w:adjustRightInd w:val="0"/>
      <w:snapToGrid w:val="0"/>
      <w:spacing w:line="600" w:lineRule="exact"/>
      <w:outlineLvl w:val="1"/>
    </w:pPr>
    <w:rPr>
      <w:rFonts w:eastAsia="黑体"/>
      <w:sz w:val="32"/>
    </w:rPr>
  </w:style>
  <w:style w:type="paragraph" w:customStyle="1" w:styleId="383">
    <w:name w:val="样式 黑体 小四 行距: 固定值 28 磅"/>
    <w:basedOn w:val="1"/>
    <w:autoRedefine/>
    <w:qFormat/>
    <w:uiPriority w:val="0"/>
    <w:pPr>
      <w:spacing w:line="560" w:lineRule="exact"/>
      <w:ind w:firstLine="480"/>
    </w:pPr>
    <w:rPr>
      <w:rFonts w:ascii="黑体" w:eastAsia="黑体" w:cs="宋体"/>
    </w:rPr>
  </w:style>
  <w:style w:type="paragraph" w:customStyle="1" w:styleId="384">
    <w:name w:val="表头胡"/>
    <w:basedOn w:val="1"/>
    <w:link w:val="610"/>
    <w:autoRedefine/>
    <w:qFormat/>
    <w:uiPriority w:val="0"/>
    <w:pPr>
      <w:jc w:val="center"/>
    </w:pPr>
    <w:rPr>
      <w:rFonts w:eastAsia="黑体"/>
      <w:kern w:val="0"/>
      <w:sz w:val="20"/>
      <w:szCs w:val="24"/>
    </w:rPr>
  </w:style>
  <w:style w:type="paragraph" w:customStyle="1" w:styleId="385">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6">
    <w:name w:val="样式 样式 正文缩进正文（首行缩进两字） + 首行缩进:  2 字符 + 首行缩进:  2 字符"/>
    <w:basedOn w:val="1"/>
    <w:autoRedefine/>
    <w:qFormat/>
    <w:uiPriority w:val="0"/>
    <w:pPr>
      <w:spacing w:line="288" w:lineRule="auto"/>
    </w:pPr>
    <w:rPr>
      <w:rFonts w:cs="宋体"/>
    </w:rPr>
  </w:style>
  <w:style w:type="paragraph" w:customStyle="1" w:styleId="387">
    <w:name w:val="普通(网站)21"/>
    <w:basedOn w:val="1"/>
    <w:autoRedefine/>
    <w:qFormat/>
    <w:uiPriority w:val="0"/>
    <w:pPr>
      <w:spacing w:before="100" w:beforeAutospacing="1" w:after="100" w:afterAutospacing="1"/>
      <w:ind w:firstLine="800"/>
    </w:pPr>
    <w:rPr>
      <w:rFonts w:ascii="宋体" w:cs="宋体"/>
      <w:kern w:val="0"/>
      <w:szCs w:val="24"/>
    </w:rPr>
  </w:style>
  <w:style w:type="paragraph" w:customStyle="1" w:styleId="388">
    <w:name w:val="表格内容5号不居中"/>
    <w:basedOn w:val="227"/>
    <w:autoRedefine/>
    <w:qFormat/>
    <w:uiPriority w:val="0"/>
    <w:pPr>
      <w:jc w:val="left"/>
    </w:pPr>
    <w:rPr>
      <w:rFonts w:ascii="仿宋_GB2312" w:hAnsi="宋体"/>
      <w:szCs w:val="24"/>
    </w:rPr>
  </w:style>
  <w:style w:type="paragraph" w:customStyle="1" w:styleId="389">
    <w:name w:val="表格内正文"/>
    <w:autoRedefine/>
    <w:qFormat/>
    <w:uiPriority w:val="0"/>
    <w:pPr>
      <w:widowControl w:val="0"/>
      <w:jc w:val="center"/>
    </w:pPr>
    <w:rPr>
      <w:rFonts w:ascii="Times New Roman" w:hAnsi="Times New Roman" w:eastAsia="宋体" w:cs="Times New Roman"/>
      <w:b/>
      <w:bCs/>
      <w:kern w:val="2"/>
      <w:sz w:val="24"/>
      <w:szCs w:val="24"/>
      <w:lang w:val="en-US" w:eastAsia="zh-CN" w:bidi="ar-SA"/>
    </w:rPr>
  </w:style>
  <w:style w:type="paragraph" w:customStyle="1" w:styleId="390">
    <w:name w:val="表格标题3"/>
    <w:basedOn w:val="1"/>
    <w:link w:val="656"/>
    <w:autoRedefine/>
    <w:qFormat/>
    <w:uiPriority w:val="0"/>
    <w:pPr>
      <w:ind w:right="-120" w:rightChars="-50" w:firstLine="360" w:firstLineChars="150"/>
      <w:jc w:val="center"/>
    </w:pPr>
    <w:rPr>
      <w:b/>
      <w:kern w:val="0"/>
      <w:szCs w:val="24"/>
    </w:rPr>
  </w:style>
  <w:style w:type="paragraph" w:customStyle="1" w:styleId="391">
    <w:name w:val="农业部一"/>
    <w:next w:val="5"/>
    <w:autoRedefine/>
    <w:qFormat/>
    <w:uiPriority w:val="0"/>
    <w:pPr>
      <w:widowControl w:val="0"/>
      <w:topLinePunct/>
      <w:spacing w:line="340" w:lineRule="atLeast"/>
      <w:jc w:val="center"/>
    </w:pPr>
    <w:rPr>
      <w:rFonts w:ascii="Times New Roman" w:hAnsi="Times New Roman" w:eastAsia="宋体" w:cs="Times New Roman"/>
      <w:kern w:val="2"/>
      <w:sz w:val="24"/>
      <w:szCs w:val="24"/>
      <w:lang w:val="en-US" w:eastAsia="zh-CN" w:bidi="ar-SA"/>
    </w:rPr>
  </w:style>
  <w:style w:type="paragraph" w:customStyle="1" w:styleId="392">
    <w:name w:val="电镀正文"/>
    <w:basedOn w:val="25"/>
    <w:autoRedefine/>
    <w:qFormat/>
    <w:uiPriority w:val="0"/>
    <w:pPr>
      <w:tabs>
        <w:tab w:val="clear" w:pos="0"/>
      </w:tabs>
      <w:spacing w:line="312" w:lineRule="auto"/>
      <w:ind w:firstLine="200"/>
      <w:jc w:val="both"/>
    </w:pPr>
    <w:rPr>
      <w:rFonts w:ascii="宋体" w:hAnsi="宋体"/>
      <w:color w:val="auto"/>
      <w:szCs w:val="24"/>
    </w:rPr>
  </w:style>
  <w:style w:type="paragraph" w:customStyle="1" w:styleId="393">
    <w:name w:val="样式 首行缩进 + 首行缩进:  2 字符"/>
    <w:basedOn w:val="394"/>
    <w:autoRedefine/>
    <w:qFormat/>
    <w:uiPriority w:val="0"/>
    <w:pPr>
      <w:spacing w:beforeLines="50"/>
      <w:ind w:left="-99" w:leftChars="-47" w:right="-99" w:rightChars="-47" w:firstLine="560"/>
    </w:pPr>
    <w:rPr>
      <w:rFonts w:hAnsi="Times"/>
      <w:bCs w:val="0"/>
      <w:sz w:val="30"/>
      <w:szCs w:val="20"/>
      <w:lang w:val="zh-CN"/>
    </w:rPr>
  </w:style>
  <w:style w:type="paragraph" w:customStyle="1" w:styleId="394">
    <w:name w:val="首行缩进"/>
    <w:basedOn w:val="1"/>
    <w:link w:val="681"/>
    <w:autoRedefine/>
    <w:qFormat/>
    <w:uiPriority w:val="0"/>
    <w:pPr>
      <w:adjustRightInd w:val="0"/>
      <w:textAlignment w:val="baseline"/>
    </w:pPr>
    <w:rPr>
      <w:rFonts w:ascii="宋体"/>
      <w:bCs/>
      <w:kern w:val="44"/>
      <w:szCs w:val="21"/>
    </w:rPr>
  </w:style>
  <w:style w:type="paragraph" w:customStyle="1" w:styleId="395">
    <w:name w:val="标题1s"/>
    <w:basedOn w:val="1"/>
    <w:autoRedefine/>
    <w:qFormat/>
    <w:uiPriority w:val="0"/>
    <w:pPr>
      <w:keepNext/>
      <w:keepLines/>
      <w:pageBreakBefore/>
      <w:adjustRightInd w:val="0"/>
      <w:snapToGrid w:val="0"/>
      <w:spacing w:line="520" w:lineRule="exact"/>
      <w:ind w:left="425" w:hanging="425"/>
      <w:outlineLvl w:val="0"/>
    </w:pPr>
    <w:rPr>
      <w:rFonts w:ascii="黑体" w:eastAsia="黑体"/>
      <w:b/>
      <w:snapToGrid w:val="0"/>
      <w:color w:val="0070C0"/>
      <w:kern w:val="0"/>
      <w:sz w:val="32"/>
      <w:szCs w:val="32"/>
    </w:rPr>
  </w:style>
  <w:style w:type="paragraph" w:customStyle="1" w:styleId="396">
    <w:name w:val="表头（书）"/>
    <w:basedOn w:val="1"/>
    <w:next w:val="232"/>
    <w:autoRedefine/>
    <w:qFormat/>
    <w:uiPriority w:val="0"/>
    <w:pPr>
      <w:numPr>
        <w:ilvl w:val="4"/>
        <w:numId w:val="1"/>
      </w:numPr>
      <w:tabs>
        <w:tab w:val="left" w:pos="0"/>
      </w:tabs>
      <w:ind w:left="1008"/>
      <w:jc w:val="center"/>
    </w:pPr>
    <w:rPr>
      <w:b/>
      <w:bCs/>
    </w:rPr>
  </w:style>
  <w:style w:type="paragraph" w:customStyle="1" w:styleId="397">
    <w:name w:val="默认段落字体 Para Char Char Char Char Char Char Char Char Char Char Char Char Char"/>
    <w:basedOn w:val="1"/>
    <w:autoRedefine/>
    <w:qFormat/>
    <w:uiPriority w:val="0"/>
    <w:rPr>
      <w:szCs w:val="24"/>
    </w:rPr>
  </w:style>
  <w:style w:type="paragraph" w:customStyle="1" w:styleId="398">
    <w:name w:val="表标题"/>
    <w:basedOn w:val="25"/>
    <w:next w:val="1"/>
    <w:link w:val="727"/>
    <w:autoRedefine/>
    <w:qFormat/>
    <w:uiPriority w:val="0"/>
    <w:pPr>
      <w:spacing w:line="360" w:lineRule="auto"/>
      <w:ind w:firstLine="200"/>
      <w:jc w:val="center"/>
    </w:pPr>
    <w:rPr>
      <w:b/>
      <w:szCs w:val="24"/>
    </w:rPr>
  </w:style>
  <w:style w:type="paragraph" w:customStyle="1" w:styleId="399">
    <w:name w:val="部分"/>
    <w:basedOn w:val="1"/>
    <w:autoRedefine/>
    <w:qFormat/>
    <w:uiPriority w:val="0"/>
    <w:pPr>
      <w:spacing w:afterLines="50" w:line="440" w:lineRule="exact"/>
    </w:pPr>
    <w:rPr>
      <w:rFonts w:eastAsia="华文细黑"/>
      <w:b/>
      <w:bCs/>
      <w:w w:val="120"/>
      <w:sz w:val="32"/>
      <w:szCs w:val="24"/>
    </w:rPr>
  </w:style>
  <w:style w:type="paragraph" w:customStyle="1" w:styleId="400">
    <w:name w:val="正文001"/>
    <w:basedOn w:val="1"/>
    <w:link w:val="614"/>
    <w:autoRedefine/>
    <w:qFormat/>
    <w:uiPriority w:val="0"/>
    <w:pPr>
      <w:spacing w:before="60"/>
    </w:pPr>
    <w:rPr>
      <w:rFonts w:ascii="Arial" w:hAnsi="Arial"/>
      <w:kern w:val="0"/>
      <w:szCs w:val="24"/>
    </w:rPr>
  </w:style>
  <w:style w:type="paragraph" w:customStyle="1" w:styleId="401">
    <w:name w:val="表内容0"/>
    <w:basedOn w:val="289"/>
    <w:autoRedefine/>
    <w:qFormat/>
    <w:uiPriority w:val="0"/>
    <w:pPr>
      <w:spacing w:line="240" w:lineRule="atLeast"/>
      <w:textAlignment w:val="center"/>
    </w:pPr>
    <w:rPr>
      <w:snapToGrid w:val="0"/>
      <w:sz w:val="18"/>
      <w:szCs w:val="18"/>
    </w:rPr>
  </w:style>
  <w:style w:type="paragraph" w:customStyle="1" w:styleId="402">
    <w:name w:val="正文A"/>
    <w:basedOn w:val="1"/>
    <w:autoRedefine/>
    <w:qFormat/>
    <w:uiPriority w:val="0"/>
  </w:style>
  <w:style w:type="paragraph" w:customStyle="1" w:styleId="403">
    <w:name w:val="样式 宋体 首行缩进:  0.85 厘米 右侧:  0.99 厘米"/>
    <w:basedOn w:val="1"/>
    <w:autoRedefine/>
    <w:qFormat/>
    <w:uiPriority w:val="0"/>
    <w:pPr>
      <w:spacing w:line="500" w:lineRule="exact"/>
      <w:ind w:firstLine="480"/>
    </w:pPr>
    <w:rPr>
      <w:rFonts w:ascii="仿宋_GB2312" w:hAnsi="宋体" w:eastAsia="仿宋_GB2312"/>
    </w:rPr>
  </w:style>
  <w:style w:type="paragraph" w:customStyle="1" w:styleId="404">
    <w:name w:val="框图"/>
    <w:basedOn w:val="1"/>
    <w:autoRedefine/>
    <w:qFormat/>
    <w:uiPriority w:val="0"/>
    <w:pPr>
      <w:tabs>
        <w:tab w:val="left" w:pos="1350"/>
      </w:tabs>
      <w:autoSpaceDE w:val="0"/>
      <w:autoSpaceDN w:val="0"/>
      <w:adjustRightInd w:val="0"/>
      <w:snapToGrid w:val="0"/>
      <w:spacing w:line="300" w:lineRule="auto"/>
      <w:jc w:val="center"/>
    </w:pPr>
    <w:rPr>
      <w:rFonts w:ascii="仿宋_GB2312"/>
    </w:rPr>
  </w:style>
  <w:style w:type="paragraph" w:customStyle="1" w:styleId="405">
    <w:name w:val="表1"/>
    <w:next w:val="1"/>
    <w:link w:val="711"/>
    <w:autoRedefine/>
    <w:qFormat/>
    <w:uiPriority w:val="0"/>
    <w:pPr>
      <w:adjustRightInd w:val="0"/>
      <w:snapToGrid w:val="0"/>
      <w:jc w:val="center"/>
    </w:pPr>
    <w:rPr>
      <w:rFonts w:ascii="宋体" w:hAnsi="Times New Roman" w:eastAsia="宋体" w:cs="Times New Roman"/>
      <w:lang w:val="en-US" w:eastAsia="zh-CN" w:bidi="ar-SA"/>
    </w:rPr>
  </w:style>
  <w:style w:type="paragraph" w:customStyle="1" w:styleId="406">
    <w:name w:val="标准段落"/>
    <w:basedOn w:val="1"/>
    <w:next w:val="1"/>
    <w:autoRedefine/>
    <w:qFormat/>
    <w:uiPriority w:val="0"/>
    <w:rPr>
      <w:rFonts w:ascii="宋体"/>
      <w:kern w:val="0"/>
      <w:szCs w:val="24"/>
    </w:rPr>
  </w:style>
  <w:style w:type="paragraph" w:customStyle="1" w:styleId="407">
    <w:name w:val="表内－左5"/>
    <w:autoRedefine/>
    <w:qFormat/>
    <w:uiPriority w:val="0"/>
    <w:rPr>
      <w:rFonts w:ascii="Times New Roman" w:hAnsi="Times New Roman" w:eastAsia="宋体" w:cs="宋体"/>
      <w:kern w:val="2"/>
      <w:sz w:val="21"/>
      <w:lang w:val="en-GB" w:eastAsia="zh-CN" w:bidi="ar-SA"/>
    </w:rPr>
  </w:style>
  <w:style w:type="paragraph" w:customStyle="1" w:styleId="408">
    <w:name w:val="表格15"/>
    <w:basedOn w:val="1"/>
    <w:link w:val="598"/>
    <w:autoRedefine/>
    <w:qFormat/>
    <w:uiPriority w:val="0"/>
    <w:pPr>
      <w:spacing w:line="300" w:lineRule="exact"/>
      <w:jc w:val="center"/>
    </w:pPr>
    <w:rPr>
      <w:rFonts w:ascii="宋体"/>
      <w:color w:val="000000"/>
      <w:kern w:val="0"/>
      <w:sz w:val="20"/>
      <w:szCs w:val="21"/>
    </w:rPr>
  </w:style>
  <w:style w:type="paragraph" w:customStyle="1" w:styleId="409">
    <w:name w:val="四级"/>
    <w:basedOn w:val="12"/>
    <w:autoRedefine/>
    <w:qFormat/>
    <w:uiPriority w:val="0"/>
    <w:pPr>
      <w:tabs>
        <w:tab w:val="left" w:pos="2100"/>
      </w:tabs>
      <w:spacing w:line="374" w:lineRule="auto"/>
      <w:ind w:left="2100" w:hanging="420"/>
    </w:pPr>
    <w:rPr>
      <w:rFonts w:ascii="Arial" w:hAnsi="Arial"/>
    </w:rPr>
  </w:style>
  <w:style w:type="paragraph" w:customStyle="1" w:styleId="410">
    <w:name w:val="标题3s"/>
    <w:basedOn w:val="11"/>
    <w:link w:val="561"/>
    <w:autoRedefine/>
    <w:qFormat/>
    <w:uiPriority w:val="0"/>
    <w:pPr>
      <w:tabs>
        <w:tab w:val="left" w:pos="1200"/>
      </w:tabs>
      <w:spacing w:line="500" w:lineRule="exact"/>
      <w:ind w:left="1200" w:hanging="360"/>
    </w:pPr>
    <w:rPr>
      <w:rFonts w:ascii="黑体" w:hAnsi="黑体" w:eastAsia="黑体"/>
      <w:color w:val="0070C0"/>
      <w:sz w:val="24"/>
    </w:rPr>
  </w:style>
  <w:style w:type="paragraph" w:customStyle="1" w:styleId="411">
    <w:name w:val="正文41"/>
    <w:autoRedefine/>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12">
    <w:name w:val="表格18"/>
    <w:basedOn w:val="1"/>
    <w:autoRedefine/>
    <w:qFormat/>
    <w:uiPriority w:val="0"/>
    <w:pPr>
      <w:spacing w:line="360" w:lineRule="exact"/>
      <w:jc w:val="center"/>
    </w:pPr>
    <w:rPr>
      <w:rFonts w:ascii="宋体"/>
      <w:color w:val="000000"/>
      <w:szCs w:val="21"/>
    </w:rPr>
  </w:style>
  <w:style w:type="paragraph" w:customStyle="1" w:styleId="413">
    <w:name w:val="样式 正文缩进正文缩进2正文缩进 Char Char正文缩进 Char Char Char Char正文缩进 Char ..."/>
    <w:basedOn w:val="25"/>
    <w:link w:val="754"/>
    <w:autoRedefine/>
    <w:qFormat/>
    <w:uiPriority w:val="0"/>
    <w:pPr>
      <w:tabs>
        <w:tab w:val="clear" w:pos="0"/>
      </w:tabs>
      <w:spacing w:line="360" w:lineRule="auto"/>
      <w:ind w:firstLine="200" w:firstLineChars="0"/>
      <w:jc w:val="both"/>
    </w:pPr>
    <w:rPr>
      <w:rFonts w:ascii="宋体" w:hAnsi="宋体" w:cs="宋体"/>
      <w:kern w:val="2"/>
      <w:szCs w:val="24"/>
    </w:rPr>
  </w:style>
  <w:style w:type="paragraph" w:customStyle="1" w:styleId="414">
    <w:name w:val="付正文"/>
    <w:basedOn w:val="1"/>
    <w:link w:val="636"/>
    <w:autoRedefine/>
    <w:qFormat/>
    <w:uiPriority w:val="0"/>
    <w:rPr>
      <w:rFonts w:ascii="宋体"/>
      <w:color w:val="000000"/>
      <w:kern w:val="0"/>
      <w:szCs w:val="21"/>
    </w:rPr>
  </w:style>
  <w:style w:type="paragraph" w:customStyle="1" w:styleId="415">
    <w:name w:val="样式 题注 + 小四 居中"/>
    <w:basedOn w:val="1"/>
    <w:link w:val="571"/>
    <w:autoRedefine/>
    <w:qFormat/>
    <w:uiPriority w:val="0"/>
    <w:pPr>
      <w:jc w:val="center"/>
    </w:pPr>
    <w:rPr>
      <w:rFonts w:cs="宋体"/>
      <w:kern w:val="0"/>
      <w:szCs w:val="24"/>
    </w:rPr>
  </w:style>
  <w:style w:type="paragraph" w:customStyle="1" w:styleId="416">
    <w:name w:val="规划正文样式"/>
    <w:basedOn w:val="1"/>
    <w:autoRedefine/>
    <w:qFormat/>
    <w:uiPriority w:val="0"/>
    <w:pPr>
      <w:spacing w:line="400" w:lineRule="exact"/>
      <w:ind w:firstLine="480"/>
    </w:pPr>
    <w:rPr>
      <w:szCs w:val="24"/>
    </w:rPr>
  </w:style>
  <w:style w:type="paragraph" w:customStyle="1" w:styleId="417">
    <w:name w:val="标准正文"/>
    <w:basedOn w:val="1"/>
    <w:autoRedefine/>
    <w:qFormat/>
    <w:uiPriority w:val="0"/>
    <w:pPr>
      <w:ind w:firstLine="480"/>
    </w:pPr>
  </w:style>
  <w:style w:type="paragraph" w:customStyle="1" w:styleId="418">
    <w:name w:val="标题dh2"/>
    <w:basedOn w:val="1"/>
    <w:autoRedefine/>
    <w:qFormat/>
    <w:uiPriority w:val="0"/>
    <w:pPr>
      <w:spacing w:line="520" w:lineRule="exact"/>
      <w:ind w:firstLine="482"/>
    </w:pPr>
    <w:rPr>
      <w:rFonts w:ascii="宋体"/>
      <w:b/>
      <w:sz w:val="28"/>
    </w:rPr>
  </w:style>
  <w:style w:type="paragraph" w:customStyle="1" w:styleId="419">
    <w:name w:val="灯泡注释(打印无效)"/>
    <w:basedOn w:val="80"/>
    <w:autoRedefine/>
    <w:qFormat/>
    <w:uiPriority w:val="0"/>
    <w:pPr>
      <w:snapToGrid w:val="0"/>
      <w:ind w:firstLine="0" w:firstLineChars="0"/>
    </w:pPr>
    <w:rPr>
      <w:i/>
      <w:vanish/>
      <w:color w:val="FF0000"/>
      <w:szCs w:val="21"/>
    </w:rPr>
  </w:style>
  <w:style w:type="paragraph" w:customStyle="1" w:styleId="420">
    <w:name w:val="强调标题"/>
    <w:basedOn w:val="1"/>
    <w:next w:val="1"/>
    <w:autoRedefine/>
    <w:qFormat/>
    <w:uiPriority w:val="0"/>
    <w:pPr>
      <w:adjustRightInd w:val="0"/>
      <w:snapToGrid w:val="0"/>
      <w:spacing w:line="400" w:lineRule="exact"/>
    </w:pPr>
    <w:rPr>
      <w:b/>
    </w:rPr>
  </w:style>
  <w:style w:type="paragraph" w:customStyle="1" w:styleId="421">
    <w:name w:val="正文 + 首行缩进:  2 字符"/>
    <w:basedOn w:val="1"/>
    <w:autoRedefine/>
    <w:qFormat/>
    <w:uiPriority w:val="0"/>
    <w:pPr>
      <w:spacing w:line="460" w:lineRule="atLeast"/>
      <w:ind w:firstLine="528"/>
    </w:pPr>
    <w:rPr>
      <w:spacing w:val="12"/>
    </w:rPr>
  </w:style>
  <w:style w:type="paragraph" w:customStyle="1" w:styleId="422">
    <w:name w:val="表格题目"/>
    <w:basedOn w:val="1"/>
    <w:autoRedefine/>
    <w:qFormat/>
    <w:uiPriority w:val="0"/>
    <w:pPr>
      <w:snapToGrid w:val="0"/>
      <w:ind w:left="-50" w:leftChars="-50" w:right="-50" w:rightChars="-50"/>
      <w:jc w:val="center"/>
    </w:pPr>
    <w:rPr>
      <w:rFonts w:ascii="宋体"/>
      <w:sz w:val="28"/>
      <w:szCs w:val="28"/>
    </w:rPr>
  </w:style>
  <w:style w:type="paragraph" w:customStyle="1" w:styleId="423">
    <w:name w:val="样式 样式 宋体 黑色 + 行距: 单倍行距"/>
    <w:basedOn w:val="1"/>
    <w:autoRedefine/>
    <w:qFormat/>
    <w:uiPriority w:val="0"/>
    <w:pPr>
      <w:spacing w:line="240" w:lineRule="atLeast"/>
      <w:outlineLvl w:val="1"/>
    </w:pPr>
    <w:rPr>
      <w:rFonts w:ascii="宋体" w:hAnsi="宋体" w:cs="宋体"/>
      <w:color w:val="000000"/>
    </w:rPr>
  </w:style>
  <w:style w:type="paragraph" w:customStyle="1" w:styleId="424">
    <w:name w:val="胡"/>
    <w:basedOn w:val="1"/>
    <w:autoRedefine/>
    <w:qFormat/>
    <w:uiPriority w:val="0"/>
    <w:pPr>
      <w:adjustRightInd w:val="0"/>
      <w:spacing w:line="360" w:lineRule="atLeast"/>
      <w:textAlignment w:val="baseline"/>
    </w:pPr>
    <w:rPr>
      <w:rFonts w:ascii="Calibri" w:hAnsi="Calibri"/>
      <w:kern w:val="0"/>
      <w:lang w:eastAsia="en-US" w:bidi="en-US"/>
    </w:rPr>
  </w:style>
  <w:style w:type="paragraph" w:customStyle="1" w:styleId="425">
    <w:name w:val="环科院表格标题"/>
    <w:basedOn w:val="1"/>
    <w:link w:val="713"/>
    <w:autoRedefine/>
    <w:qFormat/>
    <w:uiPriority w:val="0"/>
    <w:pPr>
      <w:spacing w:beforeLines="50" w:line="500" w:lineRule="exact"/>
      <w:ind w:firstLine="3480" w:firstLineChars="1450"/>
    </w:pPr>
    <w:rPr>
      <w:rFonts w:ascii="宋体" w:hAnsi="宋体"/>
      <w:bCs/>
      <w:kern w:val="0"/>
      <w:szCs w:val="24"/>
    </w:rPr>
  </w:style>
  <w:style w:type="paragraph" w:customStyle="1" w:styleId="426">
    <w:name w:val="样式2545456456"/>
    <w:basedOn w:val="5"/>
    <w:autoRedefine/>
    <w:qFormat/>
    <w:uiPriority w:val="0"/>
    <w:pPr>
      <w:spacing w:after="0" w:line="420" w:lineRule="exact"/>
    </w:pPr>
    <w:rPr>
      <w:rFonts w:ascii="宋体" w:hAnsi="宋体"/>
      <w:spacing w:val="8"/>
      <w:sz w:val="24"/>
      <w:szCs w:val="24"/>
    </w:rPr>
  </w:style>
  <w:style w:type="paragraph" w:customStyle="1" w:styleId="427">
    <w:name w:val="正文王"/>
    <w:basedOn w:val="44"/>
    <w:link w:val="491"/>
    <w:autoRedefine/>
    <w:qFormat/>
    <w:uiPriority w:val="0"/>
    <w:pPr>
      <w:spacing w:line="440" w:lineRule="exact"/>
      <w:ind w:firstLine="0" w:firstLineChars="0"/>
    </w:pPr>
    <w:rPr>
      <w:rFonts w:ascii="Arial" w:hAnsi="Arial"/>
      <w:snapToGrid w:val="0"/>
      <w:sz w:val="24"/>
      <w:szCs w:val="20"/>
    </w:rPr>
  </w:style>
  <w:style w:type="paragraph" w:customStyle="1" w:styleId="428">
    <w:name w:val="正文 New New New New New New New New New New New New New New New New New New New New New New New New New New New New New New New New New New New New New New New New New New New New New New New New New New New New New New New"/>
    <w:basedOn w:val="1"/>
    <w:autoRedefine/>
    <w:qFormat/>
    <w:uiPriority w:val="0"/>
    <w:rPr>
      <w:rFonts w:ascii="宋体"/>
      <w:kern w:val="0"/>
      <w:szCs w:val="21"/>
    </w:rPr>
  </w:style>
  <w:style w:type="paragraph" w:customStyle="1" w:styleId="429">
    <w:name w:val="表内式样"/>
    <w:autoRedefine/>
    <w:qFormat/>
    <w:uiPriority w:val="0"/>
    <w:pPr>
      <w:widowControl w:val="0"/>
      <w:adjustRightInd w:val="0"/>
      <w:spacing w:line="280" w:lineRule="exact"/>
      <w:jc w:val="center"/>
      <w:textAlignment w:val="baseline"/>
    </w:pPr>
    <w:rPr>
      <w:rFonts w:ascii="Times New Roman" w:hAnsi="Times New Roman" w:eastAsia="宋体" w:cs="Times New Roman"/>
      <w:w w:val="90"/>
      <w:kern w:val="2"/>
      <w:sz w:val="21"/>
      <w:lang w:val="en-US" w:eastAsia="zh-CN" w:bidi="ar-SA"/>
    </w:rPr>
  </w:style>
  <w:style w:type="paragraph" w:customStyle="1" w:styleId="430">
    <w:name w:val="样式 样式 标题 1 + 居中 +"/>
    <w:basedOn w:val="1"/>
    <w:autoRedefine/>
    <w:qFormat/>
    <w:uiPriority w:val="0"/>
    <w:pPr>
      <w:keepLines/>
      <w:pageBreakBefore/>
      <w:ind w:firstLine="0" w:firstLineChars="0"/>
      <w:jc w:val="center"/>
      <w:outlineLvl w:val="0"/>
    </w:pPr>
    <w:rPr>
      <w:rFonts w:eastAsia="黑体"/>
      <w:kern w:val="0"/>
      <w:sz w:val="36"/>
    </w:rPr>
  </w:style>
  <w:style w:type="paragraph" w:customStyle="1" w:styleId="431">
    <w:name w:val="样式 样式 方正宋三简体 14 磅 行距: 1.5 倍行距1 + 首行缩进:  2 字符"/>
    <w:basedOn w:val="1"/>
    <w:link w:val="674"/>
    <w:autoRedefine/>
    <w:qFormat/>
    <w:uiPriority w:val="0"/>
    <w:rPr>
      <w:rFonts w:ascii="宋体" w:hAnsi="方正宋三简体"/>
      <w:kern w:val="0"/>
      <w:sz w:val="27"/>
      <w:szCs w:val="27"/>
    </w:rPr>
  </w:style>
  <w:style w:type="paragraph" w:customStyle="1" w:styleId="432">
    <w:name w:val="二级标题"/>
    <w:basedOn w:val="1"/>
    <w:next w:val="1"/>
    <w:autoRedefine/>
    <w:qFormat/>
    <w:uiPriority w:val="0"/>
    <w:pPr>
      <w:keepNext/>
      <w:adjustRightInd w:val="0"/>
      <w:spacing w:before="240" w:after="240" w:line="312" w:lineRule="atLeast"/>
      <w:jc w:val="center"/>
      <w:textAlignment w:val="baseline"/>
    </w:pPr>
    <w:rPr>
      <w:rFonts w:eastAsia="楷体_GB2312"/>
      <w:kern w:val="0"/>
      <w:sz w:val="28"/>
    </w:rPr>
  </w:style>
  <w:style w:type="paragraph" w:customStyle="1" w:styleId="433">
    <w:name w:val="环评列表"/>
    <w:basedOn w:val="62"/>
    <w:link w:val="708"/>
    <w:autoRedefine/>
    <w:qFormat/>
    <w:uiPriority w:val="0"/>
    <w:pPr>
      <w:keepLines/>
      <w:spacing w:line="240" w:lineRule="auto"/>
      <w:ind w:left="0" w:right="0" w:firstLine="0"/>
    </w:pPr>
    <w:rPr>
      <w:rFonts w:ascii="Times New Roman" w:eastAsia="宋体"/>
      <w:kern w:val="0"/>
      <w:sz w:val="20"/>
    </w:rPr>
  </w:style>
  <w:style w:type="paragraph" w:customStyle="1" w:styleId="434">
    <w:name w:val="法规"/>
    <w:basedOn w:val="1"/>
    <w:autoRedefine/>
    <w:qFormat/>
    <w:uiPriority w:val="0"/>
    <w:pPr>
      <w:tabs>
        <w:tab w:val="left" w:pos="400"/>
      </w:tabs>
      <w:ind w:firstLine="400"/>
    </w:pPr>
    <w:rPr>
      <w:sz w:val="25"/>
    </w:rPr>
  </w:style>
  <w:style w:type="paragraph" w:customStyle="1" w:styleId="435">
    <w:name w:val="表格头 Char Char Char Char Char Char Char"/>
    <w:basedOn w:val="1"/>
    <w:autoRedefine/>
    <w:qFormat/>
    <w:uiPriority w:val="0"/>
    <w:pPr>
      <w:adjustRightInd w:val="0"/>
      <w:snapToGrid w:val="0"/>
      <w:jc w:val="center"/>
    </w:pPr>
    <w:rPr>
      <w:b/>
      <w:szCs w:val="24"/>
    </w:rPr>
  </w:style>
  <w:style w:type="paragraph" w:customStyle="1" w:styleId="436">
    <w:name w:val="样式 样式 标题 2 + 宋体 段前: 7.8 磅 段后: 7.8 磅 + 段前: 0.5 行 段后: 0.5 行"/>
    <w:basedOn w:val="1"/>
    <w:autoRedefine/>
    <w:qFormat/>
    <w:uiPriority w:val="0"/>
    <w:pPr>
      <w:keepNext/>
      <w:keepLines/>
      <w:spacing w:beforeLines="50" w:afterLines="50"/>
      <w:ind w:firstLine="0" w:firstLineChars="0"/>
      <w:outlineLvl w:val="1"/>
    </w:pPr>
    <w:rPr>
      <w:rFonts w:ascii="宋体" w:hAnsi="宋体" w:cs="宋体"/>
      <w:b/>
      <w:bCs/>
      <w:kern w:val="0"/>
      <w:sz w:val="30"/>
      <w:szCs w:val="24"/>
    </w:rPr>
  </w:style>
  <w:style w:type="paragraph" w:customStyle="1" w:styleId="437">
    <w:name w:val="表号"/>
    <w:autoRedefine/>
    <w:qFormat/>
    <w:uiPriority w:val="0"/>
    <w:rPr>
      <w:rFonts w:ascii="Times New Roman" w:hAnsi="Times New Roman" w:eastAsia="宋体" w:cs="Times New Roman"/>
      <w:sz w:val="21"/>
      <w:szCs w:val="21"/>
      <w:lang w:val="en-US" w:eastAsia="zh-CN" w:bidi="ar-SA"/>
    </w:rPr>
  </w:style>
  <w:style w:type="paragraph" w:customStyle="1" w:styleId="438">
    <w:name w:val="样式 黑体 四号 黑色 行距: 1.5 倍行距"/>
    <w:basedOn w:val="1"/>
    <w:autoRedefine/>
    <w:qFormat/>
    <w:uiPriority w:val="0"/>
    <w:rPr>
      <w:rFonts w:ascii="黑体" w:eastAsia="黑体"/>
      <w:color w:val="000000"/>
      <w:sz w:val="28"/>
    </w:rPr>
  </w:style>
  <w:style w:type="paragraph" w:customStyle="1" w:styleId="439">
    <w:name w:val="表格样式1"/>
    <w:basedOn w:val="1"/>
    <w:autoRedefine/>
    <w:qFormat/>
    <w:uiPriority w:val="0"/>
    <w:pPr>
      <w:adjustRightInd w:val="0"/>
      <w:spacing w:line="20" w:lineRule="atLeast"/>
      <w:jc w:val="center"/>
      <w:textAlignment w:val="baseline"/>
    </w:pPr>
    <w:rPr>
      <w:rFonts w:ascii="宋体"/>
      <w:kern w:val="0"/>
    </w:rPr>
  </w:style>
  <w:style w:type="paragraph" w:customStyle="1" w:styleId="440">
    <w:name w:val="表格内容格式"/>
    <w:basedOn w:val="1"/>
    <w:autoRedefine/>
    <w:qFormat/>
    <w:uiPriority w:val="0"/>
    <w:pPr>
      <w:adjustRightInd w:val="0"/>
      <w:spacing w:line="240" w:lineRule="atLeast"/>
      <w:jc w:val="center"/>
      <w:textAlignment w:val="baseline"/>
    </w:pPr>
    <w:rPr>
      <w:rFonts w:ascii="宋体" w:hAnsi="宋体"/>
      <w:snapToGrid w:val="0"/>
      <w:kern w:val="0"/>
      <w:szCs w:val="21"/>
    </w:rPr>
  </w:style>
  <w:style w:type="paragraph" w:customStyle="1" w:styleId="441">
    <w:name w:val="基准标题"/>
    <w:basedOn w:val="5"/>
    <w:next w:val="5"/>
    <w:autoRedefine/>
    <w:qFormat/>
    <w:uiPriority w:val="0"/>
    <w:pPr>
      <w:spacing w:after="0" w:line="440" w:lineRule="exact"/>
      <w:jc w:val="center"/>
    </w:pPr>
    <w:rPr>
      <w:szCs w:val="28"/>
    </w:rPr>
  </w:style>
  <w:style w:type="paragraph" w:customStyle="1" w:styleId="442">
    <w:name w:val="表、图题目"/>
    <w:basedOn w:val="1"/>
    <w:autoRedefine/>
    <w:qFormat/>
    <w:uiPriority w:val="0"/>
    <w:pPr>
      <w:adjustRightInd w:val="0"/>
      <w:snapToGrid w:val="0"/>
      <w:jc w:val="center"/>
      <w:outlineLvl w:val="3"/>
    </w:pPr>
    <w:rPr>
      <w:b/>
      <w:szCs w:val="24"/>
    </w:rPr>
  </w:style>
  <w:style w:type="paragraph" w:customStyle="1" w:styleId="443">
    <w:name w:val="样式 首行缩进:  0.85 厘米"/>
    <w:basedOn w:val="1"/>
    <w:autoRedefine/>
    <w:qFormat/>
    <w:uiPriority w:val="0"/>
    <w:pPr>
      <w:snapToGrid w:val="0"/>
    </w:pPr>
    <w:rPr>
      <w:rFonts w:cs="宋体"/>
    </w:rPr>
  </w:style>
  <w:style w:type="paragraph" w:customStyle="1" w:styleId="444">
    <w:name w:val="列表1"/>
    <w:basedOn w:val="1"/>
    <w:autoRedefine/>
    <w:qFormat/>
    <w:uiPriority w:val="0"/>
    <w:pPr>
      <w:keepLines/>
    </w:pPr>
  </w:style>
  <w:style w:type="paragraph" w:customStyle="1" w:styleId="445">
    <w:name w:val="内蒙正文"/>
    <w:basedOn w:val="1"/>
    <w:autoRedefine/>
    <w:qFormat/>
    <w:uiPriority w:val="0"/>
    <w:pPr>
      <w:spacing w:line="480" w:lineRule="exact"/>
      <w:ind w:firstLine="560"/>
    </w:pPr>
    <w:rPr>
      <w:rFonts w:hAnsi="宋体" w:eastAsia="Times New Roman"/>
      <w:color w:val="FF0000"/>
      <w:spacing w:val="20"/>
      <w:szCs w:val="24"/>
    </w:rPr>
  </w:style>
  <w:style w:type="paragraph" w:customStyle="1" w:styleId="446">
    <w:name w:val="奉读大示，心折殊深。"/>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47">
    <w:name w:val="样式 样式 标题 3 + 段前: 7.8 磅 段后: 7.8 磅 行距: 固定值 20 磅 + 宋体"/>
    <w:basedOn w:val="1"/>
    <w:link w:val="628"/>
    <w:autoRedefine/>
    <w:qFormat/>
    <w:uiPriority w:val="0"/>
    <w:pPr>
      <w:keepNext/>
      <w:keepLines/>
      <w:spacing w:before="156" w:after="156" w:line="400" w:lineRule="exact"/>
      <w:ind w:firstLine="0" w:firstLineChars="0"/>
      <w:outlineLvl w:val="2"/>
    </w:pPr>
    <w:rPr>
      <w:rFonts w:ascii="宋体" w:hAnsi="宋体"/>
      <w:b/>
      <w:bCs/>
      <w:kern w:val="0"/>
      <w:sz w:val="30"/>
      <w:szCs w:val="30"/>
    </w:rPr>
  </w:style>
  <w:style w:type="paragraph" w:customStyle="1" w:styleId="448">
    <w:name w:val="表序号"/>
    <w:basedOn w:val="9"/>
    <w:next w:val="44"/>
    <w:autoRedefine/>
    <w:qFormat/>
    <w:uiPriority w:val="0"/>
    <w:pPr>
      <w:pageBreakBefore/>
      <w:tabs>
        <w:tab w:val="left" w:pos="3132"/>
      </w:tabs>
      <w:jc w:val="center"/>
    </w:pPr>
    <w:rPr>
      <w:rFonts w:ascii="仿宋_GB2312" w:hAnsi="Arial Black" w:eastAsia="仿宋_GB2312"/>
      <w:bCs w:val="0"/>
      <w:color w:val="000000"/>
      <w:sz w:val="28"/>
      <w:szCs w:val="20"/>
    </w:rPr>
  </w:style>
  <w:style w:type="paragraph" w:customStyle="1" w:styleId="449">
    <w:name w:val="样式 样式3 + 首行缩进:  0.85 厘米"/>
    <w:basedOn w:val="450"/>
    <w:autoRedefine/>
    <w:qFormat/>
    <w:uiPriority w:val="0"/>
    <w:pPr>
      <w:tabs>
        <w:tab w:val="center" w:pos="4649"/>
        <w:tab w:val="right" w:pos="9072"/>
      </w:tabs>
      <w:adjustRightInd w:val="0"/>
      <w:snapToGrid w:val="0"/>
      <w:spacing w:before="120" w:after="120"/>
      <w:jc w:val="left"/>
      <w:textAlignment w:val="baseline"/>
      <w:outlineLvl w:val="2"/>
    </w:pPr>
    <w:rPr>
      <w:rFonts w:ascii="宋体" w:hAnsi="宋体" w:cs="宋体"/>
      <w:bCs/>
      <w:sz w:val="24"/>
    </w:rPr>
  </w:style>
  <w:style w:type="paragraph" w:customStyle="1" w:styleId="450">
    <w:name w:val="样式3"/>
    <w:basedOn w:val="53"/>
    <w:link w:val="494"/>
    <w:autoRedefine/>
    <w:qFormat/>
    <w:uiPriority w:val="0"/>
    <w:pPr>
      <w:tabs>
        <w:tab w:val="clear" w:pos="4153"/>
        <w:tab w:val="clear" w:pos="8306"/>
      </w:tabs>
      <w:snapToGrid/>
      <w:jc w:val="both"/>
    </w:pPr>
    <w:rPr>
      <w:rFonts w:ascii="Calibri" w:hAnsi="Calibri"/>
      <w:sz w:val="20"/>
      <w:szCs w:val="20"/>
    </w:rPr>
  </w:style>
  <w:style w:type="paragraph" w:customStyle="1" w:styleId="451">
    <w:name w:val="表格中的文字"/>
    <w:basedOn w:val="1"/>
    <w:link w:val="703"/>
    <w:autoRedefine/>
    <w:qFormat/>
    <w:uiPriority w:val="0"/>
    <w:pPr>
      <w:jc w:val="center"/>
    </w:pPr>
    <w:rPr>
      <w:rFonts w:ascii="宋体" w:hAnsi="宋体"/>
      <w:kern w:val="0"/>
      <w:sz w:val="20"/>
    </w:rPr>
  </w:style>
  <w:style w:type="paragraph" w:customStyle="1" w:styleId="452">
    <w:name w:val="标题5"/>
    <w:basedOn w:val="12"/>
    <w:autoRedefine/>
    <w:qFormat/>
    <w:uiPriority w:val="0"/>
    <w:pPr>
      <w:keepNext w:val="0"/>
      <w:keepLines w:val="0"/>
      <w:tabs>
        <w:tab w:val="left" w:pos="720"/>
        <w:tab w:val="left" w:pos="2040"/>
      </w:tabs>
      <w:spacing w:afterLines="50" w:line="240" w:lineRule="auto"/>
      <w:ind w:left="4320" w:hanging="420"/>
    </w:pPr>
  </w:style>
  <w:style w:type="paragraph" w:customStyle="1" w:styleId="453">
    <w:name w:val="正文(首行缩进)"/>
    <w:basedOn w:val="1"/>
    <w:link w:val="663"/>
    <w:autoRedefine/>
    <w:qFormat/>
    <w:uiPriority w:val="0"/>
    <w:pPr>
      <w:snapToGrid w:val="0"/>
      <w:ind w:firstLine="510"/>
    </w:pPr>
    <w:rPr>
      <w:rFonts w:ascii="宋体"/>
      <w:kern w:val="0"/>
      <w:szCs w:val="24"/>
      <w:lang w:eastAsia="en-US" w:bidi="en-US"/>
    </w:rPr>
  </w:style>
  <w:style w:type="paragraph" w:customStyle="1" w:styleId="454">
    <w:name w:val="录"/>
    <w:basedOn w:val="1"/>
    <w:next w:val="1"/>
    <w:autoRedefine/>
    <w:qFormat/>
    <w:uiPriority w:val="0"/>
    <w:pPr>
      <w:adjustRightInd w:val="0"/>
      <w:spacing w:after="120" w:line="480" w:lineRule="exact"/>
      <w:textAlignment w:val="baseline"/>
      <w:outlineLvl w:val="3"/>
    </w:pPr>
    <w:rPr>
      <w:rFonts w:ascii="楷体_GB2312" w:eastAsia="楷体_GB2312"/>
      <w:kern w:val="0"/>
      <w:sz w:val="30"/>
    </w:rPr>
  </w:style>
  <w:style w:type="paragraph" w:customStyle="1" w:styleId="455">
    <w:name w:val="模型公式-居中"/>
    <w:next w:val="1"/>
    <w:autoRedefine/>
    <w:qFormat/>
    <w:uiPriority w:val="0"/>
    <w:pPr>
      <w:spacing w:line="360" w:lineRule="auto"/>
      <w:jc w:val="center"/>
    </w:pPr>
    <w:rPr>
      <w:rFonts w:ascii="Times New Roman" w:hAnsi="Times New Roman" w:eastAsia="仿宋_GB2312" w:cs="Times New Roman"/>
      <w:bCs/>
      <w:kern w:val="2"/>
      <w:sz w:val="24"/>
      <w:szCs w:val="24"/>
      <w:lang w:val="en-US" w:eastAsia="zh-CN" w:bidi="ar-SA"/>
    </w:rPr>
  </w:style>
  <w:style w:type="paragraph" w:customStyle="1" w:styleId="456">
    <w:name w:val="样式 加粗 首行缩进:  2 字符 段前: 7.8 磅 段后: 7.8 磅"/>
    <w:basedOn w:val="1"/>
    <w:autoRedefine/>
    <w:qFormat/>
    <w:uiPriority w:val="0"/>
    <w:pPr>
      <w:spacing w:before="120" w:after="120" w:line="320" w:lineRule="exact"/>
      <w:ind w:firstLine="480"/>
    </w:pPr>
    <w:rPr>
      <w:rFonts w:cs="宋体"/>
      <w:bCs/>
    </w:rPr>
  </w:style>
  <w:style w:type="paragraph" w:customStyle="1" w:styleId="457">
    <w:name w:val="章标题(不加入目录内)"/>
    <w:basedOn w:val="1"/>
    <w:autoRedefine/>
    <w:qFormat/>
    <w:uiPriority w:val="0"/>
    <w:pPr>
      <w:keepLines/>
      <w:pageBreakBefore/>
      <w:spacing w:before="240" w:line="240" w:lineRule="auto"/>
      <w:ind w:firstLine="0" w:firstLineChars="0"/>
      <w:jc w:val="center"/>
    </w:pPr>
    <w:rPr>
      <w:rFonts w:eastAsia="黑体"/>
      <w:b/>
      <w:sz w:val="36"/>
    </w:rPr>
  </w:style>
  <w:style w:type="paragraph" w:customStyle="1" w:styleId="458">
    <w:name w:val="样式 黑体 小四 加粗 首行缩进:  0.85 厘米 行距: 固定值 28 磅"/>
    <w:basedOn w:val="1"/>
    <w:autoRedefine/>
    <w:qFormat/>
    <w:uiPriority w:val="0"/>
    <w:pPr>
      <w:spacing w:line="560" w:lineRule="exact"/>
      <w:ind w:firstLine="480"/>
    </w:pPr>
    <w:rPr>
      <w:rFonts w:ascii="黑体" w:eastAsia="黑体"/>
      <w:b/>
      <w:bCs/>
    </w:rPr>
  </w:style>
  <w:style w:type="paragraph" w:customStyle="1" w:styleId="459">
    <w:name w:val="字元 字元2"/>
    <w:basedOn w:val="1"/>
    <w:autoRedefine/>
    <w:qFormat/>
    <w:uiPriority w:val="0"/>
    <w:pPr>
      <w:ind w:firstLine="800"/>
    </w:pPr>
    <w:rPr>
      <w:kern w:val="0"/>
      <w:szCs w:val="24"/>
    </w:rPr>
  </w:style>
  <w:style w:type="paragraph" w:customStyle="1" w:styleId="460">
    <w:name w:val="表格字"/>
    <w:basedOn w:val="1"/>
    <w:autoRedefine/>
    <w:qFormat/>
    <w:uiPriority w:val="99"/>
    <w:pPr>
      <w:spacing w:line="300" w:lineRule="atLeast"/>
      <w:jc w:val="center"/>
    </w:pPr>
    <w:rPr>
      <w:rFonts w:ascii="宋体" w:hAnsi="宋体"/>
      <w:szCs w:val="24"/>
    </w:rPr>
  </w:style>
  <w:style w:type="paragraph" w:customStyle="1" w:styleId="461">
    <w:name w:val="黑点"/>
    <w:basedOn w:val="1"/>
    <w:autoRedefine/>
    <w:qFormat/>
    <w:uiPriority w:val="0"/>
    <w:pPr>
      <w:tabs>
        <w:tab w:val="left" w:pos="600"/>
      </w:tabs>
      <w:adjustRightInd w:val="0"/>
      <w:ind w:left="840"/>
      <w:textAlignment w:val="baseline"/>
    </w:pPr>
    <w:rPr>
      <w:rFonts w:ascii="宋体" w:hAnsi="宋体"/>
      <w:color w:val="000000"/>
      <w:kern w:val="0"/>
    </w:rPr>
  </w:style>
  <w:style w:type="paragraph" w:customStyle="1" w:styleId="462">
    <w:name w:val="表格填充1"/>
    <w:basedOn w:val="44"/>
    <w:autoRedefine/>
    <w:qFormat/>
    <w:uiPriority w:val="0"/>
    <w:pPr>
      <w:snapToGrid w:val="0"/>
      <w:jc w:val="center"/>
    </w:pPr>
    <w:rPr>
      <w:snapToGrid w:val="0"/>
      <w:sz w:val="30"/>
    </w:rPr>
  </w:style>
  <w:style w:type="paragraph" w:customStyle="1" w:styleId="463">
    <w:name w:val="表格 2"/>
    <w:basedOn w:val="1"/>
    <w:autoRedefine/>
    <w:qFormat/>
    <w:uiPriority w:val="0"/>
    <w:pPr>
      <w:autoSpaceDE w:val="0"/>
      <w:autoSpaceDN w:val="0"/>
      <w:adjustRightInd w:val="0"/>
      <w:jc w:val="center"/>
      <w:textAlignment w:val="baseline"/>
    </w:pPr>
    <w:rPr>
      <w:kern w:val="0"/>
    </w:rPr>
  </w:style>
  <w:style w:type="paragraph" w:customStyle="1" w:styleId="464">
    <w:name w:val="居中正文"/>
    <w:basedOn w:val="80"/>
    <w:autoRedefine/>
    <w:qFormat/>
    <w:uiPriority w:val="0"/>
    <w:pPr>
      <w:adjustRightInd w:val="0"/>
      <w:spacing w:before="120"/>
      <w:ind w:firstLine="0" w:firstLineChars="0"/>
      <w:jc w:val="center"/>
      <w:textAlignment w:val="baseline"/>
    </w:pPr>
    <w:rPr>
      <w:rFonts w:ascii="宋体"/>
      <w:kern w:val="28"/>
      <w:szCs w:val="24"/>
    </w:rPr>
  </w:style>
  <w:style w:type="paragraph" w:customStyle="1" w:styleId="465">
    <w:name w:val="表文字"/>
    <w:basedOn w:val="1"/>
    <w:link w:val="495"/>
    <w:autoRedefine/>
    <w:qFormat/>
    <w:uiPriority w:val="0"/>
    <w:pPr>
      <w:topLinePunct/>
      <w:adjustRightInd w:val="0"/>
      <w:spacing w:line="240" w:lineRule="exact"/>
      <w:textAlignment w:val="baseline"/>
    </w:pPr>
    <w:rPr>
      <w:kern w:val="0"/>
      <w:sz w:val="20"/>
      <w:szCs w:val="21"/>
      <w:lang w:eastAsia="en-US"/>
    </w:rPr>
  </w:style>
  <w:style w:type="paragraph" w:customStyle="1" w:styleId="466">
    <w:name w:val="样式6"/>
    <w:basedOn w:val="1"/>
    <w:link w:val="482"/>
    <w:autoRedefine/>
    <w:qFormat/>
    <w:uiPriority w:val="0"/>
    <w:pPr>
      <w:spacing w:line="480" w:lineRule="exact"/>
      <w:ind w:left="851" w:hanging="851"/>
      <w:outlineLvl w:val="3"/>
    </w:pPr>
    <w:rPr>
      <w:kern w:val="0"/>
      <w:szCs w:val="24"/>
    </w:rPr>
  </w:style>
  <w:style w:type="paragraph" w:customStyle="1" w:styleId="467">
    <w:name w:val="纯文本12"/>
    <w:basedOn w:val="1"/>
    <w:autoRedefine/>
    <w:qFormat/>
    <w:uiPriority w:val="0"/>
    <w:pPr>
      <w:adjustRightInd w:val="0"/>
      <w:spacing w:line="560" w:lineRule="exact"/>
      <w:ind w:firstLine="567"/>
      <w:textAlignment w:val="baseline"/>
    </w:pPr>
    <w:rPr>
      <w:rFonts w:ascii="宋体" w:hAnsi="宋体" w:eastAsia="仿宋_GB2312"/>
      <w:sz w:val="28"/>
    </w:rPr>
  </w:style>
  <w:style w:type="paragraph" w:customStyle="1" w:styleId="468">
    <w:name w:val="环评列表表头"/>
    <w:link w:val="642"/>
    <w:autoRedefine/>
    <w:qFormat/>
    <w:uiPriority w:val="0"/>
    <w:pPr>
      <w:jc w:val="center"/>
    </w:pPr>
    <w:rPr>
      <w:rFonts w:ascii="Times New Roman" w:hAnsi="Times New Roman" w:eastAsia="宋体" w:cs="Times New Roman"/>
      <w:b/>
      <w:bCs/>
      <w:szCs w:val="21"/>
      <w:lang w:val="en-US" w:eastAsia="zh-CN" w:bidi="ar-SA"/>
    </w:rPr>
  </w:style>
  <w:style w:type="paragraph" w:customStyle="1" w:styleId="469">
    <w:name w:val="段落"/>
    <w:basedOn w:val="1"/>
    <w:link w:val="683"/>
    <w:autoRedefine/>
    <w:qFormat/>
    <w:uiPriority w:val="0"/>
    <w:rPr>
      <w:kern w:val="0"/>
    </w:rPr>
  </w:style>
  <w:style w:type="paragraph" w:customStyle="1" w:styleId="470">
    <w:name w:val="正式"/>
    <w:basedOn w:val="1"/>
    <w:link w:val="662"/>
    <w:autoRedefine/>
    <w:qFormat/>
    <w:uiPriority w:val="0"/>
    <w:pPr>
      <w:spacing w:beforeLines="50"/>
    </w:pPr>
    <w:rPr>
      <w:rFonts w:hAnsi="宋体"/>
      <w:kern w:val="0"/>
      <w:szCs w:val="21"/>
    </w:rPr>
  </w:style>
  <w:style w:type="paragraph" w:customStyle="1" w:styleId="471">
    <w:name w:val="样式 首行缩进 + (符号) 宋体 首行缩进:  2 字符"/>
    <w:basedOn w:val="1"/>
    <w:next w:val="1"/>
    <w:autoRedefine/>
    <w:qFormat/>
    <w:uiPriority w:val="0"/>
    <w:pPr>
      <w:adjustRightInd w:val="0"/>
      <w:ind w:firstLine="480"/>
      <w:textAlignment w:val="baseline"/>
    </w:pPr>
    <w:rPr>
      <w:rFonts w:ascii="宋体" w:hAnsi="宋体" w:cs="宋体"/>
      <w:kern w:val="44"/>
    </w:rPr>
  </w:style>
  <w:style w:type="paragraph" w:customStyle="1" w:styleId="472">
    <w:name w:val="表格正文 Char Char Char Char"/>
    <w:basedOn w:val="1"/>
    <w:autoRedefine/>
    <w:qFormat/>
    <w:uiPriority w:val="0"/>
  </w:style>
  <w:style w:type="paragraph" w:customStyle="1" w:styleId="473">
    <w:name w:val="表"/>
    <w:basedOn w:val="1"/>
    <w:link w:val="525"/>
    <w:autoRedefine/>
    <w:qFormat/>
    <w:uiPriority w:val="0"/>
    <w:pPr>
      <w:adjustRightInd w:val="0"/>
      <w:spacing w:line="360" w:lineRule="atLeast"/>
      <w:jc w:val="center"/>
      <w:textAlignment w:val="baseline"/>
    </w:pPr>
    <w:rPr>
      <w:kern w:val="0"/>
      <w:sz w:val="28"/>
    </w:rPr>
  </w:style>
  <w:style w:type="paragraph" w:customStyle="1" w:styleId="474">
    <w:name w:val="表体"/>
    <w:basedOn w:val="1"/>
    <w:autoRedefine/>
    <w:qFormat/>
    <w:uiPriority w:val="0"/>
    <w:pPr>
      <w:overflowPunct w:val="0"/>
      <w:adjustRightInd w:val="0"/>
      <w:spacing w:line="300" w:lineRule="atLeast"/>
      <w:jc w:val="center"/>
      <w:textAlignment w:val="baseline"/>
    </w:pPr>
    <w:rPr>
      <w:color w:val="000000"/>
      <w:kern w:val="24"/>
      <w:sz w:val="18"/>
    </w:rPr>
  </w:style>
  <w:style w:type="paragraph" w:customStyle="1" w:styleId="475">
    <w:name w:val="正文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6">
    <w:name w:val="段落1"/>
    <w:basedOn w:val="1"/>
    <w:link w:val="586"/>
    <w:autoRedefine/>
    <w:qFormat/>
    <w:uiPriority w:val="0"/>
    <w:pPr>
      <w:tabs>
        <w:tab w:val="left" w:pos="180"/>
        <w:tab w:val="left" w:pos="3420"/>
        <w:tab w:val="left" w:pos="4140"/>
        <w:tab w:val="left" w:pos="5580"/>
      </w:tabs>
      <w:ind w:firstLine="480"/>
    </w:pPr>
    <w:rPr>
      <w:kern w:val="0"/>
      <w:szCs w:val="24"/>
    </w:rPr>
  </w:style>
  <w:style w:type="paragraph" w:customStyle="1" w:styleId="477">
    <w:name w:val="常用段落格式"/>
    <w:basedOn w:val="1"/>
    <w:autoRedefine/>
    <w:qFormat/>
    <w:uiPriority w:val="0"/>
    <w:pPr>
      <w:ind w:firstLine="480"/>
    </w:pPr>
    <w:rPr>
      <w:rFonts w:cs="宋体"/>
    </w:rPr>
  </w:style>
  <w:style w:type="paragraph" w:customStyle="1" w:styleId="478">
    <w:name w:val="三级"/>
    <w:basedOn w:val="1"/>
    <w:autoRedefine/>
    <w:qFormat/>
    <w:uiPriority w:val="0"/>
    <w:pPr>
      <w:adjustRightInd w:val="0"/>
      <w:textAlignment w:val="baseline"/>
    </w:pPr>
    <w:rPr>
      <w:b/>
      <w:sz w:val="28"/>
    </w:rPr>
  </w:style>
  <w:style w:type="paragraph" w:customStyle="1" w:styleId="479">
    <w:name w:val="表内容"/>
    <w:basedOn w:val="1"/>
    <w:next w:val="1"/>
    <w:autoRedefine/>
    <w:qFormat/>
    <w:uiPriority w:val="0"/>
    <w:pPr>
      <w:autoSpaceDE w:val="0"/>
      <w:autoSpaceDN w:val="0"/>
      <w:adjustRightInd w:val="0"/>
      <w:jc w:val="center"/>
      <w:textAlignment w:val="bottom"/>
    </w:pPr>
    <w:rPr>
      <w:smallCaps/>
      <w:kern w:val="0"/>
    </w:rPr>
  </w:style>
  <w:style w:type="paragraph" w:customStyle="1" w:styleId="480">
    <w:name w:val="标题3D"/>
    <w:basedOn w:val="11"/>
    <w:autoRedefine/>
    <w:qFormat/>
    <w:uiPriority w:val="0"/>
    <w:pPr>
      <w:widowControl w:val="0"/>
      <w:spacing w:line="413" w:lineRule="auto"/>
      <w:jc w:val="both"/>
    </w:pPr>
    <w:rPr>
      <w:rFonts w:eastAsia="黑体"/>
      <w:szCs w:val="28"/>
    </w:rPr>
  </w:style>
  <w:style w:type="character" w:customStyle="1" w:styleId="481">
    <w:name w:val="表格文字 Char Char"/>
    <w:link w:val="4"/>
    <w:autoRedefine/>
    <w:qFormat/>
    <w:uiPriority w:val="0"/>
    <w:rPr>
      <w:rFonts w:ascii="new times roma" w:hAnsi="new times roma" w:eastAsia="宋体" w:cs="Times New Roman"/>
      <w:szCs w:val="24"/>
      <w:lang w:val="en-US" w:eastAsia="zh-CN"/>
    </w:rPr>
  </w:style>
  <w:style w:type="character" w:customStyle="1" w:styleId="482">
    <w:name w:val="样式6 Char Char"/>
    <w:link w:val="466"/>
    <w:autoRedefine/>
    <w:qFormat/>
    <w:uiPriority w:val="0"/>
    <w:rPr>
      <w:rFonts w:ascii="Times New Roman" w:hAnsi="Times New Roman" w:eastAsia="宋体" w:cs="Times New Roman"/>
      <w:sz w:val="24"/>
      <w:szCs w:val="24"/>
    </w:rPr>
  </w:style>
  <w:style w:type="character" w:customStyle="1" w:styleId="483">
    <w:name w:val="纯文本 Char Char Char"/>
    <w:autoRedefine/>
    <w:qFormat/>
    <w:uiPriority w:val="0"/>
    <w:rPr>
      <w:rFonts w:ascii="宋体" w:hAnsi="Courier New" w:eastAsia="宋体"/>
      <w:kern w:val="2"/>
      <w:sz w:val="21"/>
      <w:lang w:val="en-US" w:eastAsia="zh-CN" w:bidi="ar-SA"/>
    </w:rPr>
  </w:style>
  <w:style w:type="character" w:customStyle="1" w:styleId="484">
    <w:name w:val="表格文字 Char"/>
    <w:autoRedefine/>
    <w:qFormat/>
    <w:uiPriority w:val="0"/>
    <w:rPr>
      <w:bCs/>
      <w:kern w:val="2"/>
      <w:sz w:val="28"/>
      <w:szCs w:val="28"/>
    </w:rPr>
  </w:style>
  <w:style w:type="character" w:customStyle="1" w:styleId="485">
    <w:name w:val="段落 Char"/>
    <w:autoRedefine/>
    <w:qFormat/>
    <w:uiPriority w:val="0"/>
    <w:rPr>
      <w:kern w:val="2"/>
      <w:sz w:val="24"/>
    </w:rPr>
  </w:style>
  <w:style w:type="character" w:customStyle="1" w:styleId="486">
    <w:name w:val="正文11 Char"/>
    <w:autoRedefine/>
    <w:qFormat/>
    <w:uiPriority w:val="0"/>
    <w:rPr>
      <w:rFonts w:ascii="宋体" w:eastAsia="宋体"/>
      <w:szCs w:val="21"/>
      <w:lang w:val="en-US" w:eastAsia="en-US" w:bidi="ar-SA"/>
    </w:rPr>
  </w:style>
  <w:style w:type="character" w:customStyle="1" w:styleId="487">
    <w:name w:val="标题 4 Char1"/>
    <w:autoRedefine/>
    <w:qFormat/>
    <w:uiPriority w:val="0"/>
    <w:rPr>
      <w:rFonts w:ascii="Arial" w:hAnsi="Arial" w:eastAsia="黑体"/>
      <w:b/>
      <w:bCs/>
      <w:kern w:val="2"/>
      <w:sz w:val="28"/>
      <w:szCs w:val="28"/>
      <w:lang w:val="en-US" w:eastAsia="zh-CN" w:bidi="ar-SA"/>
    </w:rPr>
  </w:style>
  <w:style w:type="character" w:customStyle="1" w:styleId="488">
    <w:name w:val="表格内文字 Char"/>
    <w:link w:val="377"/>
    <w:autoRedefine/>
    <w:qFormat/>
    <w:uiPriority w:val="0"/>
    <w:rPr>
      <w:rFonts w:ascii="Times New Roman" w:hAnsi="Times New Roman" w:eastAsia="仿宋_GB2312" w:cs="Times New Roman"/>
      <w:sz w:val="24"/>
      <w:szCs w:val="28"/>
    </w:rPr>
  </w:style>
  <w:style w:type="character" w:customStyle="1" w:styleId="489">
    <w:name w:val="页脚 Char Char"/>
    <w:autoRedefine/>
    <w:qFormat/>
    <w:uiPriority w:val="0"/>
    <w:rPr>
      <w:rFonts w:ascii="Times New Roman" w:hAnsi="Times New Roman" w:eastAsia="宋体" w:cs="Times New Roman"/>
      <w:sz w:val="18"/>
      <w:szCs w:val="18"/>
    </w:rPr>
  </w:style>
  <w:style w:type="character" w:customStyle="1" w:styleId="490">
    <w:name w:val="样式5 Char Char Char"/>
    <w:autoRedefine/>
    <w:qFormat/>
    <w:uiPriority w:val="0"/>
    <w:rPr>
      <w:rFonts w:eastAsia="宋体"/>
      <w:kern w:val="2"/>
      <w:sz w:val="24"/>
      <w:szCs w:val="24"/>
      <w:lang w:val="en-US" w:eastAsia="zh-CN" w:bidi="ar-SA"/>
    </w:rPr>
  </w:style>
  <w:style w:type="character" w:customStyle="1" w:styleId="491">
    <w:name w:val="正文王 Char Char"/>
    <w:link w:val="427"/>
    <w:autoRedefine/>
    <w:qFormat/>
    <w:uiPriority w:val="99"/>
    <w:rPr>
      <w:rFonts w:ascii="Arial" w:hAnsi="Arial" w:eastAsia="宋体" w:cs="Times New Roman"/>
      <w:snapToGrid w:val="0"/>
      <w:kern w:val="0"/>
      <w:sz w:val="24"/>
      <w:szCs w:val="20"/>
    </w:rPr>
  </w:style>
  <w:style w:type="character" w:customStyle="1" w:styleId="492">
    <w:name w:val="朔电正文 Char1"/>
    <w:link w:val="171"/>
    <w:autoRedefine/>
    <w:qFormat/>
    <w:uiPriority w:val="0"/>
    <w:rPr>
      <w:color w:val="000000"/>
      <w:kern w:val="32"/>
      <w:sz w:val="24"/>
      <w:szCs w:val="24"/>
    </w:rPr>
  </w:style>
  <w:style w:type="character" w:customStyle="1" w:styleId="493">
    <w:name w:val="正文缩进 Char"/>
    <w:link w:val="25"/>
    <w:autoRedefine/>
    <w:qFormat/>
    <w:uiPriority w:val="99"/>
    <w:rPr>
      <w:rFonts w:ascii="Times New Roman" w:hAnsi="Times New Roman" w:eastAsia="宋体" w:cs="Times New Roman"/>
      <w:color w:val="000000"/>
      <w:sz w:val="24"/>
      <w:szCs w:val="20"/>
    </w:rPr>
  </w:style>
  <w:style w:type="character" w:customStyle="1" w:styleId="494">
    <w:name w:val="样式3 Char"/>
    <w:link w:val="450"/>
    <w:autoRedefine/>
    <w:qFormat/>
    <w:uiPriority w:val="0"/>
    <w:rPr>
      <w:rFonts w:ascii="Calibri" w:hAnsi="Calibri" w:eastAsia="宋体" w:cs="Times New Roman"/>
    </w:rPr>
  </w:style>
  <w:style w:type="character" w:customStyle="1" w:styleId="495">
    <w:name w:val="表文字 Char1"/>
    <w:link w:val="465"/>
    <w:autoRedefine/>
    <w:qFormat/>
    <w:uiPriority w:val="0"/>
    <w:rPr>
      <w:rFonts w:eastAsia="宋体"/>
      <w:szCs w:val="21"/>
      <w:lang w:eastAsia="en-US"/>
    </w:rPr>
  </w:style>
  <w:style w:type="character" w:customStyle="1" w:styleId="496">
    <w:name w:val="环评正文 Char"/>
    <w:link w:val="324"/>
    <w:autoRedefine/>
    <w:qFormat/>
    <w:uiPriority w:val="0"/>
    <w:rPr>
      <w:bCs/>
      <w:sz w:val="24"/>
      <w:szCs w:val="24"/>
    </w:rPr>
  </w:style>
  <w:style w:type="character" w:customStyle="1" w:styleId="497">
    <w:name w:val="正文文本 Char"/>
    <w:link w:val="5"/>
    <w:autoRedefine/>
    <w:qFormat/>
    <w:uiPriority w:val="0"/>
    <w:rPr>
      <w:rFonts w:ascii="Times New Roman" w:hAnsi="Times New Roman" w:eastAsia="宋体" w:cs="Times New Roman"/>
      <w:szCs w:val="20"/>
    </w:rPr>
  </w:style>
  <w:style w:type="character" w:customStyle="1" w:styleId="498">
    <w:name w:val="标题 2 Char1"/>
    <w:autoRedefine/>
    <w:qFormat/>
    <w:uiPriority w:val="0"/>
    <w:rPr>
      <w:rFonts w:ascii="Arial" w:hAnsi="Arial" w:eastAsia="黑体"/>
      <w:b/>
      <w:bCs/>
      <w:kern w:val="2"/>
      <w:sz w:val="32"/>
      <w:szCs w:val="32"/>
      <w:lang w:val="en-US" w:eastAsia="zh-CN" w:bidi="ar-SA"/>
    </w:rPr>
  </w:style>
  <w:style w:type="character" w:customStyle="1" w:styleId="499">
    <w:name w:val="段落 Char Char Char"/>
    <w:autoRedefine/>
    <w:qFormat/>
    <w:uiPriority w:val="0"/>
    <w:rPr>
      <w:rFonts w:eastAsia="宋体"/>
      <w:kern w:val="2"/>
      <w:sz w:val="24"/>
      <w:lang w:val="en-US" w:eastAsia="zh-CN" w:bidi="ar-SA"/>
    </w:rPr>
  </w:style>
  <w:style w:type="character" w:customStyle="1" w:styleId="500">
    <w:name w:val="样式5 Char1"/>
    <w:autoRedefine/>
    <w:qFormat/>
    <w:uiPriority w:val="0"/>
    <w:rPr>
      <w:rFonts w:eastAsia="宋体"/>
      <w:kern w:val="2"/>
      <w:sz w:val="24"/>
      <w:szCs w:val="24"/>
      <w:lang w:val="en-US" w:eastAsia="zh-CN" w:bidi="ar-SA"/>
    </w:rPr>
  </w:style>
  <w:style w:type="character" w:customStyle="1" w:styleId="501">
    <w:name w:val="正文部分 Char"/>
    <w:autoRedefine/>
    <w:qFormat/>
    <w:uiPriority w:val="0"/>
    <w:rPr>
      <w:rFonts w:ascii="宋体" w:hAnsi="宋体" w:eastAsia="宋体" w:cs="宋体"/>
      <w:bCs/>
      <w:sz w:val="28"/>
      <w:szCs w:val="32"/>
      <w:lang w:val="en-US" w:eastAsia="zh-CN" w:bidi="ar-SA"/>
    </w:rPr>
  </w:style>
  <w:style w:type="character" w:customStyle="1" w:styleId="502">
    <w:name w:val="表格内容 Char Char Char"/>
    <w:autoRedefine/>
    <w:qFormat/>
    <w:uiPriority w:val="0"/>
    <w:rPr>
      <w:rFonts w:ascii="Arial" w:hAnsi="Arial" w:eastAsia="仿宋_GB2312"/>
      <w:sz w:val="24"/>
      <w:lang w:bidi="ar-SA"/>
    </w:rPr>
  </w:style>
  <w:style w:type="character" w:customStyle="1" w:styleId="503">
    <w:name w:val="样式 小四"/>
    <w:autoRedefine/>
    <w:qFormat/>
    <w:uiPriority w:val="0"/>
    <w:rPr>
      <w:sz w:val="24"/>
    </w:rPr>
  </w:style>
  <w:style w:type="character" w:customStyle="1" w:styleId="504">
    <w:name w:val="样式 亚行正文 + 自动设置 Char Char"/>
    <w:link w:val="115"/>
    <w:autoRedefine/>
    <w:qFormat/>
    <w:uiPriority w:val="0"/>
    <w:rPr>
      <w:snapToGrid w:val="0"/>
      <w:spacing w:val="-2"/>
      <w:sz w:val="24"/>
      <w:szCs w:val="24"/>
    </w:rPr>
  </w:style>
  <w:style w:type="character" w:customStyle="1" w:styleId="505">
    <w:name w:val="标题 3 Char Char"/>
    <w:autoRedefine/>
    <w:qFormat/>
    <w:uiPriority w:val="0"/>
    <w:rPr>
      <w:rFonts w:ascii="Times New Roman" w:hAnsi="Times New Roman" w:eastAsia="宋体" w:cs="Times New Roman"/>
      <w:b/>
      <w:bCs/>
      <w:sz w:val="32"/>
      <w:szCs w:val="32"/>
    </w:rPr>
  </w:style>
  <w:style w:type="character" w:customStyle="1" w:styleId="506">
    <w:name w:val="样式1 Char Char"/>
    <w:link w:val="191"/>
    <w:autoRedefine/>
    <w:qFormat/>
    <w:uiPriority w:val="0"/>
    <w:rPr>
      <w:rFonts w:eastAsia="宋体"/>
      <w:sz w:val="24"/>
      <w:lang w:eastAsia="en-US"/>
    </w:rPr>
  </w:style>
  <w:style w:type="character" w:customStyle="1" w:styleId="507">
    <w:name w:val="标题 3 Char"/>
    <w:link w:val="11"/>
    <w:autoRedefine/>
    <w:qFormat/>
    <w:uiPriority w:val="0"/>
    <w:rPr>
      <w:rFonts w:ascii="Times New Roman" w:hAnsi="Times New Roman"/>
      <w:b/>
      <w:bCs/>
      <w:sz w:val="28"/>
      <w:szCs w:val="32"/>
    </w:rPr>
  </w:style>
  <w:style w:type="character" w:customStyle="1" w:styleId="508">
    <w:name w:val="正文首行缩进 2 Char1"/>
    <w:autoRedefine/>
    <w:qFormat/>
    <w:uiPriority w:val="0"/>
    <w:rPr>
      <w:rFonts w:eastAsia="宋体"/>
    </w:rPr>
  </w:style>
  <w:style w:type="character" w:customStyle="1" w:styleId="509">
    <w:name w:val="批注主题 Char1"/>
    <w:autoRedefine/>
    <w:semiHidden/>
    <w:qFormat/>
    <w:uiPriority w:val="99"/>
    <w:rPr>
      <w:rFonts w:ascii="Times New Roman" w:hAnsi="Times New Roman" w:eastAsia="宋体" w:cs="Times New Roman"/>
      <w:b/>
      <w:bCs/>
      <w:szCs w:val="24"/>
    </w:rPr>
  </w:style>
  <w:style w:type="character" w:customStyle="1" w:styleId="510">
    <w:name w:val="正文缩进2字符 Char Char Char"/>
    <w:autoRedefine/>
    <w:qFormat/>
    <w:uiPriority w:val="0"/>
    <w:rPr>
      <w:rFonts w:eastAsia="宋体"/>
      <w:kern w:val="2"/>
      <w:sz w:val="28"/>
      <w:lang w:val="en-US" w:eastAsia="zh-CN" w:bidi="ar-SA"/>
    </w:rPr>
  </w:style>
  <w:style w:type="character" w:customStyle="1" w:styleId="511">
    <w:name w:val="正文文本 3 Char2"/>
    <w:autoRedefine/>
    <w:semiHidden/>
    <w:qFormat/>
    <w:uiPriority w:val="99"/>
    <w:rPr>
      <w:sz w:val="16"/>
      <w:szCs w:val="16"/>
    </w:rPr>
  </w:style>
  <w:style w:type="character" w:customStyle="1" w:styleId="512">
    <w:name w:val="标题 3 Char1"/>
    <w:autoRedefine/>
    <w:qFormat/>
    <w:uiPriority w:val="0"/>
    <w:rPr>
      <w:rFonts w:eastAsia="宋体" w:cs="Courier New"/>
      <w:b/>
      <w:bCs/>
      <w:kern w:val="2"/>
      <w:sz w:val="28"/>
      <w:szCs w:val="32"/>
      <w:lang w:val="en-US" w:eastAsia="zh-CN" w:bidi="ar-SA"/>
    </w:rPr>
  </w:style>
  <w:style w:type="character" w:customStyle="1" w:styleId="513">
    <w:name w:val="样式 样式 黑体 小四 居中 + Times New Roman Char Char"/>
    <w:autoRedefine/>
    <w:qFormat/>
    <w:uiPriority w:val="0"/>
  </w:style>
  <w:style w:type="character" w:customStyle="1" w:styleId="514">
    <w:name w:val="正文文本 3 Char1"/>
    <w:link w:val="32"/>
    <w:autoRedefine/>
    <w:qFormat/>
    <w:uiPriority w:val="0"/>
    <w:rPr>
      <w:rFonts w:ascii="宋体" w:hAnsi="Courier New" w:eastAsia="Times New Roman" w:cs="Times New Roman"/>
      <w:szCs w:val="20"/>
      <w:lang w:val="en-US" w:eastAsia="zh-CN"/>
    </w:rPr>
  </w:style>
  <w:style w:type="character" w:customStyle="1" w:styleId="515">
    <w:name w:val="国电正文 Char"/>
    <w:link w:val="265"/>
    <w:autoRedefine/>
    <w:qFormat/>
    <w:uiPriority w:val="0"/>
    <w:rPr>
      <w:rFonts w:eastAsia="宋体" w:cs="宋体"/>
      <w:color w:val="000000"/>
      <w:sz w:val="24"/>
    </w:rPr>
  </w:style>
  <w:style w:type="character" w:customStyle="1" w:styleId="516">
    <w:name w:val="样式7 Char1"/>
    <w:link w:val="217"/>
    <w:autoRedefine/>
    <w:qFormat/>
    <w:uiPriority w:val="0"/>
    <w:rPr>
      <w:rFonts w:ascii="Times New Roman" w:hAnsi="Times New Roman" w:eastAsia="宋体" w:cs="Times New Roman"/>
      <w:sz w:val="24"/>
      <w:szCs w:val="24"/>
    </w:rPr>
  </w:style>
  <w:style w:type="character" w:customStyle="1" w:styleId="517">
    <w:name w:val="标题 5 Char1"/>
    <w:link w:val="13"/>
    <w:autoRedefine/>
    <w:qFormat/>
    <w:uiPriority w:val="0"/>
    <w:rPr>
      <w:rFonts w:ascii="Times New Roman" w:hAnsi="Times New Roman" w:eastAsia="宋体" w:cs="Times New Roman"/>
      <w:b/>
      <w:bCs/>
      <w:color w:val="000000"/>
      <w:sz w:val="28"/>
      <w:szCs w:val="28"/>
    </w:rPr>
  </w:style>
  <w:style w:type="character" w:customStyle="1" w:styleId="518">
    <w:name w:val="日期 Char1"/>
    <w:autoRedefine/>
    <w:qFormat/>
    <w:uiPriority w:val="0"/>
  </w:style>
  <w:style w:type="character" w:customStyle="1" w:styleId="519">
    <w:name w:val="正文 + 四号 Char"/>
    <w:link w:val="142"/>
    <w:autoRedefine/>
    <w:qFormat/>
    <w:uiPriority w:val="0"/>
    <w:rPr>
      <w:rFonts w:ascii="Times New Roman" w:hAnsi="Times New Roman" w:eastAsia="宋体" w:cs="Times New Roman"/>
      <w:sz w:val="28"/>
      <w:szCs w:val="28"/>
    </w:rPr>
  </w:style>
  <w:style w:type="character" w:customStyle="1" w:styleId="520">
    <w:name w:val="页脚 Char1"/>
    <w:autoRedefine/>
    <w:qFormat/>
    <w:uiPriority w:val="99"/>
    <w:rPr>
      <w:rFonts w:eastAsia="宋体"/>
      <w:kern w:val="2"/>
      <w:sz w:val="18"/>
      <w:lang w:val="en-US" w:eastAsia="zh-CN" w:bidi="ar-SA"/>
    </w:rPr>
  </w:style>
  <w:style w:type="character" w:customStyle="1" w:styleId="521">
    <w:name w:val="正文1 Char Char"/>
    <w:autoRedefine/>
    <w:qFormat/>
    <w:uiPriority w:val="0"/>
    <w:rPr>
      <w:rFonts w:eastAsia="宋体"/>
      <w:snapToGrid w:val="0"/>
      <w:kern w:val="2"/>
      <w:sz w:val="24"/>
      <w:szCs w:val="24"/>
      <w:lang w:eastAsia="en-US" w:bidi="ar-SA"/>
    </w:rPr>
  </w:style>
  <w:style w:type="character" w:customStyle="1" w:styleId="522">
    <w:name w:val="表格15 Char"/>
    <w:autoRedefine/>
    <w:qFormat/>
    <w:uiPriority w:val="0"/>
    <w:rPr>
      <w:rFonts w:ascii="宋体"/>
      <w:color w:val="000000"/>
      <w:kern w:val="2"/>
      <w:sz w:val="24"/>
    </w:rPr>
  </w:style>
  <w:style w:type="character" w:customStyle="1" w:styleId="523">
    <w:name w:val="表文字xxxxxxxx Char"/>
    <w:autoRedefine/>
    <w:qFormat/>
    <w:uiPriority w:val="0"/>
    <w:rPr>
      <w:rFonts w:ascii="Calibri" w:hAnsi="Calibri" w:eastAsia="宋体"/>
      <w:kern w:val="2"/>
      <w:sz w:val="24"/>
      <w:szCs w:val="21"/>
      <w:lang w:eastAsia="en-US" w:bidi="en-US"/>
    </w:rPr>
  </w:style>
  <w:style w:type="character" w:customStyle="1" w:styleId="524">
    <w:name w:val="国电正文 Char Char Char"/>
    <w:autoRedefine/>
    <w:qFormat/>
    <w:uiPriority w:val="0"/>
    <w:rPr>
      <w:rFonts w:eastAsia="宋体" w:cs="宋体"/>
      <w:color w:val="000000"/>
      <w:kern w:val="2"/>
      <w:sz w:val="24"/>
      <w:lang w:val="en-US" w:eastAsia="zh-CN" w:bidi="ar-SA"/>
    </w:rPr>
  </w:style>
  <w:style w:type="character" w:customStyle="1" w:styleId="525">
    <w:name w:val="表 Char Char"/>
    <w:link w:val="473"/>
    <w:autoRedefine/>
    <w:qFormat/>
    <w:uiPriority w:val="0"/>
    <w:rPr>
      <w:rFonts w:eastAsia="宋体"/>
      <w:sz w:val="28"/>
    </w:rPr>
  </w:style>
  <w:style w:type="character" w:customStyle="1" w:styleId="526">
    <w:name w:val="标题1.1.1.1.1.1 Char Char"/>
    <w:autoRedefine/>
    <w:qFormat/>
    <w:uiPriority w:val="0"/>
    <w:rPr>
      <w:sz w:val="24"/>
    </w:rPr>
  </w:style>
  <w:style w:type="character" w:customStyle="1" w:styleId="527">
    <w:name w:val="标题样式3 Char Char"/>
    <w:autoRedefine/>
    <w:qFormat/>
    <w:uiPriority w:val="0"/>
    <w:rPr>
      <w:rFonts w:eastAsia="宋体" w:cs="宋体"/>
      <w:kern w:val="2"/>
      <w:sz w:val="24"/>
      <w:szCs w:val="24"/>
      <w:lang w:val="en-US" w:eastAsia="zh-CN" w:bidi="ar-SA"/>
    </w:rPr>
  </w:style>
  <w:style w:type="character" w:customStyle="1" w:styleId="528">
    <w:name w:val="上标样式"/>
    <w:autoRedefine/>
    <w:qFormat/>
    <w:uiPriority w:val="0"/>
    <w:rPr>
      <w:rFonts w:ascii="宋体" w:eastAsia="宋体"/>
      <w:b/>
      <w:sz w:val="21"/>
      <w:szCs w:val="21"/>
      <w:vertAlign w:val="superscript"/>
    </w:rPr>
  </w:style>
  <w:style w:type="character" w:customStyle="1" w:styleId="529">
    <w:name w:val="表格正文 Char"/>
    <w:link w:val="152"/>
    <w:autoRedefine/>
    <w:qFormat/>
    <w:uiPriority w:val="0"/>
    <w:rPr>
      <w:rFonts w:ascii="宋体" w:hAnsi="宋体" w:eastAsia="宋体" w:cs="Times New Roman"/>
      <w:snapToGrid w:val="0"/>
      <w:spacing w:val="4"/>
      <w:w w:val="90"/>
      <w:kern w:val="0"/>
      <w:szCs w:val="24"/>
    </w:rPr>
  </w:style>
  <w:style w:type="character" w:customStyle="1" w:styleId="530">
    <w:name w:val="批注框文本 Char Char"/>
    <w:autoRedefine/>
    <w:qFormat/>
    <w:uiPriority w:val="0"/>
    <w:rPr>
      <w:rFonts w:ascii="Times New Roman" w:hAnsi="Times New Roman" w:eastAsia="宋体" w:cs="Times New Roman"/>
      <w:sz w:val="18"/>
      <w:szCs w:val="18"/>
    </w:rPr>
  </w:style>
  <w:style w:type="character" w:customStyle="1" w:styleId="531">
    <w:name w:val="纯文本 Char Char Char Char Char Char Char Char1"/>
    <w:autoRedefine/>
    <w:qFormat/>
    <w:uiPriority w:val="0"/>
    <w:rPr>
      <w:rFonts w:ascii="宋体" w:hAnsi="Courier New"/>
      <w:kern w:val="2"/>
      <w:sz w:val="28"/>
    </w:rPr>
  </w:style>
  <w:style w:type="character" w:customStyle="1" w:styleId="532">
    <w:name w:val="一、 Char"/>
    <w:autoRedefine/>
    <w:qFormat/>
    <w:uiPriority w:val="0"/>
    <w:rPr>
      <w:rFonts w:eastAsia="宋体"/>
      <w:b/>
      <w:bCs/>
      <w:kern w:val="44"/>
      <w:sz w:val="44"/>
      <w:szCs w:val="44"/>
      <w:lang w:val="en-US" w:eastAsia="zh-CN" w:bidi="ar-SA"/>
    </w:rPr>
  </w:style>
  <w:style w:type="character" w:customStyle="1" w:styleId="533">
    <w:name w:val="结束语 Char"/>
    <w:link w:val="33"/>
    <w:autoRedefine/>
    <w:qFormat/>
    <w:uiPriority w:val="0"/>
    <w:rPr>
      <w:rFonts w:ascii="Times New Roman" w:hAnsi="Times New Roman" w:eastAsia="宋体" w:cs="Times New Roman"/>
      <w:sz w:val="24"/>
      <w:szCs w:val="24"/>
    </w:rPr>
  </w:style>
  <w:style w:type="character" w:customStyle="1" w:styleId="534">
    <w:name w:val="标题 8 Char1"/>
    <w:link w:val="16"/>
    <w:autoRedefine/>
    <w:qFormat/>
    <w:uiPriority w:val="0"/>
    <w:rPr>
      <w:rFonts w:ascii="Arial" w:hAnsi="Arial" w:eastAsia="黑体" w:cs="Times New Roman"/>
      <w:color w:val="000000"/>
      <w:sz w:val="24"/>
      <w:szCs w:val="24"/>
    </w:rPr>
  </w:style>
  <w:style w:type="character" w:customStyle="1" w:styleId="535">
    <w:name w:val="正文001 Char1"/>
    <w:autoRedefine/>
    <w:qFormat/>
    <w:uiPriority w:val="0"/>
    <w:rPr>
      <w:rFonts w:eastAsia="宋体"/>
      <w:kern w:val="2"/>
      <w:sz w:val="24"/>
      <w:lang w:val="en-US" w:eastAsia="zh-CN" w:bidi="ar-SA"/>
    </w:rPr>
  </w:style>
  <w:style w:type="character" w:customStyle="1" w:styleId="536">
    <w:name w:val="标题 2 Char Char Char"/>
    <w:autoRedefine/>
    <w:qFormat/>
    <w:uiPriority w:val="0"/>
    <w:rPr>
      <w:rFonts w:ascii="Arial" w:hAnsi="Arial" w:eastAsia="黑体"/>
      <w:b/>
      <w:bCs/>
      <w:kern w:val="2"/>
      <w:sz w:val="32"/>
      <w:szCs w:val="32"/>
      <w:lang w:val="en-US" w:eastAsia="zh-CN" w:bidi="ar-SA"/>
    </w:rPr>
  </w:style>
  <w:style w:type="character" w:styleId="537">
    <w:name w:val="Placeholder Text"/>
    <w:autoRedefine/>
    <w:semiHidden/>
    <w:qFormat/>
    <w:uiPriority w:val="99"/>
    <w:rPr>
      <w:color w:val="808080"/>
    </w:rPr>
  </w:style>
  <w:style w:type="character" w:customStyle="1" w:styleId="538">
    <w:name w:val="环科院正文 Char"/>
    <w:link w:val="247"/>
    <w:autoRedefine/>
    <w:qFormat/>
    <w:uiPriority w:val="0"/>
    <w:rPr>
      <w:rFonts w:ascii="Times New Roman" w:hAnsi="宋体" w:eastAsia="宋体" w:cs="Times New Roman"/>
      <w:bCs/>
      <w:kern w:val="0"/>
      <w:sz w:val="24"/>
      <w:szCs w:val="24"/>
      <w:u w:val="none" w:color="000000"/>
      <w:lang w:val="zh-CN"/>
    </w:rPr>
  </w:style>
  <w:style w:type="character" w:customStyle="1" w:styleId="539">
    <w:name w:val="标题 9 Char"/>
    <w:autoRedefine/>
    <w:qFormat/>
    <w:uiPriority w:val="0"/>
    <w:rPr>
      <w:rFonts w:ascii="Cambria" w:hAnsi="Cambria" w:eastAsia="宋体" w:cs="Times New Roman"/>
      <w:szCs w:val="21"/>
    </w:rPr>
  </w:style>
  <w:style w:type="character" w:customStyle="1" w:styleId="540">
    <w:name w:val="表样式 Char"/>
    <w:link w:val="284"/>
    <w:autoRedefine/>
    <w:qFormat/>
    <w:uiPriority w:val="0"/>
    <w:rPr>
      <w:rFonts w:ascii="仿宋_GB2312" w:eastAsia="黑体"/>
      <w:kern w:val="2"/>
      <w:sz w:val="21"/>
      <w:szCs w:val="24"/>
    </w:rPr>
  </w:style>
  <w:style w:type="character" w:customStyle="1" w:styleId="541">
    <w:name w:val="列表(L) Char"/>
    <w:link w:val="300"/>
    <w:autoRedefine/>
    <w:qFormat/>
    <w:uiPriority w:val="0"/>
    <w:rPr>
      <w:rFonts w:ascii="Times New Roman" w:hAnsi="Times New Roman" w:eastAsia="宋体" w:cs="Times New Roman"/>
      <w:szCs w:val="20"/>
    </w:rPr>
  </w:style>
  <w:style w:type="character" w:customStyle="1" w:styleId="542">
    <w:name w:val="样式 主要文字 + 小四 Char Char"/>
    <w:link w:val="190"/>
    <w:autoRedefine/>
    <w:qFormat/>
    <w:uiPriority w:val="0"/>
    <w:rPr>
      <w:rFonts w:hAnsi="宋体" w:eastAsia="宋体"/>
      <w:sz w:val="24"/>
      <w:szCs w:val="21"/>
    </w:rPr>
  </w:style>
  <w:style w:type="character" w:customStyle="1" w:styleId="543">
    <w:name w:val="样式1 Char Char Char"/>
    <w:autoRedefine/>
    <w:qFormat/>
    <w:uiPriority w:val="0"/>
    <w:rPr>
      <w:rFonts w:ascii="黑体" w:hAnsi="Times New Roman" w:eastAsia="黑体"/>
      <w:b/>
      <w:kern w:val="2"/>
      <w:sz w:val="28"/>
      <w:szCs w:val="24"/>
    </w:rPr>
  </w:style>
  <w:style w:type="character" w:customStyle="1" w:styleId="544">
    <w:name w:val="正 Char1"/>
    <w:link w:val="319"/>
    <w:autoRedefine/>
    <w:qFormat/>
    <w:uiPriority w:val="0"/>
    <w:rPr>
      <w:rFonts w:ascii="宋体" w:hAnsi="宋体"/>
      <w:sz w:val="24"/>
    </w:rPr>
  </w:style>
  <w:style w:type="character" w:customStyle="1" w:styleId="545">
    <w:name w:val="页码2"/>
    <w:autoRedefine/>
    <w:qFormat/>
    <w:uiPriority w:val="0"/>
    <w:rPr>
      <w:rFonts w:cs="Times New Roman"/>
    </w:rPr>
  </w:style>
  <w:style w:type="character" w:customStyle="1" w:styleId="546">
    <w:name w:val="表头1 Char"/>
    <w:link w:val="167"/>
    <w:autoRedefine/>
    <w:qFormat/>
    <w:uiPriority w:val="0"/>
    <w:rPr>
      <w:rFonts w:ascii="Times New Roman" w:hAnsi="Times New Roman" w:eastAsia="黑体" w:cs="Times New Roman"/>
      <w:sz w:val="24"/>
      <w:szCs w:val="28"/>
    </w:rPr>
  </w:style>
  <w:style w:type="character" w:customStyle="1" w:styleId="547">
    <w:name w:val="样式7 Char"/>
    <w:autoRedefine/>
    <w:qFormat/>
    <w:uiPriority w:val="0"/>
    <w:rPr>
      <w:kern w:val="2"/>
      <w:sz w:val="24"/>
      <w:szCs w:val="24"/>
    </w:rPr>
  </w:style>
  <w:style w:type="character" w:customStyle="1" w:styleId="548">
    <w:name w:val="表文字 Char Char"/>
    <w:autoRedefine/>
    <w:qFormat/>
    <w:uiPriority w:val="0"/>
    <w:rPr>
      <w:rFonts w:eastAsia="宋体"/>
      <w:kern w:val="2"/>
      <w:sz w:val="21"/>
      <w:szCs w:val="21"/>
      <w:lang w:val="en-US" w:eastAsia="zh-CN" w:bidi="ar-SA"/>
    </w:rPr>
  </w:style>
  <w:style w:type="character" w:customStyle="1" w:styleId="549">
    <w:name w:val="段落1 Char Char"/>
    <w:autoRedefine/>
    <w:qFormat/>
    <w:uiPriority w:val="0"/>
    <w:rPr>
      <w:rFonts w:eastAsia="宋体"/>
      <w:sz w:val="24"/>
      <w:szCs w:val="24"/>
      <w:lang w:bidi="ar-SA"/>
    </w:rPr>
  </w:style>
  <w:style w:type="character" w:customStyle="1" w:styleId="550">
    <w:name w:val="正文缩进2字符 Char Char Char Char"/>
    <w:link w:val="240"/>
    <w:autoRedefine/>
    <w:qFormat/>
    <w:uiPriority w:val="0"/>
    <w:rPr>
      <w:rFonts w:eastAsia="宋体"/>
      <w:sz w:val="28"/>
    </w:rPr>
  </w:style>
  <w:style w:type="character" w:customStyle="1" w:styleId="551">
    <w:name w:val="表格13 Char"/>
    <w:link w:val="245"/>
    <w:autoRedefine/>
    <w:qFormat/>
    <w:uiPriority w:val="0"/>
    <w:rPr>
      <w:rFonts w:ascii="宋体" w:hAnsi="Times New Roman" w:eastAsia="宋体" w:cs="宋体"/>
      <w:kern w:val="0"/>
      <w:sz w:val="18"/>
      <w:szCs w:val="18"/>
      <w:lang w:val="zh-CN" w:eastAsia="en-US" w:bidi="en-US"/>
    </w:rPr>
  </w:style>
  <w:style w:type="character" w:customStyle="1" w:styleId="552">
    <w:name w:val="标题 5 Char Char"/>
    <w:autoRedefine/>
    <w:qFormat/>
    <w:uiPriority w:val="0"/>
    <w:rPr>
      <w:rFonts w:eastAsia="宋体"/>
      <w:sz w:val="24"/>
      <w:lang w:val="en-US" w:eastAsia="zh-CN" w:bidi="ar-SA"/>
    </w:rPr>
  </w:style>
  <w:style w:type="character" w:customStyle="1" w:styleId="553">
    <w:name w:val="标题样式3 Char Char Char"/>
    <w:autoRedefine/>
    <w:qFormat/>
    <w:uiPriority w:val="0"/>
    <w:rPr>
      <w:rFonts w:eastAsia="宋体" w:cs="宋体"/>
      <w:kern w:val="2"/>
      <w:sz w:val="24"/>
      <w:szCs w:val="24"/>
      <w:lang w:val="en-US" w:eastAsia="zh-CN" w:bidi="ar-SA"/>
    </w:rPr>
  </w:style>
  <w:style w:type="character" w:customStyle="1" w:styleId="554">
    <w:name w:val="批注文字 Char1"/>
    <w:autoRedefine/>
    <w:semiHidden/>
    <w:qFormat/>
    <w:uiPriority w:val="99"/>
    <w:rPr>
      <w:rFonts w:ascii="Times New Roman" w:hAnsi="Times New Roman" w:eastAsia="宋体" w:cs="Times New Roman"/>
      <w:szCs w:val="24"/>
    </w:rPr>
  </w:style>
  <w:style w:type="character" w:customStyle="1" w:styleId="555">
    <w:name w:val="标题 5 Char"/>
    <w:autoRedefine/>
    <w:qFormat/>
    <w:uiPriority w:val="0"/>
    <w:rPr>
      <w:rFonts w:ascii="Times New Roman" w:hAnsi="Times New Roman" w:eastAsia="宋体" w:cs="Times New Roman"/>
      <w:b/>
      <w:bCs/>
      <w:sz w:val="28"/>
      <w:szCs w:val="28"/>
    </w:rPr>
  </w:style>
  <w:style w:type="character" w:customStyle="1" w:styleId="556">
    <w:name w:val="正文01 Char Char"/>
    <w:link w:val="297"/>
    <w:autoRedefine/>
    <w:qFormat/>
    <w:uiPriority w:val="0"/>
    <w:rPr>
      <w:rFonts w:eastAsia="宋体" w:cs="宋体"/>
      <w:snapToGrid w:val="0"/>
      <w:kern w:val="56"/>
      <w:sz w:val="24"/>
      <w:lang w:val="zh-CN"/>
    </w:rPr>
  </w:style>
  <w:style w:type="character" w:customStyle="1" w:styleId="557">
    <w:name w:val="表头 Char1"/>
    <w:autoRedefine/>
    <w:qFormat/>
    <w:uiPriority w:val="0"/>
    <w:rPr>
      <w:rFonts w:eastAsia="仿宋_GB2312"/>
      <w:b/>
      <w:snapToGrid w:val="0"/>
      <w:sz w:val="28"/>
      <w:szCs w:val="24"/>
      <w:lang w:val="en-US" w:eastAsia="zh-CN" w:bidi="ar-SA"/>
    </w:rPr>
  </w:style>
  <w:style w:type="character" w:customStyle="1" w:styleId="558">
    <w:name w:val="表格 Char Char Char"/>
    <w:autoRedefine/>
    <w:qFormat/>
    <w:uiPriority w:val="0"/>
    <w:rPr>
      <w:rFonts w:ascii="宋体" w:eastAsia="宋体"/>
      <w:kern w:val="2"/>
      <w:sz w:val="18"/>
      <w:lang w:eastAsia="en-US" w:bidi="ar-SA"/>
    </w:rPr>
  </w:style>
  <w:style w:type="character" w:customStyle="1" w:styleId="559">
    <w:name w:val="表格内容 Char Char"/>
    <w:link w:val="357"/>
    <w:autoRedefine/>
    <w:qFormat/>
    <w:uiPriority w:val="0"/>
    <w:rPr>
      <w:rFonts w:ascii="Times New Roman" w:hAnsi="Times New Roman"/>
      <w:sz w:val="21"/>
      <w:lang w:eastAsia="en-US"/>
    </w:rPr>
  </w:style>
  <w:style w:type="character" w:customStyle="1" w:styleId="560">
    <w:name w:val="样式 样式 正文@ + 首行缩进:  2 字符 + 首行缩进:  2 字符 Char"/>
    <w:link w:val="253"/>
    <w:autoRedefine/>
    <w:qFormat/>
    <w:uiPriority w:val="0"/>
    <w:rPr>
      <w:rFonts w:ascii="宋体" w:hAnsi="宋体" w:eastAsia="宋体" w:cs="宋体"/>
      <w:sz w:val="24"/>
      <w:szCs w:val="20"/>
    </w:rPr>
  </w:style>
  <w:style w:type="character" w:customStyle="1" w:styleId="561">
    <w:name w:val="标题3s Char"/>
    <w:link w:val="410"/>
    <w:autoRedefine/>
    <w:qFormat/>
    <w:uiPriority w:val="0"/>
    <w:rPr>
      <w:rFonts w:ascii="黑体" w:hAnsi="黑体" w:eastAsia="黑体"/>
      <w:b/>
      <w:bCs/>
      <w:color w:val="0070C0"/>
      <w:sz w:val="24"/>
      <w:szCs w:val="32"/>
      <w:lang w:val="en-US" w:eastAsia="zh-CN"/>
    </w:rPr>
  </w:style>
  <w:style w:type="character" w:customStyle="1" w:styleId="562">
    <w:name w:val="普通(网站) Char Char"/>
    <w:autoRedefine/>
    <w:qFormat/>
    <w:uiPriority w:val="0"/>
    <w:rPr>
      <w:rFonts w:ascii="宋体" w:hAnsi="宋体" w:eastAsia="宋体" w:cs="宋体"/>
      <w:sz w:val="24"/>
      <w:szCs w:val="24"/>
      <w:lang w:val="en-US" w:eastAsia="zh-CN" w:bidi="ar-SA"/>
    </w:rPr>
  </w:style>
  <w:style w:type="character" w:customStyle="1" w:styleId="563">
    <w:name w:val="正文1 Char1"/>
    <w:autoRedefine/>
    <w:qFormat/>
    <w:uiPriority w:val="0"/>
    <w:rPr>
      <w:rFonts w:eastAsia="宋体"/>
      <w:snapToGrid w:val="0"/>
      <w:sz w:val="24"/>
      <w:szCs w:val="24"/>
      <w:lang w:val="en-US" w:eastAsia="zh-CN" w:bidi="ar-SA"/>
    </w:rPr>
  </w:style>
  <w:style w:type="character" w:customStyle="1" w:styleId="564">
    <w:name w:val="表格五号标题 Char"/>
    <w:link w:val="313"/>
    <w:autoRedefine/>
    <w:qFormat/>
    <w:uiPriority w:val="0"/>
    <w:rPr>
      <w:sz w:val="21"/>
      <w:szCs w:val="24"/>
    </w:rPr>
  </w:style>
  <w:style w:type="character" w:customStyle="1" w:styleId="565">
    <w:name w:val="样式 主要文字 + 小四 Char"/>
    <w:autoRedefine/>
    <w:qFormat/>
    <w:uiPriority w:val="0"/>
    <w:rPr>
      <w:rFonts w:hAnsi="宋体" w:eastAsia="宋体"/>
      <w:kern w:val="2"/>
      <w:sz w:val="24"/>
      <w:szCs w:val="21"/>
      <w:lang w:val="en-US" w:eastAsia="zh-CN" w:bidi="ar-SA"/>
    </w:rPr>
  </w:style>
  <w:style w:type="character" w:customStyle="1" w:styleId="566">
    <w:name w:val="首行缩进 Char Char Char Char"/>
    <w:autoRedefine/>
    <w:qFormat/>
    <w:uiPriority w:val="0"/>
    <w:rPr>
      <w:rFonts w:ascii="Times New Roman" w:hAnsi="Times New Roman" w:eastAsia="宋体" w:cs="Times New Roman"/>
      <w:spacing w:val="-8"/>
      <w:sz w:val="24"/>
      <w:szCs w:val="24"/>
    </w:rPr>
  </w:style>
  <w:style w:type="character" w:customStyle="1" w:styleId="567">
    <w:name w:val="正文1 Char"/>
    <w:link w:val="230"/>
    <w:autoRedefine/>
    <w:qFormat/>
    <w:uiPriority w:val="0"/>
    <w:rPr>
      <w:rFonts w:eastAsia="宋体"/>
      <w:snapToGrid w:val="0"/>
      <w:sz w:val="24"/>
      <w:szCs w:val="24"/>
      <w:lang w:eastAsia="en-US"/>
    </w:rPr>
  </w:style>
  <w:style w:type="character" w:customStyle="1" w:styleId="568">
    <w:name w:val="正文- Char"/>
    <w:link w:val="236"/>
    <w:autoRedefine/>
    <w:qFormat/>
    <w:uiPriority w:val="0"/>
    <w:rPr>
      <w:bCs/>
      <w:kern w:val="2"/>
      <w:sz w:val="24"/>
      <w:szCs w:val="22"/>
    </w:rPr>
  </w:style>
  <w:style w:type="character" w:customStyle="1" w:styleId="569">
    <w:name w:val="副标题 Char"/>
    <w:link w:val="60"/>
    <w:autoRedefine/>
    <w:qFormat/>
    <w:uiPriority w:val="0"/>
    <w:rPr>
      <w:rFonts w:ascii="Times New Roman" w:hAnsi="Times New Roman" w:eastAsia="黑体" w:cs="Times New Roman"/>
      <w:bCs/>
      <w:kern w:val="28"/>
      <w:sz w:val="24"/>
      <w:szCs w:val="32"/>
    </w:rPr>
  </w:style>
  <w:style w:type="character" w:customStyle="1" w:styleId="570">
    <w:name w:val="三级编号 Char"/>
    <w:link w:val="175"/>
    <w:autoRedefine/>
    <w:qFormat/>
    <w:uiPriority w:val="0"/>
    <w:rPr>
      <w:rFonts w:ascii="Calibri" w:hAnsi="Calibri" w:eastAsia="宋体" w:cs="Times New Roman"/>
      <w:b/>
      <w:bCs/>
      <w:sz w:val="30"/>
      <w:szCs w:val="32"/>
    </w:rPr>
  </w:style>
  <w:style w:type="character" w:customStyle="1" w:styleId="571">
    <w:name w:val="样式 题注 + 小四 居中 Char Char"/>
    <w:link w:val="415"/>
    <w:autoRedefine/>
    <w:qFormat/>
    <w:uiPriority w:val="0"/>
    <w:rPr>
      <w:rFonts w:cs="宋体"/>
      <w:sz w:val="24"/>
      <w:szCs w:val="24"/>
    </w:rPr>
  </w:style>
  <w:style w:type="character" w:customStyle="1" w:styleId="572">
    <w:name w:val="表格第一行 Char"/>
    <w:link w:val="282"/>
    <w:autoRedefine/>
    <w:qFormat/>
    <w:uiPriority w:val="0"/>
    <w:rPr>
      <w:rFonts w:ascii="Times New Roman" w:hAnsi="Times New Roman" w:eastAsia="宋体" w:cs="Times New Roman"/>
      <w:b/>
      <w:szCs w:val="20"/>
    </w:rPr>
  </w:style>
  <w:style w:type="character" w:customStyle="1" w:styleId="573">
    <w:name w:val="页眉 Char1"/>
    <w:autoRedefine/>
    <w:qFormat/>
    <w:uiPriority w:val="0"/>
    <w:rPr>
      <w:rFonts w:ascii="Times New Roman" w:hAnsi="Times New Roman" w:eastAsia="宋体" w:cs="Times New Roman"/>
      <w:sz w:val="18"/>
      <w:szCs w:val="18"/>
    </w:rPr>
  </w:style>
  <w:style w:type="character" w:customStyle="1" w:styleId="574">
    <w:name w:val="样式，标题 3 Char Char"/>
    <w:link w:val="151"/>
    <w:autoRedefine/>
    <w:qFormat/>
    <w:uiPriority w:val="0"/>
    <w:rPr>
      <w:rFonts w:eastAsia="黑体" w:cs="宋体"/>
      <w:sz w:val="28"/>
    </w:rPr>
  </w:style>
  <w:style w:type="character" w:customStyle="1" w:styleId="575">
    <w:name w:val="纯文本 Char"/>
    <w:autoRedefine/>
    <w:qFormat/>
    <w:uiPriority w:val="0"/>
    <w:rPr>
      <w:rFonts w:ascii="宋体" w:eastAsia="宋体" w:cs="Courier New"/>
      <w:szCs w:val="21"/>
    </w:rPr>
  </w:style>
  <w:style w:type="character" w:customStyle="1" w:styleId="576">
    <w:name w:val="正文首行缩进 Char2"/>
    <w:link w:val="80"/>
    <w:autoRedefine/>
    <w:qFormat/>
    <w:uiPriority w:val="0"/>
    <w:rPr>
      <w:rFonts w:ascii="Times New Roman" w:hAnsi="Times New Roman" w:eastAsia="宋体" w:cs="Times New Roman"/>
      <w:szCs w:val="20"/>
    </w:rPr>
  </w:style>
  <w:style w:type="character" w:customStyle="1" w:styleId="577">
    <w:name w:val="表头 Char"/>
    <w:link w:val="364"/>
    <w:autoRedefine/>
    <w:qFormat/>
    <w:uiPriority w:val="0"/>
    <w:rPr>
      <w:rFonts w:ascii="宋体" w:eastAsia="宋体"/>
      <w:b/>
      <w:bCs/>
      <w:color w:val="000000"/>
      <w:szCs w:val="24"/>
      <w:lang w:eastAsia="en-US"/>
    </w:rPr>
  </w:style>
  <w:style w:type="character" w:customStyle="1" w:styleId="578">
    <w:name w:val="标题1"/>
    <w:autoRedefine/>
    <w:qFormat/>
    <w:uiPriority w:val="0"/>
  </w:style>
  <w:style w:type="character" w:customStyle="1" w:styleId="579">
    <w:name w:val="正文首行缩进 Char1"/>
    <w:autoRedefine/>
    <w:qFormat/>
    <w:uiPriority w:val="0"/>
    <w:rPr>
      <w:rFonts w:eastAsia="宋体"/>
      <w:sz w:val="18"/>
      <w:szCs w:val="18"/>
      <w:lang w:eastAsia="en-US"/>
    </w:rPr>
  </w:style>
  <w:style w:type="character" w:customStyle="1" w:styleId="580">
    <w:name w:val="表格 Char Char Char Char"/>
    <w:autoRedefine/>
    <w:qFormat/>
    <w:uiPriority w:val="0"/>
    <w:rPr>
      <w:rFonts w:ascii="新宋体" w:hAnsi="新宋体" w:eastAsia="新宋体" w:cs="Times New Roman"/>
      <w:kern w:val="28"/>
      <w:szCs w:val="21"/>
    </w:rPr>
  </w:style>
  <w:style w:type="character" w:customStyle="1" w:styleId="581">
    <w:name w:val="正 文 1 Char Char"/>
    <w:autoRedefine/>
    <w:qFormat/>
    <w:uiPriority w:val="0"/>
    <w:rPr>
      <w:rFonts w:hint="eastAsia" w:ascii="宋体" w:hAnsi="Courier New" w:eastAsia="宋体"/>
      <w:kern w:val="2"/>
      <w:sz w:val="24"/>
      <w:lang w:val="en-US" w:eastAsia="zh-CN" w:bidi="ar-SA"/>
    </w:rPr>
  </w:style>
  <w:style w:type="character" w:customStyle="1" w:styleId="582">
    <w:name w:val="批注文字 Char"/>
    <w:link w:val="7"/>
    <w:autoRedefine/>
    <w:qFormat/>
    <w:uiPriority w:val="0"/>
    <w:rPr>
      <w:rFonts w:ascii="Times New Roman" w:hAnsi="Times New Roman" w:eastAsia="宋体" w:cs="Times New Roman"/>
      <w:szCs w:val="20"/>
    </w:rPr>
  </w:style>
  <w:style w:type="character" w:customStyle="1" w:styleId="583">
    <w:name w:val="样式1 Char"/>
    <w:autoRedefine/>
    <w:qFormat/>
    <w:uiPriority w:val="0"/>
    <w:rPr>
      <w:rFonts w:eastAsia="仿宋_GB2312"/>
      <w:color w:val="000000"/>
      <w:sz w:val="30"/>
      <w:szCs w:val="30"/>
      <w:lang w:bidi="ar-SA"/>
    </w:rPr>
  </w:style>
  <w:style w:type="character" w:customStyle="1" w:styleId="584">
    <w:name w:val="批注主题 字符"/>
    <w:autoRedefine/>
    <w:qFormat/>
    <w:uiPriority w:val="0"/>
    <w:rPr>
      <w:rFonts w:ascii="Times New Roman" w:hAnsi="Times New Roman" w:eastAsia="宋体" w:cs="Times New Roman"/>
      <w:b/>
      <w:bCs/>
      <w:szCs w:val="20"/>
    </w:rPr>
  </w:style>
  <w:style w:type="character" w:customStyle="1" w:styleId="585">
    <w:name w:val="页眉zxl Char1"/>
    <w:autoRedefine/>
    <w:qFormat/>
    <w:uiPriority w:val="0"/>
    <w:rPr>
      <w:rFonts w:eastAsia="宋体"/>
      <w:kern w:val="2"/>
      <w:sz w:val="18"/>
      <w:szCs w:val="18"/>
      <w:lang w:val="en-US" w:eastAsia="zh-CN" w:bidi="ar-SA"/>
    </w:rPr>
  </w:style>
  <w:style w:type="character" w:customStyle="1" w:styleId="586">
    <w:name w:val="段落1 Char Char Char Char"/>
    <w:link w:val="476"/>
    <w:autoRedefine/>
    <w:qFormat/>
    <w:uiPriority w:val="0"/>
    <w:rPr>
      <w:rFonts w:eastAsia="宋体"/>
      <w:sz w:val="24"/>
      <w:szCs w:val="24"/>
    </w:rPr>
  </w:style>
  <w:style w:type="character" w:customStyle="1" w:styleId="587">
    <w:name w:val="表头 Char Char Char"/>
    <w:autoRedefine/>
    <w:qFormat/>
    <w:uiPriority w:val="0"/>
    <w:rPr>
      <w:rFonts w:ascii="宋体" w:eastAsia="宋体"/>
      <w:b/>
      <w:bCs/>
      <w:color w:val="000000"/>
      <w:szCs w:val="24"/>
      <w:lang w:eastAsia="en-US" w:bidi="ar-SA"/>
    </w:rPr>
  </w:style>
  <w:style w:type="character" w:customStyle="1" w:styleId="588">
    <w:name w:val="标题 3 字符"/>
    <w:autoRedefine/>
    <w:qFormat/>
    <w:uiPriority w:val="0"/>
    <w:rPr>
      <w:rFonts w:ascii="宋体" w:hAnsi="宋体" w:eastAsia="宋体" w:cs="Times New Roman"/>
      <w:bCs/>
      <w:kern w:val="0"/>
      <w:sz w:val="28"/>
      <w:szCs w:val="32"/>
    </w:rPr>
  </w:style>
  <w:style w:type="character" w:customStyle="1" w:styleId="589">
    <w:name w:val="正文文本 3 Char"/>
    <w:autoRedefine/>
    <w:qFormat/>
    <w:uiPriority w:val="0"/>
    <w:rPr>
      <w:rFonts w:ascii="Arial" w:hAnsi="Arial" w:eastAsia="黑体"/>
      <w:b/>
      <w:bCs/>
      <w:kern w:val="2"/>
      <w:sz w:val="32"/>
      <w:szCs w:val="32"/>
      <w:lang w:val="en-US" w:eastAsia="zh-CN" w:bidi="ar-SA"/>
    </w:rPr>
  </w:style>
  <w:style w:type="character" w:customStyle="1" w:styleId="590">
    <w:name w:val="称呼 Char"/>
    <w:link w:val="31"/>
    <w:autoRedefine/>
    <w:qFormat/>
    <w:uiPriority w:val="0"/>
    <w:rPr>
      <w:rFonts w:ascii="Times New Roman" w:hAnsi="Times New Roman" w:eastAsia="宋体" w:cs="Times New Roman"/>
      <w:szCs w:val="20"/>
    </w:rPr>
  </w:style>
  <w:style w:type="character" w:customStyle="1" w:styleId="591">
    <w:name w:val="样式 图号 + 宋体 Char"/>
    <w:link w:val="177"/>
    <w:autoRedefine/>
    <w:semiHidden/>
    <w:qFormat/>
    <w:uiPriority w:val="0"/>
    <w:rPr>
      <w:rFonts w:ascii="宋体" w:hAnsi="宋体" w:eastAsia="宋体" w:cs="Times New Roman"/>
      <w:b/>
      <w:kern w:val="32"/>
      <w:sz w:val="24"/>
      <w:szCs w:val="20"/>
    </w:rPr>
  </w:style>
  <w:style w:type="character" w:customStyle="1" w:styleId="592">
    <w:name w:val="样式 样式 表格 + (中文) 黑体 + (中文) 黑体 Char Char"/>
    <w:link w:val="359"/>
    <w:autoRedefine/>
    <w:qFormat/>
    <w:uiPriority w:val="0"/>
    <w:rPr>
      <w:color w:val="000000"/>
      <w:spacing w:val="-8"/>
      <w:sz w:val="18"/>
      <w:szCs w:val="18"/>
    </w:rPr>
  </w:style>
  <w:style w:type="character" w:customStyle="1" w:styleId="593">
    <w:name w:val="正文文本 Char1"/>
    <w:autoRedefine/>
    <w:qFormat/>
    <w:uiPriority w:val="0"/>
    <w:rPr>
      <w:rFonts w:ascii="Times New Roman" w:hAnsi="Times New Roman" w:eastAsia="宋体" w:cs="Times New Roman"/>
      <w:szCs w:val="24"/>
    </w:rPr>
  </w:style>
  <w:style w:type="character" w:customStyle="1" w:styleId="594">
    <w:name w:val="表格 Char Char"/>
    <w:autoRedefine/>
    <w:qFormat/>
    <w:uiPriority w:val="0"/>
    <w:rPr>
      <w:rFonts w:ascii="宋体" w:eastAsia="宋体"/>
      <w:sz w:val="18"/>
      <w:lang w:val="en-US" w:eastAsia="zh-CN" w:bidi="ar-SA"/>
    </w:rPr>
  </w:style>
  <w:style w:type="character" w:customStyle="1" w:styleId="595">
    <w:name w:val="表头 Char Char"/>
    <w:autoRedefine/>
    <w:qFormat/>
    <w:uiPriority w:val="0"/>
    <w:rPr>
      <w:rFonts w:ascii="宋体" w:eastAsia="宋体"/>
      <w:b/>
      <w:bCs/>
      <w:color w:val="000000"/>
      <w:szCs w:val="24"/>
      <w:lang w:eastAsia="en-US" w:bidi="ar-SA"/>
    </w:rPr>
  </w:style>
  <w:style w:type="character" w:customStyle="1" w:styleId="596">
    <w:name w:val="样式 正文缩进表正文正文非缩进 + 首行缩进:  2 字符 Char"/>
    <w:link w:val="114"/>
    <w:autoRedefine/>
    <w:qFormat/>
    <w:uiPriority w:val="0"/>
    <w:rPr>
      <w:rFonts w:eastAsia="宋体"/>
      <w:sz w:val="24"/>
    </w:rPr>
  </w:style>
  <w:style w:type="character" w:customStyle="1" w:styleId="597">
    <w:name w:val="样式 黑体 小四 居中 Char Char"/>
    <w:autoRedefine/>
    <w:qFormat/>
    <w:uiPriority w:val="0"/>
    <w:rPr>
      <w:rFonts w:ascii="黑体" w:eastAsia="黑体" w:cs="宋体"/>
      <w:kern w:val="2"/>
      <w:sz w:val="24"/>
      <w:lang w:val="en-US" w:eastAsia="zh-CN" w:bidi="ar-SA"/>
    </w:rPr>
  </w:style>
  <w:style w:type="character" w:customStyle="1" w:styleId="598">
    <w:name w:val="表格15 Char Char"/>
    <w:link w:val="408"/>
    <w:autoRedefine/>
    <w:qFormat/>
    <w:uiPriority w:val="0"/>
    <w:rPr>
      <w:rFonts w:ascii="宋体" w:eastAsia="宋体"/>
      <w:color w:val="000000"/>
      <w:szCs w:val="21"/>
    </w:rPr>
  </w:style>
  <w:style w:type="character" w:customStyle="1" w:styleId="599">
    <w:name w:val="正文标准样式 Char"/>
    <w:link w:val="333"/>
    <w:autoRedefine/>
    <w:qFormat/>
    <w:uiPriority w:val="0"/>
    <w:rPr>
      <w:rFonts w:ascii="Times New Roman" w:hAnsi="Times New Roman" w:eastAsia="宋体" w:cs="Times New Roman"/>
      <w:kern w:val="0"/>
      <w:sz w:val="24"/>
      <w:szCs w:val="20"/>
    </w:rPr>
  </w:style>
  <w:style w:type="character" w:customStyle="1" w:styleId="600">
    <w:name w:val="纯文本 Char Char"/>
    <w:autoRedefine/>
    <w:qFormat/>
    <w:uiPriority w:val="0"/>
    <w:rPr>
      <w:rFonts w:ascii="宋体" w:hAnsi="Courier New" w:eastAsia="宋体"/>
      <w:kern w:val="2"/>
      <w:sz w:val="21"/>
      <w:lang w:val="en-US" w:eastAsia="zh-CN" w:bidi="ar-SA"/>
    </w:rPr>
  </w:style>
  <w:style w:type="character" w:customStyle="1" w:styleId="601">
    <w:name w:val="标题样式3 Char"/>
    <w:link w:val="211"/>
    <w:autoRedefine/>
    <w:qFormat/>
    <w:uiPriority w:val="0"/>
    <w:rPr>
      <w:rFonts w:eastAsia="宋体" w:cs="宋体"/>
      <w:sz w:val="24"/>
      <w:szCs w:val="24"/>
    </w:rPr>
  </w:style>
  <w:style w:type="character" w:customStyle="1" w:styleId="602">
    <w:name w:val="Normal Char"/>
    <w:link w:val="154"/>
    <w:autoRedefine/>
    <w:qFormat/>
    <w:uiPriority w:val="0"/>
    <w:rPr>
      <w:rFonts w:ascii="宋体" w:hAnsi="Calibri"/>
      <w:kern w:val="2"/>
      <w:sz w:val="24"/>
      <w:szCs w:val="22"/>
      <w:lang w:val="en-US" w:eastAsia="zh-CN" w:bidi="ar-SA"/>
    </w:rPr>
  </w:style>
  <w:style w:type="character" w:customStyle="1" w:styleId="603">
    <w:name w:val="正文222"/>
    <w:autoRedefine/>
    <w:qFormat/>
    <w:uiPriority w:val="0"/>
    <w:rPr>
      <w:rFonts w:ascii="宋体" w:hAnsi="宋体" w:eastAsia="宋体"/>
      <w:color w:val="000000"/>
      <w:sz w:val="24"/>
    </w:rPr>
  </w:style>
  <w:style w:type="character" w:customStyle="1" w:styleId="604">
    <w:name w:val="表格内容新 Char Char"/>
    <w:link w:val="228"/>
    <w:autoRedefine/>
    <w:qFormat/>
    <w:uiPriority w:val="0"/>
    <w:rPr>
      <w:rFonts w:ascii="宋体" w:hAnsi="宋体" w:eastAsia="宋体"/>
      <w:color w:val="FF0000"/>
      <w:spacing w:val="-8"/>
      <w:szCs w:val="21"/>
    </w:rPr>
  </w:style>
  <w:style w:type="character" w:customStyle="1" w:styleId="605">
    <w:name w:val="国电正文 Char Char"/>
    <w:autoRedefine/>
    <w:qFormat/>
    <w:uiPriority w:val="0"/>
    <w:rPr>
      <w:rFonts w:eastAsia="宋体" w:cs="宋体"/>
      <w:color w:val="000000"/>
      <w:kern w:val="2"/>
      <w:sz w:val="24"/>
      <w:lang w:val="en-US" w:eastAsia="zh-CN" w:bidi="ar-SA"/>
    </w:rPr>
  </w:style>
  <w:style w:type="character" w:customStyle="1" w:styleId="606">
    <w:name w:val="样式表 Char Char"/>
    <w:link w:val="158"/>
    <w:autoRedefine/>
    <w:qFormat/>
    <w:uiPriority w:val="0"/>
    <w:rPr>
      <w:rFonts w:eastAsia="黑体" w:cs="Arial"/>
      <w:b/>
      <w:color w:val="000000"/>
      <w:spacing w:val="8"/>
      <w:sz w:val="24"/>
      <w:szCs w:val="24"/>
    </w:rPr>
  </w:style>
  <w:style w:type="character" w:customStyle="1" w:styleId="607">
    <w:name w:val="页眉 字符"/>
    <w:autoRedefine/>
    <w:qFormat/>
    <w:uiPriority w:val="0"/>
    <w:rPr>
      <w:rFonts w:ascii="Times New Roman" w:hAnsi="Times New Roman" w:eastAsia="宋体" w:cs="Times New Roman"/>
      <w:sz w:val="18"/>
      <w:szCs w:val="20"/>
    </w:rPr>
  </w:style>
  <w:style w:type="character" w:customStyle="1" w:styleId="608">
    <w:name w:val="正文缩进 字符"/>
    <w:autoRedefine/>
    <w:qFormat/>
    <w:locked/>
    <w:uiPriority w:val="99"/>
    <w:rPr>
      <w:kern w:val="2"/>
      <w:sz w:val="21"/>
      <w:szCs w:val="24"/>
    </w:rPr>
  </w:style>
  <w:style w:type="character" w:customStyle="1" w:styleId="609">
    <w:name w:val="表头名称 Char Char"/>
    <w:link w:val="165"/>
    <w:autoRedefine/>
    <w:qFormat/>
    <w:uiPriority w:val="0"/>
    <w:rPr>
      <w:rFonts w:eastAsia="宋体"/>
      <w:szCs w:val="24"/>
      <w:lang w:val="zh-CN" w:eastAsia="en-US"/>
    </w:rPr>
  </w:style>
  <w:style w:type="character" w:customStyle="1" w:styleId="610">
    <w:name w:val="表头胡 Char"/>
    <w:link w:val="384"/>
    <w:autoRedefine/>
    <w:qFormat/>
    <w:uiPriority w:val="0"/>
    <w:rPr>
      <w:rFonts w:ascii="Times New Roman" w:hAnsi="Times New Roman" w:eastAsia="黑体" w:cs="Times New Roman"/>
      <w:szCs w:val="24"/>
    </w:rPr>
  </w:style>
  <w:style w:type="character" w:customStyle="1" w:styleId="611">
    <w:name w:val="样式6 Char"/>
    <w:autoRedefine/>
    <w:qFormat/>
    <w:uiPriority w:val="0"/>
    <w:rPr>
      <w:rFonts w:ascii="Times New Roman" w:hAnsi="Times New Roman"/>
      <w:b/>
      <w:kern w:val="2"/>
      <w:sz w:val="24"/>
      <w:szCs w:val="24"/>
    </w:rPr>
  </w:style>
  <w:style w:type="character" w:customStyle="1" w:styleId="612">
    <w:name w:val="纯文本 Char2"/>
    <w:autoRedefine/>
    <w:qFormat/>
    <w:uiPriority w:val="0"/>
    <w:rPr>
      <w:rFonts w:ascii="宋体" w:hAnsi="宋体" w:eastAsia="宋体" w:cs="宋体"/>
      <w:sz w:val="24"/>
      <w:szCs w:val="24"/>
      <w:lang w:val="en-US" w:eastAsia="zh-CN" w:bidi="ar-SA"/>
    </w:rPr>
  </w:style>
  <w:style w:type="character" w:customStyle="1" w:styleId="613">
    <w:name w:val="正文(首行缩进) Char Char"/>
    <w:autoRedefine/>
    <w:qFormat/>
    <w:uiPriority w:val="0"/>
    <w:rPr>
      <w:rFonts w:ascii="宋体" w:eastAsia="宋体"/>
      <w:sz w:val="24"/>
      <w:szCs w:val="24"/>
      <w:lang w:val="en-US" w:eastAsia="en-US" w:bidi="en-US"/>
    </w:rPr>
  </w:style>
  <w:style w:type="character" w:customStyle="1" w:styleId="614">
    <w:name w:val="正文001 Char"/>
    <w:link w:val="400"/>
    <w:autoRedefine/>
    <w:qFormat/>
    <w:uiPriority w:val="0"/>
    <w:rPr>
      <w:rFonts w:ascii="Arial" w:hAnsi="Arial" w:eastAsia="宋体" w:cs="Arial"/>
      <w:sz w:val="24"/>
      <w:szCs w:val="24"/>
    </w:rPr>
  </w:style>
  <w:style w:type="character" w:customStyle="1" w:styleId="615">
    <w:name w:val="节标题 1.1 Char"/>
    <w:autoRedefine/>
    <w:qFormat/>
    <w:uiPriority w:val="0"/>
    <w:rPr>
      <w:rFonts w:ascii="Arial" w:hAnsi="Arial" w:eastAsia="黑体"/>
      <w:b/>
      <w:bCs/>
      <w:kern w:val="2"/>
      <w:sz w:val="32"/>
      <w:szCs w:val="32"/>
      <w:lang w:val="en-US" w:eastAsia="zh-CN" w:bidi="ar-SA"/>
    </w:rPr>
  </w:style>
  <w:style w:type="character" w:customStyle="1" w:styleId="616">
    <w:name w:val="正文文本 2 Char"/>
    <w:autoRedefine/>
    <w:qFormat/>
    <w:uiPriority w:val="0"/>
    <w:rPr>
      <w:rFonts w:eastAsia="宋体"/>
      <w:kern w:val="2"/>
      <w:sz w:val="21"/>
      <w:lang w:val="en-US" w:eastAsia="zh-CN" w:bidi="ar-SA"/>
    </w:rPr>
  </w:style>
  <w:style w:type="character" w:customStyle="1" w:styleId="617">
    <w:name w:val="表标号 Char1"/>
    <w:link w:val="179"/>
    <w:autoRedefine/>
    <w:qFormat/>
    <w:uiPriority w:val="0"/>
    <w:rPr>
      <w:snapToGrid w:val="0"/>
      <w:szCs w:val="21"/>
      <w:lang w:val="en-US" w:eastAsia="zh-CN" w:bidi="ar-SA"/>
    </w:rPr>
  </w:style>
  <w:style w:type="character" w:customStyle="1" w:styleId="618">
    <w:name w:val="干标题(a) Char Char"/>
    <w:autoRedefine/>
    <w:qFormat/>
    <w:uiPriority w:val="0"/>
    <w:rPr>
      <w:rFonts w:ascii="Arial" w:hAnsi="Arial" w:eastAsia="黑体"/>
      <w:sz w:val="24"/>
    </w:rPr>
  </w:style>
  <w:style w:type="character" w:customStyle="1" w:styleId="619">
    <w:name w:val="普通 (Web) Char Char"/>
    <w:autoRedefine/>
    <w:qFormat/>
    <w:uiPriority w:val="0"/>
    <w:rPr>
      <w:rFonts w:ascii="宋体" w:eastAsia="宋体" w:cs="宋体"/>
      <w:sz w:val="24"/>
      <w:szCs w:val="24"/>
      <w:lang w:val="en-US" w:eastAsia="zh-CN" w:bidi="ar-SA"/>
    </w:rPr>
  </w:style>
  <w:style w:type="character" w:customStyle="1" w:styleId="620">
    <w:name w:val="页脚 字符"/>
    <w:autoRedefine/>
    <w:qFormat/>
    <w:uiPriority w:val="0"/>
    <w:rPr>
      <w:rFonts w:ascii="Times New Roman" w:hAnsi="Times New Roman" w:eastAsia="宋体" w:cs="Times New Roman"/>
      <w:sz w:val="18"/>
      <w:szCs w:val="20"/>
    </w:rPr>
  </w:style>
  <w:style w:type="character" w:customStyle="1" w:styleId="621">
    <w:name w:val="普通文字 Char Char Char Char Char Char"/>
    <w:autoRedefine/>
    <w:qFormat/>
    <w:uiPriority w:val="0"/>
    <w:rPr>
      <w:rFonts w:ascii="宋体" w:hAnsi="Courier New" w:eastAsia="宋体"/>
      <w:kern w:val="2"/>
      <w:sz w:val="21"/>
      <w:lang w:val="en-US" w:eastAsia="zh-CN" w:bidi="ar-SA"/>
    </w:rPr>
  </w:style>
  <w:style w:type="character" w:customStyle="1" w:styleId="622">
    <w:name w:val="样式2 Char Char"/>
    <w:link w:val="239"/>
    <w:autoRedefine/>
    <w:qFormat/>
    <w:uiPriority w:val="0"/>
    <w:rPr>
      <w:rFonts w:eastAsia="宋体"/>
    </w:rPr>
  </w:style>
  <w:style w:type="character" w:customStyle="1" w:styleId="623">
    <w:name w:val="标题2s Char"/>
    <w:link w:val="323"/>
    <w:autoRedefine/>
    <w:qFormat/>
    <w:uiPriority w:val="0"/>
    <w:rPr>
      <w:rFonts w:ascii="黑体" w:hAnsi="黑体" w:eastAsia="黑体"/>
      <w:b/>
      <w:bCs/>
      <w:color w:val="0070C0"/>
      <w:sz w:val="28"/>
      <w:szCs w:val="28"/>
      <w:lang w:val="en-US" w:eastAsia="zh-CN"/>
    </w:rPr>
  </w:style>
  <w:style w:type="character" w:customStyle="1" w:styleId="624">
    <w:name w:val="普通文字 Char Char"/>
    <w:autoRedefine/>
    <w:qFormat/>
    <w:uiPriority w:val="0"/>
    <w:rPr>
      <w:rFonts w:ascii="宋体" w:hAnsi="Courier New" w:cs="Courier New"/>
      <w:kern w:val="2"/>
      <w:sz w:val="21"/>
      <w:szCs w:val="21"/>
    </w:rPr>
  </w:style>
  <w:style w:type="character" w:customStyle="1" w:styleId="625">
    <w:name w:val="标题 7 Char1"/>
    <w:link w:val="15"/>
    <w:autoRedefine/>
    <w:qFormat/>
    <w:uiPriority w:val="0"/>
    <w:rPr>
      <w:rFonts w:ascii="Times New Roman" w:hAnsi="Times New Roman" w:eastAsia="宋体" w:cs="Times New Roman"/>
      <w:b/>
      <w:bCs/>
      <w:color w:val="000000"/>
      <w:sz w:val="24"/>
      <w:szCs w:val="24"/>
    </w:rPr>
  </w:style>
  <w:style w:type="character" w:customStyle="1" w:styleId="626">
    <w:name w:val="款标题1.1.1.1 Char Char"/>
    <w:autoRedefine/>
    <w:qFormat/>
    <w:uiPriority w:val="0"/>
    <w:rPr>
      <w:sz w:val="24"/>
    </w:rPr>
  </w:style>
  <w:style w:type="character" w:customStyle="1" w:styleId="627">
    <w:name w:val="正文 Char Char"/>
    <w:autoRedefine/>
    <w:qFormat/>
    <w:uiPriority w:val="0"/>
    <w:rPr>
      <w:rFonts w:eastAsia="宋体" w:cs="宋体"/>
      <w:snapToGrid w:val="0"/>
      <w:sz w:val="24"/>
      <w:szCs w:val="24"/>
      <w:lang w:val="en-US" w:eastAsia="zh-CN" w:bidi="ar-SA"/>
    </w:rPr>
  </w:style>
  <w:style w:type="character" w:customStyle="1" w:styleId="628">
    <w:name w:val="样式 样式 标题 3 + 段前: 7.8 磅 段后: 7.8 磅 行距: 固定值 20 磅 + 宋体 Char Char"/>
    <w:link w:val="447"/>
    <w:autoRedefine/>
    <w:qFormat/>
    <w:uiPriority w:val="0"/>
    <w:rPr>
      <w:rFonts w:ascii="宋体" w:hAnsi="宋体" w:eastAsia="宋体" w:cs="宋体"/>
      <w:b/>
      <w:bCs/>
      <w:sz w:val="30"/>
      <w:szCs w:val="30"/>
    </w:rPr>
  </w:style>
  <w:style w:type="character" w:customStyle="1" w:styleId="629">
    <w:name w:val="表格式 Char1"/>
    <w:link w:val="161"/>
    <w:autoRedefine/>
    <w:qFormat/>
    <w:uiPriority w:val="0"/>
    <w:rPr>
      <w:rFonts w:ascii="宋体" w:hAnsi="Times New Roman" w:eastAsia="宋体" w:cs="Times New Roman"/>
      <w:szCs w:val="20"/>
    </w:rPr>
  </w:style>
  <w:style w:type="character" w:customStyle="1" w:styleId="630">
    <w:name w:val="标题4s Char"/>
    <w:link w:val="128"/>
    <w:autoRedefine/>
    <w:qFormat/>
    <w:uiPriority w:val="0"/>
    <w:rPr>
      <w:rFonts w:ascii="Cambria" w:hAnsi="Cambria" w:eastAsia="黑体"/>
      <w:bCs/>
      <w:color w:val="0070C0"/>
      <w:sz w:val="24"/>
      <w:szCs w:val="28"/>
      <w:lang w:val="en-US" w:eastAsia="zh-CN"/>
    </w:rPr>
  </w:style>
  <w:style w:type="character" w:customStyle="1" w:styleId="631">
    <w:name w:val="正文四号 Char Char"/>
    <w:link w:val="320"/>
    <w:autoRedefine/>
    <w:qFormat/>
    <w:uiPriority w:val="0"/>
    <w:rPr>
      <w:rFonts w:cs="宋体"/>
      <w:sz w:val="28"/>
    </w:rPr>
  </w:style>
  <w:style w:type="character" w:customStyle="1" w:styleId="632">
    <w:name w:val="目标题 1) Char Char"/>
    <w:autoRedefine/>
    <w:qFormat/>
    <w:uiPriority w:val="0"/>
    <w:rPr>
      <w:sz w:val="24"/>
    </w:rPr>
  </w:style>
  <w:style w:type="character" w:customStyle="1" w:styleId="633">
    <w:name w:val="右 Char Char Char"/>
    <w:autoRedefine/>
    <w:qFormat/>
    <w:uiPriority w:val="0"/>
    <w:rPr>
      <w:rFonts w:eastAsia="宋体"/>
      <w:kern w:val="2"/>
      <w:sz w:val="18"/>
      <w:szCs w:val="18"/>
      <w:lang w:val="en-US" w:eastAsia="zh-CN" w:bidi="ar-SA"/>
    </w:rPr>
  </w:style>
  <w:style w:type="character" w:customStyle="1" w:styleId="634">
    <w:name w:val="纯文本 字符"/>
    <w:autoRedefine/>
    <w:qFormat/>
    <w:uiPriority w:val="0"/>
    <w:rPr>
      <w:rFonts w:ascii="宋体" w:hAnsi="Courier New"/>
      <w:kern w:val="2"/>
      <w:sz w:val="21"/>
    </w:rPr>
  </w:style>
  <w:style w:type="character" w:customStyle="1" w:styleId="635">
    <w:name w:val="纯文本 Char1"/>
    <w:link w:val="44"/>
    <w:autoRedefine/>
    <w:qFormat/>
    <w:uiPriority w:val="0"/>
    <w:rPr>
      <w:rFonts w:ascii="宋体" w:hAnsi="Courier New" w:eastAsia="宋体" w:cs="Courier New"/>
      <w:szCs w:val="21"/>
    </w:rPr>
  </w:style>
  <w:style w:type="character" w:customStyle="1" w:styleId="636">
    <w:name w:val="付正文 Char Char"/>
    <w:link w:val="414"/>
    <w:autoRedefine/>
    <w:qFormat/>
    <w:uiPriority w:val="0"/>
    <w:rPr>
      <w:rFonts w:ascii="宋体" w:eastAsia="宋体"/>
      <w:color w:val="000000"/>
      <w:sz w:val="24"/>
      <w:szCs w:val="21"/>
    </w:rPr>
  </w:style>
  <w:style w:type="character" w:customStyle="1" w:styleId="637">
    <w:name w:val="规划正文样式 Char Char"/>
    <w:autoRedefine/>
    <w:qFormat/>
    <w:uiPriority w:val="0"/>
    <w:rPr>
      <w:rFonts w:eastAsia="宋体"/>
      <w:kern w:val="2"/>
      <w:sz w:val="24"/>
      <w:szCs w:val="24"/>
      <w:lang w:val="en-US" w:eastAsia="zh-CN" w:bidi="ar-SA"/>
    </w:rPr>
  </w:style>
  <w:style w:type="character" w:customStyle="1" w:styleId="638">
    <w:name w:val="标题 9 Char1"/>
    <w:link w:val="17"/>
    <w:autoRedefine/>
    <w:qFormat/>
    <w:uiPriority w:val="0"/>
    <w:rPr>
      <w:rFonts w:ascii="Times New Roman" w:hAnsi="Times New Roman" w:eastAsia="宋体" w:cs="Times New Roman"/>
      <w:color w:val="000000"/>
      <w:sz w:val="24"/>
      <w:szCs w:val="21"/>
    </w:rPr>
  </w:style>
  <w:style w:type="character" w:customStyle="1" w:styleId="639">
    <w:name w:val="纯文本 Char Char Char1"/>
    <w:autoRedefine/>
    <w:qFormat/>
    <w:uiPriority w:val="0"/>
    <w:rPr>
      <w:rFonts w:ascii="宋体" w:hAnsi="Courier New" w:eastAsia="宋体"/>
      <w:kern w:val="2"/>
      <w:sz w:val="21"/>
      <w:lang w:val="en-US" w:eastAsia="zh-CN" w:bidi="ar-SA"/>
    </w:rPr>
  </w:style>
  <w:style w:type="character" w:customStyle="1" w:styleId="640">
    <w:name w:val="页脚1 Char"/>
    <w:autoRedefine/>
    <w:qFormat/>
    <w:uiPriority w:val="0"/>
    <w:rPr>
      <w:rFonts w:eastAsia="宋体"/>
      <w:kern w:val="2"/>
      <w:sz w:val="18"/>
      <w:lang w:val="en-US" w:eastAsia="zh-CN" w:bidi="ar-SA"/>
    </w:rPr>
  </w:style>
  <w:style w:type="character" w:customStyle="1" w:styleId="641">
    <w:name w:val="正文(首行缩进) Char Char Char"/>
    <w:autoRedefine/>
    <w:qFormat/>
    <w:uiPriority w:val="0"/>
    <w:rPr>
      <w:rFonts w:ascii="宋体" w:eastAsia="宋体"/>
      <w:sz w:val="24"/>
      <w:szCs w:val="24"/>
      <w:lang w:val="en-US" w:eastAsia="en-US" w:bidi="en-US"/>
    </w:rPr>
  </w:style>
  <w:style w:type="character" w:customStyle="1" w:styleId="642">
    <w:name w:val="环评列表表头 Char Char"/>
    <w:link w:val="468"/>
    <w:autoRedefine/>
    <w:qFormat/>
    <w:uiPriority w:val="0"/>
    <w:rPr>
      <w:b/>
      <w:bCs/>
      <w:szCs w:val="21"/>
      <w:lang w:val="en-US" w:eastAsia="zh-CN" w:bidi="ar-SA"/>
    </w:rPr>
  </w:style>
  <w:style w:type="character" w:customStyle="1" w:styleId="643">
    <w:name w:val="表中文字 Char Char"/>
    <w:link w:val="119"/>
    <w:autoRedefine/>
    <w:qFormat/>
    <w:uiPriority w:val="99"/>
    <w:rPr>
      <w:rFonts w:ascii="Times New Roman" w:hAnsi="Times New Roman" w:eastAsia="宋体" w:cs="Times New Roman"/>
      <w:szCs w:val="24"/>
    </w:rPr>
  </w:style>
  <w:style w:type="character" w:customStyle="1" w:styleId="644">
    <w:name w:val="样式5 Char Char Char Char"/>
    <w:autoRedefine/>
    <w:qFormat/>
    <w:uiPriority w:val="0"/>
    <w:rPr>
      <w:rFonts w:ascii="宋体" w:hAnsi="宋体" w:eastAsia="宋体"/>
      <w:kern w:val="2"/>
      <w:sz w:val="24"/>
      <w:szCs w:val="24"/>
      <w:lang w:val="en-US" w:eastAsia="zh-CN" w:bidi="ar-SA"/>
    </w:rPr>
  </w:style>
  <w:style w:type="character" w:customStyle="1" w:styleId="645">
    <w:name w:val="标题2"/>
    <w:autoRedefine/>
    <w:qFormat/>
    <w:uiPriority w:val="0"/>
    <w:rPr>
      <w:rFonts w:ascii="Times New Roman" w:hAnsi="Times New Roman" w:eastAsia="宋体"/>
      <w:b/>
      <w:bCs/>
      <w:sz w:val="30"/>
    </w:rPr>
  </w:style>
  <w:style w:type="character" w:customStyle="1" w:styleId="646">
    <w:name w:val="表文字xxxxxxxx Char Char"/>
    <w:link w:val="346"/>
    <w:autoRedefine/>
    <w:qFormat/>
    <w:uiPriority w:val="0"/>
    <w:rPr>
      <w:rFonts w:ascii="Calibri" w:hAnsi="Calibri" w:eastAsia="宋体"/>
      <w:sz w:val="24"/>
      <w:szCs w:val="21"/>
      <w:lang w:eastAsia="en-US" w:bidi="en-US"/>
    </w:rPr>
  </w:style>
  <w:style w:type="character" w:customStyle="1" w:styleId="647">
    <w:name w:val="正文1 Char Char Char"/>
    <w:autoRedefine/>
    <w:qFormat/>
    <w:uiPriority w:val="0"/>
    <w:rPr>
      <w:rFonts w:eastAsia="宋体"/>
      <w:snapToGrid w:val="0"/>
      <w:kern w:val="2"/>
      <w:sz w:val="24"/>
      <w:szCs w:val="24"/>
      <w:lang w:eastAsia="en-US" w:bidi="ar-SA"/>
    </w:rPr>
  </w:style>
  <w:style w:type="character" w:customStyle="1" w:styleId="648">
    <w:name w:val="普通文字 Char Char Char"/>
    <w:autoRedefine/>
    <w:qFormat/>
    <w:uiPriority w:val="0"/>
    <w:rPr>
      <w:rFonts w:ascii="宋体" w:eastAsia="宋体" w:cs="Courier New"/>
      <w:kern w:val="2"/>
      <w:sz w:val="21"/>
      <w:szCs w:val="21"/>
      <w:lang w:val="en-US" w:eastAsia="zh-CN" w:bidi="ar-SA"/>
    </w:rPr>
  </w:style>
  <w:style w:type="character" w:customStyle="1" w:styleId="649">
    <w:name w:val="表格标题 Char"/>
    <w:autoRedefine/>
    <w:qFormat/>
    <w:uiPriority w:val="0"/>
    <w:rPr>
      <w:rFonts w:ascii="新宋体" w:hAnsi="Times New Roman" w:eastAsia="新宋体" w:cs="Times New Roman"/>
      <w:b/>
      <w:kern w:val="28"/>
      <w:sz w:val="24"/>
      <w:szCs w:val="24"/>
    </w:rPr>
  </w:style>
  <w:style w:type="character" w:customStyle="1" w:styleId="650">
    <w:name w:val="批注框文本 字符"/>
    <w:autoRedefine/>
    <w:qFormat/>
    <w:uiPriority w:val="0"/>
    <w:rPr>
      <w:rFonts w:ascii="Times New Roman" w:hAnsi="Times New Roman" w:eastAsia="宋体" w:cs="Times New Roman"/>
      <w:sz w:val="18"/>
      <w:szCs w:val="18"/>
    </w:rPr>
  </w:style>
  <w:style w:type="character" w:customStyle="1" w:styleId="651">
    <w:name w:val="表格字体 Char"/>
    <w:link w:val="299"/>
    <w:autoRedefine/>
    <w:qFormat/>
    <w:uiPriority w:val="0"/>
    <w:rPr>
      <w:rFonts w:ascii="Times New Roman" w:hAnsi="Times New Roman" w:eastAsia="宋体" w:cs="Times New Roman"/>
      <w:szCs w:val="20"/>
    </w:rPr>
  </w:style>
  <w:style w:type="character" w:customStyle="1" w:styleId="652">
    <w:name w:val="列表 Char Char"/>
    <w:autoRedefine/>
    <w:qFormat/>
    <w:uiPriority w:val="0"/>
    <w:rPr>
      <w:rFonts w:eastAsia="宋体"/>
      <w:kern w:val="2"/>
      <w:sz w:val="21"/>
      <w:szCs w:val="24"/>
      <w:lang w:val="en-US" w:eastAsia="zh-CN" w:bidi="ar-SA"/>
    </w:rPr>
  </w:style>
  <w:style w:type="character" w:customStyle="1" w:styleId="653">
    <w:name w:val="批注框文本 Char"/>
    <w:link w:val="52"/>
    <w:autoRedefine/>
    <w:qFormat/>
    <w:uiPriority w:val="99"/>
    <w:rPr>
      <w:rFonts w:ascii="Times New Roman" w:hAnsi="Times New Roman" w:eastAsia="宋体" w:cs="Times New Roman"/>
      <w:sz w:val="18"/>
      <w:szCs w:val="18"/>
    </w:rPr>
  </w:style>
  <w:style w:type="character" w:customStyle="1" w:styleId="654">
    <w:name w:val="表格标题 Char Char"/>
    <w:link w:val="256"/>
    <w:autoRedefine/>
    <w:qFormat/>
    <w:uiPriority w:val="0"/>
    <w:rPr>
      <w:rFonts w:ascii="Times New Roman" w:hAnsi="Times New Roman" w:eastAsia="宋体" w:cs="Times New Roman"/>
      <w:sz w:val="24"/>
      <w:szCs w:val="20"/>
    </w:rPr>
  </w:style>
  <w:style w:type="character" w:customStyle="1" w:styleId="655">
    <w:name w:val="普通文字 Char Char Char Char Char1"/>
    <w:autoRedefine/>
    <w:qFormat/>
    <w:uiPriority w:val="0"/>
    <w:rPr>
      <w:rFonts w:ascii="宋体" w:hAnsi="宋体"/>
      <w:kern w:val="2"/>
      <w:sz w:val="24"/>
    </w:rPr>
  </w:style>
  <w:style w:type="character" w:customStyle="1" w:styleId="656">
    <w:name w:val="表格标题3 Char Char"/>
    <w:link w:val="390"/>
    <w:autoRedefine/>
    <w:qFormat/>
    <w:uiPriority w:val="0"/>
    <w:rPr>
      <w:rFonts w:eastAsia="宋体"/>
      <w:b/>
      <w:sz w:val="24"/>
      <w:szCs w:val="24"/>
    </w:rPr>
  </w:style>
  <w:style w:type="character" w:customStyle="1" w:styleId="657">
    <w:name w:val="普通(网站) Char"/>
    <w:link w:val="76"/>
    <w:autoRedefine/>
    <w:qFormat/>
    <w:uiPriority w:val="0"/>
    <w:rPr>
      <w:rFonts w:ascii="宋体" w:eastAsia="宋体" w:cs="宋体"/>
      <w:sz w:val="24"/>
      <w:szCs w:val="24"/>
    </w:rPr>
  </w:style>
  <w:style w:type="character" w:customStyle="1" w:styleId="658">
    <w:name w:val="批注主题 Char"/>
    <w:link w:val="8"/>
    <w:autoRedefine/>
    <w:qFormat/>
    <w:uiPriority w:val="99"/>
    <w:rPr>
      <w:rFonts w:ascii="Times New Roman" w:hAnsi="Times New Roman" w:eastAsia="宋体" w:cs="Times New Roman"/>
      <w:b/>
      <w:bCs/>
      <w:szCs w:val="20"/>
    </w:rPr>
  </w:style>
  <w:style w:type="character" w:customStyle="1" w:styleId="659">
    <w:name w:val="样式5 Char Char"/>
    <w:autoRedefine/>
    <w:qFormat/>
    <w:uiPriority w:val="0"/>
    <w:rPr>
      <w:rFonts w:eastAsia="宋体"/>
      <w:sz w:val="24"/>
      <w:szCs w:val="24"/>
      <w:lang w:eastAsia="en-US" w:bidi="ar-SA"/>
    </w:rPr>
  </w:style>
  <w:style w:type="character" w:customStyle="1" w:styleId="660">
    <w:name w:val="标题 7 Char"/>
    <w:autoRedefine/>
    <w:qFormat/>
    <w:uiPriority w:val="0"/>
    <w:rPr>
      <w:rFonts w:ascii="Times New Roman" w:hAnsi="Times New Roman" w:eastAsia="宋体" w:cs="Times New Roman"/>
      <w:b/>
      <w:bCs/>
      <w:sz w:val="24"/>
      <w:szCs w:val="24"/>
    </w:rPr>
  </w:style>
  <w:style w:type="character" w:customStyle="1" w:styleId="661">
    <w:name w:val="样式 宋体 小四"/>
    <w:autoRedefine/>
    <w:qFormat/>
    <w:uiPriority w:val="0"/>
    <w:rPr>
      <w:rFonts w:ascii="宋体" w:hAnsi="宋体" w:eastAsia="宋体" w:cs="宋体"/>
      <w:kern w:val="0"/>
      <w:sz w:val="24"/>
      <w:szCs w:val="30"/>
      <w:lang w:val="en-US" w:eastAsia="zh-CN" w:bidi="ar-SA"/>
    </w:rPr>
  </w:style>
  <w:style w:type="character" w:customStyle="1" w:styleId="662">
    <w:name w:val="正式 Char"/>
    <w:link w:val="470"/>
    <w:autoRedefine/>
    <w:qFormat/>
    <w:uiPriority w:val="0"/>
    <w:rPr>
      <w:rFonts w:hAnsi="宋体" w:eastAsia="宋体"/>
      <w:sz w:val="24"/>
      <w:szCs w:val="21"/>
    </w:rPr>
  </w:style>
  <w:style w:type="character" w:customStyle="1" w:styleId="663">
    <w:name w:val="正文(首行缩进) Char"/>
    <w:link w:val="453"/>
    <w:autoRedefine/>
    <w:qFormat/>
    <w:uiPriority w:val="0"/>
    <w:rPr>
      <w:rFonts w:ascii="宋体" w:eastAsia="宋体"/>
      <w:sz w:val="24"/>
      <w:szCs w:val="24"/>
      <w:lang w:eastAsia="en-US" w:bidi="en-US"/>
    </w:rPr>
  </w:style>
  <w:style w:type="character" w:customStyle="1" w:styleId="664">
    <w:name w:val="常用表头样式 Char Char"/>
    <w:link w:val="278"/>
    <w:autoRedefine/>
    <w:qFormat/>
    <w:uiPriority w:val="0"/>
    <w:rPr>
      <w:rFonts w:ascii="黑体" w:eastAsia="仿宋_GB2312"/>
      <w:b/>
      <w:szCs w:val="21"/>
    </w:rPr>
  </w:style>
  <w:style w:type="character" w:customStyle="1" w:styleId="665">
    <w:name w:val="样式4 Char Char"/>
    <w:autoRedefine/>
    <w:qFormat/>
    <w:uiPriority w:val="0"/>
    <w:rPr>
      <w:rFonts w:ascii="宋体" w:eastAsia="宋体"/>
      <w:kern w:val="2"/>
      <w:sz w:val="28"/>
      <w:szCs w:val="28"/>
      <w:lang w:val="en-US" w:eastAsia="zh-CN" w:bidi="ar-SA"/>
    </w:rPr>
  </w:style>
  <w:style w:type="character" w:customStyle="1" w:styleId="666">
    <w:name w:val="表内1 Char"/>
    <w:link w:val="354"/>
    <w:autoRedefine/>
    <w:qFormat/>
    <w:uiPriority w:val="0"/>
    <w:rPr>
      <w:sz w:val="21"/>
      <w:szCs w:val="21"/>
      <w:lang w:eastAsia="en-US" w:bidi="en-US"/>
    </w:rPr>
  </w:style>
  <w:style w:type="character" w:customStyle="1" w:styleId="667">
    <w:name w:val="脚注文本 Char"/>
    <w:link w:val="63"/>
    <w:autoRedefine/>
    <w:qFormat/>
    <w:uiPriority w:val="0"/>
    <w:rPr>
      <w:rFonts w:ascii="Times New Roman" w:hAnsi="Times New Roman" w:eastAsia="宋体" w:cs="Times New Roman"/>
      <w:sz w:val="18"/>
      <w:szCs w:val="18"/>
    </w:rPr>
  </w:style>
  <w:style w:type="character" w:customStyle="1" w:styleId="668">
    <w:name w:val="正文dg Char Char"/>
    <w:link w:val="311"/>
    <w:autoRedefine/>
    <w:qFormat/>
    <w:uiPriority w:val="0"/>
    <w:rPr>
      <w:rFonts w:ascii="新宋体" w:hAnsi="新宋体" w:eastAsia="新宋体"/>
      <w:sz w:val="24"/>
      <w:szCs w:val="24"/>
    </w:rPr>
  </w:style>
  <w:style w:type="character" w:customStyle="1" w:styleId="669">
    <w:name w:val="样式 正文缩进表正文正文非缩进 + 首行缩进:  2 字符 Char Char"/>
    <w:autoRedefine/>
    <w:qFormat/>
    <w:uiPriority w:val="0"/>
    <w:rPr>
      <w:rFonts w:eastAsia="宋体"/>
      <w:kern w:val="2"/>
      <w:sz w:val="24"/>
      <w:lang w:val="en-US" w:eastAsia="zh-CN" w:bidi="ar-SA"/>
    </w:rPr>
  </w:style>
  <w:style w:type="character" w:customStyle="1" w:styleId="670">
    <w:name w:val="样式3 Char Char"/>
    <w:autoRedefine/>
    <w:qFormat/>
    <w:uiPriority w:val="0"/>
    <w:rPr>
      <w:rFonts w:ascii="黑体" w:eastAsia="黑体"/>
      <w:kern w:val="2"/>
      <w:sz w:val="21"/>
      <w:lang w:val="en-US" w:eastAsia="zh-CN" w:bidi="ar-SA"/>
    </w:rPr>
  </w:style>
  <w:style w:type="character" w:customStyle="1" w:styleId="671">
    <w:name w:val="表格标题s Char"/>
    <w:link w:val="308"/>
    <w:autoRedefine/>
    <w:qFormat/>
    <w:uiPriority w:val="0"/>
    <w:rPr>
      <w:rFonts w:ascii="黑体" w:eastAsia="黑体"/>
      <w:b/>
      <w:bCs/>
      <w:color w:val="0070C0"/>
      <w:sz w:val="24"/>
      <w:lang w:val="zh-CN"/>
    </w:rPr>
  </w:style>
  <w:style w:type="character" w:customStyle="1" w:styleId="672">
    <w:name w:val="样式4 Char1"/>
    <w:link w:val="156"/>
    <w:autoRedefine/>
    <w:qFormat/>
    <w:uiPriority w:val="0"/>
    <w:rPr>
      <w:rFonts w:ascii="Calibri" w:hAnsi="Calibri" w:eastAsia="黑体" w:cs="Times New Roman"/>
      <w:b/>
      <w:bCs/>
      <w:sz w:val="28"/>
      <w:szCs w:val="32"/>
    </w:rPr>
  </w:style>
  <w:style w:type="character" w:customStyle="1" w:styleId="673">
    <w:name w:val="正文首行缩进 2 Char"/>
    <w:autoRedefine/>
    <w:qFormat/>
    <w:uiPriority w:val="0"/>
    <w:rPr>
      <w:rFonts w:eastAsia="宋体"/>
      <w:kern w:val="2"/>
      <w:sz w:val="21"/>
      <w:szCs w:val="24"/>
      <w:lang w:val="en-US" w:eastAsia="zh-CN" w:bidi="ar-SA"/>
    </w:rPr>
  </w:style>
  <w:style w:type="character" w:customStyle="1" w:styleId="674">
    <w:name w:val="样式 样式 方正宋三简体 14 磅 行距: 1.5 倍行距1 + 首行缩进:  2 字符 Char Char"/>
    <w:link w:val="431"/>
    <w:autoRedefine/>
    <w:qFormat/>
    <w:uiPriority w:val="0"/>
    <w:rPr>
      <w:rFonts w:ascii="宋体" w:hAnsi="方正宋三简体" w:cs="宋体"/>
      <w:sz w:val="27"/>
      <w:szCs w:val="27"/>
    </w:rPr>
  </w:style>
  <w:style w:type="character" w:customStyle="1" w:styleId="675">
    <w:name w:val="朝克正文 Char Char"/>
    <w:link w:val="143"/>
    <w:autoRedefine/>
    <w:qFormat/>
    <w:uiPriority w:val="0"/>
    <w:rPr>
      <w:rFonts w:eastAsia="宋体" w:cs="宋体"/>
      <w:bCs/>
      <w:color w:val="000000"/>
      <w:sz w:val="24"/>
      <w:szCs w:val="24"/>
      <w:lang w:val="zh-CN"/>
    </w:rPr>
  </w:style>
  <w:style w:type="character" w:customStyle="1" w:styleId="676">
    <w:name w:val="表题 Char Char"/>
    <w:link w:val="281"/>
    <w:autoRedefine/>
    <w:qFormat/>
    <w:uiPriority w:val="0"/>
    <w:rPr>
      <w:rFonts w:eastAsia="宋体"/>
      <w:b/>
      <w:sz w:val="24"/>
      <w:szCs w:val="24"/>
    </w:rPr>
  </w:style>
  <w:style w:type="character" w:customStyle="1" w:styleId="677">
    <w:name w:val="列表 Char"/>
    <w:link w:val="62"/>
    <w:autoRedefine/>
    <w:qFormat/>
    <w:uiPriority w:val="0"/>
    <w:rPr>
      <w:rFonts w:ascii="仿宋_GB2312" w:eastAsia="仿宋_GB2312"/>
      <w:kern w:val="2"/>
      <w:sz w:val="24"/>
    </w:rPr>
  </w:style>
  <w:style w:type="character" w:customStyle="1" w:styleId="678">
    <w:name w:val="批注框文本 Char1"/>
    <w:autoRedefine/>
    <w:qFormat/>
    <w:locked/>
    <w:uiPriority w:val="0"/>
    <w:rPr>
      <w:rFonts w:eastAsia="宋体"/>
      <w:kern w:val="2"/>
      <w:sz w:val="18"/>
      <w:szCs w:val="18"/>
      <w:lang w:val="en-US" w:eastAsia="zh-CN" w:bidi="ar-SA"/>
    </w:rPr>
  </w:style>
  <w:style w:type="character" w:customStyle="1" w:styleId="679">
    <w:name w:val="标题 6 Char1"/>
    <w:link w:val="14"/>
    <w:autoRedefine/>
    <w:qFormat/>
    <w:uiPriority w:val="0"/>
    <w:rPr>
      <w:rFonts w:ascii="Arial" w:hAnsi="Arial" w:eastAsia="黑体" w:cs="Times New Roman"/>
      <w:b/>
      <w:bCs/>
      <w:color w:val="000000"/>
      <w:sz w:val="24"/>
      <w:szCs w:val="24"/>
    </w:rPr>
  </w:style>
  <w:style w:type="character" w:customStyle="1" w:styleId="680">
    <w:name w:val="样式4 Char"/>
    <w:autoRedefine/>
    <w:qFormat/>
    <w:uiPriority w:val="0"/>
    <w:rPr>
      <w:rFonts w:eastAsia="华康简宋"/>
      <w:spacing w:val="-10"/>
      <w:kern w:val="2"/>
      <w:sz w:val="24"/>
      <w:szCs w:val="24"/>
      <w:lang w:val="en-US" w:eastAsia="zh-CN" w:bidi="ar-SA"/>
    </w:rPr>
  </w:style>
  <w:style w:type="character" w:customStyle="1" w:styleId="681">
    <w:name w:val="首行缩进 Char Char"/>
    <w:link w:val="394"/>
    <w:autoRedefine/>
    <w:qFormat/>
    <w:uiPriority w:val="0"/>
    <w:rPr>
      <w:rFonts w:ascii="宋体" w:eastAsia="宋体"/>
      <w:bCs/>
      <w:kern w:val="44"/>
      <w:sz w:val="24"/>
      <w:szCs w:val="21"/>
    </w:rPr>
  </w:style>
  <w:style w:type="character" w:customStyle="1" w:styleId="682">
    <w:name w:val="样式 王效杰正文 + 黑色 Char Char"/>
    <w:link w:val="169"/>
    <w:autoRedefine/>
    <w:qFormat/>
    <w:uiPriority w:val="0"/>
    <w:rPr>
      <w:rFonts w:ascii="楷体_GB2312" w:cs="宋体"/>
      <w:color w:val="000000"/>
      <w:sz w:val="28"/>
      <w:szCs w:val="28"/>
    </w:rPr>
  </w:style>
  <w:style w:type="character" w:customStyle="1" w:styleId="683">
    <w:name w:val="段落 Char Char"/>
    <w:link w:val="469"/>
    <w:autoRedefine/>
    <w:qFormat/>
    <w:uiPriority w:val="0"/>
    <w:rPr>
      <w:rFonts w:eastAsia="宋体"/>
      <w:sz w:val="24"/>
    </w:rPr>
  </w:style>
  <w:style w:type="character" w:customStyle="1" w:styleId="684">
    <w:name w:val="样式 小四 加粗"/>
    <w:autoRedefine/>
    <w:qFormat/>
    <w:uiPriority w:val="0"/>
    <w:rPr>
      <w:b/>
      <w:bCs/>
      <w:sz w:val="24"/>
    </w:rPr>
  </w:style>
  <w:style w:type="character" w:customStyle="1" w:styleId="685">
    <w:name w:val="普通 (Web) Char Char1"/>
    <w:autoRedefine/>
    <w:qFormat/>
    <w:uiPriority w:val="0"/>
    <w:rPr>
      <w:rFonts w:ascii="宋体" w:eastAsia="宋体" w:cs="宋体"/>
      <w:sz w:val="24"/>
      <w:szCs w:val="24"/>
      <w:lang w:val="en-US" w:eastAsia="zh-CN" w:bidi="ar-SA"/>
    </w:rPr>
  </w:style>
  <w:style w:type="character" w:customStyle="1" w:styleId="686">
    <w:name w:val="批注文字 字符"/>
    <w:autoRedefine/>
    <w:qFormat/>
    <w:uiPriority w:val="0"/>
    <w:rPr>
      <w:rFonts w:ascii="Times New Roman" w:hAnsi="Times New Roman" w:eastAsia="宋体" w:cs="Times New Roman"/>
      <w:szCs w:val="20"/>
    </w:rPr>
  </w:style>
  <w:style w:type="character" w:customStyle="1" w:styleId="687">
    <w:name w:val="表格内 Char"/>
    <w:link w:val="285"/>
    <w:autoRedefine/>
    <w:qFormat/>
    <w:locked/>
    <w:uiPriority w:val="0"/>
    <w:rPr>
      <w:sz w:val="21"/>
      <w:szCs w:val="22"/>
    </w:rPr>
  </w:style>
  <w:style w:type="character" w:customStyle="1" w:styleId="688">
    <w:name w:val="样式3 Char Char Char"/>
    <w:autoRedefine/>
    <w:qFormat/>
    <w:uiPriority w:val="0"/>
    <w:rPr>
      <w:rFonts w:ascii="黑体" w:eastAsia="黑体"/>
      <w:kern w:val="2"/>
      <w:sz w:val="21"/>
    </w:rPr>
  </w:style>
  <w:style w:type="character" w:customStyle="1" w:styleId="689">
    <w:name w:val="样式 样式 表格 + (中文) 黑体 + (中文) 黑体 Char"/>
    <w:autoRedefine/>
    <w:qFormat/>
    <w:uiPriority w:val="0"/>
    <w:rPr>
      <w:rFonts w:eastAsia="黑体"/>
      <w:color w:val="000000"/>
      <w:spacing w:val="-8"/>
      <w:kern w:val="2"/>
      <w:sz w:val="18"/>
      <w:szCs w:val="18"/>
      <w:lang w:val="en-US" w:eastAsia="zh-CN" w:bidi="ar-SA"/>
    </w:rPr>
  </w:style>
  <w:style w:type="character" w:customStyle="1" w:styleId="690">
    <w:name w:val="正文首行缩进 Char"/>
    <w:autoRedefine/>
    <w:qFormat/>
    <w:uiPriority w:val="99"/>
    <w:rPr>
      <w:rFonts w:ascii="宋体" w:eastAsia="宋体"/>
      <w:b/>
      <w:bCs/>
      <w:szCs w:val="21"/>
      <w:lang w:val="en-US" w:eastAsia="en-US" w:bidi="ar-SA"/>
    </w:rPr>
  </w:style>
  <w:style w:type="character" w:customStyle="1" w:styleId="691">
    <w:name w:val="普通文字 Char Char Char Char Char Char Char Char Char Char Char Char Char Char"/>
    <w:autoRedefine/>
    <w:qFormat/>
    <w:uiPriority w:val="0"/>
    <w:rPr>
      <w:rFonts w:ascii="宋体" w:hAnsi="Courier New" w:eastAsia="宋体" w:cs="Courier New"/>
      <w:kern w:val="2"/>
      <w:sz w:val="21"/>
      <w:szCs w:val="21"/>
      <w:lang w:val="en-US" w:eastAsia="zh-CN" w:bidi="ar-SA"/>
    </w:rPr>
  </w:style>
  <w:style w:type="character" w:customStyle="1" w:styleId="692">
    <w:name w:val="日期 Char"/>
    <w:link w:val="48"/>
    <w:autoRedefine/>
    <w:qFormat/>
    <w:uiPriority w:val="0"/>
    <w:rPr>
      <w:rFonts w:ascii="Times New Roman" w:hAnsi="Times New Roman" w:eastAsia="宋体" w:cs="Times New Roman"/>
      <w:szCs w:val="20"/>
    </w:rPr>
  </w:style>
  <w:style w:type="character" w:customStyle="1" w:styleId="693">
    <w:name w:val="表格题注 Char Char"/>
    <w:autoRedefine/>
    <w:qFormat/>
    <w:uiPriority w:val="0"/>
    <w:rPr>
      <w:rFonts w:ascii="Arial" w:hAnsi="Arial" w:eastAsia="黑体"/>
      <w:kern w:val="2"/>
      <w:lang w:val="en-US" w:eastAsia="zh-CN" w:bidi="ar-SA"/>
    </w:rPr>
  </w:style>
  <w:style w:type="character" w:customStyle="1" w:styleId="694">
    <w:name w:val="页码1"/>
    <w:autoRedefine/>
    <w:qFormat/>
    <w:uiPriority w:val="0"/>
    <w:rPr>
      <w:rFonts w:cs="Times New Roman"/>
      <w:sz w:val="21"/>
    </w:rPr>
  </w:style>
  <w:style w:type="character" w:customStyle="1" w:styleId="695">
    <w:name w:val="标题 8 Char"/>
    <w:autoRedefine/>
    <w:qFormat/>
    <w:uiPriority w:val="0"/>
    <w:rPr>
      <w:rFonts w:ascii="Cambria" w:hAnsi="Cambria" w:eastAsia="宋体" w:cs="Times New Roman"/>
      <w:sz w:val="24"/>
      <w:szCs w:val="24"/>
    </w:rPr>
  </w:style>
  <w:style w:type="character" w:customStyle="1" w:styleId="696">
    <w:name w:val="签名 Char"/>
    <w:link w:val="56"/>
    <w:autoRedefine/>
    <w:qFormat/>
    <w:uiPriority w:val="0"/>
    <w:rPr>
      <w:rFonts w:ascii="Times New Roman" w:hAnsi="Times New Roman" w:eastAsia="宋体" w:cs="Times New Roman"/>
      <w:sz w:val="24"/>
      <w:szCs w:val="24"/>
    </w:rPr>
  </w:style>
  <w:style w:type="character" w:customStyle="1" w:styleId="697">
    <w:name w:val="内容 Char Char"/>
    <w:link w:val="204"/>
    <w:autoRedefine/>
    <w:qFormat/>
    <w:uiPriority w:val="99"/>
    <w:rPr>
      <w:rFonts w:ascii="宋体" w:hAnsi="宋体" w:eastAsia="宋体" w:cs="Times New Roman"/>
      <w:kern w:val="0"/>
      <w:sz w:val="28"/>
      <w:szCs w:val="20"/>
    </w:rPr>
  </w:style>
  <w:style w:type="character" w:customStyle="1" w:styleId="698">
    <w:name w:val="样式5 Char"/>
    <w:link w:val="134"/>
    <w:autoRedefine/>
    <w:qFormat/>
    <w:uiPriority w:val="0"/>
    <w:rPr>
      <w:rFonts w:eastAsia="宋体"/>
      <w:sz w:val="24"/>
      <w:szCs w:val="24"/>
      <w:lang w:eastAsia="en-US"/>
    </w:rPr>
  </w:style>
  <w:style w:type="character" w:customStyle="1" w:styleId="699">
    <w:name w:val="付正文1 Char"/>
    <w:link w:val="126"/>
    <w:autoRedefine/>
    <w:semiHidden/>
    <w:qFormat/>
    <w:uiPriority w:val="0"/>
    <w:rPr>
      <w:rFonts w:ascii="宋体" w:hAnsi="宋体" w:cs="Arial"/>
      <w:color w:val="000000"/>
      <w:sz w:val="24"/>
      <w:szCs w:val="24"/>
    </w:rPr>
  </w:style>
  <w:style w:type="character" w:customStyle="1" w:styleId="700">
    <w:name w:val="样式 样式 表格 + (中文) 黑体 + (中文) 黑体 Char Char Char"/>
    <w:autoRedefine/>
    <w:qFormat/>
    <w:uiPriority w:val="0"/>
    <w:rPr>
      <w:rFonts w:eastAsia="黑体"/>
      <w:color w:val="000000"/>
      <w:spacing w:val="-8"/>
      <w:kern w:val="2"/>
      <w:sz w:val="18"/>
      <w:szCs w:val="18"/>
      <w:lang w:val="en-US" w:eastAsia="zh-CN" w:bidi="ar-SA"/>
    </w:rPr>
  </w:style>
  <w:style w:type="character" w:customStyle="1" w:styleId="701">
    <w:name w:val="标题1.1.1.1.1 Char Char"/>
    <w:autoRedefine/>
    <w:qFormat/>
    <w:uiPriority w:val="0"/>
    <w:rPr>
      <w:sz w:val="24"/>
    </w:rPr>
  </w:style>
  <w:style w:type="character" w:customStyle="1" w:styleId="702">
    <w:name w:val="正文格式 Char Char"/>
    <w:link w:val="259"/>
    <w:autoRedefine/>
    <w:qFormat/>
    <w:uiPriority w:val="0"/>
    <w:rPr>
      <w:rFonts w:eastAsia="宋体"/>
      <w:sz w:val="24"/>
      <w:szCs w:val="24"/>
    </w:rPr>
  </w:style>
  <w:style w:type="character" w:customStyle="1" w:styleId="703">
    <w:name w:val="表格中的文字 Char"/>
    <w:link w:val="451"/>
    <w:autoRedefine/>
    <w:qFormat/>
    <w:uiPriority w:val="0"/>
    <w:rPr>
      <w:rFonts w:ascii="宋体" w:hAnsi="宋体" w:eastAsia="宋体" w:cs="宋体"/>
    </w:rPr>
  </w:style>
  <w:style w:type="character" w:customStyle="1" w:styleId="704">
    <w:name w:val="电子邮件签名 Char"/>
    <w:link w:val="23"/>
    <w:autoRedefine/>
    <w:qFormat/>
    <w:uiPriority w:val="0"/>
    <w:rPr>
      <w:rFonts w:ascii="Times New Roman" w:hAnsi="Times New Roman" w:eastAsia="宋体" w:cs="Times New Roman"/>
      <w:sz w:val="24"/>
      <w:szCs w:val="24"/>
    </w:rPr>
  </w:style>
  <w:style w:type="character" w:customStyle="1" w:styleId="705">
    <w:name w:val="正文(首行缩进2字) Char"/>
    <w:link w:val="123"/>
    <w:autoRedefine/>
    <w:qFormat/>
    <w:uiPriority w:val="0"/>
    <w:rPr>
      <w:color w:val="000000"/>
      <w:sz w:val="28"/>
    </w:rPr>
  </w:style>
  <w:style w:type="character" w:customStyle="1" w:styleId="706">
    <w:name w:val="批注框文本 Char2"/>
    <w:autoRedefine/>
    <w:semiHidden/>
    <w:qFormat/>
    <w:uiPriority w:val="99"/>
    <w:rPr>
      <w:sz w:val="18"/>
      <w:szCs w:val="18"/>
    </w:rPr>
  </w:style>
  <w:style w:type="character" w:customStyle="1" w:styleId="707">
    <w:name w:val="正文11 Char Char"/>
    <w:link w:val="380"/>
    <w:autoRedefine/>
    <w:qFormat/>
    <w:uiPriority w:val="0"/>
    <w:rPr>
      <w:rFonts w:ascii="宋体" w:eastAsia="宋体"/>
      <w:szCs w:val="21"/>
      <w:lang w:eastAsia="en-US"/>
    </w:rPr>
  </w:style>
  <w:style w:type="character" w:customStyle="1" w:styleId="708">
    <w:name w:val="环评列表 Char Char"/>
    <w:link w:val="433"/>
    <w:autoRedefine/>
    <w:qFormat/>
    <w:uiPriority w:val="0"/>
    <w:rPr>
      <w:rFonts w:eastAsia="宋体"/>
    </w:rPr>
  </w:style>
  <w:style w:type="character" w:customStyle="1" w:styleId="709">
    <w:name w:val="普通(网站) Char1"/>
    <w:autoRedefine/>
    <w:qFormat/>
    <w:uiPriority w:val="0"/>
    <w:rPr>
      <w:rFonts w:ascii="宋体" w:eastAsia="宋体" w:cs="宋体"/>
      <w:sz w:val="24"/>
      <w:szCs w:val="24"/>
      <w:lang w:val="en-US" w:eastAsia="zh-CN" w:bidi="ar-SA"/>
    </w:rPr>
  </w:style>
  <w:style w:type="character" w:customStyle="1" w:styleId="710">
    <w:name w:val="标题 2 字符"/>
    <w:autoRedefine/>
    <w:qFormat/>
    <w:uiPriority w:val="0"/>
    <w:rPr>
      <w:rFonts w:ascii="仿宋_GB2312" w:hAnsi="Times New Roman" w:eastAsia="仿宋_GB2312" w:cs="Times New Roman"/>
      <w:sz w:val="30"/>
      <w:szCs w:val="20"/>
    </w:rPr>
  </w:style>
  <w:style w:type="character" w:customStyle="1" w:styleId="711">
    <w:name w:val="表1 Char Char"/>
    <w:link w:val="405"/>
    <w:autoRedefine/>
    <w:qFormat/>
    <w:uiPriority w:val="0"/>
    <w:rPr>
      <w:rFonts w:ascii="宋体"/>
      <w:lang w:val="en-US" w:eastAsia="zh-CN" w:bidi="ar-SA"/>
    </w:rPr>
  </w:style>
  <w:style w:type="character" w:customStyle="1" w:styleId="712">
    <w:name w:val="样式5 Char2"/>
    <w:autoRedefine/>
    <w:qFormat/>
    <w:uiPriority w:val="0"/>
    <w:rPr>
      <w:rFonts w:eastAsia="宋体"/>
      <w:kern w:val="2"/>
      <w:sz w:val="24"/>
      <w:lang w:val="en-US" w:eastAsia="zh-CN" w:bidi="ar-SA"/>
    </w:rPr>
  </w:style>
  <w:style w:type="character" w:customStyle="1" w:styleId="713">
    <w:name w:val="环科院表格标题 Char"/>
    <w:link w:val="425"/>
    <w:autoRedefine/>
    <w:qFormat/>
    <w:uiPriority w:val="0"/>
    <w:rPr>
      <w:rFonts w:ascii="宋体" w:hAnsi="宋体" w:eastAsia="宋体" w:cs="Times New Roman"/>
      <w:bCs/>
      <w:sz w:val="24"/>
      <w:szCs w:val="24"/>
    </w:rPr>
  </w:style>
  <w:style w:type="character" w:customStyle="1" w:styleId="714">
    <w:name w:val="标题 6 Char"/>
    <w:autoRedefine/>
    <w:qFormat/>
    <w:uiPriority w:val="0"/>
    <w:rPr>
      <w:rFonts w:ascii="Cambria" w:hAnsi="Cambria" w:eastAsia="宋体" w:cs="Times New Roman"/>
      <w:b/>
      <w:bCs/>
      <w:sz w:val="24"/>
      <w:szCs w:val="24"/>
    </w:rPr>
  </w:style>
  <w:style w:type="character" w:customStyle="1" w:styleId="715">
    <w:name w:val="正文文本 2 Char1"/>
    <w:link w:val="71"/>
    <w:autoRedefine/>
    <w:qFormat/>
    <w:uiPriority w:val="0"/>
    <w:rPr>
      <w:rFonts w:ascii="Times New Roman" w:hAnsi="Times New Roman" w:eastAsia="宋体" w:cs="Times New Roman"/>
      <w:szCs w:val="20"/>
    </w:rPr>
  </w:style>
  <w:style w:type="character" w:customStyle="1" w:styleId="716">
    <w:name w:val="表格文字Y Char"/>
    <w:link w:val="186"/>
    <w:autoRedefine/>
    <w:qFormat/>
    <w:uiPriority w:val="0"/>
    <w:rPr>
      <w:szCs w:val="21"/>
    </w:rPr>
  </w:style>
  <w:style w:type="character" w:customStyle="1" w:styleId="717">
    <w:name w:val="表格 Char"/>
    <w:link w:val="232"/>
    <w:autoRedefine/>
    <w:qFormat/>
    <w:uiPriority w:val="0"/>
    <w:rPr>
      <w:rFonts w:ascii="宋体" w:eastAsia="宋体"/>
      <w:sz w:val="18"/>
      <w:lang w:eastAsia="en-US"/>
    </w:rPr>
  </w:style>
  <w:style w:type="character" w:customStyle="1" w:styleId="718">
    <w:name w:val="页眉 Char Char"/>
    <w:autoRedefine/>
    <w:qFormat/>
    <w:uiPriority w:val="0"/>
    <w:rPr>
      <w:rFonts w:ascii="Times New Roman" w:hAnsi="Times New Roman" w:eastAsia="宋体" w:cs="Times New Roman"/>
      <w:sz w:val="18"/>
      <w:szCs w:val="18"/>
    </w:rPr>
  </w:style>
  <w:style w:type="character" w:customStyle="1" w:styleId="719">
    <w:name w:val="样式 首行缩进:  2 字符 Char"/>
    <w:autoRedefine/>
    <w:qFormat/>
    <w:uiPriority w:val="0"/>
    <w:rPr>
      <w:rFonts w:ascii="宋体" w:eastAsia="宋体" w:cs="宋体"/>
      <w:kern w:val="2"/>
      <w:sz w:val="28"/>
      <w:szCs w:val="28"/>
      <w:lang w:val="en-US" w:eastAsia="zh-CN" w:bidi="ar-SA"/>
    </w:rPr>
  </w:style>
  <w:style w:type="character" w:customStyle="1" w:styleId="720">
    <w:name w:val="标题 2 Char"/>
    <w:link w:val="10"/>
    <w:autoRedefine/>
    <w:qFormat/>
    <w:uiPriority w:val="0"/>
    <w:rPr>
      <w:rFonts w:ascii="Times New Roman" w:hAnsi="Times New Roman"/>
      <w:b/>
      <w:bCs/>
      <w:sz w:val="30"/>
      <w:szCs w:val="32"/>
    </w:rPr>
  </w:style>
  <w:style w:type="character" w:customStyle="1" w:styleId="721">
    <w:name w:val="页眉 Char"/>
    <w:link w:val="55"/>
    <w:autoRedefine/>
    <w:qFormat/>
    <w:uiPriority w:val="0"/>
    <w:rPr>
      <w:rFonts w:ascii="Times New Roman" w:hAnsi="Times New Roman" w:eastAsia="宋体" w:cs="Times New Roman"/>
      <w:sz w:val="18"/>
      <w:szCs w:val="18"/>
    </w:rPr>
  </w:style>
  <w:style w:type="character" w:customStyle="1" w:styleId="722">
    <w:name w:val="样式2 Char"/>
    <w:autoRedefine/>
    <w:qFormat/>
    <w:uiPriority w:val="0"/>
    <w:rPr>
      <w:rFonts w:hAnsi="宋体" w:eastAsia="宋体"/>
      <w:bCs/>
      <w:caps/>
      <w:sz w:val="21"/>
      <w:szCs w:val="21"/>
      <w:lang w:val="en-US" w:eastAsia="zh-CN" w:bidi="ar-SA"/>
    </w:rPr>
  </w:style>
  <w:style w:type="character" w:customStyle="1" w:styleId="723">
    <w:name w:val="样式 样式5 + 四号 Char Char"/>
    <w:link w:val="133"/>
    <w:autoRedefine/>
    <w:qFormat/>
    <w:uiPriority w:val="0"/>
    <w:rPr>
      <w:rFonts w:ascii="宋体" w:hAnsi="宋体" w:eastAsia="宋体" w:cs="宋体"/>
      <w:b/>
      <w:bCs/>
      <w:spacing w:val="-6"/>
      <w:position w:val="-7"/>
      <w:sz w:val="28"/>
      <w:szCs w:val="24"/>
      <w:lang w:val="zh-CN"/>
    </w:rPr>
  </w:style>
  <w:style w:type="character" w:customStyle="1" w:styleId="724">
    <w:name w:val="正文01 Char2"/>
    <w:autoRedefine/>
    <w:qFormat/>
    <w:uiPriority w:val="0"/>
    <w:rPr>
      <w:rFonts w:eastAsia="宋体"/>
      <w:kern w:val="2"/>
      <w:sz w:val="24"/>
      <w:lang w:val="en-US" w:eastAsia="zh-CN" w:bidi="ar-SA"/>
    </w:rPr>
  </w:style>
  <w:style w:type="character" w:customStyle="1" w:styleId="725">
    <w:name w:val="正文首行缩进 2 Char2"/>
    <w:link w:val="81"/>
    <w:autoRedefine/>
    <w:semiHidden/>
    <w:qFormat/>
    <w:uiPriority w:val="99"/>
    <w:rPr>
      <w:rFonts w:ascii="Times New Roman" w:hAnsi="Times New Roman" w:eastAsia="宋体" w:cs="Times New Roman"/>
      <w:sz w:val="32"/>
      <w:szCs w:val="20"/>
    </w:rPr>
  </w:style>
  <w:style w:type="character" w:customStyle="1" w:styleId="726">
    <w:name w:val="页脚 Char"/>
    <w:link w:val="53"/>
    <w:autoRedefine/>
    <w:qFormat/>
    <w:uiPriority w:val="99"/>
    <w:rPr>
      <w:rFonts w:ascii="Times New Roman" w:hAnsi="Times New Roman" w:eastAsia="宋体" w:cs="Times New Roman"/>
      <w:sz w:val="18"/>
      <w:szCs w:val="18"/>
    </w:rPr>
  </w:style>
  <w:style w:type="character" w:customStyle="1" w:styleId="727">
    <w:name w:val="表标题 Char"/>
    <w:link w:val="398"/>
    <w:autoRedefine/>
    <w:qFormat/>
    <w:uiPriority w:val="0"/>
    <w:rPr>
      <w:rFonts w:eastAsia="宋体"/>
      <w:b/>
      <w:sz w:val="24"/>
      <w:szCs w:val="24"/>
    </w:rPr>
  </w:style>
  <w:style w:type="character" w:customStyle="1" w:styleId="728">
    <w:name w:val="正文(首行缩进) Char Char Char Char"/>
    <w:autoRedefine/>
    <w:qFormat/>
    <w:uiPriority w:val="0"/>
    <w:rPr>
      <w:snapToGrid w:val="0"/>
      <w:sz w:val="24"/>
      <w:szCs w:val="24"/>
    </w:rPr>
  </w:style>
  <w:style w:type="character" w:customStyle="1" w:styleId="729">
    <w:name w:val="节标题 1.1 Char1"/>
    <w:autoRedefine/>
    <w:qFormat/>
    <w:uiPriority w:val="0"/>
    <w:rPr>
      <w:rFonts w:ascii="Arial" w:hAnsi="Arial" w:eastAsia="黑体"/>
      <w:b/>
      <w:bCs/>
      <w:kern w:val="2"/>
      <w:sz w:val="32"/>
      <w:szCs w:val="32"/>
      <w:lang w:val="en-US" w:eastAsia="zh-CN" w:bidi="ar-SA"/>
    </w:rPr>
  </w:style>
  <w:style w:type="character" w:customStyle="1" w:styleId="730">
    <w:name w:val="样式2 Char Char Char"/>
    <w:autoRedefine/>
    <w:qFormat/>
    <w:uiPriority w:val="0"/>
    <w:rPr>
      <w:rFonts w:hAnsi="宋体" w:eastAsia="宋体"/>
      <w:bCs/>
      <w:caps/>
      <w:sz w:val="21"/>
      <w:szCs w:val="21"/>
      <w:lang w:val="en-US" w:eastAsia="zh-CN" w:bidi="ar-SA"/>
    </w:rPr>
  </w:style>
  <w:style w:type="table" w:customStyle="1" w:styleId="731">
    <w:name w:val="三线表"/>
    <w:basedOn w:val="82"/>
    <w:autoRedefine/>
    <w:semiHidden/>
    <w:qFormat/>
    <w:uiPriority w:val="0"/>
    <w:pPr>
      <w:spacing w:line="360" w:lineRule="exact"/>
      <w:jc w:val="center"/>
    </w:pPr>
    <w:rPr>
      <w:rFonts w:ascii="宋体"/>
    </w:rPr>
    <w:tblPr>
      <w:tblBorders>
        <w:top w:val="single" w:color="auto" w:sz="12" w:space="0"/>
        <w:bottom w:val="single" w:color="auto" w:sz="12" w:space="0"/>
        <w:insideH w:val="dotted" w:color="auto" w:sz="4" w:space="0"/>
        <w:insideV w:val="dotted" w:color="auto" w:sz="4" w:space="0"/>
      </w:tblBorders>
    </w:tblPr>
    <w:tcPr>
      <w:vAlign w:val="center"/>
    </w:tcPr>
  </w:style>
  <w:style w:type="table" w:customStyle="1" w:styleId="732">
    <w:name w:val="流行型2"/>
    <w:basedOn w:val="82"/>
    <w:autoRedefine/>
    <w:qFormat/>
    <w:uiPriority w:val="0"/>
    <w:pPr>
      <w:widowControl w:val="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733">
    <w:name w:val="流行型1"/>
    <w:basedOn w:val="82"/>
    <w:autoRedefine/>
    <w:qFormat/>
    <w:uiPriority w:val="0"/>
    <w:pPr>
      <w:widowControl w:val="0"/>
      <w:jc w:val="both"/>
    </w:pPr>
    <w:tblPr>
      <w:tblBorders>
        <w:insideH w:val="single" w:color="FFFFFF" w:sz="18" w:space="0"/>
        <w:insideV w:val="single" w:color="FFFFFF" w:sz="18" w:space="0"/>
      </w:tblBorders>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734">
    <w:name w:val="三所表格要求格式"/>
    <w:basedOn w:val="84"/>
    <w:autoRedefine/>
    <w:qFormat/>
    <w:uiPriority w:val="0"/>
    <w:tblPr>
      <w:tblBorders>
        <w:top w:val="single" w:color="auto" w:sz="12" w:space="0"/>
        <w:bottom w:val="single" w:color="auto" w:sz="12" w:space="0"/>
        <w:insideH w:val="dotted" w:color="auto" w:sz="8" w:space="0"/>
        <w:insideV w:val="dotted" w:color="auto" w:sz="8" w:space="0"/>
      </w:tblBorders>
    </w:tblPr>
    <w:tblStylePr w:type="firstRow">
      <w:tcPr>
        <w:tcBorders>
          <w:top w:val="single" w:color="auto" w:sz="12" w:space="0"/>
          <w:left w:val="single" w:color="auto" w:sz="12" w:space="0"/>
          <w:bottom w:val="nil"/>
          <w:right w:val="nil"/>
          <w:insideH w:val="nil"/>
          <w:insideV w:val="dotted" w:sz="8" w:space="0"/>
          <w:tl2br w:val="nil"/>
          <w:tr2bl w:val="nil"/>
        </w:tcBorders>
      </w:tcPr>
    </w:tblStylePr>
  </w:style>
  <w:style w:type="character" w:customStyle="1" w:styleId="735">
    <w:name w:val="表格内容 Char"/>
    <w:autoRedefine/>
    <w:qFormat/>
    <w:uiPriority w:val="0"/>
    <w:rPr>
      <w:rFonts w:ascii="Times New Roman" w:hAnsi="Times New Roman"/>
      <w:kern w:val="2"/>
      <w:sz w:val="21"/>
      <w:szCs w:val="21"/>
    </w:rPr>
  </w:style>
  <w:style w:type="character" w:customStyle="1" w:styleId="736">
    <w:name w:val="样式 小四 行距: 固定值 26 磅 首行缩进:  2 字符 Char"/>
    <w:basedOn w:val="86"/>
    <w:link w:val="737"/>
    <w:autoRedefine/>
    <w:qFormat/>
    <w:uiPriority w:val="0"/>
    <w:rPr>
      <w:rFonts w:hint="eastAsia" w:ascii="宋体" w:hAnsi="宋体" w:eastAsia="宋体" w:cs="宋体"/>
      <w:kern w:val="2"/>
      <w:sz w:val="24"/>
    </w:rPr>
  </w:style>
  <w:style w:type="paragraph" w:customStyle="1" w:styleId="737">
    <w:name w:val="样式 小四 行距: 固定值 26 磅 首行缩进:  2 字符"/>
    <w:basedOn w:val="1"/>
    <w:link w:val="736"/>
    <w:autoRedefine/>
    <w:qFormat/>
    <w:uiPriority w:val="0"/>
    <w:pPr>
      <w:widowControl w:val="0"/>
      <w:spacing w:line="500" w:lineRule="exact"/>
      <w:jc w:val="both"/>
    </w:pPr>
    <w:rPr>
      <w:rFonts w:ascii="Calibri" w:hAnsi="Calibri"/>
    </w:rPr>
  </w:style>
  <w:style w:type="paragraph" w:customStyle="1" w:styleId="738">
    <w:name w:val="正文0"/>
    <w:basedOn w:val="1"/>
    <w:autoRedefine/>
    <w:qFormat/>
    <w:uiPriority w:val="0"/>
    <w:pPr>
      <w:widowControl w:val="0"/>
      <w:jc w:val="both"/>
    </w:pPr>
    <w:rPr>
      <w:szCs w:val="22"/>
    </w:rPr>
  </w:style>
  <w:style w:type="character" w:customStyle="1" w:styleId="739">
    <w:name w:val="样式 宋体 四号"/>
    <w:autoRedefine/>
    <w:qFormat/>
    <w:uiPriority w:val="0"/>
    <w:rPr>
      <w:rFonts w:ascii="宋体" w:hAnsi="宋体"/>
      <w:sz w:val="24"/>
    </w:rPr>
  </w:style>
  <w:style w:type="character" w:customStyle="1" w:styleId="740">
    <w:name w:val="三级标题 Char"/>
    <w:link w:val="312"/>
    <w:autoRedefine/>
    <w:qFormat/>
    <w:uiPriority w:val="0"/>
    <w:rPr>
      <w:rFonts w:ascii="Times New Roman" w:hAnsi="Times New Roman" w:eastAsia="黑体" w:cs="Times New Roman"/>
      <w:sz w:val="28"/>
    </w:rPr>
  </w:style>
  <w:style w:type="paragraph" w:customStyle="1" w:styleId="741">
    <w:name w:val="修订2"/>
    <w:autoRedefine/>
    <w:hidden/>
    <w:unhideWhenUsed/>
    <w:qFormat/>
    <w:uiPriority w:val="99"/>
    <w:rPr>
      <w:rFonts w:ascii="Times New Roman" w:hAnsi="Times New Roman" w:eastAsia="宋体" w:cs="Times New Roman"/>
      <w:kern w:val="2"/>
      <w:sz w:val="21"/>
      <w:lang w:val="en-US" w:eastAsia="zh-CN" w:bidi="ar-SA"/>
    </w:rPr>
  </w:style>
  <w:style w:type="paragraph" w:customStyle="1" w:styleId="742">
    <w:name w:val="三级标题~"/>
    <w:basedOn w:val="11"/>
    <w:autoRedefine/>
    <w:qFormat/>
    <w:uiPriority w:val="0"/>
    <w:pPr>
      <w:widowControl w:val="0"/>
      <w:tabs>
        <w:tab w:val="left" w:pos="720"/>
      </w:tabs>
      <w:adjustRightInd w:val="0"/>
      <w:snapToGrid w:val="0"/>
      <w:ind w:left="720" w:hanging="720"/>
      <w:jc w:val="both"/>
    </w:pPr>
    <w:rPr>
      <w:rFonts w:eastAsia="黑体"/>
      <w:color w:val="000000"/>
      <w:sz w:val="24"/>
      <w:szCs w:val="24"/>
    </w:rPr>
  </w:style>
  <w:style w:type="paragraph" w:customStyle="1" w:styleId="743">
    <w:name w:val="表格名称"/>
    <w:basedOn w:val="1"/>
    <w:link w:val="758"/>
    <w:autoRedefine/>
    <w:qFormat/>
    <w:uiPriority w:val="0"/>
    <w:pPr>
      <w:widowControl w:val="0"/>
      <w:spacing w:line="240" w:lineRule="auto"/>
      <w:ind w:firstLine="0" w:firstLineChars="0"/>
      <w:jc w:val="center"/>
    </w:pPr>
    <w:rPr>
      <w:rFonts w:cs="Courier New"/>
      <w:b/>
      <w:szCs w:val="32"/>
    </w:rPr>
  </w:style>
  <w:style w:type="character" w:customStyle="1" w:styleId="744">
    <w:name w:val="标题 4 字符"/>
    <w:autoRedefine/>
    <w:qFormat/>
    <w:uiPriority w:val="9"/>
    <w:rPr>
      <w:b/>
      <w:bCs/>
      <w:kern w:val="1"/>
      <w:sz w:val="24"/>
      <w:szCs w:val="28"/>
    </w:rPr>
  </w:style>
  <w:style w:type="paragraph" w:customStyle="1" w:styleId="745">
    <w:name w:val="样式 宋体 小四 黑色 行距: 1.5 倍行距"/>
    <w:basedOn w:val="1"/>
    <w:autoRedefine/>
    <w:qFormat/>
    <w:uiPriority w:val="0"/>
    <w:pPr>
      <w:ind w:firstLine="480"/>
    </w:pPr>
    <w:rPr>
      <w:rFonts w:ascii="宋体" w:hAnsi="宋体" w:cs="宋体"/>
      <w:color w:val="000000"/>
    </w:rPr>
  </w:style>
  <w:style w:type="character" w:customStyle="1" w:styleId="746">
    <w:name w:val="甲乙酮正文 Char"/>
    <w:link w:val="747"/>
    <w:autoRedefine/>
    <w:qFormat/>
    <w:locked/>
    <w:uiPriority w:val="0"/>
    <w:rPr>
      <w:color w:val="000000"/>
      <w:sz w:val="24"/>
    </w:rPr>
  </w:style>
  <w:style w:type="paragraph" w:customStyle="1" w:styleId="747">
    <w:name w:val="甲乙酮正文"/>
    <w:basedOn w:val="80"/>
    <w:link w:val="746"/>
    <w:autoRedefine/>
    <w:qFormat/>
    <w:uiPriority w:val="0"/>
    <w:pPr>
      <w:widowControl w:val="0"/>
      <w:spacing w:after="0"/>
      <w:ind w:firstLine="200" w:firstLineChars="200"/>
    </w:pPr>
    <w:rPr>
      <w:rFonts w:ascii="Calibri" w:hAnsi="Calibri" w:cs="Calibri"/>
      <w:color w:val="000000"/>
      <w:sz w:val="24"/>
    </w:rPr>
  </w:style>
  <w:style w:type="paragraph" w:customStyle="1" w:styleId="748">
    <w:name w:val="图片"/>
    <w:basedOn w:val="1"/>
    <w:link w:val="750"/>
    <w:autoRedefine/>
    <w:qFormat/>
    <w:uiPriority w:val="0"/>
    <w:pPr>
      <w:spacing w:line="240" w:lineRule="auto"/>
      <w:ind w:firstLine="0" w:firstLineChars="0"/>
      <w:jc w:val="center"/>
    </w:pPr>
  </w:style>
  <w:style w:type="paragraph" w:customStyle="1" w:styleId="749">
    <w:name w:val="图片名称"/>
    <w:basedOn w:val="1"/>
    <w:link w:val="752"/>
    <w:autoRedefine/>
    <w:qFormat/>
    <w:uiPriority w:val="0"/>
    <w:pPr>
      <w:spacing w:line="240" w:lineRule="auto"/>
      <w:ind w:firstLine="0" w:firstLineChars="0"/>
      <w:jc w:val="center"/>
    </w:pPr>
    <w:rPr>
      <w:b/>
      <w:color w:val="000000"/>
    </w:rPr>
  </w:style>
  <w:style w:type="character" w:customStyle="1" w:styleId="750">
    <w:name w:val="图片 Char"/>
    <w:basedOn w:val="86"/>
    <w:link w:val="748"/>
    <w:autoRedefine/>
    <w:qFormat/>
    <w:uiPriority w:val="0"/>
    <w:rPr>
      <w:rFonts w:ascii="Times New Roman" w:hAnsi="Times New Roman" w:cs="Times New Roman"/>
      <w:kern w:val="2"/>
      <w:sz w:val="24"/>
    </w:rPr>
  </w:style>
  <w:style w:type="paragraph" w:customStyle="1" w:styleId="751">
    <w:name w:val="表格内容."/>
    <w:basedOn w:val="413"/>
    <w:link w:val="755"/>
    <w:autoRedefine/>
    <w:qFormat/>
    <w:uiPriority w:val="0"/>
    <w:pPr>
      <w:tabs>
        <w:tab w:val="left" w:pos="0"/>
      </w:tabs>
      <w:adjustRightInd w:val="0"/>
      <w:snapToGrid w:val="0"/>
      <w:spacing w:line="240" w:lineRule="auto"/>
      <w:ind w:firstLine="0"/>
      <w:jc w:val="center"/>
    </w:pPr>
    <w:rPr>
      <w:rFonts w:ascii="Times New Roman" w:hAnsi="Times New Roman" w:cs="Times New Roman"/>
      <w:kern w:val="0"/>
      <w:sz w:val="21"/>
      <w:szCs w:val="21"/>
    </w:rPr>
  </w:style>
  <w:style w:type="character" w:customStyle="1" w:styleId="752">
    <w:name w:val="图片名称 Char"/>
    <w:basedOn w:val="86"/>
    <w:link w:val="749"/>
    <w:autoRedefine/>
    <w:qFormat/>
    <w:uiPriority w:val="0"/>
    <w:rPr>
      <w:rFonts w:ascii="Times New Roman" w:hAnsi="Times New Roman" w:cs="Times New Roman"/>
      <w:b/>
      <w:color w:val="000000"/>
      <w:kern w:val="2"/>
      <w:sz w:val="24"/>
    </w:rPr>
  </w:style>
  <w:style w:type="paragraph" w:customStyle="1" w:styleId="753">
    <w:name w:val="修订1"/>
    <w:autoRedefine/>
    <w:hidden/>
    <w:semiHidden/>
    <w:qFormat/>
    <w:uiPriority w:val="99"/>
    <w:rPr>
      <w:rFonts w:ascii="Times New Roman" w:hAnsi="Times New Roman" w:eastAsia="宋体" w:cs="Times New Roman"/>
      <w:kern w:val="2"/>
      <w:sz w:val="24"/>
      <w:lang w:val="en-US" w:eastAsia="zh-CN" w:bidi="ar-SA"/>
    </w:rPr>
  </w:style>
  <w:style w:type="character" w:customStyle="1" w:styleId="754">
    <w:name w:val="样式 正文缩进正文缩进2正文缩进 Char Char正文缩进 Char Char Char Char正文缩进 Char ... Char"/>
    <w:basedOn w:val="493"/>
    <w:link w:val="413"/>
    <w:autoRedefine/>
    <w:qFormat/>
    <w:uiPriority w:val="0"/>
    <w:rPr>
      <w:rFonts w:ascii="宋体" w:hAnsi="宋体" w:eastAsia="宋体" w:cs="宋体"/>
      <w:color w:val="000000"/>
      <w:kern w:val="2"/>
      <w:sz w:val="24"/>
      <w:szCs w:val="24"/>
    </w:rPr>
  </w:style>
  <w:style w:type="character" w:customStyle="1" w:styleId="755">
    <w:name w:val="表格内容. Char"/>
    <w:basedOn w:val="754"/>
    <w:link w:val="751"/>
    <w:autoRedefine/>
    <w:qFormat/>
    <w:uiPriority w:val="0"/>
    <w:rPr>
      <w:rFonts w:ascii="Times New Roman" w:hAnsi="Times New Roman" w:eastAsia="宋体" w:cs="Times New Roman"/>
      <w:color w:val="000000"/>
      <w:kern w:val="2"/>
      <w:sz w:val="21"/>
      <w:szCs w:val="21"/>
    </w:rPr>
  </w:style>
  <w:style w:type="paragraph" w:customStyle="1" w:styleId="756">
    <w:name w:val="表格名称."/>
    <w:basedOn w:val="743"/>
    <w:link w:val="759"/>
    <w:autoRedefine/>
    <w:qFormat/>
    <w:uiPriority w:val="0"/>
    <w:rPr>
      <w:rFonts w:cs="Times New Roman"/>
    </w:rPr>
  </w:style>
  <w:style w:type="paragraph" w:customStyle="1" w:styleId="757">
    <w:name w:val="标题4."/>
    <w:basedOn w:val="12"/>
    <w:link w:val="760"/>
    <w:autoRedefine/>
    <w:qFormat/>
    <w:uiPriority w:val="0"/>
  </w:style>
  <w:style w:type="character" w:customStyle="1" w:styleId="758">
    <w:name w:val="表格名称 Char"/>
    <w:basedOn w:val="86"/>
    <w:link w:val="743"/>
    <w:autoRedefine/>
    <w:qFormat/>
    <w:uiPriority w:val="0"/>
    <w:rPr>
      <w:rFonts w:ascii="Times New Roman" w:hAnsi="Times New Roman" w:cs="Courier New"/>
      <w:b/>
      <w:kern w:val="2"/>
      <w:sz w:val="24"/>
      <w:szCs w:val="32"/>
    </w:rPr>
  </w:style>
  <w:style w:type="character" w:customStyle="1" w:styleId="759">
    <w:name w:val="表格名称. Char"/>
    <w:basedOn w:val="758"/>
    <w:link w:val="756"/>
    <w:autoRedefine/>
    <w:qFormat/>
    <w:uiPriority w:val="0"/>
    <w:rPr>
      <w:rFonts w:ascii="Times New Roman" w:hAnsi="Times New Roman" w:cs="Times New Roman"/>
      <w:kern w:val="2"/>
      <w:sz w:val="24"/>
      <w:szCs w:val="32"/>
    </w:rPr>
  </w:style>
  <w:style w:type="character" w:customStyle="1" w:styleId="760">
    <w:name w:val="标题4. Char"/>
    <w:basedOn w:val="111"/>
    <w:link w:val="757"/>
    <w:autoRedefine/>
    <w:qFormat/>
    <w:uiPriority w:val="0"/>
    <w:rPr>
      <w:rFonts w:ascii="Times New Roman" w:hAnsi="Times New Roman" w:cs="Times New Roman"/>
      <w:sz w:val="24"/>
      <w:szCs w:val="28"/>
    </w:rPr>
  </w:style>
  <w:style w:type="paragraph" w:customStyle="1" w:styleId="761">
    <w:name w:val="修订3"/>
    <w:autoRedefine/>
    <w:hidden/>
    <w:unhideWhenUsed/>
    <w:qFormat/>
    <w:uiPriority w:val="99"/>
    <w:rPr>
      <w:rFonts w:ascii="Times New Roman" w:hAnsi="Times New Roman" w:eastAsia="宋体" w:cs="Times New Roman"/>
      <w:kern w:val="2"/>
      <w:sz w:val="24"/>
      <w:lang w:val="en-US" w:eastAsia="zh-CN" w:bidi="ar-SA"/>
    </w:rPr>
  </w:style>
  <w:style w:type="paragraph" w:customStyle="1" w:styleId="762">
    <w:name w:val="[1]正文"/>
    <w:basedOn w:val="1"/>
    <w:link w:val="763"/>
    <w:autoRedefine/>
    <w:qFormat/>
    <w:uiPriority w:val="0"/>
    <w:pPr>
      <w:snapToGrid w:val="0"/>
    </w:pPr>
    <w:rPr>
      <w:rFonts w:cs="Calibri"/>
      <w:kern w:val="0"/>
      <w:szCs w:val="28"/>
    </w:rPr>
  </w:style>
  <w:style w:type="character" w:customStyle="1" w:styleId="763">
    <w:name w:val="[1]正文 Char"/>
    <w:link w:val="762"/>
    <w:autoRedefine/>
    <w:qFormat/>
    <w:uiPriority w:val="0"/>
    <w:rPr>
      <w:rFonts w:ascii="Times New Roman" w:hAnsi="Times New Roman"/>
      <w:sz w:val="24"/>
      <w:szCs w:val="28"/>
    </w:rPr>
  </w:style>
  <w:style w:type="paragraph" w:customStyle="1" w:styleId="764">
    <w:name w:val="报告正文 Char Char"/>
    <w:basedOn w:val="1"/>
    <w:autoRedefine/>
    <w:qFormat/>
    <w:uiPriority w:val="0"/>
    <w:pPr>
      <w:widowControl w:val="0"/>
      <w:adjustRightInd w:val="0"/>
      <w:snapToGrid w:val="0"/>
      <w:jc w:val="both"/>
    </w:pPr>
  </w:style>
  <w:style w:type="paragraph" w:customStyle="1" w:styleId="765">
    <w:name w:val="1正文阳选清"/>
    <w:basedOn w:val="25"/>
    <w:autoRedefine/>
    <w:qFormat/>
    <w:uiPriority w:val="0"/>
    <w:pPr>
      <w:widowControl w:val="0"/>
      <w:tabs>
        <w:tab w:val="clear" w:pos="0"/>
      </w:tabs>
      <w:adjustRightInd w:val="0"/>
      <w:spacing w:line="360" w:lineRule="auto"/>
      <w:ind w:firstLine="200"/>
      <w:jc w:val="both"/>
    </w:pPr>
    <w:rPr>
      <w:color w:val="auto"/>
      <w:kern w:val="2"/>
    </w:rPr>
  </w:style>
  <w:style w:type="paragraph" w:customStyle="1" w:styleId="766">
    <w:name w:val="表格内容1"/>
    <w:basedOn w:val="762"/>
    <w:link w:val="767"/>
    <w:autoRedefine/>
    <w:qFormat/>
    <w:uiPriority w:val="0"/>
    <w:pPr>
      <w:spacing w:line="240" w:lineRule="auto"/>
      <w:ind w:firstLine="0" w:firstLineChars="0"/>
      <w:jc w:val="center"/>
    </w:pPr>
    <w:rPr>
      <w:rFonts w:cs="Times New Roman"/>
      <w:color w:val="000000"/>
      <w:sz w:val="21"/>
      <w:szCs w:val="21"/>
    </w:rPr>
  </w:style>
  <w:style w:type="character" w:customStyle="1" w:styleId="767">
    <w:name w:val="表格内容1 Char"/>
    <w:link w:val="766"/>
    <w:autoRedefine/>
    <w:qFormat/>
    <w:uiPriority w:val="0"/>
    <w:rPr>
      <w:rFonts w:ascii="Times New Roman" w:hAnsi="Times New Roman" w:cs="Times New Roman"/>
      <w:color w:val="000000"/>
      <w:sz w:val="21"/>
      <w:szCs w:val="21"/>
    </w:rPr>
  </w:style>
  <w:style w:type="paragraph" w:customStyle="1" w:styleId="768">
    <w:name w:val="Table Paragraph"/>
    <w:basedOn w:val="1"/>
    <w:autoRedefine/>
    <w:qFormat/>
    <w:uiPriority w:val="1"/>
    <w:pPr>
      <w:widowControl w:val="0"/>
      <w:jc w:val="center"/>
    </w:pPr>
    <w:rPr>
      <w:rFonts w:ascii="宋体" w:hAnsi="宋体" w:cs="宋体"/>
      <w:szCs w:val="24"/>
      <w:lang w:val="zh-CN" w:bidi="zh-CN"/>
    </w:rPr>
  </w:style>
  <w:style w:type="character" w:customStyle="1" w:styleId="769">
    <w:name w:val="正文文本缩进 2 Char"/>
    <w:basedOn w:val="86"/>
    <w:link w:val="49"/>
    <w:autoRedefine/>
    <w:qFormat/>
    <w:uiPriority w:val="0"/>
    <w:rPr>
      <w:rFonts w:ascii="Times New Roman" w:hAnsi="Times New Roman" w:cs="Times New Roman"/>
      <w:kern w:val="2"/>
      <w:sz w:val="24"/>
    </w:rPr>
  </w:style>
  <w:style w:type="paragraph" w:customStyle="1" w:styleId="770">
    <w:name w:val="_Style 4"/>
    <w:next w:val="1"/>
    <w:autoRedefine/>
    <w:qFormat/>
    <w:uiPriority w:val="0"/>
    <w:pPr>
      <w:widowControl w:val="0"/>
      <w:jc w:val="both"/>
    </w:pPr>
    <w:rPr>
      <w:rFonts w:ascii="Calibri" w:hAnsi="Calibri" w:eastAsia="仿宋_GB2312" w:cs="Times New Roman"/>
      <w:kern w:val="2"/>
      <w:sz w:val="24"/>
      <w:szCs w:val="22"/>
      <w:lang w:val="en-US" w:eastAsia="zh-CN" w:bidi="ar-SA"/>
    </w:rPr>
  </w:style>
  <w:style w:type="character" w:customStyle="1" w:styleId="771">
    <w:name w:val="正文缩进 Char1"/>
    <w:basedOn w:val="86"/>
    <w:autoRedefine/>
    <w:qFormat/>
    <w:uiPriority w:val="0"/>
    <w:rPr>
      <w:rFonts w:eastAsia="宋体"/>
      <w:kern w:val="2"/>
      <w:sz w:val="21"/>
      <w:szCs w:val="24"/>
      <w:lang w:val="en-US" w:eastAsia="zh-CN" w:bidi="ar-SA"/>
    </w:rPr>
  </w:style>
  <w:style w:type="paragraph" w:customStyle="1" w:styleId="772">
    <w:name w:val="0正文"/>
    <w:basedOn w:val="35"/>
    <w:next w:val="55"/>
    <w:autoRedefine/>
    <w:qFormat/>
    <w:uiPriority w:val="0"/>
    <w:pPr>
      <w:widowControl w:val="0"/>
      <w:spacing w:after="0"/>
      <w:ind w:left="0" w:leftChars="0" w:firstLine="720"/>
      <w:jc w:val="both"/>
    </w:pPr>
    <w:rPr>
      <w:szCs w:val="22"/>
    </w:rPr>
  </w:style>
  <w:style w:type="character" w:customStyle="1" w:styleId="773">
    <w:name w:val="正文文本缩进 Char"/>
    <w:basedOn w:val="86"/>
    <w:link w:val="35"/>
    <w:autoRedefine/>
    <w:semiHidden/>
    <w:qFormat/>
    <w:uiPriority w:val="99"/>
    <w:rPr>
      <w:rFonts w:ascii="Times New Roman" w:hAnsi="Times New Roman" w:cs="Times New Roman"/>
      <w:kern w:val="2"/>
      <w:sz w:val="24"/>
    </w:rPr>
  </w:style>
  <w:style w:type="paragraph" w:customStyle="1" w:styleId="774">
    <w:name w:val="TIE 正文"/>
    <w:basedOn w:val="1"/>
    <w:autoRedefine/>
    <w:qFormat/>
    <w:uiPriority w:val="0"/>
    <w:pPr>
      <w:widowControl w:val="0"/>
      <w:spacing w:line="480" w:lineRule="exact"/>
      <w:jc w:val="both"/>
    </w:pPr>
    <w:rPr>
      <w:rFonts w:ascii="宋体" w:hAnsi="宋体" w:cs="宋体"/>
      <w:color w:val="000000"/>
      <w:kern w:val="0"/>
    </w:rPr>
  </w:style>
  <w:style w:type="paragraph" w:customStyle="1" w:styleId="775">
    <w:name w:val="A样式 小四 行距: 1.5 倍行距 首行缩进:  2 字符"/>
    <w:basedOn w:val="1"/>
    <w:autoRedefine/>
    <w:qFormat/>
    <w:uiPriority w:val="0"/>
    <w:pPr>
      <w:widowControl w:val="0"/>
      <w:ind w:firstLine="480"/>
      <w:jc w:val="both"/>
    </w:pPr>
    <w:rPr>
      <w:rFonts w:ascii="宋体" w:cs="宋体"/>
      <w:kern w:val="0"/>
      <w:szCs w:val="22"/>
    </w:rPr>
  </w:style>
  <w:style w:type="character" w:customStyle="1" w:styleId="776">
    <w:name w:val="付正文 Char"/>
    <w:autoRedefine/>
    <w:qFormat/>
    <w:locked/>
    <w:uiPriority w:val="0"/>
    <w:rPr>
      <w:rFonts w:ascii="宋体" w:hAnsi="宋体" w:eastAsia="宋体"/>
      <w:color w:val="000000"/>
      <w:sz w:val="24"/>
      <w:szCs w:val="24"/>
      <w:lang w:bidi="ar-SA"/>
    </w:rPr>
  </w:style>
  <w:style w:type="character" w:customStyle="1" w:styleId="777">
    <w:name w:val="正文格式 Char"/>
    <w:autoRedefine/>
    <w:qFormat/>
    <w:locked/>
    <w:uiPriority w:val="0"/>
    <w:rPr>
      <w:rFonts w:ascii="宋体" w:hAnsi="宋体" w:eastAsia="宋体"/>
      <w:sz w:val="24"/>
      <w:szCs w:val="24"/>
      <w:lang w:bidi="ar-SA"/>
    </w:rPr>
  </w:style>
  <w:style w:type="paragraph" w:customStyle="1" w:styleId="778">
    <w:name w:val="样式 四号 左侧:  1.53 厘米"/>
    <w:basedOn w:val="1"/>
    <w:autoRedefine/>
    <w:qFormat/>
    <w:uiPriority w:val="0"/>
    <w:pPr>
      <w:widowControl w:val="0"/>
      <w:adjustRightInd w:val="0"/>
      <w:spacing w:line="240" w:lineRule="auto"/>
      <w:ind w:firstLine="0" w:firstLineChars="0"/>
      <w:jc w:val="both"/>
    </w:pPr>
    <w:rPr>
      <w:w w:val="90"/>
      <w:sz w:val="28"/>
      <w:szCs w:val="28"/>
    </w:rPr>
  </w:style>
  <w:style w:type="paragraph" w:customStyle="1" w:styleId="779">
    <w:name w:val="表格标题标题"/>
    <w:basedOn w:val="1"/>
    <w:autoRedefine/>
    <w:qFormat/>
    <w:uiPriority w:val="0"/>
    <w:pPr>
      <w:widowControl w:val="0"/>
      <w:adjustRightInd w:val="0"/>
      <w:snapToGrid w:val="0"/>
      <w:spacing w:line="240" w:lineRule="auto"/>
      <w:ind w:firstLine="0" w:firstLineChars="0"/>
      <w:jc w:val="center"/>
    </w:pPr>
    <w:rPr>
      <w:rFonts w:eastAsia="黑体"/>
      <w:kern w:val="18"/>
      <w:szCs w:val="24"/>
    </w:rPr>
  </w:style>
  <w:style w:type="paragraph" w:customStyle="1" w:styleId="780">
    <w:name w:val="HP 表格标题"/>
    <w:autoRedefine/>
    <w:qFormat/>
    <w:uiPriority w:val="0"/>
    <w:pPr>
      <w:spacing w:line="440" w:lineRule="exact"/>
      <w:jc w:val="center"/>
    </w:pPr>
    <w:rPr>
      <w:rFonts w:ascii="Times New Roman" w:hAnsi="Times New Roman" w:eastAsia="宋体" w:cs="Times New Roman"/>
      <w:b/>
      <w:sz w:val="24"/>
      <w:szCs w:val="24"/>
      <w:lang w:val="en-US" w:eastAsia="zh-CN" w:bidi="ar-SA"/>
    </w:rPr>
  </w:style>
  <w:style w:type="paragraph" w:customStyle="1" w:styleId="781">
    <w:name w:val="表 图 内容"/>
    <w:autoRedefine/>
    <w:qFormat/>
    <w:uiPriority w:val="0"/>
    <w:pPr>
      <w:jc w:val="center"/>
    </w:pPr>
    <w:rPr>
      <w:rFonts w:ascii="Calibri" w:hAnsi="Calibri" w:eastAsia="宋体" w:cs="Times New Roman"/>
      <w:color w:val="000000"/>
      <w:sz w:val="21"/>
      <w:szCs w:val="24"/>
      <w:lang w:val="en-US" w:eastAsia="zh-CN" w:bidi="ar-SA"/>
    </w:rPr>
  </w:style>
  <w:style w:type="paragraph" w:customStyle="1" w:styleId="782">
    <w:name w:val="❤表"/>
    <w:basedOn w:val="1"/>
    <w:autoRedefine/>
    <w:qFormat/>
    <w:uiPriority w:val="0"/>
    <w:pPr>
      <w:widowControl w:val="0"/>
      <w:spacing w:line="240" w:lineRule="auto"/>
      <w:ind w:firstLine="0" w:firstLineChars="0"/>
      <w:jc w:val="center"/>
    </w:pPr>
    <w:rPr>
      <w:rFonts w:eastAsia="仿宋"/>
      <w:sz w:val="21"/>
      <w:szCs w:val="24"/>
    </w:rPr>
  </w:style>
  <w:style w:type="paragraph" w:customStyle="1" w:styleId="783">
    <w:name w:val="报告书正文"/>
    <w:basedOn w:val="80"/>
    <w:link w:val="1776"/>
    <w:autoRedefine/>
    <w:qFormat/>
    <w:uiPriority w:val="0"/>
    <w:pPr>
      <w:widowControl w:val="0"/>
      <w:ind w:firstLine="200" w:firstLineChars="200"/>
      <w:jc w:val="both"/>
    </w:pPr>
    <w:rPr>
      <w:rFonts w:ascii="宋体" w:hAnsi="宋体"/>
      <w:sz w:val="24"/>
      <w:szCs w:val="24"/>
      <w:lang w:val="zh-CN" w:bidi="zh-CN"/>
    </w:rPr>
  </w:style>
  <w:style w:type="paragraph" w:customStyle="1" w:styleId="784">
    <w:name w:val="a1"/>
    <w:basedOn w:val="1"/>
    <w:autoRedefine/>
    <w:qFormat/>
    <w:uiPriority w:val="0"/>
    <w:pPr>
      <w:widowControl w:val="0"/>
      <w:ind w:firstLine="493"/>
      <w:jc w:val="both"/>
    </w:pPr>
    <w:rPr>
      <w:rFonts w:hAnsi="Calibri"/>
    </w:rPr>
  </w:style>
  <w:style w:type="character" w:customStyle="1" w:styleId="785">
    <w:name w:val="批注文字 Char2"/>
    <w:autoRedefine/>
    <w:qFormat/>
    <w:uiPriority w:val="0"/>
    <w:rPr>
      <w:rFonts w:eastAsia="宋体"/>
      <w:kern w:val="2"/>
      <w:sz w:val="21"/>
      <w:szCs w:val="24"/>
      <w:lang w:val="en-US" w:eastAsia="zh-CN" w:bidi="ar-SA"/>
    </w:rPr>
  </w:style>
  <w:style w:type="character" w:customStyle="1" w:styleId="786">
    <w:name w:val="font41"/>
    <w:basedOn w:val="86"/>
    <w:autoRedefine/>
    <w:qFormat/>
    <w:uiPriority w:val="0"/>
    <w:rPr>
      <w:rFonts w:hint="eastAsia" w:ascii="宋体" w:hAnsi="宋体" w:eastAsia="宋体" w:cs="宋体"/>
      <w:color w:val="000000"/>
      <w:sz w:val="21"/>
      <w:szCs w:val="21"/>
      <w:u w:val="none"/>
    </w:rPr>
  </w:style>
  <w:style w:type="character" w:customStyle="1" w:styleId="787">
    <w:name w:val="font31"/>
    <w:basedOn w:val="86"/>
    <w:autoRedefine/>
    <w:qFormat/>
    <w:uiPriority w:val="0"/>
    <w:rPr>
      <w:rFonts w:hint="default" w:ascii="Times New Roman" w:hAnsi="Times New Roman" w:cs="Times New Roman"/>
      <w:color w:val="000000"/>
      <w:sz w:val="21"/>
      <w:szCs w:val="21"/>
      <w:u w:val="none"/>
    </w:rPr>
  </w:style>
  <w:style w:type="character" w:customStyle="1" w:styleId="788">
    <w:name w:val="font11"/>
    <w:basedOn w:val="86"/>
    <w:autoRedefine/>
    <w:qFormat/>
    <w:uiPriority w:val="0"/>
    <w:rPr>
      <w:rFonts w:hint="eastAsia" w:ascii="宋体" w:hAnsi="宋体" w:eastAsia="宋体" w:cs="宋体"/>
      <w:b/>
      <w:bCs/>
      <w:color w:val="000000"/>
      <w:sz w:val="21"/>
      <w:szCs w:val="21"/>
      <w:u w:val="none"/>
    </w:rPr>
  </w:style>
  <w:style w:type="paragraph" w:customStyle="1" w:styleId="789">
    <w:name w:val="图片及名称"/>
    <w:basedOn w:val="1"/>
    <w:autoRedefine/>
    <w:qFormat/>
    <w:uiPriority w:val="0"/>
    <w:pPr>
      <w:widowControl w:val="0"/>
      <w:spacing w:line="240" w:lineRule="auto"/>
      <w:ind w:firstLine="0" w:firstLineChars="0"/>
      <w:jc w:val="center"/>
    </w:pPr>
    <w:rPr>
      <w:rFonts w:cs="Courier New"/>
      <w:b/>
      <w:szCs w:val="32"/>
    </w:rPr>
  </w:style>
  <w:style w:type="character" w:customStyle="1" w:styleId="790">
    <w:name w:val="注释标题 Char"/>
    <w:basedOn w:val="86"/>
    <w:link w:val="21"/>
    <w:autoRedefine/>
    <w:qFormat/>
    <w:uiPriority w:val="0"/>
    <w:rPr>
      <w:rFonts w:ascii="仿宋_GB2312" w:hAnsi="Times New Roman" w:eastAsia="仿宋_GB2312" w:cs="Times New Roman"/>
      <w:b/>
      <w:sz w:val="24"/>
      <w:szCs w:val="24"/>
      <w:lang w:val="en-GB"/>
    </w:rPr>
  </w:style>
  <w:style w:type="character" w:customStyle="1" w:styleId="791">
    <w:name w:val="文档结构图 字符"/>
    <w:basedOn w:val="86"/>
    <w:autoRedefine/>
    <w:semiHidden/>
    <w:qFormat/>
    <w:uiPriority w:val="0"/>
    <w:rPr>
      <w:rFonts w:ascii="Microsoft YaHei UI" w:hAnsi="Times New Roman" w:eastAsia="Microsoft YaHei UI" w:cs="Times New Roman"/>
      <w:kern w:val="2"/>
      <w:sz w:val="18"/>
      <w:szCs w:val="18"/>
    </w:rPr>
  </w:style>
  <w:style w:type="character" w:customStyle="1" w:styleId="792">
    <w:name w:val="HTML 地址 Char"/>
    <w:basedOn w:val="86"/>
    <w:link w:val="41"/>
    <w:autoRedefine/>
    <w:qFormat/>
    <w:uiPriority w:val="0"/>
    <w:rPr>
      <w:rFonts w:ascii="Times New Roman" w:hAnsi="Times New Roman" w:cs="Times New Roman"/>
      <w:i/>
      <w:iCs/>
      <w:sz w:val="24"/>
      <w:szCs w:val="24"/>
    </w:rPr>
  </w:style>
  <w:style w:type="character" w:customStyle="1" w:styleId="793">
    <w:name w:val="尾注文本 Char"/>
    <w:basedOn w:val="86"/>
    <w:link w:val="50"/>
    <w:autoRedefine/>
    <w:qFormat/>
    <w:uiPriority w:val="0"/>
    <w:rPr>
      <w:rFonts w:ascii="Times New Roman" w:hAnsi="Times New Roman" w:cs="Times New Roman"/>
      <w:kern w:val="2"/>
      <w:sz w:val="24"/>
    </w:rPr>
  </w:style>
  <w:style w:type="character" w:customStyle="1" w:styleId="794">
    <w:name w:val="正文文本缩进 3 Char2"/>
    <w:basedOn w:val="86"/>
    <w:link w:val="66"/>
    <w:autoRedefine/>
    <w:qFormat/>
    <w:uiPriority w:val="0"/>
    <w:rPr>
      <w:rFonts w:ascii="Times New Roman" w:hAnsi="Times New Roman" w:cs="Times New Roman"/>
      <w:sz w:val="16"/>
      <w:szCs w:val="16"/>
    </w:rPr>
  </w:style>
  <w:style w:type="character" w:customStyle="1" w:styleId="795">
    <w:name w:val="信息标题 Char"/>
    <w:basedOn w:val="86"/>
    <w:link w:val="74"/>
    <w:autoRedefine/>
    <w:qFormat/>
    <w:uiPriority w:val="0"/>
    <w:rPr>
      <w:rFonts w:ascii="Arial" w:hAnsi="Arial" w:cs="Times New Roman"/>
      <w:sz w:val="24"/>
      <w:szCs w:val="24"/>
      <w:shd w:val="pct20" w:color="auto" w:fill="auto"/>
    </w:rPr>
  </w:style>
  <w:style w:type="character" w:customStyle="1" w:styleId="796">
    <w:name w:val="HTML 预设格式 Char"/>
    <w:basedOn w:val="86"/>
    <w:link w:val="75"/>
    <w:autoRedefine/>
    <w:qFormat/>
    <w:uiPriority w:val="99"/>
    <w:rPr>
      <w:rFonts w:ascii="Arial" w:hAnsi="Arial" w:cs="Times New Roman"/>
      <w:szCs w:val="21"/>
      <w:lang w:eastAsia="en-US"/>
    </w:rPr>
  </w:style>
  <w:style w:type="character" w:customStyle="1" w:styleId="797">
    <w:name w:val="标题 Char"/>
    <w:basedOn w:val="86"/>
    <w:link w:val="79"/>
    <w:autoRedefine/>
    <w:qFormat/>
    <w:uiPriority w:val="10"/>
    <w:rPr>
      <w:rFonts w:ascii="Times New Roman" w:hAnsi="Times New Roman" w:eastAsia="华文宋体" w:cs="Times New Roman"/>
      <w:b/>
      <w:bCs/>
      <w:kern w:val="44"/>
      <w:sz w:val="32"/>
    </w:rPr>
  </w:style>
  <w:style w:type="paragraph" w:customStyle="1" w:styleId="798">
    <w:name w:val="正文文本缩进1"/>
    <w:basedOn w:val="1"/>
    <w:next w:val="110"/>
    <w:autoRedefine/>
    <w:qFormat/>
    <w:uiPriority w:val="0"/>
    <w:pPr>
      <w:spacing w:after="312" w:afterLines="100"/>
      <w:ind w:left="200" w:leftChars="200" w:firstLine="800"/>
    </w:pPr>
    <w:rPr>
      <w:rFonts w:ascii="宋体"/>
      <w:kern w:val="0"/>
      <w:sz w:val="22"/>
      <w:lang w:eastAsia="en-US"/>
    </w:rPr>
  </w:style>
  <w:style w:type="paragraph" w:customStyle="1" w:styleId="799">
    <w:name w:val="正文文本缩进111"/>
    <w:basedOn w:val="1"/>
    <w:next w:val="110"/>
    <w:autoRedefine/>
    <w:qFormat/>
    <w:uiPriority w:val="0"/>
    <w:pPr>
      <w:spacing w:afterLines="100"/>
      <w:ind w:left="200" w:leftChars="200"/>
    </w:pPr>
    <w:rPr>
      <w:rFonts w:ascii="Calibri" w:hAnsi="Calibri"/>
      <w:sz w:val="22"/>
      <w:lang w:eastAsia="en-US"/>
    </w:rPr>
  </w:style>
  <w:style w:type="paragraph" w:customStyle="1" w:styleId="800">
    <w:name w:val="Char Char Char Char Char Char Char Char Char Char Char Char Char"/>
    <w:basedOn w:val="1"/>
    <w:autoRedefine/>
    <w:qFormat/>
    <w:uiPriority w:val="0"/>
    <w:rPr>
      <w:szCs w:val="24"/>
    </w:rPr>
  </w:style>
  <w:style w:type="paragraph" w:customStyle="1" w:styleId="801">
    <w:name w:val="正文文本缩进2"/>
    <w:basedOn w:val="1"/>
    <w:next w:val="110"/>
    <w:autoRedefine/>
    <w:qFormat/>
    <w:uiPriority w:val="0"/>
    <w:pPr>
      <w:spacing w:after="312" w:afterLines="100"/>
      <w:ind w:left="200" w:leftChars="200" w:firstLine="800"/>
    </w:pPr>
    <w:rPr>
      <w:rFonts w:ascii="宋体"/>
      <w:kern w:val="0"/>
      <w:sz w:val="22"/>
      <w:lang w:eastAsia="en-US"/>
    </w:rPr>
  </w:style>
  <w:style w:type="paragraph" w:customStyle="1" w:styleId="802">
    <w:name w:val="正文正文正文正文"/>
    <w:basedOn w:val="1"/>
    <w:next w:val="1"/>
    <w:autoRedefine/>
    <w:qFormat/>
    <w:uiPriority w:val="0"/>
    <w:pPr>
      <w:keepNext/>
      <w:keepLines/>
      <w:adjustRightInd w:val="0"/>
      <w:spacing w:before="40" w:after="40"/>
      <w:textAlignment w:val="baseline"/>
    </w:pPr>
    <w:rPr>
      <w:rFonts w:cs="宋体"/>
      <w:bCs/>
      <w:kern w:val="0"/>
      <w:szCs w:val="28"/>
    </w:rPr>
  </w:style>
  <w:style w:type="paragraph" w:customStyle="1" w:styleId="803">
    <w:name w:val="reader-word-layer reader-word-s4-11"/>
    <w:basedOn w:val="1"/>
    <w:autoRedefine/>
    <w:qFormat/>
    <w:uiPriority w:val="0"/>
    <w:pPr>
      <w:spacing w:before="100" w:beforeAutospacing="1" w:after="100" w:afterAutospacing="1"/>
    </w:pPr>
    <w:rPr>
      <w:rFonts w:ascii="宋体" w:hAnsi="宋体" w:cs="宋体"/>
      <w:kern w:val="0"/>
      <w:szCs w:val="24"/>
    </w:rPr>
  </w:style>
  <w:style w:type="paragraph" w:customStyle="1" w:styleId="804">
    <w:name w:val="reader-word-layer reader-word-s3-11"/>
    <w:basedOn w:val="1"/>
    <w:autoRedefine/>
    <w:qFormat/>
    <w:uiPriority w:val="0"/>
    <w:pPr>
      <w:spacing w:before="100" w:beforeAutospacing="1" w:after="100" w:afterAutospacing="1"/>
    </w:pPr>
    <w:rPr>
      <w:rFonts w:ascii="宋体" w:hAnsi="宋体" w:cs="宋体"/>
      <w:kern w:val="0"/>
      <w:szCs w:val="24"/>
    </w:rPr>
  </w:style>
  <w:style w:type="paragraph" w:customStyle="1" w:styleId="805">
    <w:name w:val="Char Char Char Char Char Char"/>
    <w:basedOn w:val="1"/>
    <w:autoRedefine/>
    <w:qFormat/>
    <w:uiPriority w:val="0"/>
    <w:pPr>
      <w:ind w:firstLine="800"/>
    </w:pPr>
    <w:rPr>
      <w:kern w:val="0"/>
      <w:szCs w:val="24"/>
    </w:rPr>
  </w:style>
  <w:style w:type="paragraph" w:customStyle="1" w:styleId="806">
    <w:name w:val="c正文"/>
    <w:autoRedefine/>
    <w:qFormat/>
    <w:uiPriority w:val="0"/>
    <w:pPr>
      <w:adjustRightInd w:val="0"/>
      <w:snapToGrid w:val="0"/>
      <w:spacing w:line="500" w:lineRule="exact"/>
      <w:ind w:firstLine="200" w:firstLineChars="200"/>
    </w:pPr>
    <w:rPr>
      <w:rFonts w:ascii="Times New Roman" w:hAnsi="Times New Roman" w:eastAsia="宋体" w:cs="Times New Roman"/>
      <w:color w:val="000000"/>
      <w:kern w:val="44"/>
      <w:sz w:val="24"/>
      <w:szCs w:val="24"/>
      <w:lang w:val="en-US" w:eastAsia="zh-CN" w:bidi="ar-SA"/>
    </w:rPr>
  </w:style>
  <w:style w:type="paragraph" w:customStyle="1" w:styleId="807">
    <w:name w:val="Report Text"/>
    <w:basedOn w:val="1"/>
    <w:autoRedefine/>
    <w:semiHidden/>
    <w:qFormat/>
    <w:uiPriority w:val="0"/>
    <w:pPr>
      <w:tabs>
        <w:tab w:val="left" w:pos="840"/>
      </w:tabs>
      <w:spacing w:before="138"/>
      <w:ind w:left="840" w:hanging="360"/>
    </w:pPr>
    <w:rPr>
      <w:rFonts w:eastAsia="PMingLiU"/>
      <w:kern w:val="0"/>
      <w:sz w:val="22"/>
      <w:lang w:val="en-GB" w:eastAsia="zh-TW"/>
    </w:rPr>
  </w:style>
  <w:style w:type="paragraph" w:customStyle="1" w:styleId="808">
    <w:name w:val="样式 (中文) 黑体 小四 居中 行距: 1.5 倍行距"/>
    <w:basedOn w:val="1"/>
    <w:autoRedefine/>
    <w:qFormat/>
    <w:uiPriority w:val="0"/>
    <w:pPr>
      <w:spacing w:before="60"/>
      <w:jc w:val="center"/>
    </w:pPr>
    <w:rPr>
      <w:rFonts w:cs="宋体"/>
      <w:b/>
    </w:rPr>
  </w:style>
  <w:style w:type="paragraph" w:customStyle="1" w:styleId="809">
    <w:name w:val="我的表头"/>
    <w:basedOn w:val="1"/>
    <w:autoRedefine/>
    <w:qFormat/>
    <w:uiPriority w:val="0"/>
    <w:pPr>
      <w:spacing w:line="460" w:lineRule="exact"/>
      <w:jc w:val="center"/>
    </w:pPr>
    <w:rPr>
      <w:b/>
      <w:szCs w:val="21"/>
    </w:rPr>
  </w:style>
  <w:style w:type="paragraph" w:customStyle="1" w:styleId="810">
    <w:name w:val="a Char Char Char"/>
    <w:basedOn w:val="11"/>
    <w:autoRedefine/>
    <w:qFormat/>
    <w:uiPriority w:val="0"/>
    <w:pPr>
      <w:adjustRightInd w:val="0"/>
      <w:spacing w:line="540" w:lineRule="exact"/>
      <w:ind w:firstLine="561"/>
      <w:textAlignment w:val="baseline"/>
    </w:pPr>
    <w:rPr>
      <w:rFonts w:ascii="宋体" w:hAnsi="宋体"/>
      <w:b w:val="0"/>
      <w:bCs w:val="0"/>
      <w:szCs w:val="28"/>
    </w:rPr>
  </w:style>
  <w:style w:type="paragraph" w:customStyle="1" w:styleId="811">
    <w:name w:val="样式 标题 4 + (西文) Times New Roman (中文) 宋体 四号 行距: 固定值 24 磅"/>
    <w:basedOn w:val="12"/>
    <w:autoRedefine/>
    <w:qFormat/>
    <w:uiPriority w:val="0"/>
    <w:pPr>
      <w:tabs>
        <w:tab w:val="left" w:pos="360"/>
        <w:tab w:val="left" w:pos="851"/>
      </w:tabs>
      <w:spacing w:line="500" w:lineRule="exact"/>
      <w:ind w:left="360" w:hanging="360"/>
    </w:pPr>
    <w:rPr>
      <w:rFonts w:cs="宋体"/>
      <w:b w:val="0"/>
      <w:szCs w:val="20"/>
      <w:lang w:eastAsia="en-US"/>
    </w:rPr>
  </w:style>
  <w:style w:type="paragraph" w:customStyle="1" w:styleId="812">
    <w:name w:val="reader-word-layer reader-word-s4-12 reader-word-s4-15"/>
    <w:basedOn w:val="1"/>
    <w:autoRedefine/>
    <w:qFormat/>
    <w:uiPriority w:val="0"/>
    <w:pPr>
      <w:spacing w:before="100" w:beforeAutospacing="1" w:after="100" w:afterAutospacing="1"/>
    </w:pPr>
    <w:rPr>
      <w:rFonts w:ascii="宋体" w:hAnsi="宋体" w:cs="宋体"/>
      <w:kern w:val="0"/>
      <w:szCs w:val="24"/>
    </w:rPr>
  </w:style>
  <w:style w:type="paragraph" w:customStyle="1" w:styleId="813">
    <w:name w:val="CM4"/>
    <w:basedOn w:val="2"/>
    <w:next w:val="2"/>
    <w:autoRedefine/>
    <w:qFormat/>
    <w:uiPriority w:val="0"/>
    <w:pPr>
      <w:spacing w:line="468" w:lineRule="atLeast"/>
    </w:pPr>
    <w:rPr>
      <w:rFonts w:ascii="Calibri" w:hAnsi="Calibri"/>
      <w:color w:val="auto"/>
    </w:rPr>
  </w:style>
  <w:style w:type="paragraph" w:customStyle="1" w:styleId="814">
    <w:name w:val="样式 标题 3 + 首行缩进:  2 字符"/>
    <w:basedOn w:val="11"/>
    <w:autoRedefine/>
    <w:qFormat/>
    <w:uiPriority w:val="0"/>
    <w:pPr>
      <w:spacing w:before="120" w:after="120" w:line="288" w:lineRule="auto"/>
      <w:ind w:firstLine="200" w:firstLineChars="200"/>
    </w:pPr>
    <w:rPr>
      <w:rFonts w:cs="宋体"/>
      <w:sz w:val="30"/>
      <w:szCs w:val="20"/>
    </w:rPr>
  </w:style>
  <w:style w:type="paragraph" w:customStyle="1" w:styleId="815">
    <w:name w:val="reader-word-layer reader-word-s22-8"/>
    <w:basedOn w:val="1"/>
    <w:autoRedefine/>
    <w:qFormat/>
    <w:uiPriority w:val="0"/>
    <w:pPr>
      <w:spacing w:before="100" w:beforeAutospacing="1" w:after="100" w:afterAutospacing="1"/>
    </w:pPr>
    <w:rPr>
      <w:rFonts w:ascii="宋体" w:hAnsi="宋体" w:cs="宋体"/>
      <w:kern w:val="0"/>
      <w:szCs w:val="24"/>
    </w:rPr>
  </w:style>
  <w:style w:type="paragraph" w:customStyle="1" w:styleId="816">
    <w:name w:val="样式 标题 4 + 黑色 左侧:  -0.01 厘米 首行缩进:  0.01 厘米"/>
    <w:basedOn w:val="12"/>
    <w:autoRedefine/>
    <w:qFormat/>
    <w:uiPriority w:val="0"/>
    <w:pPr>
      <w:tabs>
        <w:tab w:val="left" w:pos="864"/>
      </w:tabs>
      <w:snapToGrid w:val="0"/>
      <w:spacing w:line="324" w:lineRule="auto"/>
    </w:pPr>
    <w:rPr>
      <w:rFonts w:ascii="仿宋_GB2312" w:hAnsi="宋体" w:eastAsia="仿宋_GB2312" w:cs="宋体"/>
      <w:b w:val="0"/>
      <w:bCs w:val="0"/>
      <w:color w:val="000000"/>
      <w:szCs w:val="20"/>
    </w:rPr>
  </w:style>
  <w:style w:type="paragraph" w:customStyle="1" w:styleId="817">
    <w:name w:val="Table first &amp; last line"/>
    <w:basedOn w:val="818"/>
    <w:autoRedefine/>
    <w:qFormat/>
    <w:uiPriority w:val="0"/>
    <w:pPr>
      <w:tabs>
        <w:tab w:val="left" w:pos="1134"/>
        <w:tab w:val="left" w:pos="2268"/>
        <w:tab w:val="left" w:pos="3402"/>
        <w:tab w:val="left" w:pos="4082"/>
        <w:tab w:val="left" w:pos="7710"/>
        <w:tab w:val="left" w:pos="9638"/>
      </w:tabs>
    </w:pPr>
    <w:rPr>
      <w:rFonts w:ascii="FoundryFormSans-Book" w:hAnsi="FoundryFormSans-Book"/>
    </w:rPr>
  </w:style>
  <w:style w:type="paragraph" w:customStyle="1" w:styleId="818">
    <w:name w:val="Table headline"/>
    <w:basedOn w:val="1"/>
    <w:autoRedefine/>
    <w:qFormat/>
    <w:uiPriority w:val="0"/>
    <w:pPr>
      <w:pBdr>
        <w:top w:val="single" w:color="auto" w:sz="6" w:space="0"/>
      </w:pBdr>
      <w:tabs>
        <w:tab w:val="left" w:pos="2268"/>
        <w:tab w:val="left" w:pos="4082"/>
        <w:tab w:val="left" w:pos="7710"/>
        <w:tab w:val="left" w:pos="9638"/>
      </w:tabs>
      <w:spacing w:line="300" w:lineRule="exact"/>
    </w:pPr>
    <w:rPr>
      <w:rFonts w:ascii="New York" w:hAnsi="New York"/>
      <w:kern w:val="0"/>
      <w:sz w:val="20"/>
      <w:lang w:eastAsia="en-US"/>
    </w:rPr>
  </w:style>
  <w:style w:type="paragraph" w:customStyle="1" w:styleId="819">
    <w:name w:val="注×："/>
    <w:autoRedefine/>
    <w:qFormat/>
    <w:uiPriority w:val="0"/>
    <w:pPr>
      <w:widowControl w:val="0"/>
      <w:tabs>
        <w:tab w:val="left" w:pos="630"/>
      </w:tabs>
      <w:autoSpaceDE w:val="0"/>
      <w:autoSpaceDN w:val="0"/>
      <w:ind w:left="900" w:hanging="500"/>
      <w:jc w:val="both"/>
    </w:pPr>
    <w:rPr>
      <w:rFonts w:ascii="宋体" w:hAnsi="Times New Roman" w:eastAsia="宋体" w:cs="Times New Roman"/>
      <w:sz w:val="18"/>
      <w:lang w:val="en-US" w:eastAsia="zh-CN" w:bidi="ar-SA"/>
    </w:rPr>
  </w:style>
  <w:style w:type="paragraph" w:customStyle="1" w:styleId="820">
    <w:name w:val="reader-word-layer reader-word-s3-43"/>
    <w:basedOn w:val="1"/>
    <w:autoRedefine/>
    <w:qFormat/>
    <w:uiPriority w:val="0"/>
    <w:pPr>
      <w:spacing w:before="100" w:beforeAutospacing="1" w:after="100" w:afterAutospacing="1"/>
    </w:pPr>
    <w:rPr>
      <w:rFonts w:ascii="宋体" w:hAnsi="宋体" w:cs="宋体"/>
      <w:kern w:val="0"/>
      <w:szCs w:val="24"/>
    </w:rPr>
  </w:style>
  <w:style w:type="paragraph" w:customStyle="1" w:styleId="821">
    <w:name w:val="bsb表头"/>
    <w:basedOn w:val="1"/>
    <w:link w:val="1724"/>
    <w:autoRedefine/>
    <w:qFormat/>
    <w:uiPriority w:val="0"/>
    <w:rPr>
      <w:rFonts w:cs="宋体"/>
      <w:b/>
      <w:kern w:val="0"/>
      <w:szCs w:val="24"/>
      <w:lang w:eastAsia="en-US" w:bidi="en-US"/>
    </w:rPr>
  </w:style>
  <w:style w:type="paragraph" w:customStyle="1" w:styleId="822">
    <w:name w:val="reader-word-layer reader-word-s3-0"/>
    <w:basedOn w:val="1"/>
    <w:autoRedefine/>
    <w:qFormat/>
    <w:uiPriority w:val="0"/>
    <w:pPr>
      <w:spacing w:before="100" w:beforeAutospacing="1" w:after="100" w:afterAutospacing="1"/>
    </w:pPr>
    <w:rPr>
      <w:rFonts w:ascii="宋体" w:hAnsi="宋体" w:cs="宋体"/>
      <w:kern w:val="0"/>
      <w:szCs w:val="24"/>
    </w:rPr>
  </w:style>
  <w:style w:type="paragraph" w:customStyle="1" w:styleId="823">
    <w:name w:val="bsb二级标题"/>
    <w:basedOn w:val="10"/>
    <w:link w:val="1385"/>
    <w:autoRedefine/>
    <w:qFormat/>
    <w:uiPriority w:val="0"/>
    <w:pPr>
      <w:ind w:firstLine="452" w:firstLineChars="150"/>
    </w:pPr>
    <w:rPr>
      <w:rFonts w:ascii="黑体" w:eastAsia="黑体"/>
      <w:b w:val="0"/>
      <w:kern w:val="2"/>
      <w:szCs w:val="30"/>
    </w:rPr>
  </w:style>
  <w:style w:type="paragraph" w:customStyle="1" w:styleId="824">
    <w:name w:val="a Char Char Char Char"/>
    <w:basedOn w:val="1"/>
    <w:autoRedefine/>
    <w:qFormat/>
    <w:uiPriority w:val="0"/>
    <w:pPr>
      <w:spacing w:line="520" w:lineRule="exact"/>
    </w:pPr>
    <w:rPr>
      <w:rFonts w:ascii="宋体" w:hAnsi="宋体"/>
      <w:sz w:val="28"/>
      <w:szCs w:val="24"/>
    </w:rPr>
  </w:style>
  <w:style w:type="paragraph" w:customStyle="1" w:styleId="825">
    <w:name w:val="1"/>
    <w:basedOn w:val="1"/>
    <w:next w:val="25"/>
    <w:autoRedefine/>
    <w:qFormat/>
    <w:uiPriority w:val="0"/>
    <w:pPr>
      <w:spacing w:beforeLines="30" w:afterLines="30" w:line="400" w:lineRule="exact"/>
      <w:ind w:firstLine="420"/>
    </w:pPr>
  </w:style>
  <w:style w:type="paragraph" w:customStyle="1" w:styleId="826">
    <w:name w:val="条文首行缩进"/>
    <w:basedOn w:val="1"/>
    <w:link w:val="1634"/>
    <w:autoRedefine/>
    <w:qFormat/>
    <w:uiPriority w:val="0"/>
    <w:pPr>
      <w:ind w:firstLine="480"/>
    </w:pPr>
    <w:rPr>
      <w:rFonts w:ascii="Arial" w:hAnsi="Arial"/>
      <w:kern w:val="0"/>
      <w:szCs w:val="24"/>
    </w:rPr>
  </w:style>
  <w:style w:type="paragraph" w:customStyle="1" w:styleId="827">
    <w:name w:val="dandan6-13正文 Char Char Char"/>
    <w:basedOn w:val="1"/>
    <w:next w:val="1"/>
    <w:autoRedefine/>
    <w:qFormat/>
    <w:uiPriority w:val="0"/>
    <w:pPr>
      <w:keepNext/>
      <w:keepLines/>
      <w:adjustRightInd w:val="0"/>
      <w:spacing w:before="40" w:after="40"/>
      <w:textAlignment w:val="baseline"/>
    </w:pPr>
    <w:rPr>
      <w:rFonts w:cs="宋体"/>
      <w:kern w:val="0"/>
      <w:szCs w:val="28"/>
    </w:rPr>
  </w:style>
  <w:style w:type="paragraph" w:customStyle="1" w:styleId="828">
    <w:name w:val="Char4"/>
    <w:basedOn w:val="1"/>
    <w:autoRedefine/>
    <w:qFormat/>
    <w:uiPriority w:val="0"/>
    <w:pPr>
      <w:spacing w:line="440" w:lineRule="exact"/>
    </w:pPr>
    <w:rPr>
      <w:kern w:val="0"/>
    </w:rPr>
  </w:style>
  <w:style w:type="paragraph" w:customStyle="1" w:styleId="829">
    <w:name w:val="fu正文"/>
    <w:basedOn w:val="1"/>
    <w:link w:val="1415"/>
    <w:autoRedefine/>
    <w:qFormat/>
    <w:uiPriority w:val="0"/>
    <w:rPr>
      <w:rFonts w:ascii="宋体" w:hAnsi="宋体"/>
      <w:color w:val="000000"/>
      <w:kern w:val="0"/>
      <w:szCs w:val="24"/>
    </w:rPr>
  </w:style>
  <w:style w:type="paragraph" w:customStyle="1" w:styleId="830">
    <w:name w:val="正文中三级标题胡"/>
    <w:basedOn w:val="1"/>
    <w:autoRedefine/>
    <w:qFormat/>
    <w:uiPriority w:val="0"/>
    <w:pPr>
      <w:outlineLvl w:val="2"/>
    </w:pPr>
    <w:rPr>
      <w:rFonts w:eastAsia="黑体"/>
      <w:szCs w:val="24"/>
    </w:rPr>
  </w:style>
  <w:style w:type="paragraph" w:customStyle="1" w:styleId="831">
    <w:name w:val="No Spacing1"/>
    <w:autoRedefine/>
    <w:qFormat/>
    <w:uiPriority w:val="0"/>
    <w:rPr>
      <w:rFonts w:ascii="Times New Roman" w:hAnsi="Times New Roman" w:eastAsia="黑体" w:cs="Times New Roman"/>
      <w:sz w:val="22"/>
      <w:szCs w:val="22"/>
      <w:lang w:val="en-US" w:eastAsia="zh-CN" w:bidi="ar-SA"/>
    </w:rPr>
  </w:style>
  <w:style w:type="paragraph" w:customStyle="1" w:styleId="832">
    <w:name w:val="正文文字进缩"/>
    <w:basedOn w:val="1"/>
    <w:autoRedefine/>
    <w:qFormat/>
    <w:uiPriority w:val="0"/>
    <w:pPr>
      <w:ind w:firstLine="539"/>
    </w:pPr>
    <w:rPr>
      <w:rFonts w:ascii="宋体" w:hAnsi="Arial Black"/>
      <w:bCs/>
      <w:iCs/>
      <w:sz w:val="28"/>
      <w:szCs w:val="24"/>
    </w:rPr>
  </w:style>
  <w:style w:type="paragraph" w:customStyle="1" w:styleId="833">
    <w:name w:val="正文文字1"/>
    <w:basedOn w:val="1"/>
    <w:autoRedefine/>
    <w:qFormat/>
    <w:uiPriority w:val="0"/>
    <w:pPr>
      <w:jc w:val="center"/>
    </w:pPr>
    <w:rPr>
      <w:szCs w:val="24"/>
    </w:rPr>
  </w:style>
  <w:style w:type="paragraph" w:customStyle="1" w:styleId="834">
    <w:name w:val="Char"/>
    <w:basedOn w:val="1"/>
    <w:autoRedefine/>
    <w:qFormat/>
    <w:uiPriority w:val="0"/>
    <w:rPr>
      <w:szCs w:val="24"/>
    </w:rPr>
  </w:style>
  <w:style w:type="paragraph" w:customStyle="1" w:styleId="835">
    <w:name w:val="reader-word-layer reader-word-s3-13"/>
    <w:basedOn w:val="1"/>
    <w:autoRedefine/>
    <w:qFormat/>
    <w:uiPriority w:val="0"/>
    <w:pPr>
      <w:spacing w:before="100" w:beforeAutospacing="1" w:after="100" w:afterAutospacing="1"/>
    </w:pPr>
    <w:rPr>
      <w:rFonts w:ascii="宋体" w:hAnsi="宋体" w:cs="宋体"/>
      <w:kern w:val="0"/>
      <w:szCs w:val="24"/>
    </w:rPr>
  </w:style>
  <w:style w:type="paragraph" w:customStyle="1" w:styleId="836">
    <w:name w:val="reader-word-layer reader-word-s3-41"/>
    <w:basedOn w:val="1"/>
    <w:autoRedefine/>
    <w:qFormat/>
    <w:uiPriority w:val="0"/>
    <w:pPr>
      <w:spacing w:before="100" w:beforeAutospacing="1" w:after="100" w:afterAutospacing="1"/>
    </w:pPr>
    <w:rPr>
      <w:rFonts w:ascii="宋体" w:hAnsi="宋体" w:cs="宋体"/>
      <w:kern w:val="0"/>
      <w:szCs w:val="24"/>
    </w:rPr>
  </w:style>
  <w:style w:type="paragraph" w:customStyle="1" w:styleId="837">
    <w:name w:val="啊啊啊样式 小四 行距: 1.5 倍行距 首行缩进:  2 字符"/>
    <w:basedOn w:val="1"/>
    <w:autoRedefine/>
    <w:qFormat/>
    <w:uiPriority w:val="0"/>
    <w:pPr>
      <w:ind w:firstLine="480"/>
    </w:pPr>
    <w:rPr>
      <w:rFonts w:cs="宋体"/>
    </w:rPr>
  </w:style>
  <w:style w:type="paragraph" w:customStyle="1" w:styleId="838">
    <w:name w:val="xl2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839">
    <w:name w:val="nilo_正文"/>
    <w:basedOn w:val="1"/>
    <w:autoRedefine/>
    <w:qFormat/>
    <w:uiPriority w:val="0"/>
    <w:pPr>
      <w:spacing w:line="300" w:lineRule="auto"/>
    </w:pPr>
    <w:rPr>
      <w:kern w:val="0"/>
      <w:sz w:val="20"/>
      <w:szCs w:val="21"/>
    </w:rPr>
  </w:style>
  <w:style w:type="paragraph" w:customStyle="1" w:styleId="840">
    <w:name w:val="Char Char Char Char Char Char1"/>
    <w:basedOn w:val="1"/>
    <w:autoRedefine/>
    <w:qFormat/>
    <w:uiPriority w:val="0"/>
    <w:pPr>
      <w:spacing w:after="160" w:line="240" w:lineRule="exact"/>
    </w:pPr>
    <w:rPr>
      <w:rFonts w:ascii="Verdana" w:hAnsi="Verdana" w:eastAsia="仿宋_GB2312"/>
      <w:b/>
      <w:kern w:val="0"/>
      <w:sz w:val="28"/>
      <w:szCs w:val="30"/>
      <w:lang w:eastAsia="en-US"/>
    </w:rPr>
  </w:style>
  <w:style w:type="paragraph" w:customStyle="1" w:styleId="841">
    <w:name w:val="_Style 74"/>
    <w:basedOn w:val="1"/>
    <w:autoRedefine/>
    <w:qFormat/>
    <w:uiPriority w:val="0"/>
    <w:rPr>
      <w:szCs w:val="24"/>
    </w:rPr>
  </w:style>
  <w:style w:type="paragraph" w:customStyle="1" w:styleId="842">
    <w:name w:val="1标题3级"/>
    <w:basedOn w:val="843"/>
    <w:autoRedefine/>
    <w:qFormat/>
    <w:uiPriority w:val="0"/>
    <w:pPr>
      <w:outlineLvl w:val="2"/>
    </w:pPr>
    <w:rPr>
      <w:sz w:val="24"/>
    </w:rPr>
  </w:style>
  <w:style w:type="paragraph" w:customStyle="1" w:styleId="843">
    <w:name w:val="1标题2级"/>
    <w:basedOn w:val="1"/>
    <w:autoRedefine/>
    <w:qFormat/>
    <w:uiPriority w:val="0"/>
    <w:pPr>
      <w:keepNext/>
      <w:snapToGrid w:val="0"/>
      <w:spacing w:line="420" w:lineRule="auto"/>
      <w:outlineLvl w:val="1"/>
    </w:pPr>
    <w:rPr>
      <w:rFonts w:eastAsia="黑体"/>
      <w:b/>
      <w:sz w:val="28"/>
      <w:szCs w:val="24"/>
    </w:rPr>
  </w:style>
  <w:style w:type="paragraph" w:customStyle="1" w:styleId="844">
    <w:name w:val="主要文字"/>
    <w:basedOn w:val="1"/>
    <w:link w:val="1576"/>
    <w:autoRedefine/>
    <w:qFormat/>
    <w:uiPriority w:val="0"/>
    <w:rPr>
      <w:rFonts w:hAnsi="宋体"/>
      <w:kern w:val="0"/>
      <w:sz w:val="20"/>
      <w:szCs w:val="21"/>
    </w:rPr>
  </w:style>
  <w:style w:type="paragraph" w:customStyle="1" w:styleId="845">
    <w:name w:val="我的正文"/>
    <w:basedOn w:val="1"/>
    <w:link w:val="1497"/>
    <w:autoRedefine/>
    <w:qFormat/>
    <w:uiPriority w:val="0"/>
    <w:pPr>
      <w:spacing w:line="460" w:lineRule="exact"/>
      <w:ind w:firstLine="482"/>
    </w:pPr>
    <w:rPr>
      <w:kern w:val="0"/>
      <w:szCs w:val="24"/>
    </w:rPr>
  </w:style>
  <w:style w:type="paragraph" w:customStyle="1" w:styleId="846">
    <w:name w:val="95正文"/>
    <w:link w:val="1366"/>
    <w:autoRedefine/>
    <w:qFormat/>
    <w:uiPriority w:val="0"/>
    <w:pPr>
      <w:adjustRightInd w:val="0"/>
      <w:snapToGrid w:val="0"/>
      <w:spacing w:line="298" w:lineRule="auto"/>
      <w:ind w:firstLine="454"/>
    </w:pPr>
    <w:rPr>
      <w:rFonts w:ascii="Times New Roman" w:hAnsi="Times New Roman" w:eastAsia="宋体" w:cs="Times New Roman"/>
      <w:sz w:val="24"/>
      <w:szCs w:val="24"/>
      <w:lang w:val="en-US" w:eastAsia="zh-CN" w:bidi="ar-SA"/>
    </w:rPr>
  </w:style>
  <w:style w:type="paragraph" w:customStyle="1" w:styleId="847">
    <w:name w:val="1表格头"/>
    <w:basedOn w:val="848"/>
    <w:autoRedefine/>
    <w:qFormat/>
    <w:uiPriority w:val="0"/>
    <w:pPr>
      <w:snapToGrid w:val="0"/>
      <w:spacing w:line="240" w:lineRule="auto"/>
      <w:outlineLvl w:val="3"/>
    </w:pPr>
    <w:rPr>
      <w:rFonts w:eastAsia="黑体"/>
      <w:bCs/>
      <w:sz w:val="28"/>
      <w:szCs w:val="24"/>
    </w:rPr>
  </w:style>
  <w:style w:type="paragraph" w:customStyle="1" w:styleId="848">
    <w:name w:val="1表格"/>
    <w:basedOn w:val="1"/>
    <w:autoRedefine/>
    <w:qFormat/>
    <w:uiPriority w:val="0"/>
    <w:pPr>
      <w:spacing w:line="160" w:lineRule="atLeast"/>
      <w:jc w:val="center"/>
    </w:pPr>
    <w:rPr>
      <w:rFonts w:eastAsia="仿宋_GB2312"/>
    </w:rPr>
  </w:style>
  <w:style w:type="paragraph" w:customStyle="1" w:styleId="849">
    <w:name w:val="Bullet 1"/>
    <w:autoRedefine/>
    <w:qFormat/>
    <w:uiPriority w:val="0"/>
    <w:pPr>
      <w:widowControl w:val="0"/>
      <w:autoSpaceDE w:val="0"/>
      <w:autoSpaceDN w:val="0"/>
      <w:adjustRightInd w:val="0"/>
      <w:ind w:left="576"/>
      <w:textAlignment w:val="baseline"/>
    </w:pPr>
    <w:rPr>
      <w:rFonts w:ascii="宋体" w:hAnsi="Times New Roman" w:eastAsia="宋体" w:cs="Times New Roman"/>
      <w:color w:val="000000"/>
      <w:sz w:val="24"/>
      <w:lang w:val="en-US" w:eastAsia="zh-CN" w:bidi="ar-SA"/>
    </w:rPr>
  </w:style>
  <w:style w:type="paragraph" w:customStyle="1" w:styleId="850">
    <w:name w:val="样式 标题 4 + 段前: 0.5 行"/>
    <w:basedOn w:val="12"/>
    <w:autoRedefine/>
    <w:qFormat/>
    <w:uiPriority w:val="0"/>
    <w:pPr>
      <w:tabs>
        <w:tab w:val="left" w:pos="1680"/>
      </w:tabs>
    </w:pPr>
    <w:rPr>
      <w:rFonts w:ascii="宋体" w:hAnsi="宋体"/>
      <w:szCs w:val="24"/>
    </w:rPr>
  </w:style>
  <w:style w:type="paragraph" w:customStyle="1" w:styleId="851">
    <w:name w:val="a"/>
    <w:basedOn w:val="1"/>
    <w:autoRedefine/>
    <w:qFormat/>
    <w:uiPriority w:val="0"/>
    <w:pPr>
      <w:spacing w:line="540" w:lineRule="exact"/>
    </w:pPr>
    <w:rPr>
      <w:rFonts w:ascii="宋体" w:hAnsi="宋体"/>
      <w:b/>
      <w:bCs/>
      <w:sz w:val="28"/>
      <w:szCs w:val="21"/>
    </w:rPr>
  </w:style>
  <w:style w:type="paragraph" w:customStyle="1" w:styleId="852">
    <w:name w:val="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3">
    <w:name w:val="正文样式3"/>
    <w:basedOn w:val="1"/>
    <w:autoRedefine/>
    <w:qFormat/>
    <w:uiPriority w:val="0"/>
    <w:pPr>
      <w:adjustRightInd w:val="0"/>
      <w:spacing w:line="20" w:lineRule="atLeast"/>
      <w:jc w:val="center"/>
    </w:pPr>
    <w:rPr>
      <w:kern w:val="0"/>
    </w:rPr>
  </w:style>
  <w:style w:type="paragraph" w:customStyle="1" w:styleId="854">
    <w:name w:val="reader-word-layer reader-word-s1-3 reader-word-s1-4 reader-word-s1-5"/>
    <w:basedOn w:val="1"/>
    <w:autoRedefine/>
    <w:qFormat/>
    <w:uiPriority w:val="0"/>
    <w:pPr>
      <w:spacing w:before="100" w:beforeAutospacing="1" w:after="100" w:afterAutospacing="1"/>
    </w:pPr>
    <w:rPr>
      <w:rFonts w:ascii="宋体" w:hAnsi="宋体" w:cs="宋体"/>
      <w:kern w:val="0"/>
      <w:szCs w:val="24"/>
    </w:rPr>
  </w:style>
  <w:style w:type="paragraph" w:customStyle="1" w:styleId="855">
    <w:name w:val="yz"/>
    <w:basedOn w:val="5"/>
    <w:autoRedefine/>
    <w:qFormat/>
    <w:uiPriority w:val="0"/>
    <w:pPr>
      <w:tabs>
        <w:tab w:val="left" w:pos="900"/>
      </w:tabs>
      <w:adjustRightInd w:val="0"/>
      <w:spacing w:after="0"/>
      <w:textAlignment w:val="baseline"/>
    </w:pPr>
    <w:rPr>
      <w:rFonts w:hint="eastAsia" w:ascii="宋体" w:hAnsi="宋体"/>
      <w:sz w:val="24"/>
    </w:rPr>
  </w:style>
  <w:style w:type="paragraph" w:customStyle="1" w:styleId="856">
    <w:name w:val="文本正文"/>
    <w:basedOn w:val="1"/>
    <w:link w:val="1503"/>
    <w:autoRedefine/>
    <w:qFormat/>
    <w:uiPriority w:val="0"/>
    <w:rPr>
      <w:snapToGrid w:val="0"/>
      <w:kern w:val="0"/>
      <w:szCs w:val="24"/>
    </w:rPr>
  </w:style>
  <w:style w:type="paragraph" w:customStyle="1" w:styleId="857">
    <w:name w:val="A-z正文"/>
    <w:basedOn w:val="1"/>
    <w:autoRedefine/>
    <w:qFormat/>
    <w:uiPriority w:val="0"/>
    <w:rPr>
      <w:rFonts w:ascii="宋体"/>
      <w:kern w:val="0"/>
    </w:rPr>
  </w:style>
  <w:style w:type="paragraph" w:customStyle="1" w:styleId="858">
    <w:name w:val="4 Char"/>
    <w:basedOn w:val="1"/>
    <w:autoRedefine/>
    <w:qFormat/>
    <w:uiPriority w:val="0"/>
    <w:rPr>
      <w:szCs w:val="24"/>
    </w:rPr>
  </w:style>
  <w:style w:type="paragraph" w:customStyle="1" w:styleId="859">
    <w:name w:val="Char Char Char Char Char Char Char Char Char Char Char Char Char Char Char Char Char Char Char"/>
    <w:basedOn w:val="1"/>
    <w:autoRedefine/>
    <w:qFormat/>
    <w:uiPriority w:val="0"/>
    <w:rPr>
      <w:rFonts w:ascii="宋体"/>
      <w:szCs w:val="21"/>
    </w:rPr>
  </w:style>
  <w:style w:type="paragraph" w:customStyle="1" w:styleId="860">
    <w:name w:val="悬挂式正文"/>
    <w:basedOn w:val="1"/>
    <w:autoRedefine/>
    <w:qFormat/>
    <w:uiPriority w:val="0"/>
    <w:pPr>
      <w:tabs>
        <w:tab w:val="center" w:pos="6804"/>
        <w:tab w:val="right" w:pos="7371"/>
      </w:tabs>
      <w:overflowPunct w:val="0"/>
      <w:adjustRightInd w:val="0"/>
      <w:ind w:left="1701" w:hanging="1134"/>
      <w:textAlignment w:val="baseline"/>
    </w:pPr>
    <w:rPr>
      <w:kern w:val="0"/>
      <w:sz w:val="28"/>
    </w:rPr>
  </w:style>
  <w:style w:type="paragraph" w:customStyle="1" w:styleId="861">
    <w:name w:val="zw"/>
    <w:basedOn w:val="1"/>
    <w:autoRedefine/>
    <w:qFormat/>
    <w:uiPriority w:val="0"/>
    <w:pPr>
      <w:spacing w:before="100" w:beforeAutospacing="1" w:after="100" w:afterAutospacing="1" w:line="440" w:lineRule="atLeast"/>
    </w:pPr>
    <w:rPr>
      <w:rFonts w:ascii="宋体" w:hAnsi="宋体" w:cs="宋体"/>
      <w:kern w:val="0"/>
      <w:sz w:val="22"/>
      <w:szCs w:val="22"/>
    </w:rPr>
  </w:style>
  <w:style w:type="paragraph" w:customStyle="1" w:styleId="862">
    <w:name w:val="Plain Text1"/>
    <w:basedOn w:val="1"/>
    <w:autoRedefine/>
    <w:qFormat/>
    <w:uiPriority w:val="0"/>
    <w:pPr>
      <w:autoSpaceDE w:val="0"/>
      <w:autoSpaceDN w:val="0"/>
      <w:adjustRightInd w:val="0"/>
      <w:textAlignment w:val="baseline"/>
    </w:pPr>
    <w:rPr>
      <w:rFonts w:ascii="宋体"/>
    </w:rPr>
  </w:style>
  <w:style w:type="paragraph" w:customStyle="1" w:styleId="863">
    <w:name w:val="a四级标题"/>
    <w:basedOn w:val="1"/>
    <w:autoRedefine/>
    <w:qFormat/>
    <w:uiPriority w:val="0"/>
    <w:pPr>
      <w:ind w:firstLine="800"/>
      <w:outlineLvl w:val="3"/>
    </w:pPr>
    <w:rPr>
      <w:rFonts w:ascii="宋体"/>
      <w:b/>
      <w:kern w:val="0"/>
      <w:szCs w:val="24"/>
    </w:rPr>
  </w:style>
  <w:style w:type="paragraph" w:customStyle="1" w:styleId="864">
    <w:name w:val="reader-word-layer reader-word-s25-22"/>
    <w:basedOn w:val="1"/>
    <w:autoRedefine/>
    <w:qFormat/>
    <w:uiPriority w:val="0"/>
    <w:pPr>
      <w:spacing w:before="100" w:beforeAutospacing="1" w:after="100" w:afterAutospacing="1"/>
    </w:pPr>
    <w:rPr>
      <w:rFonts w:ascii="宋体" w:hAnsi="宋体" w:cs="宋体"/>
      <w:kern w:val="0"/>
      <w:szCs w:val="24"/>
    </w:rPr>
  </w:style>
  <w:style w:type="paragraph" w:customStyle="1" w:styleId="865">
    <w:name w:val="xl62"/>
    <w:basedOn w:val="1"/>
    <w:autoRedefine/>
    <w:qFormat/>
    <w:uiPriority w:val="0"/>
    <w:pPr>
      <w:pBdr>
        <w:top w:val="single" w:color="auto" w:sz="4" w:space="0"/>
        <w:left w:val="single" w:color="auto" w:sz="4" w:space="0"/>
        <w:right w:val="single" w:color="auto" w:sz="8" w:space="0"/>
      </w:pBdr>
      <w:spacing w:before="100" w:beforeAutospacing="1" w:after="100" w:afterAutospacing="1"/>
      <w:textAlignment w:val="center"/>
    </w:pPr>
    <w:rPr>
      <w:rFonts w:ascii="Arial Unicode MS" w:hAnsi="Arial Unicode MS" w:eastAsia="Arial Unicode MS"/>
      <w:kern w:val="0"/>
      <w:szCs w:val="24"/>
    </w:rPr>
  </w:style>
  <w:style w:type="paragraph" w:customStyle="1" w:styleId="866">
    <w:name w:val="xl41"/>
    <w:basedOn w:val="1"/>
    <w:autoRedefine/>
    <w:qFormat/>
    <w:uiPriority w:val="0"/>
    <w:pPr>
      <w:pBdr>
        <w:bottom w:val="single" w:color="auto" w:sz="4" w:space="0"/>
      </w:pBdr>
      <w:spacing w:before="100" w:beforeAutospacing="1" w:after="100" w:afterAutospacing="1"/>
      <w:jc w:val="center"/>
    </w:pPr>
    <w:rPr>
      <w:kern w:val="0"/>
      <w:szCs w:val="21"/>
    </w:rPr>
  </w:style>
  <w:style w:type="paragraph" w:customStyle="1" w:styleId="867">
    <w:name w:val="A表头"/>
    <w:autoRedefine/>
    <w:qFormat/>
    <w:uiPriority w:val="0"/>
    <w:pPr>
      <w:widowControl w:val="0"/>
      <w:overflowPunct w:val="0"/>
      <w:autoSpaceDE w:val="0"/>
      <w:autoSpaceDN w:val="0"/>
      <w:adjustRightInd w:val="0"/>
      <w:ind w:firstLine="200" w:firstLineChars="200"/>
      <w:jc w:val="both"/>
    </w:pPr>
    <w:rPr>
      <w:rFonts w:ascii="Times New Roman" w:hAnsi="Times New Roman" w:eastAsia="宋体" w:cs="Times New Roman"/>
      <w:b/>
      <w:kern w:val="2"/>
      <w:sz w:val="21"/>
      <w:szCs w:val="22"/>
      <w:lang w:val="en-US" w:eastAsia="zh-CN" w:bidi="ar-SA"/>
    </w:rPr>
  </w:style>
  <w:style w:type="paragraph" w:customStyle="1" w:styleId="868">
    <w:name w:val="wh-1"/>
    <w:basedOn w:val="44"/>
    <w:autoRedefine/>
    <w:qFormat/>
    <w:uiPriority w:val="0"/>
    <w:pPr>
      <w:spacing w:line="520" w:lineRule="exact"/>
    </w:pPr>
    <w:rPr>
      <w:rFonts w:ascii="Times New Roman" w:hAnsi="Times New Roman"/>
      <w:sz w:val="30"/>
    </w:rPr>
  </w:style>
  <w:style w:type="paragraph" w:customStyle="1" w:styleId="869">
    <w:name w:val="正文文本最新 Char Char Char Char1 Char Char Char1"/>
    <w:basedOn w:val="1"/>
    <w:link w:val="1483"/>
    <w:autoRedefine/>
    <w:qFormat/>
    <w:uiPriority w:val="0"/>
    <w:rPr>
      <w:bCs/>
      <w:kern w:val="0"/>
      <w:sz w:val="28"/>
      <w:szCs w:val="24"/>
    </w:rPr>
  </w:style>
  <w:style w:type="paragraph" w:customStyle="1" w:styleId="870">
    <w:name w:val="样式 表格文字 + 黑体 五号 行距: 1.5 倍行距"/>
    <w:basedOn w:val="1"/>
    <w:autoRedefine/>
    <w:qFormat/>
    <w:uiPriority w:val="0"/>
    <w:pPr>
      <w:adjustRightInd w:val="0"/>
      <w:jc w:val="center"/>
      <w:textAlignment w:val="baseline"/>
    </w:pPr>
    <w:rPr>
      <w:rFonts w:ascii="黑体" w:hAnsi="宋体" w:eastAsia="黑体"/>
      <w:spacing w:val="-16"/>
    </w:rPr>
  </w:style>
  <w:style w:type="paragraph" w:customStyle="1" w:styleId="871">
    <w:name w:val="Char Char1 Char Char Char Char Char Char Char Char Char1 Char Char Char Char Char Char Char Char Char Char Char Char Char Char Char Char Char1 Char"/>
    <w:basedOn w:val="1"/>
    <w:autoRedefine/>
    <w:qFormat/>
    <w:uiPriority w:val="0"/>
    <w:rPr>
      <w:rFonts w:ascii="宋体" w:hAnsi="宋体" w:cs="宋体"/>
      <w:szCs w:val="24"/>
    </w:rPr>
  </w:style>
  <w:style w:type="paragraph" w:customStyle="1" w:styleId="872">
    <w:name w:val="a三级标题"/>
    <w:basedOn w:val="11"/>
    <w:autoRedefine/>
    <w:qFormat/>
    <w:uiPriority w:val="0"/>
    <w:pPr>
      <w:tabs>
        <w:tab w:val="left" w:pos="180"/>
      </w:tabs>
      <w:adjustRightInd w:val="0"/>
      <w:ind w:left="-10" w:leftChars="-25" w:right="210" w:hanging="43" w:hangingChars="18"/>
      <w:textAlignment w:val="baseline"/>
    </w:pPr>
    <w:rPr>
      <w:rFonts w:ascii="宋体"/>
      <w:bCs w:val="0"/>
      <w:sz w:val="24"/>
      <w:szCs w:val="24"/>
    </w:rPr>
  </w:style>
  <w:style w:type="paragraph" w:customStyle="1" w:styleId="873">
    <w:name w:val="_Style 239"/>
    <w:autoRedefine/>
    <w:semiHidden/>
    <w:qFormat/>
    <w:uiPriority w:val="99"/>
    <w:rPr>
      <w:rFonts w:ascii="Times New Roman" w:hAnsi="Times New Roman" w:eastAsia="宋体" w:cs="Times New Roman"/>
      <w:kern w:val="2"/>
      <w:sz w:val="21"/>
      <w:lang w:val="en-US" w:eastAsia="zh-CN" w:bidi="ar-SA"/>
    </w:rPr>
  </w:style>
  <w:style w:type="paragraph" w:customStyle="1" w:styleId="874">
    <w:name w:val="TX-表头"/>
    <w:link w:val="1591"/>
    <w:autoRedefine/>
    <w:qFormat/>
    <w:uiPriority w:val="0"/>
    <w:pPr>
      <w:jc w:val="center"/>
    </w:pPr>
    <w:rPr>
      <w:rFonts w:ascii="Times New Roman" w:hAnsi="Times New Roman" w:eastAsia="仿宋" w:cs="Times New Roman"/>
      <w:b/>
      <w:kern w:val="2"/>
      <w:sz w:val="24"/>
      <w:szCs w:val="22"/>
      <w:lang w:val="en-US" w:eastAsia="zh-CN" w:bidi="ar-SA"/>
    </w:rPr>
  </w:style>
  <w:style w:type="paragraph" w:customStyle="1" w:styleId="875">
    <w:name w:val="reader-word-layer reader-word-s25-19"/>
    <w:basedOn w:val="1"/>
    <w:autoRedefine/>
    <w:qFormat/>
    <w:uiPriority w:val="0"/>
    <w:pPr>
      <w:spacing w:before="100" w:beforeAutospacing="1" w:after="100" w:afterAutospacing="1"/>
    </w:pPr>
    <w:rPr>
      <w:rFonts w:ascii="宋体" w:hAnsi="宋体" w:cs="宋体"/>
      <w:kern w:val="0"/>
      <w:szCs w:val="24"/>
    </w:rPr>
  </w:style>
  <w:style w:type="paragraph" w:customStyle="1" w:styleId="876">
    <w:name w:val="reader-word-layer reader-word-s3-45"/>
    <w:basedOn w:val="1"/>
    <w:autoRedefine/>
    <w:qFormat/>
    <w:uiPriority w:val="0"/>
    <w:pPr>
      <w:spacing w:before="100" w:beforeAutospacing="1" w:after="100" w:afterAutospacing="1"/>
    </w:pPr>
    <w:rPr>
      <w:rFonts w:ascii="宋体" w:hAnsi="宋体" w:cs="宋体"/>
      <w:kern w:val="0"/>
      <w:szCs w:val="24"/>
    </w:rPr>
  </w:style>
  <w:style w:type="paragraph" w:customStyle="1" w:styleId="877">
    <w:name w:val="text"/>
    <w:basedOn w:val="1"/>
    <w:autoRedefine/>
    <w:qFormat/>
    <w:uiPriority w:val="0"/>
    <w:pPr>
      <w:spacing w:after="300" w:line="300" w:lineRule="exact"/>
      <w:ind w:left="1134"/>
    </w:pPr>
    <w:rPr>
      <w:rFonts w:ascii="FoundryFormSans-Book" w:hAnsi="FoundryFormSans-Book"/>
      <w:kern w:val="0"/>
    </w:rPr>
  </w:style>
  <w:style w:type="paragraph" w:customStyle="1" w:styleId="878">
    <w:name w:val="p26"/>
    <w:basedOn w:val="1"/>
    <w:autoRedefine/>
    <w:qFormat/>
    <w:uiPriority w:val="99"/>
    <w:pPr>
      <w:spacing w:line="520" w:lineRule="atLeast"/>
      <w:ind w:firstLine="420"/>
    </w:pPr>
    <w:rPr>
      <w:kern w:val="0"/>
      <w:szCs w:val="21"/>
    </w:rPr>
  </w:style>
  <w:style w:type="paragraph" w:customStyle="1" w:styleId="879">
    <w:name w:val="5级"/>
    <w:basedOn w:val="1"/>
    <w:next w:val="1"/>
    <w:autoRedefine/>
    <w:qFormat/>
    <w:uiPriority w:val="0"/>
    <w:pPr>
      <w:snapToGrid w:val="0"/>
      <w:spacing w:before="60"/>
      <w:ind w:left="720" w:hanging="720"/>
      <w:outlineLvl w:val="4"/>
    </w:pPr>
    <w:rPr>
      <w:rFonts w:ascii="宋体" w:hAnsi="宋体"/>
      <w:color w:val="000000"/>
      <w:kern w:val="0"/>
      <w:szCs w:val="24"/>
    </w:rPr>
  </w:style>
  <w:style w:type="paragraph" w:customStyle="1" w:styleId="880">
    <w:name w:val="样式 标题 1 + 黑体 二号 两端对齐"/>
    <w:basedOn w:val="9"/>
    <w:autoRedefine/>
    <w:qFormat/>
    <w:uiPriority w:val="0"/>
    <w:pPr>
      <w:pageBreakBefore/>
      <w:tabs>
        <w:tab w:val="left" w:pos="432"/>
        <w:tab w:val="right" w:pos="8640"/>
      </w:tabs>
      <w:spacing w:beforeLines="100" w:afterLines="50" w:line="240" w:lineRule="auto"/>
      <w:ind w:left="432" w:hanging="432"/>
      <w:jc w:val="center"/>
    </w:pPr>
    <w:rPr>
      <w:rFonts w:ascii="黑体" w:hAnsi="Garamond" w:eastAsia="黑体" w:cs="宋体"/>
      <w:snapToGrid w:val="0"/>
      <w:color w:val="000000"/>
      <w:spacing w:val="-2"/>
      <w:kern w:val="0"/>
      <w:szCs w:val="20"/>
    </w:rPr>
  </w:style>
  <w:style w:type="paragraph" w:customStyle="1" w:styleId="881">
    <w:name w:val="5"/>
    <w:basedOn w:val="1"/>
    <w:next w:val="71"/>
    <w:autoRedefine/>
    <w:qFormat/>
    <w:uiPriority w:val="0"/>
    <w:pPr>
      <w:spacing w:after="120" w:line="480" w:lineRule="auto"/>
    </w:pPr>
    <w:rPr>
      <w:szCs w:val="24"/>
    </w:rPr>
  </w:style>
  <w:style w:type="paragraph" w:customStyle="1" w:styleId="882">
    <w:name w:val="文本块1"/>
    <w:basedOn w:val="1"/>
    <w:autoRedefine/>
    <w:qFormat/>
    <w:uiPriority w:val="0"/>
    <w:pPr>
      <w:widowControl w:val="0"/>
      <w:tabs>
        <w:tab w:val="left" w:pos="3312"/>
      </w:tabs>
      <w:autoSpaceDE w:val="0"/>
      <w:autoSpaceDN w:val="0"/>
      <w:snapToGrid w:val="0"/>
      <w:spacing w:line="200" w:lineRule="atLeast"/>
      <w:ind w:firstLine="510"/>
      <w:textAlignment w:val="center"/>
    </w:pPr>
    <w:rPr>
      <w:rFonts w:ascii="宋体" w:cs="宋体"/>
      <w:b/>
      <w:bCs/>
      <w:szCs w:val="24"/>
    </w:rPr>
  </w:style>
  <w:style w:type="paragraph" w:customStyle="1" w:styleId="883">
    <w:name w:val="报告正文"/>
    <w:basedOn w:val="1"/>
    <w:link w:val="1517"/>
    <w:autoRedefine/>
    <w:qFormat/>
    <w:uiPriority w:val="0"/>
    <w:pPr>
      <w:tabs>
        <w:tab w:val="left" w:pos="5040"/>
      </w:tabs>
      <w:spacing w:line="480" w:lineRule="atLeast"/>
    </w:pPr>
    <w:rPr>
      <w:kern w:val="0"/>
      <w:sz w:val="20"/>
      <w:szCs w:val="21"/>
    </w:rPr>
  </w:style>
  <w:style w:type="paragraph" w:customStyle="1" w:styleId="884">
    <w:name w:val="图框"/>
    <w:basedOn w:val="1"/>
    <w:autoRedefine/>
    <w:qFormat/>
    <w:uiPriority w:val="0"/>
    <w:pPr>
      <w:jc w:val="center"/>
    </w:pPr>
    <w:rPr>
      <w:szCs w:val="21"/>
    </w:rPr>
  </w:style>
  <w:style w:type="paragraph" w:customStyle="1" w:styleId="885">
    <w:name w:val="Char1 Char Char Char"/>
    <w:basedOn w:val="1"/>
    <w:autoRedefine/>
    <w:qFormat/>
    <w:uiPriority w:val="0"/>
    <w:rPr>
      <w:rFonts w:ascii="宋体" w:cs="宋体"/>
      <w:kern w:val="0"/>
      <w:szCs w:val="24"/>
    </w:rPr>
  </w:style>
  <w:style w:type="paragraph" w:customStyle="1" w:styleId="886">
    <w:name w:val="样式 标题 3 + Times New Roman 行距: 多倍行距 1.3 字行"/>
    <w:basedOn w:val="11"/>
    <w:link w:val="1440"/>
    <w:autoRedefine/>
    <w:qFormat/>
    <w:uiPriority w:val="0"/>
    <w:pPr>
      <w:spacing w:before="156" w:line="312" w:lineRule="auto"/>
    </w:pPr>
    <w:rPr>
      <w:rFonts w:eastAsia="黑体"/>
      <w:b w:val="0"/>
      <w:bCs w:val="0"/>
      <w:sz w:val="24"/>
      <w:szCs w:val="20"/>
    </w:rPr>
  </w:style>
  <w:style w:type="paragraph" w:customStyle="1" w:styleId="887">
    <w:name w:val="Char1 Char Char Char Char Char Char2 Char Char Char1"/>
    <w:basedOn w:val="1"/>
    <w:autoRedefine/>
    <w:qFormat/>
    <w:uiPriority w:val="0"/>
    <w:pPr>
      <w:ind w:firstLine="800"/>
    </w:pPr>
    <w:rPr>
      <w:kern w:val="0"/>
      <w:szCs w:val="24"/>
    </w:rPr>
  </w:style>
  <w:style w:type="paragraph" w:customStyle="1" w:styleId="888">
    <w:name w:val="s3"/>
    <w:basedOn w:val="1"/>
    <w:autoRedefine/>
    <w:qFormat/>
    <w:uiPriority w:val="0"/>
    <w:pPr>
      <w:spacing w:before="156" w:after="156"/>
      <w:ind w:firstLine="482"/>
    </w:pPr>
    <w:rPr>
      <w:rFonts w:eastAsia="黑体" w:cs="宋体"/>
      <w:b/>
      <w:bCs/>
    </w:rPr>
  </w:style>
  <w:style w:type="paragraph" w:customStyle="1" w:styleId="889">
    <w:name w:val="xl56"/>
    <w:basedOn w:val="1"/>
    <w:autoRedefine/>
    <w:qFormat/>
    <w:uiPriority w:val="0"/>
    <w:pPr>
      <w:pBdr>
        <w:top w:val="single" w:color="auto" w:sz="8" w:space="0"/>
        <w:left w:val="single" w:color="auto" w:sz="8" w:space="0"/>
        <w:right w:val="single" w:color="auto" w:sz="4" w:space="0"/>
      </w:pBdr>
      <w:spacing w:before="100" w:beforeAutospacing="1" w:after="100" w:afterAutospacing="1"/>
      <w:jc w:val="center"/>
      <w:textAlignment w:val="center"/>
    </w:pPr>
    <w:rPr>
      <w:rFonts w:eastAsia="Arial Unicode MS"/>
      <w:kern w:val="0"/>
      <w:sz w:val="20"/>
    </w:rPr>
  </w:style>
  <w:style w:type="paragraph" w:customStyle="1" w:styleId="890">
    <w:name w:val="文件册号"/>
    <w:basedOn w:val="1"/>
    <w:next w:val="1"/>
    <w:autoRedefine/>
    <w:qFormat/>
    <w:uiPriority w:val="0"/>
    <w:pPr>
      <w:spacing w:line="800" w:lineRule="atLeast"/>
      <w:jc w:val="center"/>
    </w:pPr>
    <w:rPr>
      <w:sz w:val="52"/>
      <w:szCs w:val="52"/>
    </w:rPr>
  </w:style>
  <w:style w:type="paragraph" w:customStyle="1" w:styleId="891">
    <w:name w:val="样式 标题 2 + 右侧:  5.98 厘米"/>
    <w:basedOn w:val="10"/>
    <w:autoRedefine/>
    <w:qFormat/>
    <w:uiPriority w:val="0"/>
    <w:pPr>
      <w:tabs>
        <w:tab w:val="left" w:pos="680"/>
      </w:tabs>
      <w:spacing w:line="413" w:lineRule="auto"/>
      <w:ind w:right="3388" w:firstLine="200" w:firstLineChars="200"/>
    </w:pPr>
    <w:rPr>
      <w:rFonts w:ascii="Arial" w:hAnsi="Arial" w:eastAsia="黑体" w:cs="宋体"/>
    </w:rPr>
  </w:style>
  <w:style w:type="paragraph" w:customStyle="1" w:styleId="892">
    <w:name w:val="J【表中文字】"/>
    <w:basedOn w:val="1"/>
    <w:autoRedefine/>
    <w:qFormat/>
    <w:uiPriority w:val="0"/>
    <w:pPr>
      <w:jc w:val="center"/>
      <w:textAlignment w:val="center"/>
    </w:pPr>
    <w:rPr>
      <w:rFonts w:cs="宋体"/>
      <w:szCs w:val="21"/>
    </w:rPr>
  </w:style>
  <w:style w:type="paragraph" w:customStyle="1" w:styleId="893">
    <w:name w:val="x3级标题"/>
    <w:basedOn w:val="1"/>
    <w:autoRedefine/>
    <w:qFormat/>
    <w:uiPriority w:val="0"/>
    <w:pPr>
      <w:keepNext/>
      <w:keepLines/>
      <w:spacing w:before="120" w:after="120" w:line="288" w:lineRule="auto"/>
      <w:outlineLvl w:val="2"/>
    </w:pPr>
    <w:rPr>
      <w:rFonts w:cs="宋体"/>
      <w:b/>
      <w:bCs/>
      <w:sz w:val="28"/>
    </w:rPr>
  </w:style>
  <w:style w:type="paragraph" w:customStyle="1" w:styleId="894">
    <w:name w:val="Char Char2 Char Char Char1 Char Char Char Char"/>
    <w:basedOn w:val="1"/>
    <w:autoRedefine/>
    <w:qFormat/>
    <w:uiPriority w:val="0"/>
    <w:pPr>
      <w:ind w:firstLine="800"/>
    </w:pPr>
    <w:rPr>
      <w:kern w:val="0"/>
    </w:rPr>
  </w:style>
  <w:style w:type="paragraph" w:customStyle="1" w:styleId="895">
    <w:name w:val="3级"/>
    <w:basedOn w:val="11"/>
    <w:autoRedefine/>
    <w:qFormat/>
    <w:uiPriority w:val="0"/>
    <w:pPr>
      <w:spacing w:before="80" w:after="80"/>
    </w:pPr>
    <w:rPr>
      <w:rFonts w:eastAsia="黑体" w:cs="宋体"/>
      <w:szCs w:val="20"/>
    </w:rPr>
  </w:style>
  <w:style w:type="paragraph" w:customStyle="1" w:styleId="896">
    <w:name w:val="_Style 278"/>
    <w:basedOn w:val="9"/>
    <w:next w:val="1"/>
    <w:autoRedefine/>
    <w:qFormat/>
    <w:uiPriority w:val="0"/>
    <w:pPr>
      <w:spacing w:before="480" w:line="276" w:lineRule="auto"/>
      <w:ind w:firstLine="800" w:firstLineChars="200"/>
      <w:outlineLvl w:val="9"/>
    </w:pPr>
    <w:rPr>
      <w:rFonts w:ascii="Cambria" w:hAnsi="Cambria"/>
      <w:color w:val="365F91"/>
      <w:kern w:val="0"/>
      <w:sz w:val="28"/>
      <w:szCs w:val="28"/>
    </w:rPr>
  </w:style>
  <w:style w:type="paragraph" w:customStyle="1" w:styleId="897">
    <w:name w:val="p27"/>
    <w:basedOn w:val="1"/>
    <w:autoRedefine/>
    <w:qFormat/>
    <w:uiPriority w:val="99"/>
    <w:pPr>
      <w:jc w:val="center"/>
    </w:pPr>
    <w:rPr>
      <w:rFonts w:ascii="宋体" w:hAnsi="宋体" w:cs="宋体"/>
      <w:kern w:val="0"/>
      <w:sz w:val="18"/>
      <w:szCs w:val="18"/>
    </w:rPr>
  </w:style>
  <w:style w:type="paragraph" w:customStyle="1" w:styleId="898">
    <w:name w:val="报告表格内容"/>
    <w:basedOn w:val="1"/>
    <w:next w:val="1"/>
    <w:link w:val="1377"/>
    <w:autoRedefine/>
    <w:qFormat/>
    <w:uiPriority w:val="0"/>
    <w:pPr>
      <w:adjustRightInd w:val="0"/>
      <w:snapToGrid w:val="0"/>
      <w:jc w:val="center"/>
    </w:pPr>
    <w:rPr>
      <w:kern w:val="0"/>
      <w:sz w:val="20"/>
    </w:rPr>
  </w:style>
  <w:style w:type="paragraph" w:customStyle="1" w:styleId="899">
    <w:name w:val="xl68"/>
    <w:basedOn w:val="1"/>
    <w:autoRedefine/>
    <w:qFormat/>
    <w:uiPriority w:val="0"/>
    <w:pPr>
      <w:pBdr>
        <w:left w:val="single" w:color="auto" w:sz="8" w:space="0"/>
        <w:bottom w:val="single" w:color="auto" w:sz="8" w:space="0"/>
        <w:right w:val="single" w:color="auto" w:sz="4" w:space="0"/>
      </w:pBdr>
      <w:spacing w:before="100" w:beforeAutospacing="1" w:after="100" w:afterAutospacing="1"/>
      <w:jc w:val="center"/>
      <w:textAlignment w:val="center"/>
    </w:pPr>
    <w:rPr>
      <w:rFonts w:eastAsia="Arial Unicode MS"/>
      <w:kern w:val="0"/>
      <w:sz w:val="20"/>
    </w:rPr>
  </w:style>
  <w:style w:type="paragraph" w:customStyle="1" w:styleId="900">
    <w:name w:val="font0"/>
    <w:basedOn w:val="1"/>
    <w:autoRedefine/>
    <w:qFormat/>
    <w:uiPriority w:val="0"/>
    <w:pPr>
      <w:spacing w:before="100" w:beforeAutospacing="1" w:after="100" w:afterAutospacing="1"/>
    </w:pPr>
    <w:rPr>
      <w:rFonts w:hint="eastAsia" w:ascii="宋体" w:hAnsi="宋体"/>
      <w:kern w:val="0"/>
    </w:rPr>
  </w:style>
  <w:style w:type="paragraph" w:customStyle="1" w:styleId="901">
    <w:name w:val="kk"/>
    <w:basedOn w:val="5"/>
    <w:autoRedefine/>
    <w:qFormat/>
    <w:uiPriority w:val="0"/>
    <w:pPr>
      <w:autoSpaceDE w:val="0"/>
      <w:autoSpaceDN w:val="0"/>
      <w:adjustRightInd w:val="0"/>
      <w:spacing w:after="0"/>
      <w:textAlignment w:val="baseline"/>
    </w:pPr>
    <w:rPr>
      <w:spacing w:val="10"/>
      <w:sz w:val="24"/>
    </w:rPr>
  </w:style>
  <w:style w:type="paragraph" w:customStyle="1" w:styleId="902">
    <w:name w:val="正文文本最新 Char Char Char1 Char Char Char Char Char"/>
    <w:autoRedefine/>
    <w:qFormat/>
    <w:uiPriority w:val="0"/>
    <w:pPr>
      <w:spacing w:line="360" w:lineRule="auto"/>
      <w:ind w:firstLine="200" w:firstLineChars="200"/>
      <w:jc w:val="both"/>
    </w:pPr>
    <w:rPr>
      <w:rFonts w:ascii="Times New Roman" w:hAnsi="Times New Roman" w:eastAsia="宋体" w:cs="Times New Roman"/>
      <w:bCs/>
      <w:kern w:val="2"/>
      <w:sz w:val="28"/>
      <w:szCs w:val="24"/>
      <w:lang w:val="en-US" w:eastAsia="zh-CN" w:bidi="ar-SA"/>
    </w:rPr>
  </w:style>
  <w:style w:type="paragraph" w:customStyle="1" w:styleId="903">
    <w:name w:val="4级"/>
    <w:basedOn w:val="12"/>
    <w:autoRedefine/>
    <w:qFormat/>
    <w:uiPriority w:val="0"/>
    <w:pPr>
      <w:spacing w:before="40" w:after="40"/>
    </w:pPr>
    <w:rPr>
      <w:rFonts w:eastAsia="仿宋_GB2312"/>
    </w:rPr>
  </w:style>
  <w:style w:type="paragraph" w:customStyle="1" w:styleId="904">
    <w:name w:val="文字"/>
    <w:basedOn w:val="12"/>
    <w:autoRedefine/>
    <w:qFormat/>
    <w:uiPriority w:val="0"/>
    <w:pPr>
      <w:keepNext w:val="0"/>
      <w:keepLines w:val="0"/>
      <w:tabs>
        <w:tab w:val="left" w:pos="720"/>
      </w:tabs>
      <w:spacing w:line="360" w:lineRule="atLeast"/>
      <w:outlineLvl w:val="9"/>
    </w:pPr>
    <w:rPr>
      <w:rFonts w:ascii="宋体" w:hAnsi="宋体"/>
      <w:b w:val="0"/>
      <w:bCs w:val="0"/>
    </w:rPr>
  </w:style>
  <w:style w:type="paragraph" w:customStyle="1" w:styleId="905">
    <w:name w:val="table1"/>
    <w:basedOn w:val="906"/>
    <w:link w:val="1523"/>
    <w:autoRedefine/>
    <w:qFormat/>
    <w:uiPriority w:val="0"/>
  </w:style>
  <w:style w:type="paragraph" w:customStyle="1" w:styleId="906">
    <w:name w:val="table"/>
    <w:basedOn w:val="1"/>
    <w:link w:val="1735"/>
    <w:autoRedefine/>
    <w:qFormat/>
    <w:uiPriority w:val="0"/>
    <w:pPr>
      <w:ind w:firstLine="800"/>
      <w:jc w:val="center"/>
    </w:pPr>
    <w:rPr>
      <w:sz w:val="20"/>
    </w:rPr>
  </w:style>
  <w:style w:type="paragraph" w:customStyle="1" w:styleId="907">
    <w:name w:val="Char Char2 Char Char Char Char Char Char Char Char Char Char Char Char Char Char Char Char Char Char1"/>
    <w:basedOn w:val="1"/>
    <w:autoRedefine/>
    <w:qFormat/>
    <w:uiPriority w:val="0"/>
    <w:rPr>
      <w:szCs w:val="24"/>
    </w:rPr>
  </w:style>
  <w:style w:type="paragraph" w:customStyle="1" w:styleId="908">
    <w:name w:val="Char Char Char Char Char Char Char Char Char Char Char Char"/>
    <w:basedOn w:val="1"/>
    <w:autoRedefine/>
    <w:qFormat/>
    <w:uiPriority w:val="0"/>
    <w:rPr>
      <w:szCs w:val="24"/>
    </w:rPr>
  </w:style>
  <w:style w:type="paragraph" w:customStyle="1" w:styleId="909">
    <w:name w:val="xl67"/>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eastAsia="Arial Unicode MS"/>
      <w:kern w:val="0"/>
      <w:sz w:val="20"/>
    </w:rPr>
  </w:style>
  <w:style w:type="paragraph" w:customStyle="1" w:styleId="910">
    <w:name w:val="样式 黑体 黑色 居中 行距: 1.5 倍行距"/>
    <w:basedOn w:val="1"/>
    <w:autoRedefine/>
    <w:qFormat/>
    <w:uiPriority w:val="0"/>
    <w:pPr>
      <w:jc w:val="center"/>
    </w:pPr>
    <w:rPr>
      <w:rFonts w:ascii="黑体" w:eastAsia="黑体"/>
      <w:color w:val="000000"/>
    </w:rPr>
  </w:style>
  <w:style w:type="paragraph" w:customStyle="1" w:styleId="911">
    <w:name w:val="a标准 Char"/>
    <w:basedOn w:val="1"/>
    <w:autoRedefine/>
    <w:qFormat/>
    <w:uiPriority w:val="0"/>
    <w:rPr>
      <w:szCs w:val="40"/>
    </w:rPr>
  </w:style>
  <w:style w:type="paragraph" w:customStyle="1" w:styleId="912">
    <w:name w:val="unnamed1"/>
    <w:basedOn w:val="1"/>
    <w:autoRedefine/>
    <w:qFormat/>
    <w:uiPriority w:val="0"/>
    <w:pPr>
      <w:spacing w:before="100" w:beforeAutospacing="1" w:after="100" w:afterAutospacing="1"/>
    </w:pPr>
    <w:rPr>
      <w:rFonts w:ascii="Arial Unicode MS" w:hAnsi="Arial Unicode MS"/>
      <w:color w:val="336633"/>
      <w:kern w:val="0"/>
      <w:szCs w:val="24"/>
    </w:rPr>
  </w:style>
  <w:style w:type="paragraph" w:customStyle="1" w:styleId="913">
    <w:name w:val="Char2"/>
    <w:basedOn w:val="1"/>
    <w:autoRedefine/>
    <w:qFormat/>
    <w:uiPriority w:val="0"/>
    <w:rPr>
      <w:szCs w:val="24"/>
    </w:rPr>
  </w:style>
  <w:style w:type="paragraph" w:customStyle="1" w:styleId="914">
    <w:name w:val="Char4 Char Char Char"/>
    <w:basedOn w:val="1"/>
    <w:autoRedefine/>
    <w:qFormat/>
    <w:uiPriority w:val="0"/>
    <w:pPr>
      <w:adjustRightInd w:val="0"/>
      <w:snapToGrid w:val="0"/>
    </w:pPr>
    <w:rPr>
      <w:rFonts w:ascii="宋体" w:hAnsi="宋体" w:cs="宋体"/>
      <w:szCs w:val="26"/>
    </w:rPr>
  </w:style>
  <w:style w:type="paragraph" w:customStyle="1" w:styleId="915">
    <w:name w:val="正文样式1"/>
    <w:basedOn w:val="1"/>
    <w:link w:val="1768"/>
    <w:autoRedefine/>
    <w:qFormat/>
    <w:uiPriority w:val="0"/>
    <w:pPr>
      <w:ind w:firstLine="510"/>
    </w:pPr>
    <w:rPr>
      <w:kern w:val="0"/>
      <w:lang w:eastAsia="en-US"/>
    </w:rPr>
  </w:style>
  <w:style w:type="paragraph" w:customStyle="1" w:styleId="916">
    <w:name w:val="Char Char Char Char1 Char Char Char Char Char Char Char Char Char"/>
    <w:basedOn w:val="1"/>
    <w:autoRedefine/>
    <w:qFormat/>
    <w:uiPriority w:val="0"/>
  </w:style>
  <w:style w:type="paragraph" w:customStyle="1" w:styleId="917">
    <w:name w:val="xl33"/>
    <w:basedOn w:val="1"/>
    <w:autoRedefine/>
    <w:qFormat/>
    <w:uiPriority w:val="0"/>
    <w:pPr>
      <w:pBdr>
        <w:top w:val="single" w:color="auto"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bCs/>
      <w:kern w:val="0"/>
      <w:szCs w:val="21"/>
    </w:rPr>
  </w:style>
  <w:style w:type="paragraph" w:customStyle="1" w:styleId="918">
    <w:name w:val="6表(图)头"/>
    <w:next w:val="1"/>
    <w:link w:val="1587"/>
    <w:autoRedefine/>
    <w:qFormat/>
    <w:uiPriority w:val="0"/>
    <w:pPr>
      <w:widowControl w:val="0"/>
      <w:spacing w:line="360" w:lineRule="auto"/>
      <w:jc w:val="center"/>
    </w:pPr>
    <w:rPr>
      <w:rFonts w:ascii="Times New Roman" w:hAnsi="Times New Roman" w:eastAsia="黑体" w:cs="Times New Roman"/>
      <w:b/>
      <w:bCs/>
      <w:sz w:val="28"/>
      <w:lang w:val="en-US" w:eastAsia="zh-CN" w:bidi="ar-SA"/>
    </w:rPr>
  </w:style>
  <w:style w:type="paragraph" w:customStyle="1" w:styleId="919">
    <w:name w:val="04"/>
    <w:basedOn w:val="1"/>
    <w:autoRedefine/>
    <w:qFormat/>
    <w:uiPriority w:val="0"/>
    <w:pPr>
      <w:spacing w:line="312" w:lineRule="auto"/>
    </w:pPr>
    <w:rPr>
      <w:rFonts w:eastAsia="华文仿宋"/>
      <w:szCs w:val="30"/>
    </w:rPr>
  </w:style>
  <w:style w:type="paragraph" w:customStyle="1" w:styleId="920">
    <w:name w:val="N正文"/>
    <w:basedOn w:val="1"/>
    <w:autoRedefine/>
    <w:qFormat/>
    <w:uiPriority w:val="0"/>
    <w:pPr>
      <w:spacing w:beforeLines="50"/>
      <w:ind w:firstLine="480"/>
    </w:pPr>
    <w:rPr>
      <w:rFonts w:eastAsia="仿宋_GB2312"/>
      <w:kern w:val="0"/>
      <w:szCs w:val="24"/>
    </w:rPr>
  </w:style>
  <w:style w:type="paragraph" w:customStyle="1" w:styleId="921">
    <w:name w:val="样式 标题 21.1标题 21.1_Heading 2标题 2 Char1节标2节标题 1.11.1标题2h..."/>
    <w:basedOn w:val="10"/>
    <w:autoRedefine/>
    <w:qFormat/>
    <w:uiPriority w:val="0"/>
    <w:pPr>
      <w:adjustRightInd w:val="0"/>
      <w:snapToGrid w:val="0"/>
      <w:spacing w:before="156" w:after="156"/>
      <w:ind w:firstLine="480" w:firstLineChars="200"/>
    </w:pPr>
    <w:rPr>
      <w:rFonts w:ascii="黑体" w:hAnsi="宋体" w:eastAsia="Times New Roman"/>
      <w:b w:val="0"/>
      <w:bCs w:val="0"/>
      <w:sz w:val="24"/>
      <w:szCs w:val="20"/>
    </w:rPr>
  </w:style>
  <w:style w:type="paragraph" w:customStyle="1" w:styleId="922">
    <w:name w:val="修改表格标题"/>
    <w:basedOn w:val="1"/>
    <w:link w:val="1459"/>
    <w:autoRedefine/>
    <w:qFormat/>
    <w:uiPriority w:val="0"/>
    <w:pPr>
      <w:snapToGrid w:val="0"/>
    </w:pPr>
    <w:rPr>
      <w:b/>
      <w:bCs/>
      <w:kern w:val="0"/>
      <w:szCs w:val="24"/>
    </w:rPr>
  </w:style>
  <w:style w:type="paragraph" w:customStyle="1" w:styleId="923">
    <w:name w:val="样式 标题 3 + 段前: 7.8 磅 段后: 7.8 磅 行距: 固定值 20 磅"/>
    <w:basedOn w:val="11"/>
    <w:link w:val="1687"/>
    <w:autoRedefine/>
    <w:qFormat/>
    <w:uiPriority w:val="0"/>
    <w:pPr>
      <w:spacing w:before="156" w:after="156" w:line="400" w:lineRule="exact"/>
    </w:pPr>
    <w:rPr>
      <w:sz w:val="30"/>
      <w:szCs w:val="30"/>
    </w:rPr>
  </w:style>
  <w:style w:type="paragraph" w:customStyle="1" w:styleId="924">
    <w:name w:val="正文文本缩进11"/>
    <w:basedOn w:val="1"/>
    <w:autoRedefine/>
    <w:qFormat/>
    <w:uiPriority w:val="0"/>
    <w:pPr>
      <w:spacing w:afterLines="100"/>
      <w:ind w:left="200" w:leftChars="200"/>
    </w:pPr>
    <w:rPr>
      <w:rFonts w:ascii="Calibri" w:hAnsi="Calibri"/>
      <w:sz w:val="22"/>
      <w:lang w:eastAsia="en-US"/>
    </w:rPr>
  </w:style>
  <w:style w:type="paragraph" w:customStyle="1" w:styleId="925">
    <w:name w:val="z-窗体顶端1"/>
    <w:basedOn w:val="1"/>
    <w:next w:val="1"/>
    <w:link w:val="1489"/>
    <w:autoRedefine/>
    <w:qFormat/>
    <w:uiPriority w:val="0"/>
    <w:pPr>
      <w:pBdr>
        <w:bottom w:val="single" w:color="auto" w:sz="6" w:space="1"/>
      </w:pBdr>
      <w:jc w:val="center"/>
    </w:pPr>
    <w:rPr>
      <w:rFonts w:ascii="Arial" w:hAnsi="Arial"/>
      <w:vanish/>
      <w:kern w:val="0"/>
      <w:sz w:val="16"/>
      <w:szCs w:val="16"/>
    </w:rPr>
  </w:style>
  <w:style w:type="paragraph" w:customStyle="1" w:styleId="926">
    <w:name w:val="亚行正文"/>
    <w:basedOn w:val="1"/>
    <w:link w:val="1739"/>
    <w:autoRedefine/>
    <w:qFormat/>
    <w:uiPriority w:val="0"/>
    <w:pPr>
      <w:spacing w:line="480" w:lineRule="exact"/>
      <w:ind w:firstLine="480"/>
    </w:pPr>
    <w:rPr>
      <w:color w:val="000000"/>
      <w:kern w:val="0"/>
      <w:szCs w:val="24"/>
    </w:rPr>
  </w:style>
  <w:style w:type="paragraph" w:customStyle="1" w:styleId="927">
    <w:name w:val="Char Char Char1 Char Char Char1 Char Char Char Char"/>
    <w:basedOn w:val="1"/>
    <w:autoRedefine/>
    <w:qFormat/>
    <w:uiPriority w:val="0"/>
    <w:pPr>
      <w:ind w:firstLine="800"/>
    </w:pPr>
    <w:rPr>
      <w:kern w:val="0"/>
      <w:szCs w:val="24"/>
    </w:rPr>
  </w:style>
  <w:style w:type="paragraph" w:customStyle="1" w:styleId="928">
    <w:name w:val="xl61"/>
    <w:basedOn w:val="1"/>
    <w:autoRedefine/>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eastAsia="Arial Unicode MS"/>
      <w:kern w:val="0"/>
      <w:sz w:val="20"/>
    </w:rPr>
  </w:style>
  <w:style w:type="paragraph" w:customStyle="1" w:styleId="929">
    <w:name w:val="图表标题"/>
    <w:basedOn w:val="1"/>
    <w:autoRedefine/>
    <w:qFormat/>
    <w:uiPriority w:val="0"/>
    <w:rPr>
      <w:szCs w:val="24"/>
    </w:rPr>
  </w:style>
  <w:style w:type="paragraph" w:customStyle="1" w:styleId="930">
    <w:name w:val="proposal - coloured"/>
    <w:basedOn w:val="931"/>
    <w:next w:val="818"/>
    <w:autoRedefine/>
    <w:qFormat/>
    <w:uiPriority w:val="0"/>
    <w:pPr>
      <w:tabs>
        <w:tab w:val="left" w:pos="1417"/>
      </w:tabs>
    </w:pPr>
    <w:rPr>
      <w:color w:val="FF0000"/>
    </w:rPr>
  </w:style>
  <w:style w:type="paragraph" w:customStyle="1" w:styleId="931">
    <w:name w:val="text bullet"/>
    <w:basedOn w:val="1"/>
    <w:autoRedefine/>
    <w:qFormat/>
    <w:uiPriority w:val="0"/>
    <w:pPr>
      <w:tabs>
        <w:tab w:val="left" w:pos="1417"/>
      </w:tabs>
      <w:spacing w:line="300" w:lineRule="exact"/>
      <w:ind w:left="1417" w:hanging="283"/>
    </w:pPr>
    <w:rPr>
      <w:rFonts w:ascii="FoundryFormSans-Book" w:hAnsi="FoundryFormSans-Book"/>
      <w:kern w:val="0"/>
    </w:rPr>
  </w:style>
  <w:style w:type="paragraph" w:customStyle="1" w:styleId="932">
    <w:name w:val="05图标题"/>
    <w:basedOn w:val="1"/>
    <w:next w:val="1"/>
    <w:autoRedefine/>
    <w:qFormat/>
    <w:uiPriority w:val="0"/>
    <w:pPr>
      <w:spacing w:before="120" w:after="240"/>
      <w:jc w:val="center"/>
    </w:pPr>
    <w:rPr>
      <w:szCs w:val="24"/>
    </w:rPr>
  </w:style>
  <w:style w:type="paragraph" w:customStyle="1" w:styleId="933">
    <w:name w:val="Document"/>
    <w:basedOn w:val="1"/>
    <w:autoRedefine/>
    <w:qFormat/>
    <w:uiPriority w:val="0"/>
    <w:pPr>
      <w:jc w:val="center"/>
    </w:pPr>
    <w:rPr>
      <w:rFonts w:ascii="Financial  (MF)" w:hAnsi="Financial  (MF)"/>
      <w:kern w:val="0"/>
      <w:lang w:eastAsia="en-US"/>
    </w:rPr>
  </w:style>
  <w:style w:type="paragraph" w:customStyle="1" w:styleId="934">
    <w:name w:val="y表格"/>
    <w:basedOn w:val="5"/>
    <w:autoRedefine/>
    <w:qFormat/>
    <w:uiPriority w:val="0"/>
    <w:pPr>
      <w:adjustRightInd w:val="0"/>
      <w:snapToGrid w:val="0"/>
      <w:spacing w:after="0"/>
      <w:jc w:val="center"/>
      <w:textAlignment w:val="baseline"/>
    </w:pPr>
    <w:rPr>
      <w:rFonts w:hint="eastAsia" w:ascii="宋体" w:hAnsi="宋体"/>
      <w:sz w:val="24"/>
    </w:rPr>
  </w:style>
  <w:style w:type="paragraph" w:customStyle="1" w:styleId="935">
    <w:name w:val="报告表样式"/>
    <w:basedOn w:val="1"/>
    <w:autoRedefine/>
    <w:qFormat/>
    <w:uiPriority w:val="0"/>
    <w:pPr>
      <w:adjustRightInd w:val="0"/>
      <w:snapToGrid w:val="0"/>
    </w:pPr>
    <w:rPr>
      <w:rFonts w:ascii="宋体"/>
      <w:kern w:val="0"/>
      <w:sz w:val="28"/>
      <w:szCs w:val="28"/>
    </w:rPr>
  </w:style>
  <w:style w:type="paragraph" w:customStyle="1" w:styleId="936">
    <w:name w:val="reader-word-layer reader-word-s3-6"/>
    <w:basedOn w:val="1"/>
    <w:autoRedefine/>
    <w:qFormat/>
    <w:uiPriority w:val="0"/>
    <w:pPr>
      <w:spacing w:before="100" w:beforeAutospacing="1" w:after="100" w:afterAutospacing="1"/>
    </w:pPr>
    <w:rPr>
      <w:rFonts w:ascii="宋体" w:hAnsi="宋体" w:cs="宋体"/>
      <w:kern w:val="0"/>
      <w:szCs w:val="24"/>
    </w:rPr>
  </w:style>
  <w:style w:type="paragraph" w:customStyle="1" w:styleId="937">
    <w:name w:val="题注+"/>
    <w:basedOn w:val="1"/>
    <w:autoRedefine/>
    <w:qFormat/>
    <w:uiPriority w:val="0"/>
    <w:pPr>
      <w:adjustRightInd w:val="0"/>
      <w:snapToGrid w:val="0"/>
      <w:spacing w:before="120" w:after="120" w:line="288" w:lineRule="auto"/>
      <w:ind w:firstLine="500" w:firstLineChars="500"/>
    </w:pPr>
    <w:rPr>
      <w:b/>
      <w:szCs w:val="21"/>
    </w:rPr>
  </w:style>
  <w:style w:type="paragraph" w:customStyle="1" w:styleId="938">
    <w:name w:val="正文文本1"/>
    <w:basedOn w:val="1"/>
    <w:autoRedefine/>
    <w:qFormat/>
    <w:uiPriority w:val="0"/>
    <w:pPr>
      <w:jc w:val="center"/>
    </w:pPr>
    <w:rPr>
      <w:rFonts w:hint="eastAsia" w:eastAsia="楷体_GB2312"/>
      <w:sz w:val="52"/>
    </w:rPr>
  </w:style>
  <w:style w:type="paragraph" w:customStyle="1" w:styleId="939">
    <w:name w:val="标记"/>
    <w:basedOn w:val="25"/>
    <w:autoRedefine/>
    <w:qFormat/>
    <w:uiPriority w:val="0"/>
    <w:pPr>
      <w:tabs>
        <w:tab w:val="left" w:pos="624"/>
        <w:tab w:val="clear" w:pos="0"/>
      </w:tabs>
      <w:adjustRightInd w:val="0"/>
      <w:snapToGrid w:val="0"/>
      <w:spacing w:after="120" w:line="312" w:lineRule="auto"/>
      <w:ind w:left="360" w:hanging="360" w:firstLineChars="0"/>
      <w:jc w:val="both"/>
    </w:pPr>
    <w:rPr>
      <w:rFonts w:ascii="华文细黑" w:hAnsi="华文细黑" w:eastAsia="华文细黑"/>
      <w:color w:val="auto"/>
    </w:rPr>
  </w:style>
  <w:style w:type="paragraph" w:customStyle="1" w:styleId="940">
    <w:name w:val="xl70"/>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941">
    <w:name w:val="报告样式4"/>
    <w:basedOn w:val="25"/>
    <w:autoRedefine/>
    <w:qFormat/>
    <w:uiPriority w:val="0"/>
    <w:pPr>
      <w:tabs>
        <w:tab w:val="clear" w:pos="0"/>
      </w:tabs>
      <w:spacing w:line="360" w:lineRule="auto"/>
      <w:jc w:val="both"/>
    </w:pPr>
    <w:rPr>
      <w:rFonts w:ascii="宋体" w:hAnsi="宋体"/>
      <w:bCs/>
      <w:color w:val="auto"/>
      <w:szCs w:val="22"/>
    </w:rPr>
  </w:style>
  <w:style w:type="paragraph" w:customStyle="1" w:styleId="942">
    <w:name w:val="Char1 Char Char Char1"/>
    <w:basedOn w:val="1"/>
    <w:autoRedefine/>
    <w:qFormat/>
    <w:uiPriority w:val="0"/>
    <w:rPr>
      <w:szCs w:val="24"/>
    </w:rPr>
  </w:style>
  <w:style w:type="paragraph" w:customStyle="1" w:styleId="943">
    <w:name w:val="Char Char1 Char Char Char Char Char Char"/>
    <w:basedOn w:val="1"/>
    <w:autoRedefine/>
    <w:qFormat/>
    <w:uiPriority w:val="0"/>
    <w:pPr>
      <w:spacing w:after="160" w:line="240" w:lineRule="exact"/>
    </w:pPr>
    <w:rPr>
      <w:rFonts w:ascii="Verdana" w:hAnsi="Verdana" w:eastAsia="仿宋_GB2312"/>
      <w:kern w:val="0"/>
      <w:lang w:eastAsia="en-US"/>
    </w:rPr>
  </w:style>
  <w:style w:type="paragraph" w:customStyle="1" w:styleId="944">
    <w:name w:val="中文报告书样式"/>
    <w:basedOn w:val="1"/>
    <w:autoRedefine/>
    <w:qFormat/>
    <w:uiPriority w:val="0"/>
    <w:pPr>
      <w:adjustRightInd w:val="0"/>
      <w:ind w:firstLine="482"/>
      <w:textAlignment w:val="baseline"/>
    </w:pPr>
    <w:rPr>
      <w:kern w:val="24"/>
    </w:rPr>
  </w:style>
  <w:style w:type="paragraph" w:customStyle="1" w:styleId="945">
    <w:name w:val="xl45"/>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hint="eastAsia" w:ascii="宋体" w:hAnsi="宋体" w:cs="Arial Unicode MS"/>
      <w:b/>
      <w:bCs/>
      <w:kern w:val="0"/>
      <w:sz w:val="28"/>
      <w:szCs w:val="28"/>
    </w:rPr>
  </w:style>
  <w:style w:type="paragraph" w:customStyle="1" w:styleId="946">
    <w:name w:val="Char Char2 Char Char Char1 Char Char Char Char11"/>
    <w:basedOn w:val="1"/>
    <w:autoRedefine/>
    <w:qFormat/>
    <w:uiPriority w:val="0"/>
  </w:style>
  <w:style w:type="paragraph" w:customStyle="1" w:styleId="947">
    <w:name w:val="bsb正文"/>
    <w:basedOn w:val="1"/>
    <w:autoRedefine/>
    <w:qFormat/>
    <w:uiPriority w:val="0"/>
    <w:rPr>
      <w:kern w:val="0"/>
      <w:szCs w:val="24"/>
    </w:rPr>
  </w:style>
  <w:style w:type="paragraph" w:customStyle="1" w:styleId="948">
    <w:name w:val="样式 标题 4 + 首行缩进:  2 字符 段后: 0.5 行"/>
    <w:basedOn w:val="12"/>
    <w:autoRedefine/>
    <w:qFormat/>
    <w:uiPriority w:val="0"/>
    <w:pPr>
      <w:spacing w:before="10" w:afterLines="50" w:line="400" w:lineRule="exact"/>
    </w:pPr>
    <w:rPr>
      <w:rFonts w:ascii="宋体" w:hAnsi="宋体" w:eastAsia="楷体_GB2312" w:cs="宋体"/>
      <w:b w:val="0"/>
      <w:szCs w:val="20"/>
    </w:rPr>
  </w:style>
  <w:style w:type="paragraph" w:customStyle="1" w:styleId="949">
    <w:name w:val="样式  Char Char + (中文) 黑体 小四 行距: 1.5 倍行距"/>
    <w:basedOn w:val="1"/>
    <w:next w:val="1"/>
    <w:autoRedefine/>
    <w:qFormat/>
    <w:uiPriority w:val="0"/>
    <w:pPr>
      <w:adjustRightInd w:val="0"/>
      <w:snapToGrid w:val="0"/>
      <w:spacing w:beforeLines="50" w:afterLines="50"/>
    </w:pPr>
    <w:rPr>
      <w:rFonts w:eastAsia="黑体"/>
    </w:rPr>
  </w:style>
  <w:style w:type="paragraph" w:customStyle="1" w:styleId="950">
    <w:name w:val="xl60"/>
    <w:basedOn w:val="1"/>
    <w:autoRedefine/>
    <w:qFormat/>
    <w:uiPriority w:val="0"/>
    <w:pPr>
      <w:pBdr>
        <w:left w:val="single" w:color="auto" w:sz="8" w:space="0"/>
        <w:right w:val="single" w:color="auto" w:sz="4" w:space="0"/>
      </w:pBdr>
      <w:spacing w:before="100" w:after="100"/>
      <w:jc w:val="center"/>
      <w:textAlignment w:val="top"/>
    </w:pPr>
    <w:rPr>
      <w:kern w:val="0"/>
      <w:szCs w:val="24"/>
    </w:rPr>
  </w:style>
  <w:style w:type="paragraph" w:customStyle="1" w:styleId="951">
    <w:name w:val="Title.2"/>
    <w:autoRedefine/>
    <w:qFormat/>
    <w:uiPriority w:val="0"/>
    <w:pPr>
      <w:keepNext/>
      <w:keepLines/>
      <w:spacing w:beforeLines="50" w:afterLines="50"/>
      <w:outlineLvl w:val="1"/>
    </w:pPr>
    <w:rPr>
      <w:rFonts w:ascii="Times New Roman" w:hAnsi="Times New Roman" w:eastAsia="黑体" w:cs="Times New Roman"/>
      <w:sz w:val="28"/>
      <w:lang w:val="en-US" w:eastAsia="zh-CN" w:bidi="ar-SA"/>
    </w:rPr>
  </w:style>
  <w:style w:type="paragraph" w:customStyle="1" w:styleId="952">
    <w:name w:val="Char Char Char Char2"/>
    <w:basedOn w:val="1"/>
    <w:autoRedefine/>
    <w:qFormat/>
    <w:uiPriority w:val="0"/>
    <w:rPr>
      <w:szCs w:val="24"/>
    </w:rPr>
  </w:style>
  <w:style w:type="paragraph" w:customStyle="1" w:styleId="953">
    <w:name w:val="Char Char2 Char Char Char1 Char Char Char Char1"/>
    <w:basedOn w:val="1"/>
    <w:autoRedefine/>
    <w:qFormat/>
    <w:uiPriority w:val="0"/>
  </w:style>
  <w:style w:type="paragraph" w:customStyle="1" w:styleId="954">
    <w:name w:val="正文中二级标题胡"/>
    <w:basedOn w:val="1"/>
    <w:autoRedefine/>
    <w:qFormat/>
    <w:uiPriority w:val="0"/>
    <w:pPr>
      <w:outlineLvl w:val="1"/>
    </w:pPr>
    <w:rPr>
      <w:rFonts w:eastAsia="黑体"/>
      <w:sz w:val="28"/>
      <w:szCs w:val="24"/>
    </w:rPr>
  </w:style>
  <w:style w:type="paragraph" w:customStyle="1" w:styleId="955">
    <w:name w:val="Char Char Char1 Char"/>
    <w:basedOn w:val="1"/>
    <w:autoRedefine/>
    <w:qFormat/>
    <w:uiPriority w:val="0"/>
    <w:pPr>
      <w:ind w:firstLine="800"/>
    </w:pPr>
    <w:rPr>
      <w:rFonts w:ascii="Tahoma" w:hAnsi="Tahoma"/>
      <w:kern w:val="0"/>
    </w:rPr>
  </w:style>
  <w:style w:type="paragraph" w:customStyle="1" w:styleId="956">
    <w:name w:val="样式 标题 2 + 段前: 7.8 磅 段后: 7.8 磅 行距: 1.5 倍行距"/>
    <w:basedOn w:val="10"/>
    <w:link w:val="1486"/>
    <w:autoRedefine/>
    <w:qFormat/>
    <w:uiPriority w:val="0"/>
    <w:pPr>
      <w:spacing w:before="156" w:after="156"/>
    </w:pPr>
    <w:rPr>
      <w:rFonts w:eastAsia="黑体"/>
      <w:b w:val="0"/>
      <w:szCs w:val="20"/>
    </w:rPr>
  </w:style>
  <w:style w:type="paragraph" w:customStyle="1" w:styleId="957">
    <w:name w:val="Char11 Char Char Char"/>
    <w:basedOn w:val="1"/>
    <w:autoRedefine/>
    <w:qFormat/>
    <w:uiPriority w:val="0"/>
    <w:rPr>
      <w:rFonts w:ascii="宋体" w:hAnsi="宋体" w:cs="宋体"/>
      <w:szCs w:val="24"/>
    </w:rPr>
  </w:style>
  <w:style w:type="paragraph" w:customStyle="1" w:styleId="958">
    <w:name w:val="declear"/>
    <w:basedOn w:val="1"/>
    <w:autoRedefine/>
    <w:qFormat/>
    <w:uiPriority w:val="0"/>
    <w:pPr>
      <w:spacing w:before="100" w:beforeAutospacing="1" w:after="100" w:afterAutospacing="1"/>
    </w:pPr>
    <w:rPr>
      <w:rFonts w:ascii="宋体" w:hAnsi="宋体" w:cs="宋体"/>
      <w:kern w:val="0"/>
      <w:szCs w:val="24"/>
    </w:rPr>
  </w:style>
  <w:style w:type="paragraph" w:customStyle="1" w:styleId="959">
    <w:name w:val="Char Char Char Char Char Char Char"/>
    <w:basedOn w:val="1"/>
    <w:autoRedefine/>
    <w:qFormat/>
    <w:uiPriority w:val="0"/>
    <w:rPr>
      <w:rFonts w:eastAsia="仿宋_GB2312"/>
      <w:spacing w:val="-20"/>
      <w:sz w:val="32"/>
    </w:rPr>
  </w:style>
  <w:style w:type="paragraph" w:customStyle="1" w:styleId="960">
    <w:name w:val="Char Char2 Char Char Char Char Char Char Char Char Char Char Char Char Char Char Char Char Char Char"/>
    <w:basedOn w:val="1"/>
    <w:autoRedefine/>
    <w:qFormat/>
    <w:uiPriority w:val="0"/>
    <w:rPr>
      <w:szCs w:val="24"/>
    </w:rPr>
  </w:style>
  <w:style w:type="paragraph" w:customStyle="1" w:styleId="961">
    <w:name w:val="a表格标题"/>
    <w:basedOn w:val="1"/>
    <w:autoRedefine/>
    <w:qFormat/>
    <w:uiPriority w:val="0"/>
    <w:pPr>
      <w:ind w:firstLine="527" w:firstLineChars="250"/>
    </w:pPr>
    <w:rPr>
      <w:rFonts w:ascii="宋体" w:eastAsia="Times New Roman"/>
      <w:b/>
      <w:kern w:val="0"/>
      <w:szCs w:val="21"/>
    </w:rPr>
  </w:style>
  <w:style w:type="paragraph" w:customStyle="1" w:styleId="962">
    <w:name w:val="样式 标题 3 + Arial"/>
    <w:basedOn w:val="1"/>
    <w:autoRedefine/>
    <w:qFormat/>
    <w:uiPriority w:val="0"/>
  </w:style>
  <w:style w:type="paragraph" w:customStyle="1" w:styleId="963">
    <w:name w:val="xl52"/>
    <w:basedOn w:val="1"/>
    <w:autoRedefine/>
    <w:qFormat/>
    <w:uiPriority w:val="0"/>
    <w:pPr>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 w:val="20"/>
    </w:rPr>
  </w:style>
  <w:style w:type="paragraph" w:customStyle="1" w:styleId="964">
    <w:name w:val="燕山正文 Char Char"/>
    <w:basedOn w:val="1"/>
    <w:autoRedefine/>
    <w:qFormat/>
    <w:uiPriority w:val="0"/>
    <w:pPr>
      <w:tabs>
        <w:tab w:val="left" w:pos="798"/>
        <w:tab w:val="left" w:pos="900"/>
        <w:tab w:val="left" w:pos="1176"/>
        <w:tab w:val="left" w:pos="1440"/>
        <w:tab w:val="left" w:pos="4680"/>
      </w:tabs>
      <w:spacing w:line="400" w:lineRule="exact"/>
      <w:ind w:firstLine="643" w:firstLineChars="268"/>
    </w:pPr>
    <w:rPr>
      <w:szCs w:val="24"/>
    </w:rPr>
  </w:style>
  <w:style w:type="paragraph" w:customStyle="1" w:styleId="965">
    <w:name w:val="Char Char16 Char Char"/>
    <w:basedOn w:val="1"/>
    <w:autoRedefine/>
    <w:qFormat/>
    <w:uiPriority w:val="0"/>
    <w:pPr>
      <w:spacing w:after="160" w:line="240" w:lineRule="exact"/>
    </w:pPr>
    <w:rPr>
      <w:rFonts w:ascii="Verdana" w:hAnsi="Verdana" w:eastAsia="仿宋_GB2312"/>
      <w:b/>
      <w:kern w:val="0"/>
      <w:sz w:val="28"/>
      <w:szCs w:val="30"/>
      <w:lang w:eastAsia="en-US"/>
    </w:rPr>
  </w:style>
  <w:style w:type="paragraph" w:customStyle="1" w:styleId="966">
    <w:name w:val="1标题4级"/>
    <w:basedOn w:val="842"/>
    <w:autoRedefine/>
    <w:qFormat/>
    <w:uiPriority w:val="0"/>
  </w:style>
  <w:style w:type="paragraph" w:customStyle="1" w:styleId="967">
    <w:name w:val="zhang正文"/>
    <w:basedOn w:val="35"/>
    <w:autoRedefine/>
    <w:qFormat/>
    <w:uiPriority w:val="0"/>
    <w:pPr>
      <w:autoSpaceDE w:val="0"/>
      <w:autoSpaceDN w:val="0"/>
      <w:adjustRightInd w:val="0"/>
      <w:snapToGrid w:val="0"/>
      <w:spacing w:after="0" w:line="500" w:lineRule="exact"/>
      <w:ind w:left="0" w:leftChars="0" w:firstLine="539" w:firstLineChars="0"/>
      <w:textAlignment w:val="baseline"/>
    </w:pPr>
    <w:rPr>
      <w:rFonts w:eastAsia="楷体_GB2312"/>
      <w:kern w:val="0"/>
      <w:sz w:val="28"/>
    </w:rPr>
  </w:style>
  <w:style w:type="paragraph" w:customStyle="1" w:styleId="968">
    <w:name w:val="TOC 标题1"/>
    <w:basedOn w:val="9"/>
    <w:next w:val="1"/>
    <w:autoRedefine/>
    <w:qFormat/>
    <w:uiPriority w:val="0"/>
    <w:pPr>
      <w:spacing w:before="480" w:line="276" w:lineRule="auto"/>
      <w:ind w:firstLine="800" w:firstLineChars="200"/>
      <w:outlineLvl w:val="9"/>
    </w:pPr>
    <w:rPr>
      <w:rFonts w:ascii="Cambria" w:hAnsi="Cambria"/>
      <w:color w:val="365F91"/>
      <w:kern w:val="0"/>
      <w:sz w:val="28"/>
      <w:szCs w:val="28"/>
    </w:rPr>
  </w:style>
  <w:style w:type="paragraph" w:customStyle="1" w:styleId="969">
    <w:name w:val="S表格"/>
    <w:basedOn w:val="1"/>
    <w:autoRedefine/>
    <w:qFormat/>
    <w:uiPriority w:val="0"/>
    <w:pPr>
      <w:spacing w:before="240"/>
      <w:outlineLvl w:val="2"/>
    </w:pPr>
    <w:rPr>
      <w:bCs/>
      <w:szCs w:val="24"/>
    </w:rPr>
  </w:style>
  <w:style w:type="paragraph" w:customStyle="1" w:styleId="970">
    <w:name w:val="LX标题3"/>
    <w:basedOn w:val="1"/>
    <w:next w:val="1"/>
    <w:link w:val="1536"/>
    <w:autoRedefine/>
    <w:qFormat/>
    <w:uiPriority w:val="0"/>
    <w:pPr>
      <w:keepNext/>
      <w:keepLines/>
      <w:spacing w:beforeLines="100"/>
      <w:outlineLvl w:val="2"/>
    </w:pPr>
    <w:rPr>
      <w:b/>
      <w:spacing w:val="5"/>
      <w:kern w:val="0"/>
      <w:sz w:val="28"/>
    </w:rPr>
  </w:style>
  <w:style w:type="paragraph" w:customStyle="1" w:styleId="971">
    <w:name w:val="PSPSPSPS"/>
    <w:basedOn w:val="1"/>
    <w:autoRedefine/>
    <w:qFormat/>
    <w:uiPriority w:val="0"/>
    <w:pPr>
      <w:adjustRightInd w:val="0"/>
      <w:spacing w:line="600" w:lineRule="atLeast"/>
      <w:textAlignment w:val="baseline"/>
    </w:pPr>
    <w:rPr>
      <w:kern w:val="0"/>
      <w:sz w:val="28"/>
    </w:rPr>
  </w:style>
  <w:style w:type="paragraph" w:customStyle="1" w:styleId="972">
    <w:name w:val="样式 标题 4H4款标题1.1.1.1 + 四号"/>
    <w:basedOn w:val="12"/>
    <w:autoRedefine/>
    <w:qFormat/>
    <w:uiPriority w:val="0"/>
    <w:pPr>
      <w:tabs>
        <w:tab w:val="left" w:pos="700"/>
      </w:tabs>
      <w:spacing w:line="240" w:lineRule="auto"/>
      <w:ind w:left="700"/>
    </w:pPr>
    <w:rPr>
      <w:rFonts w:ascii="Arial" w:hAnsi="Arial" w:eastAsia="黑体"/>
      <w:b w:val="0"/>
      <w:bCs w:val="0"/>
      <w:szCs w:val="24"/>
    </w:rPr>
  </w:style>
  <w:style w:type="paragraph" w:customStyle="1" w:styleId="973">
    <w:name w:val="修订11"/>
    <w:autoRedefine/>
    <w:semiHidden/>
    <w:qFormat/>
    <w:uiPriority w:val="99"/>
    <w:rPr>
      <w:rFonts w:ascii="Times New Roman" w:hAnsi="Times New Roman" w:eastAsia="宋体" w:cs="Times New Roman"/>
      <w:kern w:val="2"/>
      <w:sz w:val="24"/>
      <w:lang w:val="en-US" w:eastAsia="zh-CN" w:bidi="ar-SA"/>
    </w:rPr>
  </w:style>
  <w:style w:type="paragraph" w:customStyle="1" w:styleId="974">
    <w:name w:val="6表内容"/>
    <w:basedOn w:val="1"/>
    <w:autoRedefine/>
    <w:qFormat/>
    <w:uiPriority w:val="0"/>
    <w:pPr>
      <w:spacing w:line="340" w:lineRule="exact"/>
      <w:jc w:val="center"/>
    </w:pPr>
    <w:rPr>
      <w:rFonts w:ascii="宋体" w:hAnsi="宋体" w:cs="宋体"/>
      <w:color w:val="000000"/>
      <w:kern w:val="0"/>
      <w:szCs w:val="24"/>
    </w:rPr>
  </w:style>
  <w:style w:type="paragraph" w:customStyle="1" w:styleId="975">
    <w:name w:val="a9"/>
    <w:basedOn w:val="1"/>
    <w:autoRedefine/>
    <w:qFormat/>
    <w:uiPriority w:val="0"/>
    <w:pPr>
      <w:spacing w:before="100" w:beforeAutospacing="1" w:after="100" w:afterAutospacing="1"/>
    </w:pPr>
    <w:rPr>
      <w:rFonts w:ascii="宋体" w:hAnsi="宋体" w:cs="宋体"/>
      <w:kern w:val="0"/>
      <w:szCs w:val="24"/>
    </w:rPr>
  </w:style>
  <w:style w:type="paragraph" w:customStyle="1" w:styleId="976">
    <w:name w:val="CC Char Char Char Char Char Char"/>
    <w:basedOn w:val="49"/>
    <w:next w:val="49"/>
    <w:autoRedefine/>
    <w:qFormat/>
    <w:uiPriority w:val="0"/>
    <w:pPr>
      <w:ind w:left="630" w:leftChars="100" w:right="100" w:rightChars="100"/>
    </w:pPr>
    <w:rPr>
      <w:kern w:val="0"/>
      <w:sz w:val="20"/>
      <w:szCs w:val="24"/>
    </w:rPr>
  </w:style>
  <w:style w:type="paragraph" w:customStyle="1" w:styleId="977">
    <w:name w:val="样式 报告正文 + 首行缩进:  2 字符"/>
    <w:basedOn w:val="883"/>
    <w:link w:val="1736"/>
    <w:autoRedefine/>
    <w:qFormat/>
    <w:uiPriority w:val="0"/>
    <w:pPr>
      <w:tabs>
        <w:tab w:val="clear" w:pos="5040"/>
      </w:tabs>
      <w:adjustRightInd w:val="0"/>
      <w:snapToGrid w:val="0"/>
      <w:spacing w:line="440" w:lineRule="exact"/>
      <w:ind w:firstLine="480"/>
    </w:pPr>
    <w:rPr>
      <w:sz w:val="24"/>
      <w:szCs w:val="24"/>
    </w:rPr>
  </w:style>
  <w:style w:type="paragraph" w:customStyle="1" w:styleId="978">
    <w:name w:val="文字1"/>
    <w:basedOn w:val="904"/>
    <w:autoRedefine/>
    <w:qFormat/>
    <w:uiPriority w:val="0"/>
    <w:pPr>
      <w:ind w:left="181" w:leftChars="86" w:firstLine="480" w:firstLineChars="200"/>
    </w:pPr>
  </w:style>
  <w:style w:type="paragraph" w:customStyle="1" w:styleId="979">
    <w:name w:val="孙佳正文样式"/>
    <w:basedOn w:val="1"/>
    <w:link w:val="1333"/>
    <w:autoRedefine/>
    <w:qFormat/>
    <w:uiPriority w:val="0"/>
    <w:pPr>
      <w:adjustRightInd w:val="0"/>
      <w:spacing w:before="120" w:line="440" w:lineRule="exact"/>
      <w:ind w:firstLine="560"/>
      <w:textAlignment w:val="baseline"/>
    </w:pPr>
    <w:rPr>
      <w:rFonts w:ascii="华文楷体" w:hAnsi="华文楷体" w:eastAsia="华文楷体"/>
      <w:kern w:val="0"/>
      <w:sz w:val="28"/>
      <w:szCs w:val="28"/>
    </w:rPr>
  </w:style>
  <w:style w:type="paragraph" w:customStyle="1" w:styleId="980">
    <w:name w:val="Char Char Char1 Char Char Char Char1"/>
    <w:basedOn w:val="1"/>
    <w:next w:val="1"/>
    <w:autoRedefine/>
    <w:qFormat/>
    <w:uiPriority w:val="0"/>
  </w:style>
  <w:style w:type="paragraph" w:customStyle="1" w:styleId="981">
    <w:name w:val="样式 标题 1H1NMP Heading 1 + 黑体 三号 两端对齐 行距: 1.5 倍行距"/>
    <w:basedOn w:val="9"/>
    <w:autoRedefine/>
    <w:qFormat/>
    <w:uiPriority w:val="0"/>
    <w:pPr>
      <w:keepLines w:val="0"/>
      <w:tabs>
        <w:tab w:val="left" w:pos="615"/>
      </w:tabs>
      <w:spacing w:beforeLines="50" w:afterLines="50"/>
      <w:jc w:val="center"/>
    </w:pPr>
    <w:rPr>
      <w:rFonts w:ascii="宋体" w:hAnsi="宋体"/>
      <w:bCs w:val="0"/>
      <w:kern w:val="2"/>
      <w:szCs w:val="32"/>
    </w:rPr>
  </w:style>
  <w:style w:type="paragraph" w:customStyle="1" w:styleId="982">
    <w:name w:val="xl47"/>
    <w:basedOn w:val="1"/>
    <w:autoRedefine/>
    <w:qFormat/>
    <w:uiPriority w:val="0"/>
    <w:pPr>
      <w:pBdr>
        <w:bottom w:val="single" w:color="auto" w:sz="8" w:space="0"/>
      </w:pBdr>
      <w:spacing w:before="100" w:beforeAutospacing="1" w:after="100" w:afterAutospacing="1"/>
      <w:jc w:val="center"/>
    </w:pPr>
    <w:rPr>
      <w:rFonts w:ascii="Arial Unicode MS" w:hAnsi="Arial Unicode MS" w:eastAsia="Arial Unicode MS"/>
      <w:kern w:val="0"/>
      <w:sz w:val="20"/>
    </w:rPr>
  </w:style>
  <w:style w:type="paragraph" w:customStyle="1" w:styleId="983">
    <w:name w:val="all"/>
    <w:basedOn w:val="1"/>
    <w:autoRedefine/>
    <w:qFormat/>
    <w:uiPriority w:val="0"/>
    <w:pPr>
      <w:spacing w:before="100" w:beforeAutospacing="1" w:after="100" w:afterAutospacing="1" w:line="300" w:lineRule="atLeast"/>
    </w:pPr>
    <w:rPr>
      <w:rFonts w:ascii="宋体"/>
      <w:color w:val="000000"/>
      <w:kern w:val="0"/>
      <w:szCs w:val="21"/>
    </w:rPr>
  </w:style>
  <w:style w:type="paragraph" w:customStyle="1" w:styleId="984">
    <w:name w:val="xl32"/>
    <w:basedOn w:val="1"/>
    <w:autoRedefine/>
    <w:qFormat/>
    <w:uiPriority w:val="0"/>
    <w:pPr>
      <w:pBdr>
        <w:bottom w:val="single" w:color="auto" w:sz="4" w:space="0"/>
        <w:right w:val="single" w:color="auto" w:sz="4" w:space="0"/>
      </w:pBdr>
      <w:spacing w:before="100" w:beforeAutospacing="1" w:after="100" w:afterAutospacing="1"/>
    </w:pPr>
    <w:rPr>
      <w:rFonts w:ascii="Arial Unicode MS" w:hAnsi="Arial Unicode MS" w:eastAsia="Arial Unicode MS"/>
      <w:bCs/>
      <w:kern w:val="0"/>
      <w:szCs w:val="21"/>
    </w:rPr>
  </w:style>
  <w:style w:type="paragraph" w:customStyle="1" w:styleId="985">
    <w:name w:val="xl58"/>
    <w:basedOn w:val="1"/>
    <w:autoRedefine/>
    <w:qFormat/>
    <w:uiPriority w:val="0"/>
    <w:pPr>
      <w:pBdr>
        <w:top w:val="single" w:color="auto" w:sz="8" w:space="0"/>
        <w:bottom w:val="single" w:color="auto" w:sz="4" w:space="0"/>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986">
    <w:name w:val="01"/>
    <w:basedOn w:val="1"/>
    <w:autoRedefine/>
    <w:qFormat/>
    <w:uiPriority w:val="0"/>
    <w:rPr>
      <w:rFonts w:ascii="Calibri" w:hAnsi="Calibri"/>
      <w:szCs w:val="22"/>
    </w:rPr>
  </w:style>
  <w:style w:type="paragraph" w:customStyle="1" w:styleId="987">
    <w:name w:val="4标"/>
    <w:basedOn w:val="1"/>
    <w:autoRedefine/>
    <w:qFormat/>
    <w:uiPriority w:val="0"/>
    <w:pPr>
      <w:keepNext/>
      <w:keepLines/>
      <w:spacing w:beforeLines="50" w:afterLines="50"/>
      <w:outlineLvl w:val="3"/>
    </w:pPr>
    <w:rPr>
      <w:rFonts w:eastAsia="黑体" w:cs="宋体"/>
    </w:rPr>
  </w:style>
  <w:style w:type="paragraph" w:customStyle="1" w:styleId="988">
    <w:name w:val="Char Char Char2 Char"/>
    <w:basedOn w:val="1"/>
    <w:autoRedefine/>
    <w:qFormat/>
    <w:uiPriority w:val="0"/>
    <w:pPr>
      <w:spacing w:after="160" w:line="240" w:lineRule="exact"/>
    </w:pPr>
    <w:rPr>
      <w:rFonts w:ascii="Calibri" w:hAnsi="Calibri"/>
      <w:szCs w:val="22"/>
    </w:rPr>
  </w:style>
  <w:style w:type="paragraph" w:customStyle="1" w:styleId="989">
    <w:name w:val="样式 标题 3 + (中文) 黑体 段前: 1 行 段后: 1 行"/>
    <w:basedOn w:val="11"/>
    <w:autoRedefine/>
    <w:qFormat/>
    <w:uiPriority w:val="0"/>
    <w:pPr>
      <w:adjustRightInd w:val="0"/>
      <w:snapToGrid w:val="0"/>
      <w:spacing w:beforeLines="150" w:afterLines="50"/>
      <w:ind w:firstLine="200" w:firstLineChars="200"/>
    </w:pPr>
    <w:rPr>
      <w:rFonts w:eastAsia="黑体"/>
      <w:b w:val="0"/>
      <w:bCs w:val="0"/>
      <w:sz w:val="24"/>
      <w:szCs w:val="20"/>
    </w:rPr>
  </w:style>
  <w:style w:type="paragraph" w:customStyle="1" w:styleId="990">
    <w:name w:val="reader-word-layer reader-word-s3-9"/>
    <w:basedOn w:val="1"/>
    <w:autoRedefine/>
    <w:qFormat/>
    <w:uiPriority w:val="0"/>
    <w:pPr>
      <w:spacing w:before="100" w:beforeAutospacing="1" w:after="100" w:afterAutospacing="1"/>
    </w:pPr>
    <w:rPr>
      <w:rFonts w:ascii="宋体" w:hAnsi="宋体" w:cs="宋体"/>
      <w:kern w:val="0"/>
      <w:szCs w:val="24"/>
    </w:rPr>
  </w:style>
  <w:style w:type="paragraph" w:customStyle="1" w:styleId="991">
    <w:name w:val="Char Char Char Char Char Char21"/>
    <w:basedOn w:val="1"/>
    <w:autoRedefine/>
    <w:qFormat/>
    <w:uiPriority w:val="0"/>
    <w:pPr>
      <w:spacing w:after="160" w:line="240" w:lineRule="exact"/>
    </w:pPr>
    <w:rPr>
      <w:rFonts w:ascii="Verdana" w:hAnsi="Verdana" w:eastAsia="仿宋_GB2312"/>
      <w:b/>
      <w:kern w:val="0"/>
      <w:sz w:val="28"/>
      <w:szCs w:val="30"/>
      <w:lang w:eastAsia="en-US"/>
    </w:rPr>
  </w:style>
  <w:style w:type="paragraph" w:customStyle="1" w:styleId="992">
    <w:name w:val="xl49"/>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Cs w:val="21"/>
    </w:rPr>
  </w:style>
  <w:style w:type="paragraph" w:customStyle="1" w:styleId="993">
    <w:name w:val="Char Char Char1 Char1"/>
    <w:basedOn w:val="1"/>
    <w:autoRedefine/>
    <w:qFormat/>
    <w:uiPriority w:val="0"/>
    <w:pPr>
      <w:adjustRightInd w:val="0"/>
      <w:snapToGrid w:val="0"/>
    </w:pPr>
    <w:rPr>
      <w:rFonts w:ascii="宋体" w:hAnsi="宋体" w:cs="宋体"/>
      <w:szCs w:val="24"/>
    </w:rPr>
  </w:style>
  <w:style w:type="paragraph" w:customStyle="1" w:styleId="994">
    <w:name w:val="样式 标题 3"/>
    <w:basedOn w:val="11"/>
    <w:autoRedefine/>
    <w:qFormat/>
    <w:uiPriority w:val="0"/>
    <w:pPr>
      <w:tabs>
        <w:tab w:val="left" w:pos="360"/>
        <w:tab w:val="left" w:pos="567"/>
        <w:tab w:val="left" w:pos="709"/>
      </w:tabs>
      <w:spacing w:line="480" w:lineRule="exact"/>
      <w:ind w:left="360" w:hanging="360"/>
    </w:pPr>
    <w:rPr>
      <w:rFonts w:cs="宋体"/>
      <w:szCs w:val="20"/>
      <w:lang w:eastAsia="en-US"/>
    </w:rPr>
  </w:style>
  <w:style w:type="paragraph" w:customStyle="1" w:styleId="995">
    <w:name w:val="Char Char Char Char Char Char Char Char Char Char Char Char1 Char Char Char Char"/>
    <w:basedOn w:val="1"/>
    <w:next w:val="1"/>
    <w:autoRedefine/>
    <w:qFormat/>
    <w:uiPriority w:val="0"/>
    <w:pPr>
      <w:spacing w:line="336" w:lineRule="auto"/>
    </w:pPr>
    <w:rPr>
      <w:rFonts w:ascii="宋体" w:hAnsi="宋体" w:eastAsia="汉鼎简书宋" w:cs="宋体"/>
      <w:kern w:val="0"/>
      <w:szCs w:val="24"/>
    </w:rPr>
  </w:style>
  <w:style w:type="paragraph" w:customStyle="1" w:styleId="996">
    <w:name w:val="Ay三级标题"/>
    <w:basedOn w:val="1"/>
    <w:link w:val="1577"/>
    <w:autoRedefine/>
    <w:qFormat/>
    <w:uiPriority w:val="0"/>
    <w:pPr>
      <w:ind w:firstLine="482"/>
      <w:outlineLvl w:val="2"/>
    </w:pPr>
    <w:rPr>
      <w:rFonts w:eastAsia="黑体"/>
      <w:b/>
      <w:szCs w:val="24"/>
    </w:rPr>
  </w:style>
  <w:style w:type="paragraph" w:customStyle="1" w:styleId="997">
    <w:name w:val="Char Char Char Char Char2 Char Char Char Char"/>
    <w:basedOn w:val="1"/>
    <w:autoRedefine/>
    <w:qFormat/>
    <w:uiPriority w:val="0"/>
    <w:pPr>
      <w:adjustRightInd w:val="0"/>
      <w:snapToGrid w:val="0"/>
    </w:pPr>
  </w:style>
  <w:style w:type="paragraph" w:customStyle="1" w:styleId="998">
    <w:name w:val="para number"/>
    <w:basedOn w:val="1"/>
    <w:autoRedefine/>
    <w:qFormat/>
    <w:uiPriority w:val="0"/>
    <w:pPr>
      <w:tabs>
        <w:tab w:val="right" w:pos="907"/>
      </w:tabs>
      <w:spacing w:after="300" w:line="300" w:lineRule="exact"/>
      <w:ind w:left="1134" w:hanging="1134"/>
    </w:pPr>
    <w:rPr>
      <w:rFonts w:ascii="FoundryFormSans-Book" w:hAnsi="FoundryFormSans-Book"/>
      <w:kern w:val="0"/>
      <w:szCs w:val="24"/>
      <w:lang w:eastAsia="en-US"/>
    </w:rPr>
  </w:style>
  <w:style w:type="paragraph" w:customStyle="1" w:styleId="999">
    <w:name w:val="xl57"/>
    <w:basedOn w:val="1"/>
    <w:autoRedefine/>
    <w:qFormat/>
    <w:uiPriority w:val="0"/>
    <w:pPr>
      <w:pBdr>
        <w:top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Cs w:val="21"/>
    </w:rPr>
  </w:style>
  <w:style w:type="paragraph" w:customStyle="1" w:styleId="1000">
    <w:name w:val="SEK level 2"/>
    <w:basedOn w:val="1"/>
    <w:autoRedefine/>
    <w:semiHidden/>
    <w:qFormat/>
    <w:uiPriority w:val="0"/>
    <w:pPr>
      <w:keepNext/>
      <w:tabs>
        <w:tab w:val="left" w:pos="567"/>
        <w:tab w:val="left" w:pos="780"/>
      </w:tabs>
      <w:spacing w:before="380"/>
      <w:ind w:left="567" w:hanging="567"/>
      <w:outlineLvl w:val="1"/>
    </w:pPr>
    <w:rPr>
      <w:rFonts w:ascii="Arial" w:hAnsi="Arial" w:eastAsia="PMingLiU"/>
      <w:b/>
      <w:kern w:val="0"/>
      <w:lang w:val="en-GB" w:eastAsia="zh-TW"/>
    </w:rPr>
  </w:style>
  <w:style w:type="paragraph" w:customStyle="1" w:styleId="1001">
    <w:name w:val="Char Char Char1 Char Char Char Char"/>
    <w:basedOn w:val="1"/>
    <w:autoRedefine/>
    <w:qFormat/>
    <w:uiPriority w:val="0"/>
    <w:rPr>
      <w:kern w:val="0"/>
      <w:sz w:val="20"/>
    </w:rPr>
  </w:style>
  <w:style w:type="paragraph" w:customStyle="1" w:styleId="1002">
    <w:name w:val="reader-word-layer reader-word-s3-44"/>
    <w:basedOn w:val="1"/>
    <w:autoRedefine/>
    <w:qFormat/>
    <w:uiPriority w:val="0"/>
    <w:pPr>
      <w:spacing w:before="100" w:beforeAutospacing="1" w:after="100" w:afterAutospacing="1"/>
    </w:pPr>
    <w:rPr>
      <w:rFonts w:ascii="宋体" w:hAnsi="宋体" w:cs="宋体"/>
      <w:kern w:val="0"/>
      <w:szCs w:val="24"/>
    </w:rPr>
  </w:style>
  <w:style w:type="paragraph" w:customStyle="1" w:styleId="1003">
    <w:name w:val="k标题1"/>
    <w:basedOn w:val="1"/>
    <w:autoRedefine/>
    <w:qFormat/>
    <w:uiPriority w:val="0"/>
    <w:pPr>
      <w:keepNext/>
      <w:keepLines/>
      <w:autoSpaceDE w:val="0"/>
      <w:autoSpaceDN w:val="0"/>
      <w:adjustRightInd w:val="0"/>
      <w:snapToGrid w:val="0"/>
      <w:spacing w:before="240" w:after="240"/>
      <w:outlineLvl w:val="0"/>
    </w:pPr>
    <w:rPr>
      <w:rFonts w:eastAsia="黑体"/>
      <w:color w:val="000000"/>
      <w:kern w:val="0"/>
      <w:sz w:val="32"/>
    </w:rPr>
  </w:style>
  <w:style w:type="paragraph" w:customStyle="1" w:styleId="1004">
    <w:name w:val="M表头"/>
    <w:basedOn w:val="1"/>
    <w:next w:val="1"/>
    <w:autoRedefine/>
    <w:qFormat/>
    <w:uiPriority w:val="0"/>
    <w:pPr>
      <w:widowControl w:val="0"/>
      <w:spacing w:beforeLines="50"/>
      <w:jc w:val="center"/>
    </w:pPr>
    <w:rPr>
      <w:rFonts w:eastAsia="黑体"/>
      <w:bCs/>
      <w:szCs w:val="21"/>
    </w:rPr>
  </w:style>
  <w:style w:type="paragraph" w:customStyle="1" w:styleId="1005">
    <w:name w:val="xl65"/>
    <w:basedOn w:val="1"/>
    <w:autoRedefine/>
    <w:qFormat/>
    <w:uiPriority w:val="0"/>
    <w:pPr>
      <w:pBdr>
        <w:left w:val="single" w:color="auto" w:sz="8" w:space="0"/>
        <w:right w:val="single" w:color="auto" w:sz="4" w:space="0"/>
      </w:pBdr>
      <w:spacing w:before="100" w:beforeAutospacing="1" w:after="100" w:afterAutospacing="1"/>
      <w:jc w:val="center"/>
      <w:textAlignment w:val="center"/>
    </w:pPr>
    <w:rPr>
      <w:rFonts w:eastAsia="Arial Unicode MS"/>
      <w:kern w:val="0"/>
      <w:sz w:val="20"/>
    </w:rPr>
  </w:style>
  <w:style w:type="paragraph" w:customStyle="1" w:styleId="1006">
    <w:name w:val="Title.3"/>
    <w:next w:val="1"/>
    <w:autoRedefine/>
    <w:qFormat/>
    <w:uiPriority w:val="0"/>
    <w:pPr>
      <w:keepNext/>
      <w:keepLines/>
      <w:spacing w:beforeLines="50" w:line="360" w:lineRule="auto"/>
      <w:outlineLvl w:val="2"/>
    </w:pPr>
    <w:rPr>
      <w:rFonts w:ascii="Times New Roman" w:hAnsi="Times New Roman" w:eastAsia="仿宋_GB2312" w:cs="Times New Roman"/>
      <w:sz w:val="28"/>
      <w:lang w:val="en-US" w:eastAsia="zh-CN" w:bidi="ar-SA"/>
    </w:rPr>
  </w:style>
  <w:style w:type="paragraph" w:customStyle="1" w:styleId="1007">
    <w:name w:val="2级"/>
    <w:basedOn w:val="10"/>
    <w:autoRedefine/>
    <w:qFormat/>
    <w:uiPriority w:val="0"/>
    <w:pPr>
      <w:spacing w:before="120" w:after="120"/>
    </w:pPr>
    <w:rPr>
      <w:rFonts w:eastAsia="黑体"/>
    </w:rPr>
  </w:style>
  <w:style w:type="paragraph" w:customStyle="1" w:styleId="1008">
    <w:name w:val="font6"/>
    <w:basedOn w:val="1"/>
    <w:autoRedefine/>
    <w:qFormat/>
    <w:uiPriority w:val="0"/>
    <w:pPr>
      <w:spacing w:before="100" w:beforeAutospacing="1" w:after="100" w:afterAutospacing="1"/>
    </w:pPr>
    <w:rPr>
      <w:kern w:val="0"/>
    </w:rPr>
  </w:style>
  <w:style w:type="paragraph" w:customStyle="1" w:styleId="1009">
    <w:name w:val="Char Char Char2 Char Char Char Char"/>
    <w:basedOn w:val="1"/>
    <w:autoRedefine/>
    <w:qFormat/>
    <w:uiPriority w:val="0"/>
    <w:pPr>
      <w:adjustRightInd w:val="0"/>
      <w:spacing w:line="360" w:lineRule="atLeast"/>
    </w:pPr>
    <w:rPr>
      <w:szCs w:val="24"/>
    </w:rPr>
  </w:style>
  <w:style w:type="paragraph" w:styleId="1010">
    <w:name w:val="No Spacing"/>
    <w:autoRedefine/>
    <w:qFormat/>
    <w:uiPriority w:val="1"/>
    <w:rPr>
      <w:rFonts w:ascii="Times New Roman" w:hAnsi="Times New Roman" w:eastAsia="宋体" w:cs="Times New Roman"/>
      <w:sz w:val="22"/>
      <w:lang w:val="en-US" w:eastAsia="zh-CN" w:bidi="ar-SA"/>
    </w:rPr>
  </w:style>
  <w:style w:type="paragraph" w:customStyle="1" w:styleId="1011">
    <w:name w:val="Char3"/>
    <w:basedOn w:val="1"/>
    <w:autoRedefine/>
    <w:qFormat/>
    <w:uiPriority w:val="0"/>
    <w:rPr>
      <w:szCs w:val="24"/>
    </w:rPr>
  </w:style>
  <w:style w:type="paragraph" w:customStyle="1" w:styleId="1012">
    <w:name w:val="Normal_61"/>
    <w:basedOn w:val="1"/>
    <w:autoRedefine/>
    <w:qFormat/>
    <w:uiPriority w:val="0"/>
    <w:pPr>
      <w:spacing w:before="120" w:after="240"/>
    </w:pPr>
    <w:rPr>
      <w:rFonts w:ascii="Calibri" w:hAnsi="Calibri" w:cs="Calibri"/>
      <w:kern w:val="0"/>
      <w:sz w:val="22"/>
      <w:szCs w:val="22"/>
    </w:rPr>
  </w:style>
  <w:style w:type="paragraph" w:customStyle="1" w:styleId="1013">
    <w:name w:val="Char Char Char Char Char Char Char Char Char"/>
    <w:basedOn w:val="1"/>
    <w:autoRedefine/>
    <w:qFormat/>
    <w:uiPriority w:val="0"/>
    <w:pPr>
      <w:spacing w:after="160" w:line="240" w:lineRule="exact"/>
      <w:ind w:firstLine="800"/>
    </w:pPr>
    <w:rPr>
      <w:rFonts w:ascii="Verdana" w:hAnsi="Verdana" w:cs="Verdana"/>
      <w:kern w:val="0"/>
      <w:sz w:val="20"/>
      <w:lang w:eastAsia="en-US"/>
    </w:rPr>
  </w:style>
  <w:style w:type="paragraph" w:customStyle="1" w:styleId="1014">
    <w:name w:val="样式 标题 3 + 左侧:  5.1 毫米 首行缩进:  0 毫米"/>
    <w:basedOn w:val="11"/>
    <w:autoRedefine/>
    <w:qFormat/>
    <w:uiPriority w:val="0"/>
    <w:pPr>
      <w:keepLines w:val="0"/>
      <w:tabs>
        <w:tab w:val="left" w:pos="975"/>
      </w:tabs>
      <w:spacing w:beforeLines="50" w:afterLines="50" w:line="240" w:lineRule="auto"/>
    </w:pPr>
    <w:rPr>
      <w:bCs w:val="0"/>
      <w:sz w:val="24"/>
      <w:szCs w:val="24"/>
    </w:rPr>
  </w:style>
  <w:style w:type="paragraph" w:customStyle="1" w:styleId="1015">
    <w:name w:val="indent"/>
    <w:basedOn w:val="1"/>
    <w:autoRedefine/>
    <w:qFormat/>
    <w:uiPriority w:val="0"/>
    <w:pPr>
      <w:spacing w:before="100" w:beforeAutospacing="1" w:after="100" w:afterAutospacing="1"/>
      <w:ind w:firstLine="480"/>
    </w:pPr>
    <w:rPr>
      <w:rFonts w:ascii="宋体" w:hAnsi="宋体" w:cs="宋体"/>
      <w:kern w:val="0"/>
      <w:szCs w:val="24"/>
    </w:rPr>
  </w:style>
  <w:style w:type="paragraph" w:customStyle="1" w:styleId="1016">
    <w:name w:val="p22"/>
    <w:basedOn w:val="1"/>
    <w:autoRedefine/>
    <w:qFormat/>
    <w:uiPriority w:val="99"/>
    <w:rPr>
      <w:kern w:val="0"/>
      <w:szCs w:val="24"/>
    </w:rPr>
  </w:style>
  <w:style w:type="paragraph" w:customStyle="1" w:styleId="1017">
    <w:name w:val="正文文本最新 Char Char Char Char1 Char Char Char Char Char Char1"/>
    <w:basedOn w:val="1"/>
    <w:link w:val="1572"/>
    <w:autoRedefine/>
    <w:qFormat/>
    <w:uiPriority w:val="0"/>
    <w:rPr>
      <w:bCs/>
      <w:kern w:val="0"/>
      <w:sz w:val="28"/>
      <w:szCs w:val="24"/>
    </w:rPr>
  </w:style>
  <w:style w:type="paragraph" w:customStyle="1" w:styleId="1018">
    <w:name w:val="1 Char"/>
    <w:basedOn w:val="1"/>
    <w:autoRedefine/>
    <w:qFormat/>
    <w:uiPriority w:val="0"/>
    <w:rPr>
      <w:szCs w:val="24"/>
    </w:rPr>
  </w:style>
  <w:style w:type="paragraph" w:customStyle="1" w:styleId="1019">
    <w:name w:val="6"/>
    <w:basedOn w:val="1"/>
    <w:next w:val="66"/>
    <w:autoRedefine/>
    <w:qFormat/>
    <w:uiPriority w:val="0"/>
    <w:pPr>
      <w:ind w:firstLine="538" w:firstLineChars="177"/>
    </w:pPr>
    <w:rPr>
      <w:rFonts w:ascii="楷体_GB2312" w:hAnsi="Britannic Bold" w:eastAsia="楷体_GB2312"/>
      <w:spacing w:val="12"/>
      <w:sz w:val="28"/>
      <w:szCs w:val="24"/>
    </w:rPr>
  </w:style>
  <w:style w:type="paragraph" w:customStyle="1" w:styleId="1020">
    <w:name w:val="Char1 Char Char Char21"/>
    <w:basedOn w:val="1"/>
    <w:autoRedefine/>
    <w:qFormat/>
    <w:uiPriority w:val="0"/>
    <w:rPr>
      <w:rFonts w:ascii="宋体" w:cs="宋体"/>
      <w:szCs w:val="24"/>
    </w:rPr>
  </w:style>
  <w:style w:type="paragraph" w:customStyle="1" w:styleId="1021">
    <w:name w:val="报告表正文"/>
    <w:basedOn w:val="1"/>
    <w:autoRedefine/>
    <w:qFormat/>
    <w:uiPriority w:val="0"/>
    <w:pPr>
      <w:adjustRightInd w:val="0"/>
      <w:spacing w:line="300" w:lineRule="auto"/>
      <w:ind w:left="113" w:right="113"/>
      <w:textAlignment w:val="baseline"/>
    </w:pPr>
    <w:rPr>
      <w:kern w:val="0"/>
    </w:rPr>
  </w:style>
  <w:style w:type="paragraph" w:customStyle="1" w:styleId="1022">
    <w:name w:val="Char Char1 Char Char Char Char1"/>
    <w:basedOn w:val="1"/>
    <w:autoRedefine/>
    <w:qFormat/>
    <w:uiPriority w:val="0"/>
    <w:rPr>
      <w:szCs w:val="24"/>
    </w:rPr>
  </w:style>
  <w:style w:type="paragraph" w:customStyle="1" w:styleId="1023">
    <w:name w:val="我的表格"/>
    <w:basedOn w:val="1"/>
    <w:autoRedefine/>
    <w:qFormat/>
    <w:uiPriority w:val="0"/>
    <w:pPr>
      <w:spacing w:line="240" w:lineRule="exact"/>
      <w:jc w:val="center"/>
    </w:pPr>
    <w:rPr>
      <w:color w:val="000000"/>
      <w:szCs w:val="24"/>
    </w:rPr>
  </w:style>
  <w:style w:type="paragraph" w:customStyle="1" w:styleId="1024">
    <w:name w:val="xl44"/>
    <w:basedOn w:val="1"/>
    <w:autoRedefine/>
    <w:qFormat/>
    <w:uiPriority w:val="0"/>
    <w:pPr>
      <w:pBdr>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1025">
    <w:name w:val="Body Text First Indent3"/>
    <w:basedOn w:val="5"/>
    <w:autoRedefine/>
    <w:qFormat/>
    <w:uiPriority w:val="0"/>
    <w:pPr>
      <w:adjustRightInd w:val="0"/>
      <w:spacing w:after="0" w:line="312" w:lineRule="auto"/>
      <w:ind w:firstLine="567"/>
      <w:textAlignment w:val="baseline"/>
    </w:pPr>
    <w:rPr>
      <w:sz w:val="28"/>
    </w:rPr>
  </w:style>
  <w:style w:type="paragraph" w:customStyle="1" w:styleId="1026">
    <w:name w:val="Table thin line"/>
    <w:basedOn w:val="817"/>
    <w:autoRedefine/>
    <w:qFormat/>
    <w:uiPriority w:val="0"/>
  </w:style>
  <w:style w:type="paragraph" w:customStyle="1" w:styleId="1027">
    <w:name w:val="zxz5"/>
    <w:next w:val="1"/>
    <w:autoRedefine/>
    <w:qFormat/>
    <w:uiPriority w:val="0"/>
    <w:pPr>
      <w:tabs>
        <w:tab w:val="left" w:pos="0"/>
      </w:tabs>
      <w:jc w:val="center"/>
    </w:pPr>
    <w:rPr>
      <w:rFonts w:ascii="Times New Roman" w:hAnsi="Times New Roman" w:eastAsia="宋体" w:cs="Times New Roman"/>
      <w:lang w:val="en-US" w:eastAsia="zh-CN" w:bidi="ar-SA"/>
    </w:rPr>
  </w:style>
  <w:style w:type="paragraph" w:customStyle="1" w:styleId="1028">
    <w:name w:val="样式 标题 2 + 黑体 四号 非加粗 段前: 0 磅 段后: 0 磅 行距: 1.5 倍行距"/>
    <w:basedOn w:val="10"/>
    <w:autoRedefine/>
    <w:qFormat/>
    <w:uiPriority w:val="0"/>
    <w:pPr>
      <w:spacing w:beforeLines="50" w:afterLines="50" w:line="240" w:lineRule="auto"/>
      <w:ind w:left="1320" w:hanging="420"/>
    </w:pPr>
    <w:rPr>
      <w:rFonts w:eastAsia="黑体"/>
      <w:bCs w:val="0"/>
      <w:color w:val="000000"/>
      <w:szCs w:val="28"/>
    </w:rPr>
  </w:style>
  <w:style w:type="paragraph" w:customStyle="1" w:styleId="1029">
    <w:name w:val="自定义页眉1"/>
    <w:basedOn w:val="1"/>
    <w:autoRedefine/>
    <w:qFormat/>
    <w:uiPriority w:val="99"/>
    <w:pPr>
      <w:pBdr>
        <w:bottom w:val="thinThickSmallGap" w:color="auto" w:sz="12" w:space="1"/>
      </w:pBdr>
    </w:pPr>
    <w:rPr>
      <w:szCs w:val="24"/>
    </w:rPr>
  </w:style>
  <w:style w:type="paragraph" w:customStyle="1" w:styleId="1030">
    <w:name w:val="样式 标题 2节 + (符号) Times New Roman"/>
    <w:basedOn w:val="10"/>
    <w:autoRedefine/>
    <w:qFormat/>
    <w:uiPriority w:val="0"/>
    <w:pPr>
      <w:spacing w:before="240" w:after="120" w:line="240" w:lineRule="auto"/>
    </w:pPr>
    <w:rPr>
      <w:rFonts w:ascii="Arial" w:hAnsi="Arial"/>
    </w:rPr>
  </w:style>
  <w:style w:type="paragraph" w:customStyle="1" w:styleId="1031">
    <w:name w:val="ENUM"/>
    <w:basedOn w:val="1"/>
    <w:autoRedefine/>
    <w:qFormat/>
    <w:uiPriority w:val="0"/>
    <w:pPr>
      <w:tabs>
        <w:tab w:val="left" w:pos="360"/>
        <w:tab w:val="left" w:pos="1418"/>
      </w:tabs>
      <w:spacing w:before="60" w:after="60"/>
      <w:ind w:left="1418" w:hanging="284"/>
    </w:pPr>
    <w:rPr>
      <w:rFonts w:ascii="Arial" w:hAnsi="Arial"/>
      <w:kern w:val="0"/>
      <w:sz w:val="22"/>
      <w:lang w:val="en-GB"/>
    </w:rPr>
  </w:style>
  <w:style w:type="paragraph" w:customStyle="1" w:styleId="1032">
    <w:name w:val="reader-word-layer reader-word-s4-7"/>
    <w:basedOn w:val="1"/>
    <w:autoRedefine/>
    <w:qFormat/>
    <w:uiPriority w:val="0"/>
    <w:pPr>
      <w:spacing w:before="100" w:beforeAutospacing="1" w:after="100" w:afterAutospacing="1"/>
    </w:pPr>
    <w:rPr>
      <w:rFonts w:ascii="宋体" w:hAnsi="宋体" w:cs="宋体"/>
      <w:kern w:val="0"/>
      <w:szCs w:val="24"/>
    </w:rPr>
  </w:style>
  <w:style w:type="paragraph" w:customStyle="1" w:styleId="1033">
    <w:name w:val="Char11 Char Char Char1"/>
    <w:basedOn w:val="1"/>
    <w:autoRedefine/>
    <w:qFormat/>
    <w:uiPriority w:val="0"/>
    <w:rPr>
      <w:rFonts w:ascii="宋体" w:hAnsi="宋体" w:cs="宋体"/>
      <w:szCs w:val="24"/>
    </w:rPr>
  </w:style>
  <w:style w:type="paragraph" w:customStyle="1" w:styleId="1034">
    <w:name w:val="燕山正文"/>
    <w:basedOn w:val="1"/>
    <w:link w:val="1519"/>
    <w:autoRedefine/>
    <w:qFormat/>
    <w:uiPriority w:val="0"/>
    <w:pPr>
      <w:tabs>
        <w:tab w:val="left" w:pos="4680"/>
      </w:tabs>
      <w:adjustRightInd w:val="0"/>
      <w:snapToGrid w:val="0"/>
      <w:jc w:val="center"/>
    </w:pPr>
    <w:rPr>
      <w:rFonts w:hAnsi="宋体"/>
      <w:color w:val="000000"/>
      <w:kern w:val="0"/>
      <w:sz w:val="20"/>
      <w:szCs w:val="21"/>
    </w:rPr>
  </w:style>
  <w:style w:type="paragraph" w:customStyle="1" w:styleId="1035">
    <w:name w:val="报告正文文字"/>
    <w:basedOn w:val="1"/>
    <w:link w:val="1546"/>
    <w:autoRedefine/>
    <w:qFormat/>
    <w:uiPriority w:val="0"/>
    <w:pPr>
      <w:autoSpaceDE w:val="0"/>
      <w:autoSpaceDN w:val="0"/>
      <w:ind w:firstLine="480"/>
    </w:pPr>
    <w:rPr>
      <w:rFonts w:ascii="宋体" w:hAnsi="宋体"/>
      <w:color w:val="000000"/>
      <w:spacing w:val="4"/>
      <w:kern w:val="0"/>
    </w:rPr>
  </w:style>
  <w:style w:type="paragraph" w:customStyle="1" w:styleId="1036">
    <w:name w:val="Normal_4"/>
    <w:autoRedefine/>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037">
    <w:name w:val="BT1"/>
    <w:basedOn w:val="9"/>
    <w:autoRedefine/>
    <w:qFormat/>
    <w:uiPriority w:val="0"/>
    <w:pPr>
      <w:spacing w:line="576" w:lineRule="auto"/>
      <w:jc w:val="center"/>
    </w:pPr>
  </w:style>
  <w:style w:type="paragraph" w:customStyle="1" w:styleId="1038">
    <w:name w:val="reader-word-layer reader-word-s5-0"/>
    <w:basedOn w:val="1"/>
    <w:autoRedefine/>
    <w:qFormat/>
    <w:uiPriority w:val="0"/>
    <w:pPr>
      <w:spacing w:before="100" w:beforeAutospacing="1" w:after="100" w:afterAutospacing="1"/>
    </w:pPr>
    <w:rPr>
      <w:rFonts w:ascii="宋体" w:hAnsi="宋体" w:cs="宋体"/>
      <w:kern w:val="0"/>
      <w:szCs w:val="24"/>
    </w:rPr>
  </w:style>
  <w:style w:type="paragraph" w:customStyle="1" w:styleId="1039">
    <w:name w:val="BIG BOLD"/>
    <w:basedOn w:val="1"/>
    <w:autoRedefine/>
    <w:qFormat/>
    <w:uiPriority w:val="0"/>
    <w:pPr>
      <w:tabs>
        <w:tab w:val="left" w:leader="underscore" w:pos="1134"/>
      </w:tabs>
    </w:pPr>
  </w:style>
  <w:style w:type="paragraph" w:customStyle="1" w:styleId="1040">
    <w:name w:val="s16qcsl240slmult0nowidct"/>
    <w:autoRedefine/>
    <w:qFormat/>
    <w:uiPriority w:val="0"/>
    <w:pPr>
      <w:widowControl w:val="0"/>
      <w:adjustRightInd w:val="0"/>
      <w:textAlignment w:val="baseline"/>
    </w:pPr>
    <w:rPr>
      <w:rFonts w:ascii="Times New Roman" w:hAnsi="Times New Roman" w:eastAsia="宋体" w:cs="Times New Roman"/>
      <w:sz w:val="24"/>
      <w:lang w:val="en-US" w:eastAsia="zh-CN" w:bidi="ar-SA"/>
    </w:rPr>
  </w:style>
  <w:style w:type="paragraph" w:customStyle="1" w:styleId="1041">
    <w:name w:val="xl53"/>
    <w:basedOn w:val="1"/>
    <w:autoRedefine/>
    <w:qFormat/>
    <w:uiPriority w:val="0"/>
    <w:pPr>
      <w:pBdr>
        <w:top w:val="single" w:color="auto" w:sz="4" w:space="0"/>
        <w:left w:val="single" w:color="auto" w:sz="4" w:space="0"/>
      </w:pBdr>
      <w:spacing w:before="100" w:beforeAutospacing="1" w:after="100" w:afterAutospacing="1"/>
      <w:jc w:val="center"/>
      <w:textAlignment w:val="center"/>
    </w:pPr>
    <w:rPr>
      <w:rFonts w:eastAsia="Arial Unicode MS"/>
      <w:kern w:val="0"/>
      <w:szCs w:val="24"/>
    </w:rPr>
  </w:style>
  <w:style w:type="paragraph" w:customStyle="1" w:styleId="1042">
    <w:name w:val="样式 标题 2 + 行距: 1.5 倍行距2"/>
    <w:basedOn w:val="10"/>
    <w:autoRedefine/>
    <w:qFormat/>
    <w:uiPriority w:val="0"/>
    <w:pPr>
      <w:snapToGrid w:val="0"/>
      <w:spacing w:beforeLines="50" w:afterLines="50"/>
      <w:ind w:left="994" w:hanging="992"/>
    </w:pPr>
    <w:rPr>
      <w:rFonts w:eastAsia="黑体" w:cs="宋体"/>
      <w:sz w:val="28"/>
      <w:szCs w:val="28"/>
    </w:rPr>
  </w:style>
  <w:style w:type="paragraph" w:customStyle="1" w:styleId="1043">
    <w:name w:val="xl26"/>
    <w:basedOn w:val="1"/>
    <w:autoRedefine/>
    <w:qFormat/>
    <w:uiPriority w:val="0"/>
    <w:pPr>
      <w:spacing w:before="100" w:after="100"/>
      <w:jc w:val="center"/>
    </w:pPr>
    <w:rPr>
      <w:rFonts w:ascii="宋体" w:hAnsi="宋体"/>
      <w:kern w:val="0"/>
    </w:rPr>
  </w:style>
  <w:style w:type="paragraph" w:customStyle="1" w:styleId="1044">
    <w:name w:val="xl73"/>
    <w:basedOn w:val="1"/>
    <w:autoRedefine/>
    <w:qFormat/>
    <w:uiPriority w:val="0"/>
    <w:pPr>
      <w:pBdr>
        <w:bottom w:val="single" w:color="auto" w:sz="8" w:space="0"/>
      </w:pBdr>
      <w:spacing w:before="100" w:beforeAutospacing="1" w:after="100" w:afterAutospacing="1"/>
      <w:jc w:val="center"/>
    </w:pPr>
    <w:rPr>
      <w:rFonts w:hint="eastAsia" w:ascii="宋体" w:hAnsi="宋体"/>
      <w:kern w:val="0"/>
      <w:szCs w:val="24"/>
    </w:rPr>
  </w:style>
  <w:style w:type="paragraph" w:customStyle="1" w:styleId="1045">
    <w:name w:val="中等深浅网格 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46">
    <w:name w:val="5文章"/>
    <w:basedOn w:val="1"/>
    <w:autoRedefine/>
    <w:qFormat/>
    <w:uiPriority w:val="0"/>
    <w:pPr>
      <w:ind w:firstLine="480"/>
    </w:pPr>
    <w:rPr>
      <w:rFonts w:ascii="Arial" w:hAnsi="Arial" w:cs="Tahoma"/>
      <w:szCs w:val="21"/>
    </w:rPr>
  </w:style>
  <w:style w:type="paragraph" w:customStyle="1" w:styleId="1047">
    <w:name w:val="font5"/>
    <w:basedOn w:val="1"/>
    <w:autoRedefine/>
    <w:qFormat/>
    <w:uiPriority w:val="0"/>
    <w:pPr>
      <w:spacing w:before="100" w:beforeAutospacing="1" w:after="100" w:afterAutospacing="1"/>
    </w:pPr>
    <w:rPr>
      <w:rFonts w:hint="eastAsia" w:ascii="宋体" w:hAnsi="宋体"/>
      <w:kern w:val="0"/>
      <w:sz w:val="18"/>
      <w:szCs w:val="18"/>
    </w:rPr>
  </w:style>
  <w:style w:type="paragraph" w:customStyle="1" w:styleId="1048">
    <w:name w:val="1目录"/>
    <w:basedOn w:val="842"/>
    <w:autoRedefine/>
    <w:qFormat/>
    <w:uiPriority w:val="0"/>
    <w:pPr>
      <w:tabs>
        <w:tab w:val="left" w:leader="middleDot" w:pos="8190"/>
      </w:tabs>
      <w:ind w:left="80"/>
    </w:pPr>
    <w:rPr>
      <w:rFonts w:eastAsia="宋体"/>
      <w:b w:val="0"/>
    </w:rPr>
  </w:style>
  <w:style w:type="paragraph" w:customStyle="1" w:styleId="1049">
    <w:name w:val="font10"/>
    <w:basedOn w:val="1"/>
    <w:autoRedefine/>
    <w:qFormat/>
    <w:uiPriority w:val="0"/>
    <w:pPr>
      <w:spacing w:before="100" w:beforeAutospacing="1" w:after="100" w:afterAutospacing="1"/>
    </w:pPr>
    <w:rPr>
      <w:rFonts w:hint="eastAsia" w:ascii="宋体" w:hAnsi="宋体" w:cs="Arial Unicode MS"/>
      <w:kern w:val="0"/>
      <w:szCs w:val="24"/>
    </w:rPr>
  </w:style>
  <w:style w:type="paragraph" w:customStyle="1" w:styleId="1050">
    <w:name w:val="figure source"/>
    <w:basedOn w:val="26"/>
    <w:autoRedefine/>
    <w:qFormat/>
    <w:uiPriority w:val="0"/>
    <w:pPr>
      <w:tabs>
        <w:tab w:val="right" w:pos="907"/>
      </w:tabs>
      <w:spacing w:line="240" w:lineRule="exact"/>
      <w:ind w:left="1134" w:hanging="1134"/>
    </w:pPr>
    <w:rPr>
      <w:rFonts w:ascii="FoundryFormSans-Book" w:hAnsi="FoundryFormSans-Book" w:eastAsia="宋体"/>
      <w:lang w:eastAsia="en-US"/>
    </w:rPr>
  </w:style>
  <w:style w:type="paragraph" w:customStyle="1" w:styleId="1051">
    <w:name w:val="a)"/>
    <w:basedOn w:val="1"/>
    <w:autoRedefine/>
    <w:qFormat/>
    <w:uiPriority w:val="0"/>
    <w:rPr>
      <w:szCs w:val="24"/>
    </w:rPr>
  </w:style>
  <w:style w:type="paragraph" w:customStyle="1" w:styleId="1052">
    <w:name w:val="policy - coloured"/>
    <w:basedOn w:val="930"/>
    <w:autoRedefine/>
    <w:qFormat/>
    <w:uiPriority w:val="0"/>
    <w:pPr>
      <w:tabs>
        <w:tab w:val="right" w:pos="907"/>
        <w:tab w:val="left" w:pos="1134"/>
        <w:tab w:val="clear" w:pos="1417"/>
      </w:tabs>
      <w:spacing w:after="300"/>
      <w:ind w:left="1134" w:hanging="1134"/>
    </w:pPr>
  </w:style>
  <w:style w:type="paragraph" w:customStyle="1" w:styleId="1053">
    <w:name w:val="样式 标题 1 + 22 磅"/>
    <w:basedOn w:val="9"/>
    <w:autoRedefine/>
    <w:qFormat/>
    <w:uiPriority w:val="0"/>
    <w:pPr>
      <w:tabs>
        <w:tab w:val="left" w:pos="1260"/>
      </w:tabs>
      <w:ind w:left="1260" w:hanging="780" w:firstLineChars="200"/>
    </w:pPr>
    <w:rPr>
      <w:rFonts w:ascii="宋体" w:hAnsi="宋体" w:eastAsia="黑体"/>
      <w:sz w:val="36"/>
      <w:szCs w:val="36"/>
    </w:rPr>
  </w:style>
  <w:style w:type="paragraph" w:customStyle="1" w:styleId="1054">
    <w:name w:val="Char Char Char2 Char1"/>
    <w:basedOn w:val="1"/>
    <w:autoRedefine/>
    <w:qFormat/>
    <w:uiPriority w:val="0"/>
    <w:pPr>
      <w:spacing w:after="160" w:line="240" w:lineRule="exact"/>
    </w:pPr>
    <w:rPr>
      <w:rFonts w:ascii="Calibri" w:hAnsi="Calibri"/>
      <w:szCs w:val="22"/>
    </w:rPr>
  </w:style>
  <w:style w:type="paragraph" w:customStyle="1" w:styleId="1055">
    <w:name w:val="p25"/>
    <w:basedOn w:val="1"/>
    <w:autoRedefine/>
    <w:qFormat/>
    <w:uiPriority w:val="99"/>
    <w:pPr>
      <w:spacing w:after="120"/>
      <w:ind w:firstLine="210"/>
    </w:pPr>
    <w:rPr>
      <w:kern w:val="0"/>
      <w:szCs w:val="21"/>
    </w:rPr>
  </w:style>
  <w:style w:type="paragraph" w:customStyle="1" w:styleId="1056">
    <w:name w:val="xl31"/>
    <w:basedOn w:val="1"/>
    <w:autoRedefine/>
    <w:qFormat/>
    <w:uiPriority w:val="0"/>
    <w:pPr>
      <w:pBdr>
        <w:bottom w:val="single" w:color="auto" w:sz="4" w:space="0"/>
        <w:right w:val="single" w:color="auto" w:sz="4" w:space="0"/>
      </w:pBdr>
      <w:spacing w:before="100" w:beforeAutospacing="1" w:after="100" w:afterAutospacing="1"/>
      <w:jc w:val="center"/>
      <w:textAlignment w:val="top"/>
    </w:pPr>
    <w:rPr>
      <w:rFonts w:ascii="Calibri" w:hAnsi="Calibri"/>
      <w:kern w:val="0"/>
      <w:szCs w:val="21"/>
      <w:lang w:eastAsia="en-US" w:bidi="en-US"/>
    </w:rPr>
  </w:style>
  <w:style w:type="paragraph" w:customStyle="1" w:styleId="1057">
    <w:name w:val="Char Char Char Char3"/>
    <w:basedOn w:val="1"/>
    <w:autoRedefine/>
    <w:qFormat/>
    <w:uiPriority w:val="0"/>
    <w:rPr>
      <w:szCs w:val="24"/>
    </w:rPr>
  </w:style>
  <w:style w:type="paragraph" w:customStyle="1" w:styleId="1058">
    <w:name w:val="figure heading"/>
    <w:basedOn w:val="998"/>
    <w:autoRedefine/>
    <w:qFormat/>
    <w:uiPriority w:val="0"/>
    <w:rPr>
      <w:rFonts w:ascii="New York" w:hAnsi="New York"/>
    </w:rPr>
  </w:style>
  <w:style w:type="paragraph" w:customStyle="1" w:styleId="1059">
    <w:name w:val="reader-word-layer reader-word-s1-7"/>
    <w:basedOn w:val="1"/>
    <w:autoRedefine/>
    <w:qFormat/>
    <w:uiPriority w:val="0"/>
    <w:pPr>
      <w:spacing w:before="100" w:beforeAutospacing="1" w:after="100" w:afterAutospacing="1"/>
    </w:pPr>
    <w:rPr>
      <w:rFonts w:ascii="宋体" w:hAnsi="宋体" w:cs="宋体"/>
      <w:kern w:val="0"/>
      <w:szCs w:val="24"/>
    </w:rPr>
  </w:style>
  <w:style w:type="paragraph" w:customStyle="1" w:styleId="1060">
    <w:name w:val="Normal+2"/>
    <w:basedOn w:val="2"/>
    <w:next w:val="2"/>
    <w:autoRedefine/>
    <w:qFormat/>
    <w:uiPriority w:val="99"/>
    <w:rPr>
      <w:rFonts w:ascii="宋体" w:hAnsi="Calibri"/>
      <w:color w:val="auto"/>
    </w:rPr>
  </w:style>
  <w:style w:type="paragraph" w:customStyle="1" w:styleId="1061">
    <w:name w:val="正文样式100"/>
    <w:basedOn w:val="1"/>
    <w:autoRedefine/>
    <w:qFormat/>
    <w:uiPriority w:val="0"/>
    <w:pPr>
      <w:spacing w:line="360" w:lineRule="exact"/>
      <w:jc w:val="center"/>
    </w:pPr>
    <w:rPr>
      <w:rFonts w:ascii="宋体" w:hAnsi="宋体" w:cs="Courier New"/>
      <w:szCs w:val="21"/>
    </w:rPr>
  </w:style>
  <w:style w:type="paragraph" w:customStyle="1" w:styleId="1062">
    <w:name w:val="BT2"/>
    <w:basedOn w:val="10"/>
    <w:autoRedefine/>
    <w:qFormat/>
    <w:uiPriority w:val="0"/>
    <w:pPr>
      <w:spacing w:line="415" w:lineRule="auto"/>
    </w:pPr>
    <w:rPr>
      <w:rFonts w:eastAsia="黑体"/>
    </w:rPr>
  </w:style>
  <w:style w:type="paragraph" w:customStyle="1" w:styleId="1063">
    <w:name w:val="样式 行距: 1.5 倍行距"/>
    <w:basedOn w:val="1"/>
    <w:autoRedefine/>
    <w:qFormat/>
    <w:uiPriority w:val="0"/>
    <w:rPr>
      <w:rFonts w:eastAsia="黑体"/>
    </w:rPr>
  </w:style>
  <w:style w:type="paragraph" w:customStyle="1" w:styleId="1064">
    <w:name w:val="p21"/>
    <w:basedOn w:val="1"/>
    <w:autoRedefine/>
    <w:qFormat/>
    <w:uiPriority w:val="99"/>
    <w:rPr>
      <w:rFonts w:ascii="宋体" w:hAnsi="宋体" w:cs="宋体"/>
      <w:kern w:val="0"/>
      <w:szCs w:val="21"/>
    </w:rPr>
  </w:style>
  <w:style w:type="paragraph" w:customStyle="1" w:styleId="1065">
    <w:name w:val="aa Char"/>
    <w:basedOn w:val="25"/>
    <w:autoRedefine/>
    <w:qFormat/>
    <w:uiPriority w:val="0"/>
    <w:pPr>
      <w:tabs>
        <w:tab w:val="clear" w:pos="0"/>
      </w:tabs>
      <w:spacing w:line="520" w:lineRule="exact"/>
      <w:ind w:firstLine="561" w:firstLineChars="0"/>
      <w:jc w:val="both"/>
    </w:pPr>
    <w:rPr>
      <w:color w:val="auto"/>
      <w:sz w:val="28"/>
      <w:szCs w:val="21"/>
    </w:rPr>
  </w:style>
  <w:style w:type="paragraph" w:customStyle="1" w:styleId="1066">
    <w:name w:val="Char1 Char Char Char2"/>
    <w:basedOn w:val="1"/>
    <w:autoRedefine/>
    <w:qFormat/>
    <w:uiPriority w:val="0"/>
    <w:rPr>
      <w:rFonts w:ascii="宋体" w:cs="宋体"/>
      <w:szCs w:val="24"/>
    </w:rPr>
  </w:style>
  <w:style w:type="paragraph" w:customStyle="1" w:styleId="1067">
    <w:name w:val="Char Char Char Char Char Char Char Char Char1 Char Char Char Char"/>
    <w:basedOn w:val="1"/>
    <w:autoRedefine/>
    <w:qFormat/>
    <w:uiPriority w:val="0"/>
    <w:pPr>
      <w:ind w:firstLine="800"/>
    </w:pPr>
    <w:rPr>
      <w:kern w:val="0"/>
    </w:rPr>
  </w:style>
  <w:style w:type="paragraph" w:customStyle="1" w:styleId="1068">
    <w:name w:val="pa-1"/>
    <w:basedOn w:val="1"/>
    <w:autoRedefine/>
    <w:qFormat/>
    <w:uiPriority w:val="0"/>
    <w:pPr>
      <w:spacing w:before="150" w:after="150"/>
    </w:pPr>
    <w:rPr>
      <w:rFonts w:ascii="宋体" w:cs="宋体"/>
      <w:kern w:val="0"/>
      <w:szCs w:val="24"/>
    </w:rPr>
  </w:style>
  <w:style w:type="paragraph" w:customStyle="1" w:styleId="1069">
    <w:name w:val="Char Char Char Char"/>
    <w:basedOn w:val="1"/>
    <w:next w:val="1"/>
    <w:autoRedefine/>
    <w:qFormat/>
    <w:uiPriority w:val="0"/>
    <w:rPr>
      <w:rFonts w:ascii="宋体" w:cs="宋体"/>
      <w:szCs w:val="24"/>
    </w:rPr>
  </w:style>
  <w:style w:type="paragraph" w:customStyle="1" w:styleId="1070">
    <w:name w:val="LX标题2"/>
    <w:basedOn w:val="1"/>
    <w:next w:val="1"/>
    <w:link w:val="1513"/>
    <w:autoRedefine/>
    <w:qFormat/>
    <w:uiPriority w:val="0"/>
    <w:pPr>
      <w:keepNext/>
      <w:keepLines/>
      <w:spacing w:beforeLines="100"/>
      <w:outlineLvl w:val="1"/>
    </w:pPr>
    <w:rPr>
      <w:spacing w:val="5"/>
      <w:kern w:val="44"/>
      <w:sz w:val="30"/>
    </w:rPr>
  </w:style>
  <w:style w:type="paragraph" w:customStyle="1" w:styleId="1071">
    <w:name w:val="！"/>
    <w:autoRedefine/>
    <w:qFormat/>
    <w:uiPriority w:val="0"/>
    <w:pPr>
      <w:widowControl w:val="0"/>
      <w:spacing w:line="560" w:lineRule="exact"/>
      <w:ind w:firstLine="200" w:firstLineChars="200"/>
      <w:jc w:val="both"/>
    </w:pPr>
    <w:rPr>
      <w:rFonts w:ascii="Times New Roman" w:hAnsi="Times New Roman" w:eastAsia="宋体" w:cs="Times New Roman"/>
      <w:kern w:val="2"/>
      <w:sz w:val="28"/>
      <w:szCs w:val="28"/>
      <w:lang w:val="en-US" w:eastAsia="zh-CN" w:bidi="ar-SA"/>
    </w:rPr>
  </w:style>
  <w:style w:type="paragraph" w:customStyle="1" w:styleId="1072">
    <w:name w:val="Char Char Char1 Char2"/>
    <w:basedOn w:val="1"/>
    <w:autoRedefine/>
    <w:qFormat/>
    <w:uiPriority w:val="0"/>
    <w:rPr>
      <w:rFonts w:ascii="Tahoma" w:hAnsi="Tahoma"/>
    </w:rPr>
  </w:style>
  <w:style w:type="paragraph" w:customStyle="1" w:styleId="1073">
    <w:name w:val="0表格"/>
    <w:link w:val="1492"/>
    <w:autoRedefine/>
    <w:qFormat/>
    <w:uiPriority w:val="0"/>
    <w:pPr>
      <w:adjustRightInd w:val="0"/>
      <w:snapToGrid w:val="0"/>
      <w:spacing w:before="31" w:after="31"/>
    </w:pPr>
    <w:rPr>
      <w:rFonts w:ascii="Times New Roman" w:hAnsi="Times New Roman" w:eastAsia="宋体" w:cs="Times New Roman"/>
      <w:sz w:val="28"/>
      <w:szCs w:val="28"/>
      <w:lang w:val="en-US" w:eastAsia="zh-CN" w:bidi="ar-SA"/>
    </w:rPr>
  </w:style>
  <w:style w:type="paragraph" w:customStyle="1" w:styleId="1074">
    <w:name w:val="1说明"/>
    <w:basedOn w:val="1075"/>
    <w:autoRedefine/>
    <w:qFormat/>
    <w:uiPriority w:val="0"/>
    <w:pPr>
      <w:ind w:firstLine="454"/>
    </w:pPr>
    <w:rPr>
      <w:sz w:val="21"/>
    </w:rPr>
  </w:style>
  <w:style w:type="paragraph" w:customStyle="1" w:styleId="1075">
    <w:name w:val="1文章"/>
    <w:basedOn w:val="1"/>
    <w:autoRedefine/>
    <w:qFormat/>
    <w:uiPriority w:val="0"/>
    <w:pPr>
      <w:snapToGrid w:val="0"/>
      <w:spacing w:line="420" w:lineRule="auto"/>
      <w:ind w:firstLine="510"/>
      <w:outlineLvl w:val="4"/>
    </w:pPr>
    <w:rPr>
      <w:spacing w:val="4"/>
      <w:szCs w:val="24"/>
    </w:rPr>
  </w:style>
  <w:style w:type="paragraph" w:customStyle="1" w:styleId="1076">
    <w:name w:val="xl3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Cs w:val="24"/>
    </w:rPr>
  </w:style>
  <w:style w:type="paragraph" w:customStyle="1" w:styleId="1077">
    <w:name w:val="xl23"/>
    <w:basedOn w:val="1"/>
    <w:autoRedefine/>
    <w:qFormat/>
    <w:uiPriority w:val="0"/>
    <w:pPr>
      <w:pBdr>
        <w:left w:val="single" w:color="auto" w:sz="4" w:space="0"/>
        <w:bottom w:val="single" w:color="auto" w:sz="4" w:space="0"/>
        <w:right w:val="single" w:color="auto" w:sz="4" w:space="0"/>
      </w:pBdr>
      <w:spacing w:before="100" w:beforeAutospacing="1" w:after="100" w:afterAutospacing="1" w:line="560" w:lineRule="exact"/>
      <w:jc w:val="center"/>
    </w:pPr>
    <w:rPr>
      <w:kern w:val="0"/>
      <w:szCs w:val="21"/>
    </w:rPr>
  </w:style>
  <w:style w:type="paragraph" w:customStyle="1" w:styleId="1078">
    <w:name w:val="xl71"/>
    <w:basedOn w:val="1"/>
    <w:autoRedefine/>
    <w:qFormat/>
    <w:uiPriority w:val="0"/>
    <w:pPr>
      <w:pBdr>
        <w:left w:val="single" w:color="auto" w:sz="4" w:space="0"/>
        <w:bottom w:val="single" w:color="auto" w:sz="8" w:space="0"/>
      </w:pBdr>
      <w:spacing w:before="100" w:beforeAutospacing="1" w:after="100" w:afterAutospacing="1"/>
      <w:jc w:val="center"/>
      <w:textAlignment w:val="center"/>
    </w:pPr>
    <w:rPr>
      <w:rFonts w:eastAsia="Arial Unicode MS"/>
      <w:kern w:val="0"/>
      <w:szCs w:val="24"/>
    </w:rPr>
  </w:style>
  <w:style w:type="paragraph" w:customStyle="1" w:styleId="1079">
    <w:name w:val="1正文段落"/>
    <w:basedOn w:val="1"/>
    <w:link w:val="1544"/>
    <w:autoRedefine/>
    <w:qFormat/>
    <w:uiPriority w:val="0"/>
    <w:rPr>
      <w:snapToGrid w:val="0"/>
      <w:kern w:val="0"/>
      <w:szCs w:val="24"/>
    </w:rPr>
  </w:style>
  <w:style w:type="paragraph" w:customStyle="1" w:styleId="1080">
    <w:name w:val="syh2级标题"/>
    <w:basedOn w:val="1"/>
    <w:link w:val="1753"/>
    <w:autoRedefine/>
    <w:qFormat/>
    <w:uiPriority w:val="0"/>
    <w:pPr>
      <w:keepNext/>
      <w:spacing w:line="500" w:lineRule="exact"/>
      <w:outlineLvl w:val="1"/>
    </w:pPr>
    <w:rPr>
      <w:rFonts w:ascii="黑体" w:hAnsi="宋体" w:eastAsia="黑体"/>
      <w:b/>
      <w:kern w:val="0"/>
      <w:sz w:val="28"/>
      <w:szCs w:val="28"/>
      <w:lang w:val="zh-CN"/>
    </w:rPr>
  </w:style>
  <w:style w:type="paragraph" w:customStyle="1" w:styleId="1081">
    <w:name w:val="样式 标题 2 + 宋体 段前: 7.8 磅 段后: 7.8 磅"/>
    <w:basedOn w:val="10"/>
    <w:autoRedefine/>
    <w:qFormat/>
    <w:uiPriority w:val="0"/>
    <w:pPr>
      <w:spacing w:beforeLines="50" w:afterLines="50"/>
    </w:pPr>
    <w:rPr>
      <w:rFonts w:ascii="宋体" w:hAnsi="宋体" w:cs="宋体"/>
      <w:szCs w:val="24"/>
    </w:rPr>
  </w:style>
  <w:style w:type="paragraph" w:customStyle="1" w:styleId="1082">
    <w:name w:val="项目6"/>
    <w:basedOn w:val="1"/>
    <w:link w:val="1433"/>
    <w:autoRedefine/>
    <w:qFormat/>
    <w:uiPriority w:val="0"/>
    <w:pPr>
      <w:ind w:firstLine="480"/>
    </w:pPr>
    <w:rPr>
      <w:color w:val="000000"/>
      <w:kern w:val="0"/>
      <w:szCs w:val="24"/>
    </w:rPr>
  </w:style>
  <w:style w:type="paragraph" w:customStyle="1" w:styleId="1083">
    <w:name w:val="reader-word-layer reader-word-s25-20 reader-word-s25-23"/>
    <w:basedOn w:val="1"/>
    <w:autoRedefine/>
    <w:qFormat/>
    <w:uiPriority w:val="0"/>
    <w:pPr>
      <w:spacing w:before="100" w:beforeAutospacing="1" w:after="100" w:afterAutospacing="1"/>
    </w:pPr>
    <w:rPr>
      <w:rFonts w:ascii="宋体" w:hAnsi="宋体" w:cs="宋体"/>
      <w:kern w:val="0"/>
      <w:szCs w:val="24"/>
    </w:rPr>
  </w:style>
  <w:style w:type="paragraph" w:customStyle="1" w:styleId="1084">
    <w:name w:val="Char Char Char Char Char Char3"/>
    <w:basedOn w:val="1"/>
    <w:autoRedefine/>
    <w:qFormat/>
    <w:uiPriority w:val="0"/>
    <w:rPr>
      <w:rFonts w:ascii="Arial" w:hAnsi="Arial" w:eastAsia="楷体_GB2312"/>
      <w:sz w:val="28"/>
    </w:rPr>
  </w:style>
  <w:style w:type="paragraph" w:customStyle="1" w:styleId="1085">
    <w:name w:val="9"/>
    <w:basedOn w:val="1"/>
    <w:autoRedefine/>
    <w:qFormat/>
    <w:uiPriority w:val="0"/>
  </w:style>
  <w:style w:type="paragraph" w:customStyle="1" w:styleId="1086">
    <w:name w:val="BT3"/>
    <w:basedOn w:val="11"/>
    <w:autoRedefine/>
    <w:qFormat/>
    <w:uiPriority w:val="0"/>
    <w:pPr>
      <w:spacing w:line="413" w:lineRule="auto"/>
    </w:pPr>
  </w:style>
  <w:style w:type="paragraph" w:customStyle="1" w:styleId="1087">
    <w:name w:val="xl55"/>
    <w:basedOn w:val="1"/>
    <w:autoRedefine/>
    <w:qFormat/>
    <w:uiPriority w:val="0"/>
    <w:pPr>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Cs w:val="21"/>
    </w:rPr>
  </w:style>
  <w:style w:type="paragraph" w:customStyle="1" w:styleId="1088">
    <w:name w:val="样式 标题 2标题 2 Char Char Char Char Char标题 2 Char Char Char Char C...1"/>
    <w:basedOn w:val="10"/>
    <w:autoRedefine/>
    <w:qFormat/>
    <w:uiPriority w:val="0"/>
    <w:pPr>
      <w:tabs>
        <w:tab w:val="left" w:pos="936"/>
      </w:tabs>
    </w:pPr>
    <w:rPr>
      <w:rFonts w:ascii="黑体" w:eastAsia="黑体"/>
      <w:sz w:val="28"/>
      <w:szCs w:val="28"/>
    </w:rPr>
  </w:style>
  <w:style w:type="paragraph" w:customStyle="1" w:styleId="1089">
    <w:name w:val="Char Char Char Char Char Char2"/>
    <w:basedOn w:val="1"/>
    <w:autoRedefine/>
    <w:qFormat/>
    <w:uiPriority w:val="0"/>
    <w:rPr>
      <w:szCs w:val="24"/>
    </w:rPr>
  </w:style>
  <w:style w:type="paragraph" w:customStyle="1" w:styleId="1090">
    <w:name w:val="Hu表内"/>
    <w:basedOn w:val="1"/>
    <w:autoRedefine/>
    <w:qFormat/>
    <w:uiPriority w:val="0"/>
    <w:pPr>
      <w:adjustRightInd w:val="0"/>
      <w:spacing w:line="240" w:lineRule="atLeast"/>
      <w:jc w:val="center"/>
      <w:textAlignment w:val="baseline"/>
    </w:pPr>
    <w:rPr>
      <w:rFonts w:ascii="宋体" w:hAnsi="宋体"/>
      <w:kern w:val="0"/>
    </w:rPr>
  </w:style>
  <w:style w:type="paragraph" w:customStyle="1" w:styleId="1091">
    <w:name w:val="样式 标题 3ReHead 3 WSAh3标题 3 Char标题 32标题 311Re11Head 3 WSA1..."/>
    <w:basedOn w:val="11"/>
    <w:autoRedefine/>
    <w:qFormat/>
    <w:uiPriority w:val="0"/>
    <w:pPr>
      <w:keepNext w:val="0"/>
      <w:keepLines w:val="0"/>
      <w:tabs>
        <w:tab w:val="left" w:pos="720"/>
      </w:tabs>
      <w:spacing w:beforeLines="50" w:line="480" w:lineRule="exact"/>
      <w:ind w:left="720" w:hanging="720"/>
    </w:pPr>
    <w:rPr>
      <w:rFonts w:ascii="宋体" w:hAnsi="宋体" w:cs="宋体"/>
      <w:color w:val="000000"/>
      <w:sz w:val="24"/>
      <w:szCs w:val="20"/>
    </w:rPr>
  </w:style>
  <w:style w:type="paragraph" w:customStyle="1" w:styleId="1092">
    <w:name w:val="Char Char Char Char Char Char1 Char"/>
    <w:basedOn w:val="1"/>
    <w:autoRedefine/>
    <w:qFormat/>
    <w:uiPriority w:val="0"/>
  </w:style>
  <w:style w:type="paragraph" w:customStyle="1" w:styleId="1093">
    <w:name w:val="puce"/>
    <w:basedOn w:val="1"/>
    <w:autoRedefine/>
    <w:qFormat/>
    <w:uiPriority w:val="0"/>
    <w:pPr>
      <w:adjustRightInd w:val="0"/>
      <w:snapToGrid w:val="0"/>
      <w:spacing w:before="120" w:after="120"/>
      <w:ind w:left="-22"/>
    </w:pPr>
    <w:rPr>
      <w:rFonts w:ascii="Arial" w:hAnsi="Arial"/>
      <w:kern w:val="0"/>
    </w:rPr>
  </w:style>
  <w:style w:type="paragraph" w:customStyle="1" w:styleId="1094">
    <w:name w:val="xl34"/>
    <w:basedOn w:val="1"/>
    <w:autoRedefine/>
    <w:qFormat/>
    <w:uiPriority w:val="0"/>
    <w:pPr>
      <w:pBdr>
        <w:right w:val="single" w:color="auto" w:sz="4" w:space="0"/>
      </w:pBdr>
      <w:spacing w:before="100" w:beforeAutospacing="1" w:after="100" w:afterAutospacing="1"/>
      <w:jc w:val="center"/>
    </w:pPr>
    <w:rPr>
      <w:kern w:val="0"/>
    </w:rPr>
  </w:style>
  <w:style w:type="paragraph" w:customStyle="1" w:styleId="1095">
    <w:name w:val="Char11 Char Char Char2"/>
    <w:basedOn w:val="1"/>
    <w:autoRedefine/>
    <w:qFormat/>
    <w:uiPriority w:val="0"/>
    <w:rPr>
      <w:rFonts w:ascii="宋体" w:hAnsi="宋体" w:cs="宋体"/>
      <w:kern w:val="0"/>
      <w:szCs w:val="24"/>
    </w:rPr>
  </w:style>
  <w:style w:type="paragraph" w:customStyle="1" w:styleId="1096">
    <w:name w:val="reader-word-layer reader-word-s25-14"/>
    <w:basedOn w:val="1"/>
    <w:autoRedefine/>
    <w:qFormat/>
    <w:uiPriority w:val="0"/>
    <w:pPr>
      <w:spacing w:before="100" w:beforeAutospacing="1" w:after="100" w:afterAutospacing="1"/>
    </w:pPr>
    <w:rPr>
      <w:rFonts w:ascii="宋体" w:hAnsi="宋体" w:cs="宋体"/>
      <w:kern w:val="0"/>
      <w:szCs w:val="24"/>
    </w:rPr>
  </w:style>
  <w:style w:type="paragraph" w:customStyle="1" w:styleId="1097">
    <w:name w:val="reader-word-layer reader-word-s22-18"/>
    <w:basedOn w:val="1"/>
    <w:autoRedefine/>
    <w:qFormat/>
    <w:uiPriority w:val="0"/>
    <w:pPr>
      <w:spacing w:before="100" w:beforeAutospacing="1" w:after="100" w:afterAutospacing="1"/>
    </w:pPr>
    <w:rPr>
      <w:rFonts w:ascii="宋体" w:hAnsi="宋体" w:cs="宋体"/>
      <w:kern w:val="0"/>
      <w:szCs w:val="24"/>
    </w:rPr>
  </w:style>
  <w:style w:type="paragraph" w:customStyle="1" w:styleId="1098">
    <w:name w:val="reader-word-layer reader-word-s25-21"/>
    <w:basedOn w:val="1"/>
    <w:autoRedefine/>
    <w:qFormat/>
    <w:uiPriority w:val="0"/>
    <w:pPr>
      <w:spacing w:before="100" w:beforeAutospacing="1" w:after="100" w:afterAutospacing="1"/>
    </w:pPr>
    <w:rPr>
      <w:rFonts w:ascii="宋体" w:hAnsi="宋体" w:cs="宋体"/>
      <w:kern w:val="0"/>
      <w:szCs w:val="24"/>
    </w:rPr>
  </w:style>
  <w:style w:type="paragraph" w:customStyle="1" w:styleId="1099">
    <w:name w:val="111111正文"/>
    <w:basedOn w:val="1"/>
    <w:link w:val="1430"/>
    <w:autoRedefine/>
    <w:qFormat/>
    <w:uiPriority w:val="0"/>
    <w:rPr>
      <w:kern w:val="0"/>
      <w:szCs w:val="24"/>
      <w:lang w:eastAsia="en-US"/>
    </w:rPr>
  </w:style>
  <w:style w:type="paragraph" w:customStyle="1" w:styleId="1100">
    <w:name w:val="xl59"/>
    <w:basedOn w:val="1"/>
    <w:autoRedefine/>
    <w:qFormat/>
    <w:uiPriority w:val="0"/>
    <w:pPr>
      <w:pBdr>
        <w:bottom w:val="single" w:color="000000" w:sz="8" w:space="0"/>
        <w:right w:val="single" w:color="000000" w:sz="8" w:space="0"/>
      </w:pBdr>
      <w:spacing w:before="100" w:beforeAutospacing="1" w:after="100" w:afterAutospacing="1"/>
      <w:jc w:val="center"/>
    </w:pPr>
    <w:rPr>
      <w:rFonts w:hint="eastAsia" w:ascii="仿宋_GB2312" w:hAnsi="宋体" w:eastAsia="仿宋_GB2312"/>
      <w:color w:val="000000"/>
      <w:kern w:val="0"/>
      <w:szCs w:val="24"/>
    </w:rPr>
  </w:style>
  <w:style w:type="paragraph" w:customStyle="1" w:styleId="1101">
    <w:name w:val="reader-word-layer reader-word-s3-10"/>
    <w:basedOn w:val="1"/>
    <w:autoRedefine/>
    <w:qFormat/>
    <w:uiPriority w:val="0"/>
    <w:pPr>
      <w:spacing w:before="100" w:beforeAutospacing="1" w:after="100" w:afterAutospacing="1"/>
    </w:pPr>
    <w:rPr>
      <w:rFonts w:ascii="宋体" w:hAnsi="宋体" w:cs="宋体"/>
      <w:kern w:val="0"/>
      <w:szCs w:val="24"/>
    </w:rPr>
  </w:style>
  <w:style w:type="paragraph" w:customStyle="1" w:styleId="1102">
    <w:name w:val="正文文字缩进2"/>
    <w:basedOn w:val="49"/>
    <w:autoRedefine/>
    <w:qFormat/>
    <w:uiPriority w:val="0"/>
    <w:pPr>
      <w:spacing w:after="0" w:line="360" w:lineRule="auto"/>
      <w:ind w:left="0" w:leftChars="0" w:firstLine="560"/>
    </w:pPr>
    <w:rPr>
      <w:rFonts w:ascii="仿宋_GB2312" w:eastAsia="仿宋_GB2312"/>
      <w:kern w:val="0"/>
      <w:sz w:val="28"/>
      <w:szCs w:val="24"/>
    </w:rPr>
  </w:style>
  <w:style w:type="paragraph" w:customStyle="1" w:styleId="1103">
    <w:name w:val="Char Char Char1 Char Char Char Char Char Char Char1 Char Char Char1"/>
    <w:basedOn w:val="1"/>
    <w:autoRedefine/>
    <w:qFormat/>
    <w:uiPriority w:val="0"/>
    <w:rPr>
      <w:szCs w:val="24"/>
    </w:rPr>
  </w:style>
  <w:style w:type="paragraph" w:customStyle="1" w:styleId="1104">
    <w:name w:val="Char13"/>
    <w:basedOn w:val="1"/>
    <w:autoRedefine/>
    <w:qFormat/>
    <w:uiPriority w:val="0"/>
    <w:rPr>
      <w:rFonts w:ascii="Tahoma" w:hAnsi="Tahoma"/>
      <w:sz w:val="28"/>
    </w:rPr>
  </w:style>
  <w:style w:type="paragraph" w:customStyle="1" w:styleId="1105">
    <w:name w:val="Char Char1 Char Char Char Char"/>
    <w:basedOn w:val="1"/>
    <w:autoRedefine/>
    <w:qFormat/>
    <w:uiPriority w:val="0"/>
    <w:rPr>
      <w:szCs w:val="24"/>
    </w:rPr>
  </w:style>
  <w:style w:type="paragraph" w:customStyle="1" w:styleId="1106">
    <w:name w:val="bsb三级标题"/>
    <w:basedOn w:val="10"/>
    <w:link w:val="1556"/>
    <w:autoRedefine/>
    <w:qFormat/>
    <w:uiPriority w:val="0"/>
    <w:pPr>
      <w:snapToGrid w:val="0"/>
      <w:ind w:firstLine="150" w:firstLineChars="150"/>
      <w:outlineLvl w:val="2"/>
    </w:pPr>
    <w:rPr>
      <w:rFonts w:eastAsia="黑体"/>
      <w:b w:val="0"/>
      <w:kern w:val="2"/>
      <w:sz w:val="28"/>
      <w:szCs w:val="28"/>
    </w:rPr>
  </w:style>
  <w:style w:type="paragraph" w:customStyle="1" w:styleId="1107">
    <w:name w:val="105v"/>
    <w:basedOn w:val="1"/>
    <w:autoRedefine/>
    <w:qFormat/>
    <w:uiPriority w:val="0"/>
    <w:pPr>
      <w:spacing w:before="100" w:beforeAutospacing="1" w:after="100" w:afterAutospacing="1"/>
    </w:pPr>
    <w:rPr>
      <w:rFonts w:ascii="Arial Unicode MS" w:hAnsi="Arial Unicode MS" w:eastAsia="Arial Unicode MS" w:cs="Arial Unicode MS"/>
      <w:kern w:val="0"/>
      <w:szCs w:val="21"/>
    </w:rPr>
  </w:style>
  <w:style w:type="paragraph" w:customStyle="1" w:styleId="1108">
    <w:name w:val="xl36"/>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1109">
    <w:name w:val="font8"/>
    <w:basedOn w:val="1"/>
    <w:autoRedefine/>
    <w:qFormat/>
    <w:uiPriority w:val="0"/>
    <w:pPr>
      <w:spacing w:before="100" w:beforeAutospacing="1" w:after="100" w:afterAutospacing="1"/>
    </w:pPr>
    <w:rPr>
      <w:rFonts w:hint="eastAsia" w:ascii="宋体" w:hAnsi="宋体"/>
      <w:b/>
      <w:bCs/>
      <w:kern w:val="0"/>
      <w:sz w:val="44"/>
      <w:szCs w:val="44"/>
    </w:rPr>
  </w:style>
  <w:style w:type="paragraph" w:customStyle="1" w:styleId="1110">
    <w:name w:val="5-正文"/>
    <w:basedOn w:val="1"/>
    <w:link w:val="1763"/>
    <w:autoRedefine/>
    <w:qFormat/>
    <w:uiPriority w:val="0"/>
    <w:pPr>
      <w:snapToGrid w:val="0"/>
    </w:pPr>
  </w:style>
  <w:style w:type="paragraph" w:customStyle="1" w:styleId="1111">
    <w:name w:val="Char Char Char Char Char Char1 Char1"/>
    <w:basedOn w:val="1"/>
    <w:autoRedefine/>
    <w:qFormat/>
    <w:uiPriority w:val="0"/>
  </w:style>
  <w:style w:type="paragraph" w:customStyle="1" w:styleId="1112">
    <w:name w:val="reader-word-layer reader-word-s3-8"/>
    <w:basedOn w:val="1"/>
    <w:autoRedefine/>
    <w:qFormat/>
    <w:uiPriority w:val="0"/>
    <w:pPr>
      <w:spacing w:before="100" w:beforeAutospacing="1" w:after="100" w:afterAutospacing="1"/>
    </w:pPr>
    <w:rPr>
      <w:rFonts w:ascii="宋体" w:hAnsi="宋体" w:cs="宋体"/>
      <w:kern w:val="0"/>
      <w:szCs w:val="24"/>
    </w:rPr>
  </w:style>
  <w:style w:type="paragraph" w:customStyle="1" w:styleId="1113">
    <w:name w:val="【表格文字】"/>
    <w:basedOn w:val="1"/>
    <w:next w:val="1"/>
    <w:autoRedefine/>
    <w:qFormat/>
    <w:uiPriority w:val="0"/>
    <w:pPr>
      <w:spacing w:line="320" w:lineRule="atLeast"/>
      <w:jc w:val="center"/>
    </w:pPr>
    <w:rPr>
      <w:szCs w:val="24"/>
    </w:rPr>
  </w:style>
  <w:style w:type="paragraph" w:customStyle="1" w:styleId="1114">
    <w:name w:val="2标题(治)"/>
    <w:basedOn w:val="10"/>
    <w:autoRedefine/>
    <w:qFormat/>
    <w:uiPriority w:val="0"/>
    <w:pPr>
      <w:tabs>
        <w:tab w:val="left" w:pos="936"/>
      </w:tabs>
    </w:pPr>
    <w:rPr>
      <w:rFonts w:ascii="宋体" w:hAnsi="宋体"/>
      <w:b w:val="0"/>
      <w:sz w:val="24"/>
      <w:szCs w:val="24"/>
    </w:rPr>
  </w:style>
  <w:style w:type="paragraph" w:customStyle="1" w:styleId="1115">
    <w:name w:val="x正文"/>
    <w:basedOn w:val="1"/>
    <w:autoRedefine/>
    <w:qFormat/>
    <w:uiPriority w:val="0"/>
    <w:pPr>
      <w:spacing w:line="300" w:lineRule="auto"/>
    </w:pPr>
    <w:rPr>
      <w:szCs w:val="21"/>
    </w:rPr>
  </w:style>
  <w:style w:type="paragraph" w:customStyle="1" w:styleId="1116">
    <w:name w:val="p16"/>
    <w:basedOn w:val="1"/>
    <w:autoRedefine/>
    <w:qFormat/>
    <w:uiPriority w:val="0"/>
    <w:pPr>
      <w:spacing w:before="156" w:after="156"/>
    </w:pPr>
    <w:rPr>
      <w:rFonts w:ascii="Calibri" w:hAnsi="Calibri" w:cs="宋体"/>
      <w:kern w:val="0"/>
      <w:sz w:val="28"/>
      <w:szCs w:val="28"/>
    </w:rPr>
  </w:style>
  <w:style w:type="paragraph" w:customStyle="1" w:styleId="1117">
    <w:name w:val="reader-word-layer reader-word-s16-1"/>
    <w:basedOn w:val="1"/>
    <w:autoRedefine/>
    <w:qFormat/>
    <w:uiPriority w:val="0"/>
    <w:pPr>
      <w:spacing w:before="100" w:beforeAutospacing="1" w:after="100" w:afterAutospacing="1"/>
    </w:pPr>
    <w:rPr>
      <w:rFonts w:ascii="宋体" w:hAnsi="宋体" w:cs="宋体"/>
      <w:kern w:val="0"/>
      <w:szCs w:val="24"/>
    </w:rPr>
  </w:style>
  <w:style w:type="paragraph" w:customStyle="1" w:styleId="1118">
    <w:name w:val="bsb四级标题"/>
    <w:basedOn w:val="44"/>
    <w:link w:val="1560"/>
    <w:autoRedefine/>
    <w:qFormat/>
    <w:uiPriority w:val="0"/>
    <w:pPr>
      <w:ind w:firstLine="570"/>
    </w:pPr>
    <w:rPr>
      <w:rFonts w:ascii="Times New Roman" w:hAnsi="Times New Roman"/>
      <w:b/>
      <w:kern w:val="2"/>
      <w:sz w:val="24"/>
      <w:szCs w:val="20"/>
    </w:rPr>
  </w:style>
  <w:style w:type="paragraph" w:customStyle="1" w:styleId="1119">
    <w:name w:val="xl3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kern w:val="0"/>
      <w:szCs w:val="24"/>
    </w:rPr>
  </w:style>
  <w:style w:type="paragraph" w:customStyle="1" w:styleId="1120">
    <w:name w:val="xl48"/>
    <w:basedOn w:val="1"/>
    <w:autoRedefine/>
    <w:qFormat/>
    <w:uiPriority w:val="0"/>
    <w:pPr>
      <w:pBdr>
        <w:bottom w:val="single" w:color="auto" w:sz="8" w:space="0"/>
      </w:pBdr>
      <w:spacing w:before="100" w:beforeAutospacing="1" w:after="100" w:afterAutospacing="1"/>
    </w:pPr>
    <w:rPr>
      <w:rFonts w:eastAsia="Arial Unicode MS"/>
      <w:b/>
      <w:bCs/>
      <w:kern w:val="0"/>
      <w:sz w:val="44"/>
      <w:szCs w:val="44"/>
    </w:rPr>
  </w:style>
  <w:style w:type="paragraph" w:customStyle="1" w:styleId="1121">
    <w:name w:val="我的标题3"/>
    <w:basedOn w:val="11"/>
    <w:autoRedefine/>
    <w:qFormat/>
    <w:uiPriority w:val="0"/>
    <w:pPr>
      <w:adjustRightInd w:val="0"/>
      <w:snapToGrid w:val="0"/>
      <w:spacing w:before="60" w:after="60" w:line="460" w:lineRule="exact"/>
    </w:pPr>
    <w:rPr>
      <w:rFonts w:eastAsia="黑体"/>
      <w:b w:val="0"/>
      <w:szCs w:val="20"/>
    </w:rPr>
  </w:style>
  <w:style w:type="paragraph" w:customStyle="1" w:styleId="1122">
    <w:name w:val="正正文"/>
    <w:basedOn w:val="1"/>
    <w:link w:val="1524"/>
    <w:autoRedefine/>
    <w:qFormat/>
    <w:uiPriority w:val="0"/>
    <w:pPr>
      <w:ind w:firstLine="480"/>
    </w:pPr>
    <w:rPr>
      <w:rFonts w:eastAsia="仿宋_GB2312"/>
      <w:kern w:val="0"/>
      <w:szCs w:val="24"/>
    </w:rPr>
  </w:style>
  <w:style w:type="paragraph" w:customStyle="1" w:styleId="1123">
    <w:name w:val="Char Char Char Char1 Char Char Char Char Char Char Char Char Char11"/>
    <w:basedOn w:val="1"/>
    <w:autoRedefine/>
    <w:qFormat/>
    <w:uiPriority w:val="0"/>
    <w:pPr>
      <w:ind w:firstLine="800"/>
    </w:pPr>
    <w:rPr>
      <w:kern w:val="0"/>
    </w:rPr>
  </w:style>
  <w:style w:type="paragraph" w:customStyle="1" w:styleId="1124">
    <w:name w:val="CM94"/>
    <w:basedOn w:val="2"/>
    <w:next w:val="2"/>
    <w:autoRedefine/>
    <w:qFormat/>
    <w:uiPriority w:val="0"/>
    <w:pPr>
      <w:spacing w:after="190"/>
    </w:pPr>
    <w:rPr>
      <w:rFonts w:ascii="Calibri" w:hAnsi="Calibri"/>
      <w:color w:val="auto"/>
    </w:rPr>
  </w:style>
  <w:style w:type="paragraph" w:customStyle="1" w:styleId="1125">
    <w:name w:val="reader-word-layer reader-word-s5-3"/>
    <w:basedOn w:val="1"/>
    <w:autoRedefine/>
    <w:qFormat/>
    <w:uiPriority w:val="0"/>
    <w:pPr>
      <w:spacing w:before="100" w:beforeAutospacing="1" w:after="100" w:afterAutospacing="1"/>
    </w:pPr>
    <w:rPr>
      <w:rFonts w:ascii="宋体" w:hAnsi="宋体" w:cs="宋体"/>
      <w:kern w:val="0"/>
      <w:szCs w:val="24"/>
    </w:rPr>
  </w:style>
  <w:style w:type="paragraph" w:customStyle="1" w:styleId="1126">
    <w:name w:val="3 Char Char Char Char Char Char Char"/>
    <w:basedOn w:val="1"/>
    <w:autoRedefine/>
    <w:qFormat/>
    <w:uiPriority w:val="0"/>
    <w:pPr>
      <w:adjustRightInd w:val="0"/>
      <w:snapToGrid w:val="0"/>
      <w:spacing w:line="400" w:lineRule="exact"/>
    </w:pPr>
  </w:style>
  <w:style w:type="paragraph" w:customStyle="1" w:styleId="1127">
    <w:name w:val="font7"/>
    <w:basedOn w:val="1"/>
    <w:autoRedefine/>
    <w:qFormat/>
    <w:uiPriority w:val="0"/>
    <w:pPr>
      <w:spacing w:before="100" w:beforeAutospacing="1" w:after="100" w:afterAutospacing="1"/>
    </w:pPr>
    <w:rPr>
      <w:kern w:val="0"/>
    </w:rPr>
  </w:style>
  <w:style w:type="paragraph" w:customStyle="1" w:styleId="1128">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1129">
    <w:name w:val="正文页脚"/>
    <w:basedOn w:val="53"/>
    <w:autoRedefine/>
    <w:qFormat/>
    <w:uiPriority w:val="99"/>
    <w:pPr>
      <w:pBdr>
        <w:top w:val="single" w:color="auto" w:sz="6" w:space="1"/>
      </w:pBdr>
    </w:pPr>
    <w:rPr>
      <w:rFonts w:ascii="隶书" w:hAnsi="华文中宋" w:eastAsia="隶书"/>
      <w:sz w:val="21"/>
      <w:szCs w:val="21"/>
    </w:rPr>
  </w:style>
  <w:style w:type="paragraph" w:customStyle="1" w:styleId="1130">
    <w:name w:val="Char Char Char Char Char Char Char Char Char Char Char Char Char Char Char Char"/>
    <w:basedOn w:val="1"/>
    <w:autoRedefine/>
    <w:qFormat/>
    <w:uiPriority w:val="0"/>
    <w:rPr>
      <w:szCs w:val="24"/>
    </w:rPr>
  </w:style>
  <w:style w:type="paragraph" w:customStyle="1" w:styleId="1131">
    <w:name w:val="xl38"/>
    <w:basedOn w:val="1"/>
    <w:autoRedefine/>
    <w:qFormat/>
    <w:uiPriority w:val="0"/>
    <w:pPr>
      <w:pBdr>
        <w:bottom w:val="single" w:color="auto" w:sz="4" w:space="0"/>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1132">
    <w:name w:val="图文框"/>
    <w:basedOn w:val="1"/>
    <w:autoRedefine/>
    <w:qFormat/>
    <w:uiPriority w:val="0"/>
    <w:pPr>
      <w:snapToGrid w:val="0"/>
      <w:spacing w:line="320" w:lineRule="atLeast"/>
      <w:jc w:val="center"/>
    </w:pPr>
  </w:style>
  <w:style w:type="paragraph" w:customStyle="1" w:styleId="1133">
    <w:name w:val="5-标"/>
    <w:basedOn w:val="1"/>
    <w:link w:val="1540"/>
    <w:autoRedefine/>
    <w:qFormat/>
    <w:uiPriority w:val="0"/>
    <w:pPr>
      <w:tabs>
        <w:tab w:val="left" w:pos="2100"/>
      </w:tabs>
      <w:spacing w:beforeLines="50" w:afterLines="50"/>
      <w:ind w:left="2100" w:hanging="420"/>
      <w:outlineLvl w:val="4"/>
    </w:pPr>
    <w:rPr>
      <w:b/>
      <w:kern w:val="0"/>
      <w:szCs w:val="24"/>
    </w:rPr>
  </w:style>
  <w:style w:type="paragraph" w:customStyle="1" w:styleId="1134">
    <w:name w:val="HTML 预设格式1"/>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pPr>
    <w:rPr>
      <w:rFonts w:hint="eastAsia" w:ascii="Arial" w:hAnsi="Arial"/>
      <w:sz w:val="20"/>
      <w:lang w:eastAsia="en-US"/>
    </w:rPr>
  </w:style>
  <w:style w:type="paragraph" w:customStyle="1" w:styleId="1135">
    <w:name w:val="xl35"/>
    <w:basedOn w:val="1"/>
    <w:autoRedefine/>
    <w:qFormat/>
    <w:uiPriority w:val="0"/>
    <w:pPr>
      <w:pBdr>
        <w:top w:val="single" w:color="auto" w:sz="8"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kern w:val="0"/>
      <w:szCs w:val="24"/>
    </w:rPr>
  </w:style>
  <w:style w:type="paragraph" w:customStyle="1" w:styleId="1136">
    <w:name w:val="text number/bullet"/>
    <w:basedOn w:val="1"/>
    <w:autoRedefine/>
    <w:qFormat/>
    <w:uiPriority w:val="0"/>
    <w:pPr>
      <w:tabs>
        <w:tab w:val="right" w:pos="907"/>
      </w:tabs>
      <w:spacing w:after="300" w:line="300" w:lineRule="exact"/>
      <w:ind w:left="1134" w:hanging="1134"/>
    </w:pPr>
    <w:rPr>
      <w:rFonts w:ascii="FoundryFormSans-Book" w:hAnsi="FoundryFormSans-Book"/>
      <w:kern w:val="0"/>
      <w:szCs w:val="24"/>
      <w:lang w:eastAsia="en-US"/>
    </w:rPr>
  </w:style>
  <w:style w:type="paragraph" w:customStyle="1" w:styleId="1137">
    <w:name w:val="BG1"/>
    <w:basedOn w:val="1"/>
    <w:autoRedefine/>
    <w:qFormat/>
    <w:uiPriority w:val="0"/>
    <w:pPr>
      <w:adjustRightInd w:val="0"/>
      <w:jc w:val="center"/>
    </w:pPr>
    <w:rPr>
      <w:spacing w:val="20"/>
      <w:szCs w:val="24"/>
    </w:rPr>
  </w:style>
  <w:style w:type="paragraph" w:customStyle="1" w:styleId="1138">
    <w:name w:val="Definition Term"/>
    <w:basedOn w:val="1"/>
    <w:next w:val="1"/>
    <w:autoRedefine/>
    <w:qFormat/>
    <w:uiPriority w:val="0"/>
    <w:pPr>
      <w:autoSpaceDE w:val="0"/>
      <w:autoSpaceDN w:val="0"/>
      <w:adjustRightInd w:val="0"/>
    </w:pPr>
    <w:rPr>
      <w:kern w:val="0"/>
    </w:rPr>
  </w:style>
  <w:style w:type="paragraph" w:customStyle="1" w:styleId="1139">
    <w:name w:val="Char Char Char Char1 Char Char Char Char Char Char Char Char Char1"/>
    <w:basedOn w:val="1"/>
    <w:autoRedefine/>
    <w:qFormat/>
    <w:uiPriority w:val="0"/>
  </w:style>
  <w:style w:type="paragraph" w:customStyle="1" w:styleId="1140">
    <w:name w:val="reader-word-layer reader-word-s25-14 reader-word-s25-23"/>
    <w:basedOn w:val="1"/>
    <w:autoRedefine/>
    <w:qFormat/>
    <w:uiPriority w:val="0"/>
    <w:pPr>
      <w:spacing w:before="100" w:beforeAutospacing="1" w:after="100" w:afterAutospacing="1"/>
    </w:pPr>
    <w:rPr>
      <w:rFonts w:ascii="宋体" w:hAnsi="宋体" w:cs="宋体"/>
      <w:kern w:val="0"/>
      <w:szCs w:val="24"/>
    </w:rPr>
  </w:style>
  <w:style w:type="paragraph" w:customStyle="1" w:styleId="1141">
    <w:name w:val="xl5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1142">
    <w:name w:val="p18"/>
    <w:basedOn w:val="1"/>
    <w:autoRedefine/>
    <w:qFormat/>
    <w:uiPriority w:val="99"/>
    <w:pPr>
      <w:pBdr>
        <w:right w:val="single" w:color="000000" w:sz="4" w:space="0"/>
      </w:pBdr>
      <w:spacing w:before="100" w:after="100"/>
      <w:jc w:val="center"/>
    </w:pPr>
    <w:rPr>
      <w:rFonts w:ascii="宋体" w:hAnsi="宋体" w:cs="宋体"/>
      <w:kern w:val="0"/>
      <w:szCs w:val="21"/>
    </w:rPr>
  </w:style>
  <w:style w:type="paragraph" w:customStyle="1" w:styleId="1143">
    <w:name w:val="Char Char Char Char Char Char Char Char Char Char Char Char1 Char Char Char Char1"/>
    <w:basedOn w:val="1"/>
    <w:next w:val="1"/>
    <w:autoRedefine/>
    <w:qFormat/>
    <w:uiPriority w:val="0"/>
    <w:pPr>
      <w:spacing w:line="336" w:lineRule="auto"/>
    </w:pPr>
    <w:rPr>
      <w:rFonts w:ascii="宋体" w:hAnsi="宋体" w:eastAsia="汉鼎简书宋" w:cs="宋体"/>
      <w:szCs w:val="24"/>
    </w:rPr>
  </w:style>
  <w:style w:type="paragraph" w:customStyle="1" w:styleId="1144">
    <w:name w:val="正文文本缩进 21"/>
    <w:basedOn w:val="1"/>
    <w:autoRedefine/>
    <w:qFormat/>
    <w:uiPriority w:val="0"/>
    <w:pPr>
      <w:adjustRightInd w:val="0"/>
      <w:ind w:firstLine="510"/>
      <w:textAlignment w:val="baseline"/>
    </w:pPr>
    <w:rPr>
      <w:rFonts w:ascii="宋体" w:hAnsi="宋体"/>
      <w:sz w:val="28"/>
    </w:rPr>
  </w:style>
  <w:style w:type="paragraph" w:customStyle="1" w:styleId="1145">
    <w:name w:val="reader-word-layer reader-word-s3-42"/>
    <w:basedOn w:val="1"/>
    <w:autoRedefine/>
    <w:qFormat/>
    <w:uiPriority w:val="0"/>
    <w:pPr>
      <w:spacing w:before="100" w:beforeAutospacing="1" w:after="100" w:afterAutospacing="1"/>
    </w:pPr>
    <w:rPr>
      <w:rFonts w:ascii="宋体" w:hAnsi="宋体" w:cs="宋体"/>
      <w:kern w:val="0"/>
      <w:szCs w:val="24"/>
    </w:rPr>
  </w:style>
  <w:style w:type="paragraph" w:customStyle="1" w:styleId="1146">
    <w:name w:val="字元 字元1"/>
    <w:basedOn w:val="1"/>
    <w:autoRedefine/>
    <w:qFormat/>
    <w:uiPriority w:val="0"/>
    <w:rPr>
      <w:szCs w:val="24"/>
    </w:rPr>
  </w:style>
  <w:style w:type="paragraph" w:customStyle="1" w:styleId="1147">
    <w:name w:val="T表格"/>
    <w:autoRedefine/>
    <w:qFormat/>
    <w:uiPriority w:val="0"/>
    <w:pPr>
      <w:jc w:val="center"/>
    </w:pPr>
    <w:rPr>
      <w:rFonts w:ascii="Times New Roman" w:hAnsi="Times New Roman" w:eastAsia="宋体" w:cs="Times New Roman"/>
      <w:sz w:val="21"/>
      <w:lang w:val="en-US" w:eastAsia="zh-CN" w:bidi="ar-SA"/>
    </w:rPr>
  </w:style>
  <w:style w:type="paragraph" w:customStyle="1" w:styleId="1148">
    <w:name w:val="3标题"/>
    <w:basedOn w:val="11"/>
    <w:autoRedefine/>
    <w:qFormat/>
    <w:uiPriority w:val="0"/>
    <w:pPr>
      <w:spacing w:beforeLines="50"/>
      <w:textAlignment w:val="baseline"/>
    </w:pPr>
    <w:rPr>
      <w:rFonts w:eastAsia="黑体"/>
      <w:color w:val="FF00FF"/>
    </w:rPr>
  </w:style>
  <w:style w:type="paragraph" w:customStyle="1" w:styleId="1149">
    <w:name w:val="xxxxx正文"/>
    <w:basedOn w:val="1"/>
    <w:link w:val="1755"/>
    <w:autoRedefine/>
    <w:qFormat/>
    <w:uiPriority w:val="0"/>
    <w:pPr>
      <w:topLinePunct/>
    </w:pPr>
    <w:rPr>
      <w:kern w:val="0"/>
      <w:szCs w:val="24"/>
      <w:lang w:val="zh-CN" w:eastAsia="en-US"/>
    </w:rPr>
  </w:style>
  <w:style w:type="paragraph" w:customStyle="1" w:styleId="1150">
    <w:name w:val="样式 表头 + 段前: 0.5 行1"/>
    <w:basedOn w:val="1"/>
    <w:autoRedefine/>
    <w:qFormat/>
    <w:uiPriority w:val="0"/>
    <w:pPr>
      <w:spacing w:beforeLines="50"/>
      <w:jc w:val="center"/>
    </w:pPr>
    <w:rPr>
      <w:rFonts w:eastAsia="Times New Roman" w:cs="宋体"/>
      <w:kern w:val="0"/>
    </w:rPr>
  </w:style>
  <w:style w:type="paragraph" w:customStyle="1" w:styleId="1151">
    <w:name w:val="样式 标题 1 + 自动设置"/>
    <w:basedOn w:val="9"/>
    <w:autoRedefine/>
    <w:qFormat/>
    <w:uiPriority w:val="0"/>
    <w:pPr>
      <w:tabs>
        <w:tab w:val="left" w:pos="700"/>
        <w:tab w:val="left" w:pos="1440"/>
      </w:tabs>
      <w:autoSpaceDE w:val="0"/>
      <w:autoSpaceDN w:val="0"/>
      <w:adjustRightInd w:val="0"/>
      <w:ind w:left="431" w:hanging="431"/>
      <w:jc w:val="center"/>
    </w:pPr>
    <w:rPr>
      <w:sz w:val="28"/>
      <w:szCs w:val="20"/>
    </w:rPr>
  </w:style>
  <w:style w:type="paragraph" w:customStyle="1" w:styleId="1152">
    <w:name w:val="reader-word-layer reader-word-s25-20"/>
    <w:basedOn w:val="1"/>
    <w:autoRedefine/>
    <w:qFormat/>
    <w:uiPriority w:val="0"/>
    <w:pPr>
      <w:spacing w:before="100" w:beforeAutospacing="1" w:after="100" w:afterAutospacing="1"/>
    </w:pPr>
    <w:rPr>
      <w:rFonts w:ascii="宋体" w:hAnsi="宋体" w:cs="宋体"/>
      <w:kern w:val="0"/>
      <w:szCs w:val="24"/>
    </w:rPr>
  </w:style>
  <w:style w:type="paragraph" w:customStyle="1" w:styleId="1153">
    <w:name w:val="图标题"/>
    <w:basedOn w:val="1"/>
    <w:link w:val="1758"/>
    <w:autoRedefine/>
    <w:qFormat/>
    <w:uiPriority w:val="0"/>
    <w:pPr>
      <w:ind w:firstLine="800"/>
      <w:jc w:val="center"/>
    </w:pPr>
    <w:rPr>
      <w:b/>
      <w:bCs/>
      <w:color w:val="000000"/>
      <w:kern w:val="0"/>
      <w:lang w:val="zh-CN"/>
    </w:rPr>
  </w:style>
  <w:style w:type="paragraph" w:customStyle="1" w:styleId="1154">
    <w:name w:val="文档结构图1"/>
    <w:basedOn w:val="1"/>
    <w:link w:val="1332"/>
    <w:autoRedefine/>
    <w:qFormat/>
    <w:uiPriority w:val="0"/>
    <w:pPr>
      <w:shd w:val="clear" w:color="auto" w:fill="000080"/>
      <w:adjustRightInd w:val="0"/>
      <w:textAlignment w:val="baseline"/>
    </w:pPr>
    <w:rPr>
      <w:kern w:val="0"/>
      <w:sz w:val="20"/>
    </w:rPr>
  </w:style>
  <w:style w:type="paragraph" w:customStyle="1" w:styleId="1155">
    <w:name w:val="p23"/>
    <w:basedOn w:val="1"/>
    <w:autoRedefine/>
    <w:qFormat/>
    <w:uiPriority w:val="99"/>
    <w:pPr>
      <w:spacing w:line="320" w:lineRule="atLeast"/>
      <w:jc w:val="center"/>
    </w:pPr>
    <w:rPr>
      <w:kern w:val="0"/>
      <w:szCs w:val="21"/>
    </w:rPr>
  </w:style>
  <w:style w:type="paragraph" w:customStyle="1" w:styleId="1156">
    <w:name w:val="List Paragraph1"/>
    <w:basedOn w:val="1"/>
    <w:autoRedefine/>
    <w:qFormat/>
    <w:uiPriority w:val="0"/>
    <w:rPr>
      <w:rFonts w:ascii="宋体"/>
      <w:kern w:val="0"/>
    </w:rPr>
  </w:style>
  <w:style w:type="paragraph" w:customStyle="1" w:styleId="1157">
    <w:name w:val="Char Char Char1 Char Char Char Char2"/>
    <w:basedOn w:val="1"/>
    <w:autoRedefine/>
    <w:qFormat/>
    <w:uiPriority w:val="0"/>
    <w:pPr>
      <w:ind w:firstLine="800"/>
    </w:pPr>
    <w:rPr>
      <w:kern w:val="0"/>
      <w:sz w:val="20"/>
    </w:rPr>
  </w:style>
  <w:style w:type="paragraph" w:customStyle="1" w:styleId="1158">
    <w:name w:val="TOC 标题11"/>
    <w:basedOn w:val="9"/>
    <w:next w:val="1"/>
    <w:autoRedefine/>
    <w:qFormat/>
    <w:uiPriority w:val="0"/>
    <w:pPr>
      <w:spacing w:before="480" w:line="276" w:lineRule="auto"/>
      <w:outlineLvl w:val="9"/>
    </w:pPr>
    <w:rPr>
      <w:rFonts w:ascii="Cambria" w:hAnsi="Cambria"/>
      <w:color w:val="365F91"/>
      <w:kern w:val="0"/>
      <w:sz w:val="28"/>
      <w:szCs w:val="28"/>
    </w:rPr>
  </w:style>
  <w:style w:type="paragraph" w:customStyle="1" w:styleId="1159">
    <w:name w:val="新正文"/>
    <w:basedOn w:val="1"/>
    <w:link w:val="1714"/>
    <w:autoRedefine/>
    <w:qFormat/>
    <w:uiPriority w:val="0"/>
    <w:pPr>
      <w:spacing w:before="60" w:line="460" w:lineRule="exact"/>
    </w:pPr>
    <w:rPr>
      <w:kern w:val="0"/>
      <w:szCs w:val="24"/>
    </w:rPr>
  </w:style>
  <w:style w:type="paragraph" w:customStyle="1" w:styleId="1160">
    <w:name w:val="reader-word-layer reader-word-s25-17"/>
    <w:basedOn w:val="1"/>
    <w:autoRedefine/>
    <w:qFormat/>
    <w:uiPriority w:val="0"/>
    <w:pPr>
      <w:spacing w:before="100" w:beforeAutospacing="1" w:after="100" w:afterAutospacing="1"/>
    </w:pPr>
    <w:rPr>
      <w:rFonts w:ascii="宋体" w:hAnsi="宋体" w:cs="宋体"/>
      <w:kern w:val="0"/>
      <w:szCs w:val="24"/>
    </w:rPr>
  </w:style>
  <w:style w:type="paragraph" w:customStyle="1" w:styleId="1161">
    <w:name w:val="Char5"/>
    <w:basedOn w:val="1"/>
    <w:autoRedefine/>
    <w:qFormat/>
    <w:uiPriority w:val="0"/>
  </w:style>
  <w:style w:type="paragraph" w:customStyle="1" w:styleId="1162">
    <w:name w:val="报告"/>
    <w:basedOn w:val="1"/>
    <w:autoRedefine/>
    <w:qFormat/>
    <w:uiPriority w:val="0"/>
    <w:pPr>
      <w:spacing w:beforeLines="50" w:after="120" w:line="440" w:lineRule="atLeast"/>
      <w:ind w:firstLine="560"/>
    </w:pPr>
    <w:rPr>
      <w:sz w:val="28"/>
      <w:szCs w:val="24"/>
    </w:rPr>
  </w:style>
  <w:style w:type="paragraph" w:customStyle="1" w:styleId="1163">
    <w:name w:val="Char Char Char Char Char Char Char Char Char Char Char Char1 Char Char Char Char Char Char Char Char Char Char Char Char Char Char Char Char Char Char Char"/>
    <w:basedOn w:val="1"/>
    <w:autoRedefine/>
    <w:qFormat/>
    <w:uiPriority w:val="0"/>
  </w:style>
  <w:style w:type="paragraph" w:customStyle="1" w:styleId="1164">
    <w:name w:val="dan6-16正文"/>
    <w:basedOn w:val="1"/>
    <w:autoRedefine/>
    <w:qFormat/>
    <w:uiPriority w:val="0"/>
    <w:pPr>
      <w:spacing w:before="40" w:after="40"/>
    </w:pPr>
    <w:rPr>
      <w:szCs w:val="24"/>
    </w:rPr>
  </w:style>
  <w:style w:type="paragraph" w:customStyle="1" w:styleId="1165">
    <w:name w:val="Char1 Char Char Char Char Char Char2 Char Char Char111"/>
    <w:basedOn w:val="1"/>
    <w:autoRedefine/>
    <w:qFormat/>
    <w:uiPriority w:val="0"/>
    <w:rPr>
      <w:szCs w:val="24"/>
    </w:rPr>
  </w:style>
  <w:style w:type="paragraph" w:customStyle="1" w:styleId="1166">
    <w:name w:val="xl54"/>
    <w:basedOn w:val="1"/>
    <w:autoRedefine/>
    <w:qFormat/>
    <w:uiPriority w:val="0"/>
    <w:pPr>
      <w:pBdr>
        <w:left w:val="single" w:color="auto" w:sz="4" w:space="0"/>
        <w:bottom w:val="single" w:color="auto" w:sz="4" w:space="0"/>
      </w:pBdr>
      <w:spacing w:before="100" w:beforeAutospacing="1" w:after="100" w:afterAutospacing="1"/>
      <w:jc w:val="center"/>
      <w:textAlignment w:val="center"/>
    </w:pPr>
    <w:rPr>
      <w:rFonts w:eastAsia="Arial Unicode MS"/>
      <w:kern w:val="0"/>
      <w:szCs w:val="24"/>
    </w:rPr>
  </w:style>
  <w:style w:type="paragraph" w:customStyle="1" w:styleId="1167">
    <w:name w:val="小四表文左齐"/>
    <w:basedOn w:val="1"/>
    <w:autoRedefine/>
    <w:qFormat/>
    <w:uiPriority w:val="0"/>
    <w:pPr>
      <w:spacing w:line="360" w:lineRule="exact"/>
      <w:jc w:val="center"/>
    </w:pPr>
    <w:rPr>
      <w:szCs w:val="21"/>
    </w:rPr>
  </w:style>
  <w:style w:type="paragraph" w:customStyle="1" w:styleId="1168">
    <w:name w:val="Char Char1 Char Char Char Char2"/>
    <w:basedOn w:val="1"/>
    <w:autoRedefine/>
    <w:qFormat/>
    <w:uiPriority w:val="0"/>
    <w:pPr>
      <w:ind w:firstLine="800"/>
    </w:pPr>
    <w:rPr>
      <w:kern w:val="0"/>
      <w:szCs w:val="24"/>
    </w:rPr>
  </w:style>
  <w:style w:type="paragraph" w:customStyle="1" w:styleId="1169">
    <w:name w:val="Char Char Char Char Char Char Char1"/>
    <w:basedOn w:val="1"/>
    <w:autoRedefine/>
    <w:qFormat/>
    <w:uiPriority w:val="0"/>
    <w:rPr>
      <w:szCs w:val="24"/>
    </w:rPr>
  </w:style>
  <w:style w:type="paragraph" w:customStyle="1" w:styleId="1170">
    <w:name w:val="text head"/>
    <w:basedOn w:val="1"/>
    <w:autoRedefine/>
    <w:qFormat/>
    <w:uiPriority w:val="0"/>
    <w:pPr>
      <w:spacing w:line="300" w:lineRule="exact"/>
      <w:ind w:left="1134"/>
    </w:pPr>
    <w:rPr>
      <w:rFonts w:ascii="New York" w:hAnsi="New York"/>
      <w:color w:val="FF0000"/>
      <w:kern w:val="0"/>
    </w:rPr>
  </w:style>
  <w:style w:type="paragraph" w:customStyle="1" w:styleId="1171">
    <w:name w:val="Char Char Char Char Char Char1 Char2"/>
    <w:basedOn w:val="1"/>
    <w:autoRedefine/>
    <w:qFormat/>
    <w:uiPriority w:val="0"/>
    <w:pPr>
      <w:ind w:firstLine="800"/>
    </w:pPr>
    <w:rPr>
      <w:kern w:val="0"/>
    </w:rPr>
  </w:style>
  <w:style w:type="paragraph" w:customStyle="1" w:styleId="1172">
    <w:name w:val="wtext"/>
    <w:basedOn w:val="1"/>
    <w:autoRedefine/>
    <w:qFormat/>
    <w:uiPriority w:val="0"/>
    <w:pPr>
      <w:spacing w:before="100" w:beforeAutospacing="1" w:after="100" w:afterAutospacing="1"/>
    </w:pPr>
    <w:rPr>
      <w:rFonts w:ascii="宋体" w:hAnsi="宋体" w:cs="宋体"/>
      <w:color w:val="000000"/>
      <w:kern w:val="0"/>
      <w:szCs w:val="24"/>
    </w:rPr>
  </w:style>
  <w:style w:type="paragraph" w:customStyle="1" w:styleId="1173">
    <w:name w:val="无间隔12"/>
    <w:autoRedefine/>
    <w:qFormat/>
    <w:uiPriority w:val="0"/>
    <w:rPr>
      <w:rFonts w:ascii="Times New Roman" w:hAnsi="Times New Roman" w:eastAsia="宋体" w:cs="Times New Roman"/>
      <w:sz w:val="22"/>
      <w:szCs w:val="22"/>
      <w:lang w:val="en-US" w:eastAsia="zh-CN" w:bidi="ar-SA"/>
    </w:rPr>
  </w:style>
  <w:style w:type="paragraph" w:customStyle="1" w:styleId="1174">
    <w:name w:val="reader-word-layer reader-word-s4-0"/>
    <w:basedOn w:val="1"/>
    <w:autoRedefine/>
    <w:qFormat/>
    <w:uiPriority w:val="0"/>
    <w:pPr>
      <w:spacing w:before="100" w:beforeAutospacing="1" w:after="100" w:afterAutospacing="1"/>
    </w:pPr>
    <w:rPr>
      <w:rFonts w:ascii="宋体" w:hAnsi="宋体" w:cs="宋体"/>
      <w:kern w:val="0"/>
      <w:szCs w:val="24"/>
    </w:rPr>
  </w:style>
  <w:style w:type="paragraph" w:customStyle="1" w:styleId="1175">
    <w:name w:val="报告书3号"/>
    <w:basedOn w:val="25"/>
    <w:autoRedefine/>
    <w:qFormat/>
    <w:uiPriority w:val="0"/>
    <w:pPr>
      <w:tabs>
        <w:tab w:val="clear" w:pos="0"/>
      </w:tabs>
      <w:overflowPunct w:val="0"/>
      <w:topLinePunct/>
      <w:spacing w:line="240" w:lineRule="auto"/>
      <w:ind w:left="23"/>
      <w:jc w:val="both"/>
    </w:pPr>
    <w:rPr>
      <w:szCs w:val="24"/>
    </w:rPr>
  </w:style>
  <w:style w:type="paragraph" w:customStyle="1" w:styleId="1176">
    <w:name w:val="Char Char Char Char Char Char Char Char Char Char Char Char1 Char Char Char Char Char Char Char Char Char Char Char Char Char Char Char Char Char Char Char11"/>
    <w:basedOn w:val="1"/>
    <w:autoRedefine/>
    <w:qFormat/>
    <w:uiPriority w:val="0"/>
    <w:rPr>
      <w:kern w:val="0"/>
    </w:rPr>
  </w:style>
  <w:style w:type="paragraph" w:customStyle="1" w:styleId="1177">
    <w:name w:val="正文文字缩进1"/>
    <w:basedOn w:val="35"/>
    <w:autoRedefine/>
    <w:qFormat/>
    <w:uiPriority w:val="0"/>
    <w:pPr>
      <w:spacing w:after="0"/>
      <w:ind w:left="0" w:leftChars="0" w:firstLine="549" w:firstLineChars="0"/>
    </w:pPr>
    <w:rPr>
      <w:rFonts w:ascii="黑体" w:hAnsi="宋体" w:eastAsia="黑体"/>
      <w:b/>
      <w:bCs/>
      <w:kern w:val="0"/>
      <w:sz w:val="28"/>
      <w:szCs w:val="28"/>
    </w:rPr>
  </w:style>
  <w:style w:type="paragraph" w:customStyle="1" w:styleId="1178">
    <w:name w:val="Char Char Char 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lang w:val="en-US" w:eastAsia="zh-CN" w:bidi="ar-SA"/>
    </w:rPr>
  </w:style>
  <w:style w:type="paragraph" w:customStyle="1" w:styleId="1179">
    <w:name w:val="1-表内"/>
    <w:basedOn w:val="1"/>
    <w:autoRedefine/>
    <w:qFormat/>
    <w:uiPriority w:val="0"/>
    <w:rPr>
      <w:rFonts w:ascii="宋体" w:hAnsi="宋体"/>
      <w:szCs w:val="21"/>
    </w:rPr>
  </w:style>
  <w:style w:type="paragraph" w:customStyle="1" w:styleId="1180">
    <w:name w:val="xl43"/>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Cs w:val="21"/>
    </w:rPr>
  </w:style>
  <w:style w:type="paragraph" w:customStyle="1" w:styleId="1181">
    <w:name w:val="reader-word-layer reader-word-s5-7"/>
    <w:basedOn w:val="1"/>
    <w:autoRedefine/>
    <w:qFormat/>
    <w:uiPriority w:val="0"/>
    <w:pPr>
      <w:spacing w:before="100" w:beforeAutospacing="1" w:after="100" w:afterAutospacing="1"/>
    </w:pPr>
    <w:rPr>
      <w:rFonts w:ascii="宋体" w:hAnsi="宋体" w:cs="宋体"/>
      <w:kern w:val="0"/>
      <w:szCs w:val="24"/>
    </w:rPr>
  </w:style>
  <w:style w:type="paragraph" w:customStyle="1" w:styleId="1182">
    <w:name w:val="a Char Char"/>
    <w:autoRedefine/>
    <w:qFormat/>
    <w:uiPriority w:val="0"/>
    <w:pPr>
      <w:spacing w:line="540" w:lineRule="exact"/>
      <w:ind w:firstLine="561"/>
    </w:pPr>
    <w:rPr>
      <w:rFonts w:ascii="宋体" w:hAnsi="宋体" w:eastAsia="宋体" w:cs="Times New Roman"/>
      <w:bCs/>
      <w:kern w:val="2"/>
      <w:sz w:val="28"/>
      <w:szCs w:val="28"/>
      <w:lang w:val="en-US" w:eastAsia="zh-CN" w:bidi="ar-SA"/>
    </w:rPr>
  </w:style>
  <w:style w:type="paragraph" w:customStyle="1" w:styleId="1183">
    <w:name w:val="Char Char Char1 Char Char Char1 Char Char Char Char1"/>
    <w:basedOn w:val="1"/>
    <w:autoRedefine/>
    <w:qFormat/>
    <w:uiPriority w:val="0"/>
    <w:rPr>
      <w:szCs w:val="24"/>
    </w:rPr>
  </w:style>
  <w:style w:type="paragraph" w:customStyle="1" w:styleId="1184">
    <w:name w:val="font1"/>
    <w:basedOn w:val="1"/>
    <w:autoRedefine/>
    <w:qFormat/>
    <w:uiPriority w:val="0"/>
    <w:pPr>
      <w:spacing w:before="100" w:beforeAutospacing="1" w:after="100" w:afterAutospacing="1"/>
    </w:pPr>
    <w:rPr>
      <w:rFonts w:hint="eastAsia" w:ascii="宋体" w:hAnsi="宋体"/>
      <w:kern w:val="0"/>
      <w:szCs w:val="24"/>
    </w:rPr>
  </w:style>
  <w:style w:type="paragraph" w:customStyle="1" w:styleId="1185">
    <w:name w:val="a正文"/>
    <w:basedOn w:val="1"/>
    <w:autoRedefine/>
    <w:qFormat/>
    <w:uiPriority w:val="0"/>
    <w:pPr>
      <w:ind w:firstLine="480"/>
    </w:pPr>
    <w:rPr>
      <w:szCs w:val="24"/>
    </w:rPr>
  </w:style>
  <w:style w:type="paragraph" w:customStyle="1" w:styleId="1186">
    <w:name w:val="reader-word-layer reader-word-s22-19"/>
    <w:basedOn w:val="1"/>
    <w:autoRedefine/>
    <w:qFormat/>
    <w:uiPriority w:val="0"/>
    <w:pPr>
      <w:spacing w:before="100" w:beforeAutospacing="1" w:after="100" w:afterAutospacing="1"/>
    </w:pPr>
    <w:rPr>
      <w:rFonts w:ascii="宋体" w:hAnsi="宋体" w:cs="宋体"/>
      <w:kern w:val="0"/>
      <w:szCs w:val="24"/>
    </w:rPr>
  </w:style>
  <w:style w:type="paragraph" w:customStyle="1" w:styleId="1187">
    <w:name w:val="T表头"/>
    <w:next w:val="1"/>
    <w:autoRedefine/>
    <w:qFormat/>
    <w:uiPriority w:val="0"/>
    <w:pPr>
      <w:keepNext/>
      <w:keepLines/>
      <w:spacing w:line="360" w:lineRule="auto"/>
      <w:jc w:val="center"/>
    </w:pPr>
    <w:rPr>
      <w:rFonts w:ascii="Times New Roman" w:hAnsi="Times New Roman" w:eastAsia="黑体" w:cs="Times New Roman"/>
      <w:sz w:val="28"/>
      <w:lang w:val="en-US" w:eastAsia="zh-CN" w:bidi="ar-SA"/>
    </w:rPr>
  </w:style>
  <w:style w:type="paragraph" w:customStyle="1" w:styleId="1188">
    <w:name w:val="TOC 标题2"/>
    <w:basedOn w:val="9"/>
    <w:next w:val="1"/>
    <w:autoRedefine/>
    <w:qFormat/>
    <w:uiPriority w:val="0"/>
    <w:pPr>
      <w:spacing w:before="480" w:line="276" w:lineRule="auto"/>
      <w:outlineLvl w:val="9"/>
    </w:pPr>
    <w:rPr>
      <w:rFonts w:ascii="Cambria" w:hAnsi="Cambria"/>
      <w:color w:val="365F91"/>
      <w:kern w:val="0"/>
      <w:sz w:val="28"/>
      <w:szCs w:val="28"/>
    </w:rPr>
  </w:style>
  <w:style w:type="paragraph" w:customStyle="1" w:styleId="1189">
    <w:name w:val="reader-word-layer reader-word-s25-12"/>
    <w:basedOn w:val="1"/>
    <w:autoRedefine/>
    <w:qFormat/>
    <w:uiPriority w:val="0"/>
    <w:pPr>
      <w:spacing w:before="100" w:beforeAutospacing="1" w:after="100" w:afterAutospacing="1"/>
    </w:pPr>
    <w:rPr>
      <w:rFonts w:ascii="宋体" w:hAnsi="宋体" w:cs="宋体"/>
      <w:kern w:val="0"/>
      <w:szCs w:val="24"/>
    </w:rPr>
  </w:style>
  <w:style w:type="paragraph" w:customStyle="1" w:styleId="1190">
    <w:name w:val="xl69"/>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kern w:val="0"/>
      <w:szCs w:val="21"/>
    </w:rPr>
  </w:style>
  <w:style w:type="paragraph" w:customStyle="1" w:styleId="1191">
    <w:name w:val="T正文"/>
    <w:autoRedefine/>
    <w:qFormat/>
    <w:uiPriority w:val="0"/>
    <w:pPr>
      <w:widowControl w:val="0"/>
      <w:adjustRightInd w:val="0"/>
      <w:snapToGrid w:val="0"/>
      <w:spacing w:after="200" w:line="360" w:lineRule="auto"/>
      <w:ind w:firstLine="200" w:firstLineChars="200"/>
      <w:jc w:val="both"/>
    </w:pPr>
    <w:rPr>
      <w:rFonts w:ascii="Times New Roman" w:hAnsi="Times New Roman" w:eastAsia="仿宋_GB2312" w:cs="Times New Roman"/>
      <w:sz w:val="28"/>
      <w:szCs w:val="22"/>
      <w:lang w:val="en-US" w:eastAsia="zh-CN" w:bidi="ar-SA"/>
    </w:rPr>
  </w:style>
  <w:style w:type="paragraph" w:customStyle="1" w:styleId="1192">
    <w:name w:val="reader-word-layer reader-word-s4-4 reader-word-s4-9"/>
    <w:basedOn w:val="1"/>
    <w:autoRedefine/>
    <w:qFormat/>
    <w:uiPriority w:val="0"/>
    <w:pPr>
      <w:spacing w:before="100" w:beforeAutospacing="1" w:after="100" w:afterAutospacing="1"/>
    </w:pPr>
    <w:rPr>
      <w:rFonts w:ascii="宋体" w:hAnsi="宋体" w:cs="宋体"/>
      <w:kern w:val="0"/>
      <w:szCs w:val="24"/>
    </w:rPr>
  </w:style>
  <w:style w:type="paragraph" w:customStyle="1" w:styleId="1193">
    <w:name w:val="样式 (中文) 仿宋_GB2312 四号 首行缩进:  0.98 厘米 行距: 固定值 25 磅"/>
    <w:basedOn w:val="1"/>
    <w:autoRedefine/>
    <w:qFormat/>
    <w:uiPriority w:val="0"/>
    <w:pPr>
      <w:ind w:firstLine="556"/>
    </w:pPr>
    <w:rPr>
      <w:rFonts w:cs="宋体"/>
    </w:rPr>
  </w:style>
  <w:style w:type="paragraph" w:customStyle="1" w:styleId="1194">
    <w:name w:val="Char1 Char Char Char Char Char Char2 Char Char Char11"/>
    <w:basedOn w:val="1"/>
    <w:autoRedefine/>
    <w:qFormat/>
    <w:uiPriority w:val="0"/>
    <w:rPr>
      <w:szCs w:val="24"/>
    </w:rPr>
  </w:style>
  <w:style w:type="paragraph" w:customStyle="1" w:styleId="1195">
    <w:name w:val="Char Char Char Char Char Char Char Char Char Char"/>
    <w:basedOn w:val="1"/>
    <w:autoRedefine/>
    <w:qFormat/>
    <w:uiPriority w:val="0"/>
    <w:rPr>
      <w:rFonts w:ascii="宋体" w:hAnsi="宋体" w:cs="宋体"/>
      <w:kern w:val="0"/>
      <w:szCs w:val="24"/>
    </w:rPr>
  </w:style>
  <w:style w:type="paragraph" w:customStyle="1" w:styleId="1196">
    <w:name w:val="序号"/>
    <w:basedOn w:val="5"/>
    <w:autoRedefine/>
    <w:qFormat/>
    <w:uiPriority w:val="0"/>
    <w:pPr>
      <w:tabs>
        <w:tab w:val="left" w:pos="360"/>
      </w:tabs>
      <w:spacing w:after="0"/>
    </w:pPr>
    <w:rPr>
      <w:rFonts w:ascii="宋体" w:hAnsi="宋体"/>
      <w:szCs w:val="21"/>
    </w:rPr>
  </w:style>
  <w:style w:type="paragraph" w:customStyle="1" w:styleId="1197">
    <w:name w:val="ZW Char"/>
    <w:basedOn w:val="1"/>
    <w:autoRedefine/>
    <w:qFormat/>
    <w:uiPriority w:val="0"/>
    <w:pPr>
      <w:spacing w:beforeLines="20"/>
    </w:pPr>
    <w:rPr>
      <w:szCs w:val="24"/>
    </w:rPr>
  </w:style>
  <w:style w:type="paragraph" w:customStyle="1" w:styleId="1198">
    <w:name w:val="xl2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1199">
    <w:name w:val="项目正文内容"/>
    <w:basedOn w:val="1"/>
    <w:link w:val="1752"/>
    <w:autoRedefine/>
    <w:qFormat/>
    <w:uiPriority w:val="0"/>
    <w:pPr>
      <w:adjustRightInd w:val="0"/>
      <w:snapToGrid w:val="0"/>
    </w:pPr>
    <w:rPr>
      <w:rFonts w:ascii="宋体" w:hAnsi="Courier New"/>
      <w:kern w:val="0"/>
      <w:szCs w:val="21"/>
    </w:rPr>
  </w:style>
  <w:style w:type="paragraph" w:customStyle="1" w:styleId="1200">
    <w:name w:val="xl51"/>
    <w:basedOn w:val="1"/>
    <w:autoRedefine/>
    <w:qFormat/>
    <w:uiPriority w:val="0"/>
    <w:pPr>
      <w:pBdr>
        <w:bottom w:val="single" w:color="auto" w:sz="4" w:space="0"/>
      </w:pBdr>
      <w:spacing w:before="100" w:beforeAutospacing="1" w:after="100" w:afterAutospacing="1"/>
    </w:pPr>
    <w:rPr>
      <w:rFonts w:ascii="宋体"/>
      <w:kern w:val="0"/>
      <w:szCs w:val="21"/>
    </w:rPr>
  </w:style>
  <w:style w:type="paragraph" w:customStyle="1" w:styleId="1201">
    <w:name w:val="无间隔11"/>
    <w:link w:val="1421"/>
    <w:autoRedefine/>
    <w:qFormat/>
    <w:uiPriority w:val="0"/>
    <w:pPr>
      <w:widowControl w:val="0"/>
      <w:ind w:firstLine="560" w:firstLineChars="200"/>
      <w:jc w:val="both"/>
    </w:pPr>
    <w:rPr>
      <w:rFonts w:ascii="Times New Roman" w:hAnsi="Times New Roman" w:eastAsia="宋体" w:cs="Times New Roman"/>
      <w:kern w:val="2"/>
      <w:sz w:val="22"/>
      <w:szCs w:val="22"/>
      <w:lang w:val="en-US" w:eastAsia="zh-CN" w:bidi="ar-SA"/>
    </w:rPr>
  </w:style>
  <w:style w:type="paragraph" w:customStyle="1" w:styleId="1202">
    <w:name w:val="样式"/>
    <w:basedOn w:val="1"/>
    <w:next w:val="66"/>
    <w:autoRedefine/>
    <w:qFormat/>
    <w:uiPriority w:val="0"/>
    <w:pPr>
      <w:tabs>
        <w:tab w:val="left" w:pos="6720"/>
      </w:tabs>
      <w:ind w:firstLine="480"/>
    </w:pPr>
    <w:rPr>
      <w:rFonts w:ascii="楷体_GB2312" w:eastAsia="楷体_GB2312"/>
      <w:szCs w:val="24"/>
    </w:rPr>
  </w:style>
  <w:style w:type="paragraph" w:customStyle="1" w:styleId="1203">
    <w:name w:val="123 Char Char Char Char Char"/>
    <w:basedOn w:val="1"/>
    <w:autoRedefine/>
    <w:qFormat/>
    <w:uiPriority w:val="0"/>
    <w:pPr>
      <w:autoSpaceDE w:val="0"/>
      <w:autoSpaceDN w:val="0"/>
      <w:textAlignment w:val="bottom"/>
    </w:pPr>
    <w:rPr>
      <w:rFonts w:ascii="宋体" w:hAnsi="宋体" w:cs="宋体"/>
      <w:b/>
      <w:spacing w:val="20"/>
      <w:sz w:val="28"/>
      <w:szCs w:val="28"/>
    </w:rPr>
  </w:style>
  <w:style w:type="paragraph" w:customStyle="1" w:styleId="1204">
    <w:name w:val="Char11"/>
    <w:basedOn w:val="1"/>
    <w:autoRedefine/>
    <w:qFormat/>
    <w:uiPriority w:val="0"/>
    <w:pPr>
      <w:adjustRightInd w:val="0"/>
      <w:snapToGrid w:val="0"/>
      <w:spacing w:line="498" w:lineRule="atLeast"/>
    </w:pPr>
    <w:rPr>
      <w:rFonts w:ascii="宋体" w:hAnsi="宋体" w:eastAsia="楷体_GB2312" w:cs="宋体"/>
      <w:sz w:val="28"/>
      <w:szCs w:val="28"/>
    </w:rPr>
  </w:style>
  <w:style w:type="paragraph" w:customStyle="1" w:styleId="1205">
    <w:name w:val="1标题1级"/>
    <w:basedOn w:val="1"/>
    <w:autoRedefine/>
    <w:qFormat/>
    <w:uiPriority w:val="0"/>
    <w:pPr>
      <w:keepNext/>
      <w:snapToGrid w:val="0"/>
      <w:spacing w:line="420" w:lineRule="auto"/>
      <w:outlineLvl w:val="0"/>
    </w:pPr>
    <w:rPr>
      <w:rFonts w:eastAsia="黑体"/>
      <w:b/>
      <w:sz w:val="30"/>
      <w:szCs w:val="24"/>
    </w:rPr>
  </w:style>
  <w:style w:type="paragraph" w:customStyle="1" w:styleId="1206">
    <w:name w:val="xl42"/>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1207">
    <w:name w:val="xl40"/>
    <w:basedOn w:val="1"/>
    <w:autoRedefine/>
    <w:qFormat/>
    <w:uiPriority w:val="0"/>
    <w:pPr>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Cs w:val="21"/>
    </w:rPr>
  </w:style>
  <w:style w:type="paragraph" w:customStyle="1" w:styleId="1208">
    <w:name w:val="Char Char Char4 Char1"/>
    <w:basedOn w:val="1"/>
    <w:autoRedefine/>
    <w:qFormat/>
    <w:uiPriority w:val="0"/>
    <w:rPr>
      <w:szCs w:val="24"/>
    </w:rPr>
  </w:style>
  <w:style w:type="paragraph" w:customStyle="1" w:styleId="1209">
    <w:name w:val="Char1 Char Char Char Char Char Char Char Char Char"/>
    <w:basedOn w:val="1"/>
    <w:autoRedefine/>
    <w:qFormat/>
    <w:uiPriority w:val="0"/>
    <w:pPr>
      <w:spacing w:line="440" w:lineRule="exact"/>
    </w:pPr>
    <w:rPr>
      <w:kern w:val="0"/>
      <w:szCs w:val="24"/>
    </w:rPr>
  </w:style>
  <w:style w:type="paragraph" w:customStyle="1" w:styleId="1210">
    <w:name w:val="自定义正文"/>
    <w:basedOn w:val="25"/>
    <w:link w:val="1477"/>
    <w:autoRedefine/>
    <w:qFormat/>
    <w:uiPriority w:val="0"/>
    <w:pPr>
      <w:tabs>
        <w:tab w:val="clear" w:pos="0"/>
      </w:tabs>
      <w:adjustRightInd w:val="0"/>
      <w:spacing w:line="360" w:lineRule="auto"/>
      <w:ind w:firstLine="200"/>
      <w:jc w:val="both"/>
      <w:textAlignment w:val="baseline"/>
    </w:pPr>
    <w:rPr>
      <w:color w:val="auto"/>
      <w:sz w:val="28"/>
      <w:szCs w:val="21"/>
    </w:rPr>
  </w:style>
  <w:style w:type="paragraph" w:customStyle="1" w:styleId="1211">
    <w:name w:val="样式 标题 3 + 段前: 0.5 行"/>
    <w:basedOn w:val="11"/>
    <w:autoRedefine/>
    <w:qFormat/>
    <w:uiPriority w:val="0"/>
    <w:pPr>
      <w:tabs>
        <w:tab w:val="left" w:pos="1260"/>
      </w:tabs>
      <w:spacing w:before="156"/>
      <w:ind w:left="1260" w:hanging="420" w:firstLineChars="200"/>
    </w:pPr>
    <w:rPr>
      <w:rFonts w:ascii="宋体" w:hAnsi="宋体" w:eastAsia="黑体"/>
      <w:szCs w:val="28"/>
    </w:rPr>
  </w:style>
  <w:style w:type="paragraph" w:customStyle="1" w:styleId="1212">
    <w:name w:val="xl66"/>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Arial Unicode MS" w:hAnsi="Arial Unicode MS" w:eastAsia="Arial Unicode MS"/>
      <w:kern w:val="0"/>
      <w:szCs w:val="24"/>
    </w:rPr>
  </w:style>
  <w:style w:type="paragraph" w:customStyle="1" w:styleId="1213">
    <w:name w:val="Char Char Char1 Char Char Char Char Char Char Char1 Char Char Char"/>
    <w:basedOn w:val="1"/>
    <w:autoRedefine/>
    <w:qFormat/>
    <w:uiPriority w:val="0"/>
    <w:rPr>
      <w:szCs w:val="24"/>
    </w:rPr>
  </w:style>
  <w:style w:type="paragraph" w:customStyle="1" w:styleId="1214">
    <w:name w:val="Char Char Char1 Char Char Char Char Char Char Char1 Char Char Char2"/>
    <w:basedOn w:val="1"/>
    <w:autoRedefine/>
    <w:qFormat/>
    <w:uiPriority w:val="0"/>
    <w:pPr>
      <w:ind w:firstLine="800"/>
    </w:pPr>
    <w:rPr>
      <w:kern w:val="0"/>
      <w:szCs w:val="24"/>
    </w:rPr>
  </w:style>
  <w:style w:type="paragraph" w:customStyle="1" w:styleId="1215">
    <w:name w:val="Char12"/>
    <w:basedOn w:val="1"/>
    <w:next w:val="1"/>
    <w:autoRedefine/>
    <w:qFormat/>
    <w:uiPriority w:val="0"/>
    <w:rPr>
      <w:rFonts w:ascii="宋体" w:hAnsi="宋体" w:cs="宋体"/>
      <w:snapToGrid w:val="0"/>
      <w:kern w:val="0"/>
      <w:szCs w:val="24"/>
    </w:rPr>
  </w:style>
  <w:style w:type="paragraph" w:customStyle="1" w:styleId="1216">
    <w:name w:val="22磅行间距"/>
    <w:basedOn w:val="1"/>
    <w:autoRedefine/>
    <w:qFormat/>
    <w:uiPriority w:val="0"/>
    <w:pPr>
      <w:adjustRightInd w:val="0"/>
      <w:snapToGrid w:val="0"/>
      <w:spacing w:line="440" w:lineRule="exact"/>
    </w:pPr>
    <w:rPr>
      <w:szCs w:val="24"/>
    </w:rPr>
  </w:style>
  <w:style w:type="paragraph" w:customStyle="1" w:styleId="1217">
    <w:name w:val="xl46"/>
    <w:basedOn w:val="1"/>
    <w:autoRedefine/>
    <w:qFormat/>
    <w:uiPriority w:val="0"/>
    <w:pPr>
      <w:pBdr>
        <w:bottom w:val="single" w:color="auto" w:sz="8" w:space="0"/>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1218">
    <w:name w:val="晓丹"/>
    <w:basedOn w:val="1"/>
    <w:next w:val="1"/>
    <w:autoRedefine/>
    <w:qFormat/>
    <w:uiPriority w:val="0"/>
    <w:pPr>
      <w:adjustRightInd w:val="0"/>
      <w:snapToGrid w:val="0"/>
      <w:textAlignment w:val="baseline"/>
    </w:pPr>
    <w:rPr>
      <w:rFonts w:ascii="宋体" w:hAnsi="宋体"/>
      <w:color w:val="000000"/>
      <w:spacing w:val="6"/>
    </w:rPr>
  </w:style>
  <w:style w:type="paragraph" w:customStyle="1" w:styleId="1219">
    <w:name w:val="Char Char1 Char Char Char Char Char Char Char Char Char1 Char Char Char Char Char Char Char Char Char Char Char Char Char Char Char Char Char1 Char Char Char Char"/>
    <w:basedOn w:val="1"/>
    <w:autoRedefine/>
    <w:qFormat/>
    <w:uiPriority w:val="0"/>
    <w:rPr>
      <w:rFonts w:ascii="宋体" w:hAnsi="宋体" w:cs="宋体"/>
      <w:szCs w:val="24"/>
    </w:rPr>
  </w:style>
  <w:style w:type="paragraph" w:customStyle="1" w:styleId="1220">
    <w:name w:val="reader-word-layer reader-word-s3-5"/>
    <w:basedOn w:val="1"/>
    <w:autoRedefine/>
    <w:qFormat/>
    <w:uiPriority w:val="0"/>
    <w:pPr>
      <w:spacing w:before="100" w:beforeAutospacing="1" w:after="100" w:afterAutospacing="1"/>
    </w:pPr>
    <w:rPr>
      <w:rFonts w:ascii="宋体" w:hAnsi="宋体" w:cs="宋体"/>
      <w:kern w:val="0"/>
      <w:szCs w:val="24"/>
    </w:rPr>
  </w:style>
  <w:style w:type="paragraph" w:customStyle="1" w:styleId="1221">
    <w:name w:val="样式 (西文) 宋体 (中文) 黑体 小四 加粗 居中 行距: 1.5 倍行距"/>
    <w:basedOn w:val="1"/>
    <w:autoRedefine/>
    <w:qFormat/>
    <w:uiPriority w:val="0"/>
    <w:pPr>
      <w:spacing w:beforeLines="50" w:afterLines="50"/>
    </w:pPr>
    <w:rPr>
      <w:rFonts w:ascii="宋体" w:hAnsi="宋体" w:cs="宋体"/>
      <w:b/>
      <w:bCs/>
      <w:kern w:val="0"/>
      <w:sz w:val="44"/>
    </w:rPr>
  </w:style>
  <w:style w:type="paragraph" w:customStyle="1" w:styleId="1222">
    <w:name w:val="HTML 预先格式化"/>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黑体" w:hAnsi="Courier New" w:eastAsia="黑体"/>
      <w:kern w:val="0"/>
      <w:sz w:val="20"/>
    </w:rPr>
  </w:style>
  <w:style w:type="paragraph" w:customStyle="1" w:styleId="1223">
    <w:name w:val="syh3级标题"/>
    <w:basedOn w:val="1"/>
    <w:link w:val="1460"/>
    <w:autoRedefine/>
    <w:qFormat/>
    <w:uiPriority w:val="0"/>
    <w:pPr>
      <w:keepNext/>
      <w:spacing w:line="520" w:lineRule="exact"/>
      <w:outlineLvl w:val="2"/>
    </w:pPr>
    <w:rPr>
      <w:rFonts w:ascii="黑体" w:hAnsi="宋体" w:eastAsia="黑体"/>
      <w:b/>
      <w:kern w:val="0"/>
      <w:szCs w:val="24"/>
      <w:lang w:val="zh-CN"/>
    </w:rPr>
  </w:style>
  <w:style w:type="paragraph" w:customStyle="1" w:styleId="1224">
    <w:name w:val="新正文样式"/>
    <w:basedOn w:val="1"/>
    <w:autoRedefine/>
    <w:qFormat/>
    <w:uiPriority w:val="0"/>
    <w:pPr>
      <w:tabs>
        <w:tab w:val="left" w:pos="567"/>
      </w:tabs>
      <w:ind w:firstLine="567"/>
    </w:pPr>
    <w:rPr>
      <w:spacing w:val="20"/>
    </w:rPr>
  </w:style>
  <w:style w:type="paragraph" w:customStyle="1" w:styleId="1225">
    <w:name w:val="reader-word-layer reader-word-s1-8"/>
    <w:basedOn w:val="1"/>
    <w:autoRedefine/>
    <w:qFormat/>
    <w:uiPriority w:val="0"/>
    <w:pPr>
      <w:spacing w:before="100" w:beforeAutospacing="1" w:after="100" w:afterAutospacing="1"/>
    </w:pPr>
    <w:rPr>
      <w:rFonts w:ascii="宋体" w:hAnsi="宋体" w:cs="宋体"/>
      <w:kern w:val="0"/>
      <w:szCs w:val="24"/>
    </w:rPr>
  </w:style>
  <w:style w:type="paragraph" w:customStyle="1" w:styleId="1226">
    <w:name w:val="body1"/>
    <w:basedOn w:val="1"/>
    <w:autoRedefine/>
    <w:qFormat/>
    <w:uiPriority w:val="0"/>
    <w:pPr>
      <w:tabs>
        <w:tab w:val="left" w:pos="1200"/>
      </w:tabs>
      <w:spacing w:before="120" w:after="120" w:line="240" w:lineRule="atLeast"/>
      <w:ind w:left="1540" w:leftChars="700" w:firstLine="480"/>
    </w:pPr>
    <w:rPr>
      <w:rFonts w:ascii="宋体" w:hAnsi="宋体"/>
      <w:color w:val="000000"/>
      <w:kern w:val="0"/>
      <w:lang w:val="en-GB"/>
    </w:rPr>
  </w:style>
  <w:style w:type="paragraph" w:customStyle="1" w:styleId="1227">
    <w:name w:val="Char Char Char2 Char2"/>
    <w:basedOn w:val="1"/>
    <w:autoRedefine/>
    <w:qFormat/>
    <w:uiPriority w:val="0"/>
    <w:pPr>
      <w:spacing w:after="160" w:line="240" w:lineRule="exact"/>
    </w:pPr>
    <w:rPr>
      <w:rFonts w:ascii="宋体"/>
      <w:kern w:val="0"/>
    </w:rPr>
  </w:style>
  <w:style w:type="paragraph" w:customStyle="1" w:styleId="1228">
    <w:name w:val="图表目录1"/>
    <w:basedOn w:val="153"/>
    <w:next w:val="153"/>
    <w:autoRedefine/>
    <w:qFormat/>
    <w:uiPriority w:val="0"/>
    <w:pPr>
      <w:tabs>
        <w:tab w:val="right" w:leader="dot" w:pos="8051"/>
      </w:tabs>
      <w:snapToGrid/>
      <w:spacing w:line="360" w:lineRule="atLeast"/>
      <w:ind w:left="840" w:hanging="840" w:firstLineChars="0"/>
      <w:textAlignment w:val="baseline"/>
    </w:pPr>
    <w:rPr>
      <w:sz w:val="24"/>
      <w:szCs w:val="20"/>
      <w:lang w:eastAsia="zh-CN"/>
    </w:rPr>
  </w:style>
  <w:style w:type="paragraph" w:customStyle="1" w:styleId="1229">
    <w:name w:val="Char1"/>
    <w:basedOn w:val="1"/>
    <w:next w:val="1"/>
    <w:autoRedefine/>
    <w:qFormat/>
    <w:uiPriority w:val="0"/>
    <w:rPr>
      <w:rFonts w:ascii="宋体" w:hAnsi="宋体" w:cs="宋体"/>
      <w:snapToGrid w:val="0"/>
      <w:kern w:val="0"/>
      <w:szCs w:val="24"/>
    </w:rPr>
  </w:style>
  <w:style w:type="paragraph" w:customStyle="1" w:styleId="1230">
    <w:name w:val="p0"/>
    <w:basedOn w:val="1"/>
    <w:autoRedefine/>
    <w:qFormat/>
    <w:uiPriority w:val="0"/>
    <w:rPr>
      <w:kern w:val="0"/>
      <w:szCs w:val="21"/>
    </w:rPr>
  </w:style>
  <w:style w:type="paragraph" w:customStyle="1" w:styleId="1231">
    <w:name w:val="Char14"/>
    <w:basedOn w:val="1"/>
    <w:next w:val="1"/>
    <w:autoRedefine/>
    <w:qFormat/>
    <w:uiPriority w:val="0"/>
    <w:rPr>
      <w:rFonts w:ascii="宋体" w:hAnsi="宋体" w:cs="宋体"/>
      <w:snapToGrid w:val="0"/>
      <w:kern w:val="0"/>
      <w:szCs w:val="24"/>
    </w:rPr>
  </w:style>
  <w:style w:type="paragraph" w:customStyle="1" w:styleId="1232">
    <w:name w:val="Char Char Char4 Char"/>
    <w:basedOn w:val="1"/>
    <w:autoRedefine/>
    <w:qFormat/>
    <w:uiPriority w:val="0"/>
    <w:rPr>
      <w:szCs w:val="24"/>
    </w:rPr>
  </w:style>
  <w:style w:type="paragraph" w:customStyle="1" w:styleId="1233">
    <w:name w:val="_Style 19"/>
    <w:basedOn w:val="35"/>
    <w:next w:val="1"/>
    <w:autoRedefine/>
    <w:qFormat/>
    <w:uiPriority w:val="0"/>
    <w:pPr>
      <w:spacing w:after="0"/>
      <w:ind w:left="0" w:leftChars="0" w:firstLine="420"/>
    </w:pPr>
    <w:rPr>
      <w:kern w:val="0"/>
      <w:sz w:val="32"/>
    </w:rPr>
  </w:style>
  <w:style w:type="paragraph" w:customStyle="1" w:styleId="1234">
    <w:name w:val="小标题"/>
    <w:basedOn w:val="1"/>
    <w:autoRedefine/>
    <w:qFormat/>
    <w:uiPriority w:val="0"/>
    <w:pPr>
      <w:adjustRightInd w:val="0"/>
      <w:spacing w:beforeLines="50" w:line="440" w:lineRule="atLeast"/>
      <w:ind w:firstLine="560"/>
      <w:textAlignment w:val="baseline"/>
    </w:pPr>
    <w:rPr>
      <w:rFonts w:ascii="黑体" w:eastAsia="黑体"/>
      <w:bCs/>
      <w:kern w:val="0"/>
      <w:sz w:val="28"/>
      <w:szCs w:val="28"/>
      <w:u w:val="single"/>
    </w:rPr>
  </w:style>
  <w:style w:type="paragraph" w:customStyle="1" w:styleId="1235">
    <w:name w:val="图表文字"/>
    <w:basedOn w:val="1"/>
    <w:autoRedefine/>
    <w:qFormat/>
    <w:uiPriority w:val="0"/>
    <w:pPr>
      <w:jc w:val="center"/>
    </w:pPr>
    <w:rPr>
      <w:rFonts w:ascii="仿宋_GB2312" w:eastAsia="仿宋_GB2312"/>
      <w:szCs w:val="24"/>
    </w:rPr>
  </w:style>
  <w:style w:type="paragraph" w:customStyle="1" w:styleId="1236">
    <w:name w:val="样式 标题 2 + 段前: 7.8 磅"/>
    <w:basedOn w:val="10"/>
    <w:autoRedefine/>
    <w:qFormat/>
    <w:uiPriority w:val="0"/>
    <w:pPr>
      <w:tabs>
        <w:tab w:val="left" w:pos="525"/>
      </w:tabs>
      <w:spacing w:line="240" w:lineRule="auto"/>
      <w:ind w:firstLine="200" w:firstLineChars="200"/>
    </w:pPr>
    <w:rPr>
      <w:rFonts w:ascii="Arial" w:hAnsi="Arial" w:eastAsia="黑体"/>
      <w:szCs w:val="19"/>
    </w:rPr>
  </w:style>
  <w:style w:type="paragraph" w:customStyle="1" w:styleId="1237">
    <w:name w:val="Ay正文"/>
    <w:basedOn w:val="1"/>
    <w:autoRedefine/>
    <w:qFormat/>
    <w:uiPriority w:val="0"/>
    <w:pPr>
      <w:adjustRightInd w:val="0"/>
      <w:snapToGrid w:val="0"/>
    </w:pPr>
    <w:rPr>
      <w:kern w:val="0"/>
    </w:rPr>
  </w:style>
  <w:style w:type="paragraph" w:customStyle="1" w:styleId="1238">
    <w:name w:val="样式 标题 1 + 居中"/>
    <w:basedOn w:val="9"/>
    <w:next w:val="1"/>
    <w:link w:val="1620"/>
    <w:autoRedefine/>
    <w:qFormat/>
    <w:uiPriority w:val="0"/>
    <w:pPr>
      <w:keepNext w:val="0"/>
      <w:pageBreakBefore/>
      <w:jc w:val="center"/>
    </w:pPr>
    <w:rPr>
      <w:rFonts w:eastAsia="黑体"/>
      <w:b w:val="0"/>
      <w:sz w:val="36"/>
      <w:szCs w:val="20"/>
    </w:rPr>
  </w:style>
  <w:style w:type="paragraph" w:customStyle="1" w:styleId="1239">
    <w:name w:val="Char Char Char Char Char Char Char Char Char1 Char Char Char Char1"/>
    <w:basedOn w:val="1"/>
    <w:autoRedefine/>
    <w:qFormat/>
    <w:uiPriority w:val="0"/>
  </w:style>
  <w:style w:type="paragraph" w:customStyle="1" w:styleId="1240">
    <w:name w:val="正文文本缩进21"/>
    <w:basedOn w:val="1"/>
    <w:autoRedefine/>
    <w:qFormat/>
    <w:uiPriority w:val="0"/>
    <w:pPr>
      <w:spacing w:after="100" w:afterLines="100"/>
      <w:ind w:left="200" w:leftChars="200" w:firstLine="800"/>
    </w:pPr>
    <w:rPr>
      <w:rFonts w:ascii="宋体"/>
      <w:kern w:val="0"/>
      <w:sz w:val="22"/>
      <w:lang w:eastAsia="en-US"/>
    </w:rPr>
  </w:style>
  <w:style w:type="paragraph" w:customStyle="1" w:styleId="1241">
    <w:name w:val="Char Char Char Char Char Char Char Char Char Char Char Char1 Char Char Char Char2"/>
    <w:basedOn w:val="1"/>
    <w:next w:val="1"/>
    <w:autoRedefine/>
    <w:qFormat/>
    <w:uiPriority w:val="0"/>
    <w:pPr>
      <w:spacing w:line="336" w:lineRule="auto"/>
    </w:pPr>
    <w:rPr>
      <w:rFonts w:ascii="宋体" w:hAnsi="宋体" w:eastAsia="汉鼎简书宋" w:cs="宋体"/>
      <w:szCs w:val="24"/>
    </w:rPr>
  </w:style>
  <w:style w:type="paragraph" w:customStyle="1" w:styleId="1242">
    <w:name w:val="a Char"/>
    <w:link w:val="1713"/>
    <w:autoRedefine/>
    <w:qFormat/>
    <w:uiPriority w:val="0"/>
    <w:pPr>
      <w:spacing w:line="540" w:lineRule="exact"/>
      <w:ind w:firstLine="561"/>
    </w:pPr>
    <w:rPr>
      <w:rFonts w:ascii="宋体" w:hAnsi="宋体" w:eastAsia="宋体" w:cs="Times New Roman"/>
      <w:bCs/>
      <w:sz w:val="28"/>
      <w:szCs w:val="28"/>
      <w:lang w:val="en-US" w:eastAsia="zh-CN" w:bidi="ar-SA"/>
    </w:rPr>
  </w:style>
  <w:style w:type="paragraph" w:customStyle="1" w:styleId="1243">
    <w:name w:val="p15"/>
    <w:basedOn w:val="1"/>
    <w:autoRedefine/>
    <w:qFormat/>
    <w:uiPriority w:val="0"/>
    <w:rPr>
      <w:rFonts w:ascii="宋体" w:hAnsi="宋体" w:cs="宋体"/>
      <w:kern w:val="0"/>
      <w:szCs w:val="21"/>
    </w:rPr>
  </w:style>
  <w:style w:type="paragraph" w:customStyle="1" w:styleId="1244">
    <w:name w:val="Char Char Char Char Char Char Char Char Char Char1"/>
    <w:basedOn w:val="1"/>
    <w:autoRedefine/>
    <w:qFormat/>
    <w:uiPriority w:val="0"/>
    <w:rPr>
      <w:szCs w:val="24"/>
    </w:rPr>
  </w:style>
  <w:style w:type="paragraph" w:customStyle="1" w:styleId="1245">
    <w:name w:val="xl3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Cs w:val="21"/>
    </w:rPr>
  </w:style>
  <w:style w:type="paragraph" w:customStyle="1" w:styleId="1246">
    <w:name w:val="Char Char Char Char1"/>
    <w:basedOn w:val="1"/>
    <w:next w:val="1"/>
    <w:autoRedefine/>
    <w:qFormat/>
    <w:uiPriority w:val="0"/>
    <w:rPr>
      <w:rFonts w:ascii="宋体" w:cs="宋体"/>
      <w:kern w:val="0"/>
      <w:szCs w:val="24"/>
    </w:rPr>
  </w:style>
  <w:style w:type="paragraph" w:customStyle="1" w:styleId="1247">
    <w:name w:val="图标号"/>
    <w:basedOn w:val="1"/>
    <w:autoRedefine/>
    <w:qFormat/>
    <w:uiPriority w:val="0"/>
    <w:pPr>
      <w:tabs>
        <w:tab w:val="left" w:pos="0"/>
      </w:tabs>
      <w:adjustRightInd w:val="0"/>
      <w:spacing w:afterLines="50"/>
      <w:ind w:firstLine="288"/>
      <w:jc w:val="center"/>
    </w:pPr>
    <w:rPr>
      <w:rFonts w:eastAsia="仿宋_GB2312"/>
      <w:szCs w:val="21"/>
    </w:rPr>
  </w:style>
  <w:style w:type="paragraph" w:customStyle="1" w:styleId="1248">
    <w:name w:val="brdrw15brsp20 tqctx4153t"/>
    <w:autoRedefine/>
    <w:qFormat/>
    <w:uiPriority w:val="0"/>
    <w:pPr>
      <w:widowControl w:val="0"/>
      <w:pBdr>
        <w:bottom w:val="single" w:color="auto" w:sz="6" w:space="0"/>
      </w:pBdr>
      <w:adjustRightInd w:val="0"/>
      <w:spacing w:line="312" w:lineRule="atLeast"/>
      <w:jc w:val="center"/>
      <w:textAlignment w:val="baseline"/>
    </w:pPr>
    <w:rPr>
      <w:rFonts w:ascii="Times New Roman" w:hAnsi="Times New Roman" w:eastAsia="宋体" w:cs="Times New Roman"/>
      <w:sz w:val="21"/>
      <w:lang w:val="en-US" w:eastAsia="zh-CN" w:bidi="ar-SA"/>
    </w:rPr>
  </w:style>
  <w:style w:type="paragraph" w:customStyle="1" w:styleId="1249">
    <w:name w:val="项目点符号"/>
    <w:basedOn w:val="1"/>
    <w:autoRedefine/>
    <w:qFormat/>
    <w:uiPriority w:val="0"/>
    <w:pPr>
      <w:spacing w:line="360" w:lineRule="exact"/>
      <w:ind w:left="-103" w:leftChars="-49" w:right="-86" w:rightChars="-41"/>
      <w:jc w:val="center"/>
    </w:pPr>
    <w:rPr>
      <w:rFonts w:hAnsi="宋体"/>
      <w:color w:val="000000"/>
      <w:spacing w:val="16"/>
      <w:szCs w:val="24"/>
    </w:rPr>
  </w:style>
  <w:style w:type="paragraph" w:customStyle="1" w:styleId="1250">
    <w:name w:val="4"/>
    <w:basedOn w:val="1"/>
    <w:next w:val="25"/>
    <w:autoRedefine/>
    <w:qFormat/>
    <w:uiPriority w:val="0"/>
    <w:pPr>
      <w:tabs>
        <w:tab w:val="left" w:pos="0"/>
      </w:tabs>
      <w:adjustRightInd w:val="0"/>
      <w:spacing w:line="420" w:lineRule="atLeast"/>
      <w:ind w:firstLine="420"/>
      <w:textAlignment w:val="baseline"/>
    </w:pPr>
    <w:rPr>
      <w:rFonts w:ascii="宋体"/>
      <w:kern w:val="0"/>
      <w:sz w:val="28"/>
    </w:rPr>
  </w:style>
  <w:style w:type="paragraph" w:customStyle="1" w:styleId="1251">
    <w:name w:val="样式 标题 33h33rd levelH3l3CT二级节名条标题1.1.1BSH-3项目分标题 + 小四 ..."/>
    <w:basedOn w:val="11"/>
    <w:next w:val="80"/>
    <w:autoRedefine/>
    <w:qFormat/>
    <w:uiPriority w:val="0"/>
    <w:pPr>
      <w:tabs>
        <w:tab w:val="left" w:pos="975"/>
      </w:tabs>
      <w:spacing w:line="300" w:lineRule="exact"/>
    </w:pPr>
    <w:rPr>
      <w:rFonts w:ascii="Times" w:hAnsi="Times" w:cs="宋体"/>
      <w:sz w:val="24"/>
      <w:szCs w:val="24"/>
    </w:rPr>
  </w:style>
  <w:style w:type="paragraph" w:customStyle="1" w:styleId="1252">
    <w:name w:val="Char Char Char Char Char Char Char Char Char Char Char Char1 Char Char Char Char Char Char Char Char Char Char Char Char Char Char Char Char Char Char Char1"/>
    <w:basedOn w:val="1"/>
    <w:autoRedefine/>
    <w:qFormat/>
    <w:uiPriority w:val="0"/>
    <w:rPr>
      <w:rFonts w:ascii="Calibri" w:hAnsi="Calibri"/>
    </w:rPr>
  </w:style>
  <w:style w:type="paragraph" w:customStyle="1" w:styleId="1253">
    <w:name w:val="wh1"/>
    <w:basedOn w:val="44"/>
    <w:autoRedefine/>
    <w:qFormat/>
    <w:uiPriority w:val="0"/>
    <w:pPr>
      <w:spacing w:line="520" w:lineRule="exact"/>
    </w:pPr>
    <w:rPr>
      <w:rFonts w:ascii="Times New Roman" w:hAnsi="Times New Roman"/>
      <w:sz w:val="28"/>
    </w:rPr>
  </w:style>
  <w:style w:type="paragraph" w:customStyle="1" w:styleId="1254">
    <w:name w:val="正文文本最新 Char Char Char1 Char Char Char Char Char Char"/>
    <w:autoRedefine/>
    <w:qFormat/>
    <w:uiPriority w:val="0"/>
    <w:pPr>
      <w:spacing w:line="360" w:lineRule="auto"/>
      <w:ind w:firstLine="200" w:firstLineChars="200"/>
      <w:jc w:val="both"/>
    </w:pPr>
    <w:rPr>
      <w:rFonts w:ascii="Times New Roman" w:hAnsi="Times New Roman" w:eastAsia="宋体" w:cs="Times New Roman"/>
      <w:b/>
      <w:bCs/>
      <w:kern w:val="2"/>
      <w:sz w:val="28"/>
      <w:szCs w:val="24"/>
      <w:lang w:val="en-US" w:eastAsia="zh-CN" w:bidi="ar-SA"/>
    </w:rPr>
  </w:style>
  <w:style w:type="paragraph" w:customStyle="1" w:styleId="1255">
    <w:name w:val="WPS Plain"/>
    <w:autoRedefine/>
    <w:qFormat/>
    <w:uiPriority w:val="0"/>
    <w:rPr>
      <w:rFonts w:ascii="Times New Roman" w:hAnsi="Times New Roman" w:eastAsia="宋体" w:cs="Times New Roman"/>
      <w:lang w:val="en-US" w:eastAsia="zh-CN" w:bidi="ar-SA"/>
    </w:rPr>
  </w:style>
  <w:style w:type="paragraph" w:customStyle="1" w:styleId="1256">
    <w:name w:val="Char Char16 Char Char11"/>
    <w:basedOn w:val="1"/>
    <w:autoRedefine/>
    <w:qFormat/>
    <w:uiPriority w:val="0"/>
    <w:pPr>
      <w:spacing w:after="160" w:line="240" w:lineRule="exact"/>
      <w:ind w:firstLine="800"/>
    </w:pPr>
    <w:rPr>
      <w:rFonts w:ascii="Verdana" w:hAnsi="Verdana" w:eastAsia="仿宋_GB2312"/>
      <w:b/>
      <w:kern w:val="0"/>
      <w:sz w:val="28"/>
      <w:szCs w:val="30"/>
      <w:lang w:eastAsia="en-US"/>
    </w:rPr>
  </w:style>
  <w:style w:type="paragraph" w:customStyle="1" w:styleId="1257">
    <w:name w:val="p24"/>
    <w:basedOn w:val="1"/>
    <w:autoRedefine/>
    <w:qFormat/>
    <w:uiPriority w:val="99"/>
    <w:pPr>
      <w:spacing w:line="500" w:lineRule="atLeast"/>
      <w:ind w:firstLine="567"/>
    </w:pPr>
    <w:rPr>
      <w:kern w:val="0"/>
      <w:sz w:val="28"/>
      <w:szCs w:val="28"/>
    </w:rPr>
  </w:style>
  <w:style w:type="paragraph" w:customStyle="1" w:styleId="1258">
    <w:name w:val="reader-word-layer reader-word-s1-1 reader-word-s1-3"/>
    <w:basedOn w:val="1"/>
    <w:autoRedefine/>
    <w:qFormat/>
    <w:uiPriority w:val="0"/>
    <w:pPr>
      <w:spacing w:before="100" w:beforeAutospacing="1" w:after="100" w:afterAutospacing="1"/>
    </w:pPr>
    <w:rPr>
      <w:rFonts w:ascii="宋体" w:hAnsi="宋体" w:cs="宋体"/>
      <w:kern w:val="0"/>
      <w:szCs w:val="24"/>
    </w:rPr>
  </w:style>
  <w:style w:type="paragraph" w:customStyle="1" w:styleId="1259">
    <w:name w:val="Char Char Char4 Char2"/>
    <w:basedOn w:val="1"/>
    <w:autoRedefine/>
    <w:qFormat/>
    <w:uiPriority w:val="0"/>
    <w:pPr>
      <w:ind w:firstLine="800"/>
    </w:pPr>
    <w:rPr>
      <w:kern w:val="0"/>
      <w:szCs w:val="24"/>
    </w:rPr>
  </w:style>
  <w:style w:type="paragraph" w:customStyle="1" w:styleId="1260">
    <w:name w:val="正文样式"/>
    <w:basedOn w:val="1"/>
    <w:link w:val="1408"/>
    <w:autoRedefine/>
    <w:qFormat/>
    <w:uiPriority w:val="0"/>
    <w:pPr>
      <w:spacing w:line="460" w:lineRule="exact"/>
    </w:pPr>
    <w:rPr>
      <w:rFonts w:ascii="宋体"/>
      <w:kern w:val="0"/>
      <w:szCs w:val="24"/>
      <w:lang w:eastAsia="en-US" w:bidi="en-US"/>
    </w:rPr>
  </w:style>
  <w:style w:type="paragraph" w:customStyle="1" w:styleId="1261">
    <w:name w:val="图框文字"/>
    <w:basedOn w:val="1"/>
    <w:autoRedefine/>
    <w:qFormat/>
    <w:uiPriority w:val="0"/>
    <w:pPr>
      <w:jc w:val="center"/>
      <w:textAlignment w:val="center"/>
    </w:pPr>
    <w:rPr>
      <w:szCs w:val="24"/>
    </w:rPr>
  </w:style>
  <w:style w:type="paragraph" w:customStyle="1" w:styleId="1262">
    <w:name w:val="a Char Char Char Char Char"/>
    <w:link w:val="1676"/>
    <w:autoRedefine/>
    <w:qFormat/>
    <w:uiPriority w:val="0"/>
    <w:pPr>
      <w:spacing w:line="540" w:lineRule="exact"/>
      <w:ind w:firstLine="561"/>
    </w:pPr>
    <w:rPr>
      <w:rFonts w:ascii="宋体" w:hAnsi="宋体" w:eastAsia="宋体" w:cs="Times New Roman"/>
      <w:bCs/>
      <w:sz w:val="28"/>
      <w:szCs w:val="28"/>
      <w:lang w:val="en-US" w:eastAsia="zh-CN" w:bidi="ar-SA"/>
    </w:rPr>
  </w:style>
  <w:style w:type="paragraph" w:customStyle="1" w:styleId="1263">
    <w:name w:val="Ay四级标题"/>
    <w:basedOn w:val="1"/>
    <w:link w:val="1334"/>
    <w:autoRedefine/>
    <w:qFormat/>
    <w:uiPriority w:val="0"/>
    <w:pPr>
      <w:keepNext/>
      <w:keepLines/>
      <w:outlineLvl w:val="3"/>
    </w:pPr>
    <w:rPr>
      <w:b/>
      <w:bCs/>
      <w:szCs w:val="24"/>
    </w:rPr>
  </w:style>
  <w:style w:type="paragraph" w:customStyle="1" w:styleId="1264">
    <w:name w:val="Char Char Char Char Char Char Char Char Char1 Char Char Char Char2"/>
    <w:basedOn w:val="1"/>
    <w:autoRedefine/>
    <w:qFormat/>
    <w:uiPriority w:val="0"/>
  </w:style>
  <w:style w:type="paragraph" w:customStyle="1" w:styleId="1265">
    <w:name w:val="样式 标题 2H2节SeHead wsa2 CharHead wsa2 Char Char CharHead wsa..."/>
    <w:basedOn w:val="10"/>
    <w:autoRedefine/>
    <w:qFormat/>
    <w:uiPriority w:val="0"/>
    <w:pPr>
      <w:keepNext w:val="0"/>
    </w:pPr>
  </w:style>
  <w:style w:type="paragraph" w:customStyle="1" w:styleId="1266">
    <w:name w:val="A-表格文字"/>
    <w:basedOn w:val="1"/>
    <w:next w:val="857"/>
    <w:autoRedefine/>
    <w:qFormat/>
    <w:uiPriority w:val="0"/>
    <w:pPr>
      <w:autoSpaceDE w:val="0"/>
      <w:autoSpaceDN w:val="0"/>
      <w:adjustRightInd w:val="0"/>
      <w:spacing w:line="440" w:lineRule="exact"/>
      <w:jc w:val="center"/>
      <w:textAlignment w:val="center"/>
    </w:pPr>
    <w:rPr>
      <w:rFonts w:ascii="宋体"/>
      <w:kern w:val="0"/>
    </w:rPr>
  </w:style>
  <w:style w:type="paragraph" w:customStyle="1" w:styleId="1267">
    <w:name w:val="无间隔1"/>
    <w:link w:val="1751"/>
    <w:autoRedefine/>
    <w:qFormat/>
    <w:uiPriority w:val="0"/>
    <w:rPr>
      <w:rFonts w:ascii="Times New Roman" w:hAnsi="Times New Roman" w:eastAsia="Times New Roman" w:cs="Times New Roman"/>
      <w:kern w:val="2"/>
      <w:sz w:val="22"/>
      <w:szCs w:val="22"/>
      <w:lang w:val="en-US" w:eastAsia="zh-CN" w:bidi="ar-SA"/>
    </w:rPr>
  </w:style>
  <w:style w:type="paragraph" w:customStyle="1" w:styleId="1268">
    <w:name w:val="正文样式11"/>
    <w:basedOn w:val="1"/>
    <w:autoRedefine/>
    <w:qFormat/>
    <w:uiPriority w:val="0"/>
    <w:pPr>
      <w:ind w:firstLine="480"/>
    </w:pPr>
    <w:rPr>
      <w:rFonts w:ascii="宋体" w:hAnsi="宋体" w:cs="Arial"/>
      <w:bCs/>
      <w:color w:val="000000"/>
      <w:szCs w:val="24"/>
    </w:rPr>
  </w:style>
  <w:style w:type="paragraph" w:customStyle="1" w:styleId="1269">
    <w:name w:val="reader-word-layer reader-word-s3-3"/>
    <w:basedOn w:val="1"/>
    <w:autoRedefine/>
    <w:qFormat/>
    <w:uiPriority w:val="0"/>
    <w:pPr>
      <w:spacing w:before="100" w:beforeAutospacing="1" w:after="100" w:afterAutospacing="1"/>
    </w:pPr>
    <w:rPr>
      <w:rFonts w:ascii="宋体" w:hAnsi="宋体" w:cs="宋体"/>
      <w:kern w:val="0"/>
      <w:szCs w:val="24"/>
    </w:rPr>
  </w:style>
  <w:style w:type="paragraph" w:customStyle="1" w:styleId="1270">
    <w:name w:val="项目3"/>
    <w:basedOn w:val="1"/>
    <w:link w:val="1593"/>
    <w:autoRedefine/>
    <w:qFormat/>
    <w:uiPriority w:val="0"/>
    <w:pPr>
      <w:keepNext/>
      <w:keepLines/>
      <w:tabs>
        <w:tab w:val="left" w:pos="720"/>
      </w:tabs>
      <w:adjustRightInd w:val="0"/>
      <w:snapToGrid w:val="0"/>
      <w:ind w:firstLine="800"/>
      <w:outlineLvl w:val="1"/>
    </w:pPr>
    <w:rPr>
      <w:rFonts w:ascii="宋体" w:hAnsi="宋体"/>
      <w:b/>
      <w:bCs/>
      <w:kern w:val="0"/>
      <w:sz w:val="28"/>
      <w:szCs w:val="28"/>
    </w:rPr>
  </w:style>
  <w:style w:type="paragraph" w:customStyle="1" w:styleId="1271">
    <w:name w:val="p19"/>
    <w:basedOn w:val="1"/>
    <w:autoRedefine/>
    <w:qFormat/>
    <w:uiPriority w:val="99"/>
    <w:pPr>
      <w:spacing w:line="500" w:lineRule="atLeast"/>
    </w:pPr>
    <w:rPr>
      <w:kern w:val="0"/>
      <w:sz w:val="28"/>
      <w:szCs w:val="28"/>
    </w:rPr>
  </w:style>
  <w:style w:type="paragraph" w:customStyle="1" w:styleId="1272">
    <w:name w:val="reader-word-layer reader-word-s22-20"/>
    <w:basedOn w:val="1"/>
    <w:autoRedefine/>
    <w:qFormat/>
    <w:uiPriority w:val="0"/>
    <w:pPr>
      <w:spacing w:before="100" w:beforeAutospacing="1" w:after="100" w:afterAutospacing="1"/>
    </w:pPr>
    <w:rPr>
      <w:rFonts w:ascii="宋体" w:hAnsi="宋体" w:cs="宋体"/>
      <w:kern w:val="0"/>
      <w:szCs w:val="24"/>
    </w:rPr>
  </w:style>
  <w:style w:type="paragraph" w:customStyle="1" w:styleId="1273">
    <w:name w:val="4正文"/>
    <w:basedOn w:val="1"/>
    <w:link w:val="1581"/>
    <w:autoRedefine/>
    <w:qFormat/>
    <w:uiPriority w:val="0"/>
    <w:pPr>
      <w:ind w:firstLine="480"/>
    </w:pPr>
    <w:rPr>
      <w:kern w:val="0"/>
    </w:rPr>
  </w:style>
  <w:style w:type="paragraph" w:customStyle="1" w:styleId="1274">
    <w:name w:val="char"/>
    <w:basedOn w:val="1"/>
    <w:autoRedefine/>
    <w:qFormat/>
    <w:uiPriority w:val="0"/>
    <w:pPr>
      <w:spacing w:after="160" w:line="240" w:lineRule="exact"/>
    </w:pPr>
    <w:rPr>
      <w:rFonts w:ascii="Verdana" w:hAnsi="Verdana" w:eastAsia="仿宋_GB2312" w:cs="”“Times New Roman”“"/>
      <w:kern w:val="0"/>
      <w:lang w:eastAsia="en-US"/>
    </w:rPr>
  </w:style>
  <w:style w:type="paragraph" w:customStyle="1" w:styleId="1275">
    <w:name w:val="11"/>
    <w:basedOn w:val="5"/>
    <w:link w:val="1496"/>
    <w:autoRedefine/>
    <w:qFormat/>
    <w:uiPriority w:val="0"/>
    <w:pPr>
      <w:autoSpaceDE w:val="0"/>
      <w:autoSpaceDN w:val="0"/>
      <w:adjustRightInd w:val="0"/>
      <w:spacing w:after="0"/>
      <w:jc w:val="center"/>
      <w:textAlignment w:val="baseline"/>
    </w:pPr>
    <w:rPr>
      <w:rFonts w:ascii="黑体" w:hAnsi="宋体" w:eastAsia="黑体"/>
      <w:spacing w:val="5"/>
      <w:sz w:val="24"/>
      <w:szCs w:val="24"/>
    </w:rPr>
  </w:style>
  <w:style w:type="paragraph" w:customStyle="1" w:styleId="1276">
    <w:name w:val="xl25"/>
    <w:basedOn w:val="1"/>
    <w:autoRedefine/>
    <w:qFormat/>
    <w:uiPriority w:val="0"/>
    <w:pPr>
      <w:spacing w:before="100" w:beforeAutospacing="1" w:after="100" w:afterAutospacing="1"/>
      <w:jc w:val="center"/>
      <w:textAlignment w:val="center"/>
    </w:pPr>
    <w:rPr>
      <w:rFonts w:ascii="宋体" w:hAnsi="宋体"/>
      <w:b/>
      <w:bCs/>
      <w:kern w:val="0"/>
      <w:sz w:val="36"/>
      <w:szCs w:val="36"/>
    </w:rPr>
  </w:style>
  <w:style w:type="paragraph" w:customStyle="1" w:styleId="1277">
    <w:name w:val="x二级标题"/>
    <w:basedOn w:val="10"/>
    <w:link w:val="1456"/>
    <w:autoRedefine/>
    <w:qFormat/>
    <w:uiPriority w:val="0"/>
    <w:pPr>
      <w:spacing w:before="240" w:after="120" w:line="300" w:lineRule="auto"/>
    </w:pPr>
    <w:rPr>
      <w:rFonts w:ascii="Arial" w:hAnsi="Arial" w:eastAsia="黑体"/>
    </w:rPr>
  </w:style>
  <w:style w:type="paragraph" w:customStyle="1" w:styleId="1278">
    <w:name w:val="样式 黑体 四号 行距: 1.5 倍行距"/>
    <w:basedOn w:val="1"/>
    <w:autoRedefine/>
    <w:qFormat/>
    <w:uiPriority w:val="0"/>
    <w:rPr>
      <w:rFonts w:ascii="黑体" w:eastAsia="黑体"/>
      <w:sz w:val="28"/>
    </w:rPr>
  </w:style>
  <w:style w:type="paragraph" w:customStyle="1" w:styleId="1279">
    <w:name w:val="..表格标题"/>
    <w:autoRedefine/>
    <w:qFormat/>
    <w:uiPriority w:val="0"/>
    <w:pPr>
      <w:snapToGrid w:val="0"/>
      <w:spacing w:line="480" w:lineRule="exact"/>
      <w:jc w:val="center"/>
    </w:pPr>
    <w:rPr>
      <w:rFonts w:ascii="Times New Roman" w:hAnsi="Times New Roman" w:eastAsia="宋体" w:cs="Times New Roman"/>
      <w:b/>
      <w:kern w:val="2"/>
      <w:sz w:val="24"/>
      <w:szCs w:val="24"/>
      <w:lang w:val="en-US" w:eastAsia="zh-CN" w:bidi="ar-SA"/>
    </w:rPr>
  </w:style>
  <w:style w:type="paragraph" w:customStyle="1" w:styleId="1280">
    <w:name w:val="样式 标题 1 + 居中 段后: 16.5 磅"/>
    <w:basedOn w:val="9"/>
    <w:autoRedefine/>
    <w:qFormat/>
    <w:uiPriority w:val="0"/>
    <w:pPr>
      <w:pageBreakBefore/>
      <w:ind w:firstLine="883" w:firstLineChars="200"/>
      <w:jc w:val="center"/>
    </w:pPr>
    <w:rPr>
      <w:rFonts w:eastAsia="黑体" w:cs="宋体"/>
      <w:szCs w:val="20"/>
    </w:rPr>
  </w:style>
  <w:style w:type="paragraph" w:customStyle="1" w:styleId="1281">
    <w:name w:val="z-窗体底端1"/>
    <w:basedOn w:val="1"/>
    <w:next w:val="1"/>
    <w:link w:val="1450"/>
    <w:autoRedefine/>
    <w:qFormat/>
    <w:uiPriority w:val="0"/>
    <w:pPr>
      <w:pBdr>
        <w:top w:val="single" w:color="auto" w:sz="6" w:space="1"/>
      </w:pBdr>
      <w:jc w:val="center"/>
    </w:pPr>
    <w:rPr>
      <w:rFonts w:ascii="Arial" w:hAnsi="Arial"/>
      <w:vanish/>
      <w:kern w:val="0"/>
      <w:sz w:val="16"/>
      <w:szCs w:val="16"/>
    </w:rPr>
  </w:style>
  <w:style w:type="paragraph" w:customStyle="1" w:styleId="1282">
    <w:name w:val="text subhead - italic"/>
    <w:basedOn w:val="1170"/>
    <w:next w:val="1"/>
    <w:autoRedefine/>
    <w:qFormat/>
    <w:uiPriority w:val="0"/>
    <w:rPr>
      <w:szCs w:val="24"/>
      <w:lang w:eastAsia="en-US"/>
    </w:rPr>
  </w:style>
  <w:style w:type="paragraph" w:customStyle="1" w:styleId="1283">
    <w:name w:val="p17"/>
    <w:basedOn w:val="1"/>
    <w:autoRedefine/>
    <w:qFormat/>
    <w:uiPriority w:val="0"/>
    <w:pPr>
      <w:spacing w:before="156" w:after="156"/>
    </w:pPr>
    <w:rPr>
      <w:kern w:val="0"/>
      <w:sz w:val="30"/>
      <w:szCs w:val="30"/>
    </w:rPr>
  </w:style>
  <w:style w:type="paragraph" w:customStyle="1" w:styleId="1284">
    <w:name w:val="reader-word-layer reader-word-s22-11"/>
    <w:basedOn w:val="1"/>
    <w:autoRedefine/>
    <w:qFormat/>
    <w:uiPriority w:val="0"/>
    <w:pPr>
      <w:spacing w:before="100" w:beforeAutospacing="1" w:after="100" w:afterAutospacing="1"/>
    </w:pPr>
    <w:rPr>
      <w:rFonts w:ascii="宋体" w:hAnsi="宋体" w:cs="宋体"/>
      <w:kern w:val="0"/>
      <w:szCs w:val="24"/>
    </w:rPr>
  </w:style>
  <w:style w:type="paragraph" w:customStyle="1" w:styleId="1285">
    <w:name w:val="正文五号"/>
    <w:basedOn w:val="297"/>
    <w:link w:val="1603"/>
    <w:autoRedefine/>
    <w:qFormat/>
    <w:uiPriority w:val="0"/>
    <w:pPr>
      <w:adjustRightInd/>
      <w:snapToGrid/>
      <w:spacing w:before="60" w:line="400" w:lineRule="exact"/>
      <w:ind w:firstLine="200"/>
    </w:pPr>
    <w:rPr>
      <w:snapToGrid/>
      <w:kern w:val="0"/>
      <w:sz w:val="21"/>
      <w:szCs w:val="24"/>
      <w:lang w:val="en-US"/>
    </w:rPr>
  </w:style>
  <w:style w:type="paragraph" w:customStyle="1" w:styleId="1286">
    <w:name w:val="xl22"/>
    <w:basedOn w:val="1"/>
    <w:autoRedefine/>
    <w:qFormat/>
    <w:uiPriority w:val="0"/>
    <w:pPr>
      <w:spacing w:before="100" w:beforeAutospacing="1" w:after="100" w:afterAutospacing="1"/>
      <w:jc w:val="center"/>
    </w:pPr>
    <w:rPr>
      <w:rFonts w:ascii="Arial Unicode MS" w:hAnsi="Arial Unicode MS"/>
      <w:kern w:val="0"/>
      <w:sz w:val="28"/>
      <w:szCs w:val="28"/>
    </w:rPr>
  </w:style>
  <w:style w:type="paragraph" w:customStyle="1" w:styleId="1287">
    <w:name w:val="hzw表格正文"/>
    <w:basedOn w:val="1"/>
    <w:autoRedefine/>
    <w:qFormat/>
    <w:uiPriority w:val="0"/>
    <w:pPr>
      <w:widowControl w:val="0"/>
      <w:adjustRightInd w:val="0"/>
      <w:jc w:val="center"/>
    </w:pPr>
    <w:rPr>
      <w:rFonts w:cs="Calibri"/>
      <w:kern w:val="0"/>
      <w:szCs w:val="21"/>
    </w:rPr>
  </w:style>
  <w:style w:type="paragraph" w:customStyle="1" w:styleId="1288">
    <w:name w:val="1-正文"/>
    <w:basedOn w:val="1"/>
    <w:autoRedefine/>
    <w:qFormat/>
    <w:uiPriority w:val="0"/>
    <w:rPr>
      <w:szCs w:val="24"/>
    </w:rPr>
  </w:style>
  <w:style w:type="paragraph" w:customStyle="1" w:styleId="1289">
    <w:name w:val="尾注文本1"/>
    <w:basedOn w:val="153"/>
    <w:autoRedefine/>
    <w:qFormat/>
    <w:uiPriority w:val="0"/>
    <w:pPr>
      <w:snapToGrid/>
      <w:spacing w:line="360" w:lineRule="atLeast"/>
      <w:ind w:firstLine="0" w:firstLineChars="0"/>
      <w:textAlignment w:val="baseline"/>
    </w:pPr>
    <w:rPr>
      <w:sz w:val="21"/>
      <w:szCs w:val="20"/>
      <w:lang w:eastAsia="zh-CN"/>
    </w:rPr>
  </w:style>
  <w:style w:type="paragraph" w:customStyle="1" w:styleId="1290">
    <w:name w:val="字元 字元"/>
    <w:basedOn w:val="1"/>
    <w:autoRedefine/>
    <w:qFormat/>
    <w:uiPriority w:val="0"/>
    <w:rPr>
      <w:szCs w:val="24"/>
    </w:rPr>
  </w:style>
  <w:style w:type="paragraph" w:customStyle="1" w:styleId="1291">
    <w:name w:val="s1"/>
    <w:basedOn w:val="1"/>
    <w:autoRedefine/>
    <w:qFormat/>
    <w:uiPriority w:val="0"/>
    <w:pPr>
      <w:spacing w:line="540" w:lineRule="exact"/>
      <w:jc w:val="center"/>
    </w:pPr>
    <w:rPr>
      <w:rFonts w:eastAsia="黑体" w:cs="宋体"/>
      <w:b/>
      <w:bCs/>
      <w:sz w:val="36"/>
    </w:rPr>
  </w:style>
  <w:style w:type="paragraph" w:customStyle="1" w:styleId="1292">
    <w:name w:val="s2"/>
    <w:basedOn w:val="44"/>
    <w:autoRedefine/>
    <w:qFormat/>
    <w:uiPriority w:val="0"/>
    <w:pPr>
      <w:ind w:firstLine="425" w:firstLineChars="0"/>
    </w:pPr>
    <w:rPr>
      <w:rFonts w:ascii="Times New Roman" w:hAnsi="Times New Roman" w:eastAsia="黑体" w:cs="宋体"/>
      <w:b/>
      <w:bCs/>
      <w:sz w:val="24"/>
      <w:szCs w:val="20"/>
    </w:rPr>
  </w:style>
  <w:style w:type="paragraph" w:customStyle="1" w:styleId="1293">
    <w:name w:val="样式 标题4"/>
    <w:basedOn w:val="12"/>
    <w:link w:val="1512"/>
    <w:autoRedefine/>
    <w:qFormat/>
    <w:uiPriority w:val="0"/>
    <w:rPr>
      <w:szCs w:val="24"/>
    </w:rPr>
  </w:style>
  <w:style w:type="paragraph" w:customStyle="1" w:styleId="1294">
    <w:name w:val="reader-word-layer reader-word-s1-6"/>
    <w:basedOn w:val="1"/>
    <w:autoRedefine/>
    <w:qFormat/>
    <w:uiPriority w:val="0"/>
    <w:pPr>
      <w:spacing w:before="100" w:beforeAutospacing="1" w:after="100" w:afterAutospacing="1"/>
      <w:ind w:firstLine="800"/>
    </w:pPr>
    <w:rPr>
      <w:rFonts w:ascii="宋体" w:hAnsi="宋体" w:cs="宋体"/>
      <w:kern w:val="0"/>
      <w:szCs w:val="24"/>
    </w:rPr>
  </w:style>
  <w:style w:type="paragraph" w:customStyle="1" w:styleId="1295">
    <w:name w:val="Char Char Char Char Char Char Char Char Char Char21"/>
    <w:basedOn w:val="1"/>
    <w:autoRedefine/>
    <w:qFormat/>
    <w:uiPriority w:val="0"/>
    <w:rPr>
      <w:rFonts w:ascii="宋体" w:hAnsi="宋体" w:cs="宋体"/>
      <w:szCs w:val="24"/>
    </w:rPr>
  </w:style>
  <w:style w:type="paragraph" w:customStyle="1" w:styleId="1296">
    <w:name w:val="文章正文"/>
    <w:basedOn w:val="1"/>
    <w:link w:val="1557"/>
    <w:autoRedefine/>
    <w:qFormat/>
    <w:uiPriority w:val="0"/>
    <w:pPr>
      <w:spacing w:beforeLines="50" w:afterLines="50" w:line="400" w:lineRule="exact"/>
      <w:ind w:firstLine="480"/>
    </w:pPr>
    <w:rPr>
      <w:kern w:val="0"/>
    </w:rPr>
  </w:style>
  <w:style w:type="paragraph" w:customStyle="1" w:styleId="1297">
    <w:name w:val="reader-word-layer reader-word-s3-2"/>
    <w:basedOn w:val="1"/>
    <w:autoRedefine/>
    <w:qFormat/>
    <w:uiPriority w:val="0"/>
    <w:pPr>
      <w:spacing w:before="100" w:beforeAutospacing="1" w:after="100" w:afterAutospacing="1"/>
    </w:pPr>
    <w:rPr>
      <w:rFonts w:ascii="宋体" w:hAnsi="宋体" w:cs="宋体"/>
      <w:kern w:val="0"/>
      <w:szCs w:val="24"/>
    </w:rPr>
  </w:style>
  <w:style w:type="paragraph" w:customStyle="1" w:styleId="1298">
    <w:name w:val="Char Char Char Char Char Char Char Char Char Char Char Char Char1"/>
    <w:basedOn w:val="1"/>
    <w:autoRedefine/>
    <w:qFormat/>
    <w:uiPriority w:val="0"/>
    <w:rPr>
      <w:szCs w:val="24"/>
    </w:rPr>
  </w:style>
  <w:style w:type="paragraph" w:customStyle="1" w:styleId="1299">
    <w:name w:val="reader-word-layer reader-word-s3-7"/>
    <w:basedOn w:val="1"/>
    <w:autoRedefine/>
    <w:qFormat/>
    <w:uiPriority w:val="0"/>
    <w:pPr>
      <w:spacing w:before="100" w:beforeAutospacing="1" w:after="100" w:afterAutospacing="1"/>
    </w:pPr>
    <w:rPr>
      <w:rFonts w:ascii="宋体" w:hAnsi="宋体" w:cs="宋体"/>
      <w:kern w:val="0"/>
      <w:szCs w:val="24"/>
    </w:rPr>
  </w:style>
  <w:style w:type="paragraph" w:customStyle="1" w:styleId="1300">
    <w:name w:val="2"/>
    <w:basedOn w:val="1"/>
    <w:autoRedefine/>
    <w:qFormat/>
    <w:uiPriority w:val="0"/>
    <w:pPr>
      <w:spacing w:after="160" w:line="240" w:lineRule="exact"/>
    </w:pPr>
  </w:style>
  <w:style w:type="paragraph" w:customStyle="1" w:styleId="1301">
    <w:name w:val="【正文】"/>
    <w:basedOn w:val="1"/>
    <w:next w:val="74"/>
    <w:link w:val="1746"/>
    <w:autoRedefine/>
    <w:qFormat/>
    <w:uiPriority w:val="0"/>
    <w:pPr>
      <w:spacing w:line="480" w:lineRule="exact"/>
    </w:pPr>
    <w:rPr>
      <w:spacing w:val="20"/>
      <w:kern w:val="0"/>
    </w:rPr>
  </w:style>
  <w:style w:type="paragraph" w:customStyle="1" w:styleId="1302">
    <w:name w:val="Char Char16 Char Char1"/>
    <w:basedOn w:val="1"/>
    <w:autoRedefine/>
    <w:qFormat/>
    <w:uiPriority w:val="0"/>
    <w:pPr>
      <w:spacing w:after="160" w:line="240" w:lineRule="exact"/>
    </w:pPr>
    <w:rPr>
      <w:rFonts w:ascii="Verdana" w:hAnsi="Verdana" w:eastAsia="仿宋_GB2312"/>
      <w:b/>
      <w:kern w:val="0"/>
      <w:sz w:val="28"/>
      <w:szCs w:val="30"/>
      <w:lang w:eastAsia="en-US"/>
    </w:rPr>
  </w:style>
  <w:style w:type="paragraph" w:customStyle="1" w:styleId="1303">
    <w:name w:val="xl64"/>
    <w:basedOn w:val="1"/>
    <w:autoRedefine/>
    <w:qFormat/>
    <w:uiPriority w:val="0"/>
    <w:pPr>
      <w:pBdr>
        <w:left w:val="single" w:color="auto" w:sz="4" w:space="0"/>
        <w:bottom w:val="single" w:color="auto" w:sz="4" w:space="0"/>
        <w:right w:val="single" w:color="auto" w:sz="8" w:space="0"/>
      </w:pBdr>
      <w:spacing w:before="100" w:beforeAutospacing="1" w:after="100" w:afterAutospacing="1"/>
      <w:textAlignment w:val="center"/>
    </w:pPr>
    <w:rPr>
      <w:rFonts w:ascii="Arial Unicode MS" w:hAnsi="Arial Unicode MS" w:eastAsia="Arial Unicode MS"/>
      <w:kern w:val="0"/>
      <w:szCs w:val="24"/>
    </w:rPr>
  </w:style>
  <w:style w:type="paragraph" w:customStyle="1" w:styleId="1304">
    <w:name w:val="7"/>
    <w:basedOn w:val="1"/>
    <w:autoRedefine/>
    <w:qFormat/>
    <w:uiPriority w:val="0"/>
    <w:pPr>
      <w:spacing w:after="160" w:line="240" w:lineRule="exact"/>
    </w:pPr>
    <w:rPr>
      <w:rFonts w:ascii="Verdana" w:hAnsi="Verdana" w:eastAsia="仿宋_GB2312"/>
      <w:b/>
      <w:kern w:val="0"/>
      <w:sz w:val="28"/>
      <w:szCs w:val="30"/>
      <w:lang w:eastAsia="en-US"/>
    </w:rPr>
  </w:style>
  <w:style w:type="paragraph" w:customStyle="1" w:styleId="1305">
    <w:name w:val="Char Char Char Char Char Char Char Char Char1"/>
    <w:basedOn w:val="1"/>
    <w:autoRedefine/>
    <w:qFormat/>
    <w:uiPriority w:val="0"/>
    <w:pPr>
      <w:spacing w:after="160" w:line="240" w:lineRule="exact"/>
    </w:pPr>
    <w:rPr>
      <w:rFonts w:ascii="Verdana" w:hAnsi="Verdana" w:cs="Verdana"/>
      <w:sz w:val="20"/>
      <w:lang w:eastAsia="en-US"/>
    </w:rPr>
  </w:style>
  <w:style w:type="paragraph" w:customStyle="1" w:styleId="1306">
    <w:name w:val="reader-word-layer"/>
    <w:basedOn w:val="1"/>
    <w:autoRedefine/>
    <w:qFormat/>
    <w:uiPriority w:val="0"/>
    <w:pPr>
      <w:spacing w:before="100" w:beforeAutospacing="1" w:after="100" w:afterAutospacing="1"/>
    </w:pPr>
    <w:rPr>
      <w:rFonts w:ascii="宋体" w:hAnsi="宋体" w:cs="宋体"/>
      <w:kern w:val="0"/>
      <w:szCs w:val="24"/>
    </w:rPr>
  </w:style>
  <w:style w:type="paragraph" w:customStyle="1" w:styleId="1307">
    <w:name w:val="五级条标题"/>
    <w:basedOn w:val="266"/>
    <w:next w:val="1"/>
    <w:autoRedefine/>
    <w:qFormat/>
    <w:uiPriority w:val="0"/>
    <w:pPr>
      <w:tabs>
        <w:tab w:val="left" w:pos="1800"/>
      </w:tabs>
      <w:ind w:left="1800" w:hanging="1800"/>
      <w:outlineLvl w:val="6"/>
    </w:pPr>
  </w:style>
  <w:style w:type="paragraph" w:customStyle="1" w:styleId="1308">
    <w:name w:val="报告表格"/>
    <w:basedOn w:val="1"/>
    <w:next w:val="1"/>
    <w:autoRedefine/>
    <w:qFormat/>
    <w:uiPriority w:val="0"/>
    <w:pPr>
      <w:autoSpaceDE w:val="0"/>
      <w:autoSpaceDN w:val="0"/>
      <w:adjustRightInd w:val="0"/>
      <w:spacing w:line="318" w:lineRule="atLeast"/>
      <w:jc w:val="center"/>
      <w:textAlignment w:val="bottom"/>
    </w:pPr>
    <w:rPr>
      <w:kern w:val="0"/>
    </w:rPr>
  </w:style>
  <w:style w:type="paragraph" w:customStyle="1" w:styleId="1309">
    <w:name w:val="5文章(治)"/>
    <w:basedOn w:val="1"/>
    <w:link w:val="1612"/>
    <w:autoRedefine/>
    <w:qFormat/>
    <w:uiPriority w:val="0"/>
    <w:pPr>
      <w:spacing w:line="520" w:lineRule="exact"/>
      <w:ind w:firstLine="480"/>
    </w:pPr>
    <w:rPr>
      <w:kern w:val="0"/>
      <w:szCs w:val="24"/>
    </w:rPr>
  </w:style>
  <w:style w:type="paragraph" w:customStyle="1" w:styleId="1310">
    <w:name w:val="pic-info"/>
    <w:basedOn w:val="1"/>
    <w:autoRedefine/>
    <w:qFormat/>
    <w:uiPriority w:val="0"/>
    <w:pPr>
      <w:spacing w:before="100" w:beforeAutospacing="1" w:after="100" w:afterAutospacing="1"/>
    </w:pPr>
    <w:rPr>
      <w:rFonts w:ascii="宋体" w:cs="宋体"/>
      <w:kern w:val="0"/>
      <w:szCs w:val="24"/>
    </w:rPr>
  </w:style>
  <w:style w:type="paragraph" w:customStyle="1" w:styleId="1311">
    <w:name w:val="正文文本缩进一"/>
    <w:basedOn w:val="35"/>
    <w:link w:val="1383"/>
    <w:autoRedefine/>
    <w:qFormat/>
    <w:uiPriority w:val="0"/>
    <w:pPr>
      <w:spacing w:after="0"/>
      <w:ind w:left="0" w:leftChars="0" w:firstLine="560"/>
    </w:pPr>
    <w:rPr>
      <w:rFonts w:ascii="宋体" w:hAnsi="宋体"/>
      <w:kern w:val="0"/>
      <w:sz w:val="28"/>
      <w:szCs w:val="24"/>
    </w:rPr>
  </w:style>
  <w:style w:type="paragraph" w:customStyle="1" w:styleId="1312">
    <w:name w:val="样式 标题 4 + 两端对齐"/>
    <w:basedOn w:val="12"/>
    <w:autoRedefine/>
    <w:qFormat/>
    <w:uiPriority w:val="0"/>
    <w:pPr>
      <w:keepNext w:val="0"/>
      <w:keepLines w:val="0"/>
      <w:tabs>
        <w:tab w:val="left" w:pos="864"/>
      </w:tabs>
      <w:spacing w:before="120" w:after="120" w:line="240" w:lineRule="auto"/>
      <w:ind w:left="864" w:hanging="864"/>
    </w:pPr>
    <w:rPr>
      <w:rFonts w:ascii="Arial" w:hAnsi="Arial" w:eastAsia="黑体" w:cs="宋体"/>
      <w:b w:val="0"/>
      <w:bCs w:val="0"/>
      <w:szCs w:val="20"/>
    </w:rPr>
  </w:style>
  <w:style w:type="paragraph" w:customStyle="1" w:styleId="1313">
    <w:name w:val="xl72"/>
    <w:basedOn w:val="1"/>
    <w:autoRedefine/>
    <w:qFormat/>
    <w:uiPriority w:val="0"/>
    <w:pPr>
      <w:pBdr>
        <w:left w:val="single" w:color="auto" w:sz="4" w:space="0"/>
        <w:bottom w:val="single" w:color="auto" w:sz="8" w:space="0"/>
        <w:right w:val="single" w:color="auto" w:sz="8" w:space="0"/>
      </w:pBdr>
      <w:spacing w:before="100" w:beforeAutospacing="1" w:after="100" w:afterAutospacing="1"/>
      <w:textAlignment w:val="center"/>
    </w:pPr>
    <w:rPr>
      <w:rFonts w:ascii="Arial Unicode MS" w:hAnsi="Arial Unicode MS" w:eastAsia="Arial Unicode MS"/>
      <w:kern w:val="0"/>
      <w:szCs w:val="24"/>
    </w:rPr>
  </w:style>
  <w:style w:type="paragraph" w:customStyle="1" w:styleId="1314">
    <w:name w:val="kyo标题4"/>
    <w:basedOn w:val="12"/>
    <w:link w:val="1406"/>
    <w:autoRedefine/>
    <w:qFormat/>
    <w:uiPriority w:val="0"/>
    <w:rPr>
      <w:szCs w:val="24"/>
    </w:rPr>
  </w:style>
  <w:style w:type="paragraph" w:customStyle="1" w:styleId="1315">
    <w:name w:val="M表格竖"/>
    <w:basedOn w:val="1"/>
    <w:autoRedefine/>
    <w:qFormat/>
    <w:uiPriority w:val="0"/>
    <w:pPr>
      <w:widowControl w:val="0"/>
      <w:jc w:val="center"/>
    </w:pPr>
    <w:rPr>
      <w:szCs w:val="18"/>
    </w:rPr>
  </w:style>
  <w:style w:type="paragraph" w:customStyle="1" w:styleId="1316">
    <w:name w:val="2标题"/>
    <w:basedOn w:val="10"/>
    <w:autoRedefine/>
    <w:qFormat/>
    <w:uiPriority w:val="0"/>
    <w:pPr>
      <w:spacing w:before="120"/>
      <w:outlineLvl w:val="0"/>
    </w:pPr>
    <w:rPr>
      <w:rFonts w:ascii="宋体" w:hAnsi="宋体"/>
      <w:b w:val="0"/>
      <w:sz w:val="24"/>
      <w:szCs w:val="24"/>
    </w:rPr>
  </w:style>
  <w:style w:type="paragraph" w:customStyle="1" w:styleId="1317">
    <w:name w:val="p20"/>
    <w:basedOn w:val="1"/>
    <w:autoRedefine/>
    <w:qFormat/>
    <w:uiPriority w:val="99"/>
    <w:pPr>
      <w:spacing w:before="180" w:line="180" w:lineRule="atLeast"/>
      <w:jc w:val="center"/>
    </w:pPr>
    <w:rPr>
      <w:rFonts w:ascii="宋体" w:hAnsi="宋体" w:cs="宋体"/>
      <w:kern w:val="0"/>
      <w:szCs w:val="21"/>
    </w:rPr>
  </w:style>
  <w:style w:type="paragraph" w:customStyle="1" w:styleId="1318">
    <w:name w:val="xl63"/>
    <w:basedOn w:val="1"/>
    <w:autoRedefine/>
    <w:qFormat/>
    <w:uiPriority w:val="0"/>
    <w:pPr>
      <w:spacing w:before="100" w:after="100"/>
      <w:jc w:val="center"/>
      <w:textAlignment w:val="center"/>
    </w:pPr>
    <w:rPr>
      <w:rFonts w:hint="eastAsia" w:ascii="黑体" w:hAnsi="宋体" w:eastAsia="黑体"/>
      <w:bCs/>
      <w:kern w:val="0"/>
    </w:rPr>
  </w:style>
  <w:style w:type="paragraph" w:customStyle="1" w:styleId="1319">
    <w:name w:val="Char Char Char Char Char Char Char Char Char Char2"/>
    <w:basedOn w:val="1"/>
    <w:autoRedefine/>
    <w:qFormat/>
    <w:uiPriority w:val="0"/>
    <w:rPr>
      <w:szCs w:val="24"/>
    </w:rPr>
  </w:style>
  <w:style w:type="paragraph" w:customStyle="1" w:styleId="1320">
    <w:name w:val="文件名称"/>
    <w:basedOn w:val="1"/>
    <w:next w:val="1"/>
    <w:autoRedefine/>
    <w:qFormat/>
    <w:uiPriority w:val="0"/>
    <w:pPr>
      <w:spacing w:beforeLines="100" w:line="500" w:lineRule="atLeast"/>
      <w:jc w:val="center"/>
    </w:pPr>
    <w:rPr>
      <w:rFonts w:ascii="黑体" w:eastAsia="黑体"/>
      <w:sz w:val="84"/>
      <w:szCs w:val="84"/>
    </w:rPr>
  </w:style>
  <w:style w:type="paragraph" w:customStyle="1" w:styleId="1321">
    <w:name w:val="y正文"/>
    <w:basedOn w:val="1"/>
    <w:autoRedefine/>
    <w:qFormat/>
    <w:uiPriority w:val="0"/>
    <w:rPr>
      <w:rFonts w:ascii="宋体" w:hAnsi="宋体" w:cs="宋体"/>
      <w:kern w:val="0"/>
      <w:szCs w:val="24"/>
    </w:rPr>
  </w:style>
  <w:style w:type="paragraph" w:customStyle="1" w:styleId="1322">
    <w:name w:val="font9"/>
    <w:basedOn w:val="1"/>
    <w:autoRedefine/>
    <w:qFormat/>
    <w:uiPriority w:val="0"/>
    <w:pPr>
      <w:spacing w:before="100" w:beforeAutospacing="1" w:after="100" w:afterAutospacing="1"/>
    </w:pPr>
    <w:rPr>
      <w:rFonts w:hint="eastAsia" w:ascii="宋体" w:hAnsi="宋体"/>
      <w:kern w:val="0"/>
      <w:sz w:val="20"/>
    </w:rPr>
  </w:style>
  <w:style w:type="paragraph" w:customStyle="1" w:styleId="1323">
    <w:name w:val="样式 表头 + (中文) 宋体"/>
    <w:basedOn w:val="364"/>
    <w:link w:val="1787"/>
    <w:autoRedefine/>
    <w:qFormat/>
    <w:uiPriority w:val="0"/>
    <w:pPr>
      <w:topLinePunct/>
      <w:adjustRightInd w:val="0"/>
      <w:snapToGrid w:val="0"/>
      <w:spacing w:before="0" w:line="240" w:lineRule="atLeast"/>
      <w:jc w:val="both"/>
    </w:pPr>
    <w:rPr>
      <w:snapToGrid w:val="0"/>
      <w:szCs w:val="21"/>
    </w:rPr>
  </w:style>
  <w:style w:type="paragraph" w:customStyle="1" w:styleId="1324">
    <w:name w:val="Char12 Char Char Char"/>
    <w:basedOn w:val="1"/>
    <w:autoRedefine/>
    <w:qFormat/>
    <w:uiPriority w:val="0"/>
    <w:pPr>
      <w:spacing w:after="160" w:line="240" w:lineRule="exact"/>
    </w:pPr>
    <w:rPr>
      <w:rFonts w:ascii="Arial" w:hAnsi="Arial" w:eastAsia="Times New Roman" w:cs="Verdana"/>
      <w:b/>
      <w:kern w:val="0"/>
      <w:szCs w:val="24"/>
      <w:lang w:eastAsia="en-US"/>
    </w:rPr>
  </w:style>
  <w:style w:type="paragraph" w:customStyle="1" w:styleId="1325">
    <w:name w:val="HP表格内容"/>
    <w:autoRedefine/>
    <w:qFormat/>
    <w:uiPriority w:val="0"/>
    <w:pPr>
      <w:jc w:val="center"/>
    </w:pPr>
    <w:rPr>
      <w:rFonts w:ascii="Times New Roman" w:hAnsi="Times New Roman" w:eastAsia="宋体" w:cs="Times New Roman"/>
      <w:sz w:val="24"/>
      <w:szCs w:val="24"/>
      <w:lang w:val="en-US" w:eastAsia="zh-CN" w:bidi="ar-SA"/>
    </w:rPr>
  </w:style>
  <w:style w:type="paragraph" w:customStyle="1" w:styleId="1326">
    <w:name w:val="6-正文"/>
    <w:basedOn w:val="1"/>
    <w:link w:val="1396"/>
    <w:autoRedefine/>
    <w:qFormat/>
    <w:uiPriority w:val="0"/>
    <w:pPr>
      <w:spacing w:before="156" w:after="156"/>
      <w:ind w:firstLine="480"/>
    </w:pPr>
    <w:rPr>
      <w:rFonts w:ascii="宋体" w:hAnsi="宋体"/>
      <w:kern w:val="0"/>
    </w:rPr>
  </w:style>
  <w:style w:type="paragraph" w:customStyle="1" w:styleId="1327">
    <w:name w:val="J【表头】"/>
    <w:basedOn w:val="1"/>
    <w:link w:val="1657"/>
    <w:autoRedefine/>
    <w:qFormat/>
    <w:uiPriority w:val="0"/>
    <w:pPr>
      <w:keepNext/>
      <w:wordWrap w:val="0"/>
      <w:jc w:val="right"/>
    </w:pPr>
    <w:rPr>
      <w:rFonts w:ascii="宋体" w:hAnsi="宋体"/>
      <w:b/>
      <w:kern w:val="0"/>
      <w:sz w:val="20"/>
      <w:szCs w:val="21"/>
    </w:rPr>
  </w:style>
  <w:style w:type="paragraph" w:customStyle="1" w:styleId="1328">
    <w:name w:val="样式 (西文) Times New Roman (中文) 宋体 五号 加粗 段前: 6 磅 行距: 单倍行距"/>
    <w:basedOn w:val="1"/>
    <w:autoRedefine/>
    <w:qFormat/>
    <w:uiPriority w:val="0"/>
    <w:pPr>
      <w:adjustRightInd w:val="0"/>
      <w:snapToGrid w:val="0"/>
      <w:spacing w:before="156" w:beforeLines="50"/>
      <w:ind w:firstLine="800"/>
    </w:pPr>
    <w:rPr>
      <w:b/>
      <w:bCs/>
      <w:kern w:val="0"/>
      <w:szCs w:val="21"/>
    </w:rPr>
  </w:style>
  <w:style w:type="paragraph" w:customStyle="1" w:styleId="1329">
    <w:name w:val="7表格"/>
    <w:autoRedefine/>
    <w:qFormat/>
    <w:uiPriority w:val="0"/>
    <w:pPr>
      <w:widowControl w:val="0"/>
      <w:spacing w:line="300" w:lineRule="exact"/>
      <w:ind w:left="-143" w:leftChars="-68" w:right="17" w:rightChars="8" w:firstLine="143" w:firstLineChars="68"/>
      <w:jc w:val="center"/>
    </w:pPr>
    <w:rPr>
      <w:rFonts w:ascii="Times New Roman" w:hAnsi="Times New Roman" w:eastAsia="宋体" w:cs="Times New Roman"/>
      <w:bCs/>
      <w:color w:val="000000"/>
      <w:sz w:val="21"/>
      <w:szCs w:val="21"/>
      <w:lang w:val="en-US" w:eastAsia="zh-CN" w:bidi="ar-SA"/>
    </w:rPr>
  </w:style>
  <w:style w:type="paragraph" w:customStyle="1" w:styleId="1330">
    <w:name w:val="Char Char Char Char Char Char Char Char Char2"/>
    <w:basedOn w:val="1"/>
    <w:autoRedefine/>
    <w:qFormat/>
    <w:uiPriority w:val="0"/>
    <w:pPr>
      <w:spacing w:after="160" w:line="240" w:lineRule="exact"/>
    </w:pPr>
    <w:rPr>
      <w:rFonts w:ascii="Verdana" w:hAnsi="Verdana" w:cs="Verdana"/>
      <w:sz w:val="20"/>
      <w:lang w:eastAsia="en-US"/>
    </w:rPr>
  </w:style>
  <w:style w:type="paragraph" w:customStyle="1" w:styleId="1331">
    <w:name w:val="Body"/>
    <w:autoRedefine/>
    <w:qFormat/>
    <w:uiPriority w:val="0"/>
    <w:pPr>
      <w:spacing w:after="120"/>
      <w:ind w:left="1418"/>
    </w:pPr>
    <w:rPr>
      <w:rFonts w:ascii="Arial" w:hAnsi="Arial" w:eastAsia="宋体" w:cs="Times New Roman"/>
      <w:sz w:val="22"/>
      <w:lang w:val="en-US" w:eastAsia="en-US" w:bidi="ar-SA"/>
    </w:rPr>
  </w:style>
  <w:style w:type="character" w:customStyle="1" w:styleId="1332">
    <w:name w:val="文档结构图 Char Char"/>
    <w:link w:val="1154"/>
    <w:autoRedefine/>
    <w:qFormat/>
    <w:uiPriority w:val="0"/>
    <w:rPr>
      <w:rFonts w:ascii="Times New Roman" w:hAnsi="Times New Roman" w:cs="Times New Roman"/>
      <w:shd w:val="clear" w:color="auto" w:fill="000080"/>
    </w:rPr>
  </w:style>
  <w:style w:type="character" w:customStyle="1" w:styleId="1333">
    <w:name w:val="孙佳正文样式 Char Char"/>
    <w:link w:val="979"/>
    <w:autoRedefine/>
    <w:qFormat/>
    <w:uiPriority w:val="0"/>
    <w:rPr>
      <w:rFonts w:ascii="华文楷体" w:hAnsi="华文楷体" w:eastAsia="华文楷体" w:cs="Times New Roman"/>
      <w:sz w:val="28"/>
      <w:szCs w:val="28"/>
    </w:rPr>
  </w:style>
  <w:style w:type="character" w:customStyle="1" w:styleId="1334">
    <w:name w:val="Ay四级标题 Char"/>
    <w:link w:val="1263"/>
    <w:autoRedefine/>
    <w:qFormat/>
    <w:uiPriority w:val="0"/>
    <w:rPr>
      <w:rFonts w:ascii="Times New Roman" w:hAnsi="Times New Roman" w:cs="Times New Roman"/>
      <w:b/>
      <w:bCs/>
      <w:kern w:val="2"/>
      <w:sz w:val="24"/>
      <w:szCs w:val="24"/>
    </w:rPr>
  </w:style>
  <w:style w:type="character" w:customStyle="1" w:styleId="1335">
    <w:name w:val="zhenwen14"/>
    <w:autoRedefine/>
    <w:qFormat/>
    <w:uiPriority w:val="0"/>
  </w:style>
  <w:style w:type="character" w:customStyle="1" w:styleId="1336">
    <w:name w:val="style11"/>
    <w:autoRedefine/>
    <w:qFormat/>
    <w:uiPriority w:val="0"/>
    <w:rPr>
      <w:rFonts w:hint="eastAsia" w:ascii="宋体" w:hAnsi="宋体" w:eastAsia="宋体"/>
      <w:color w:val="900202"/>
      <w:sz w:val="18"/>
      <w:szCs w:val="18"/>
      <w:u w:val="none"/>
    </w:rPr>
  </w:style>
  <w:style w:type="character" w:customStyle="1" w:styleId="1337">
    <w:name w:val="Char Char1"/>
    <w:autoRedefine/>
    <w:qFormat/>
    <w:uiPriority w:val="0"/>
    <w:rPr>
      <w:kern w:val="2"/>
      <w:sz w:val="18"/>
      <w:szCs w:val="18"/>
    </w:rPr>
  </w:style>
  <w:style w:type="character" w:customStyle="1" w:styleId="1338">
    <w:name w:val="currentfile1"/>
    <w:basedOn w:val="86"/>
    <w:autoRedefine/>
    <w:qFormat/>
    <w:uiPriority w:val="0"/>
  </w:style>
  <w:style w:type="character" w:customStyle="1" w:styleId="1339">
    <w:name w:val="自定义正文 Char Char Char"/>
    <w:autoRedefine/>
    <w:qFormat/>
    <w:uiPriority w:val="0"/>
    <w:rPr>
      <w:rFonts w:eastAsia="宋体"/>
      <w:sz w:val="28"/>
      <w:szCs w:val="21"/>
      <w:lang w:val="en-US" w:eastAsia="zh-CN" w:bidi="ar-SA"/>
    </w:rPr>
  </w:style>
  <w:style w:type="character" w:customStyle="1" w:styleId="1340">
    <w:name w:val="datetime13"/>
    <w:basedOn w:val="86"/>
    <w:autoRedefine/>
    <w:qFormat/>
    <w:uiPriority w:val="0"/>
  </w:style>
  <w:style w:type="character" w:customStyle="1" w:styleId="1341">
    <w:name w:val="Char Char29"/>
    <w:autoRedefine/>
    <w:qFormat/>
    <w:uiPriority w:val="0"/>
    <w:rPr>
      <w:i/>
      <w:sz w:val="22"/>
      <w:lang w:val="fr-FR"/>
    </w:rPr>
  </w:style>
  <w:style w:type="character" w:customStyle="1" w:styleId="1342">
    <w:name w:val="Char Char101"/>
    <w:autoRedefine/>
    <w:qFormat/>
    <w:uiPriority w:val="0"/>
    <w:rPr>
      <w:rFonts w:eastAsia="宋体"/>
      <w:kern w:val="2"/>
      <w:sz w:val="18"/>
      <w:szCs w:val="18"/>
      <w:lang w:val="en-US" w:eastAsia="zh-CN" w:bidi="ar-SA"/>
    </w:rPr>
  </w:style>
  <w:style w:type="character" w:customStyle="1" w:styleId="1343">
    <w:name w:val="Char Char14"/>
    <w:autoRedefine/>
    <w:semiHidden/>
    <w:qFormat/>
    <w:uiPriority w:val="0"/>
    <w:rPr>
      <w:rFonts w:eastAsia="宋体"/>
      <w:kern w:val="2"/>
      <w:sz w:val="18"/>
      <w:lang w:val="en-US" w:eastAsia="zh-CN" w:bidi="ar-SA"/>
    </w:rPr>
  </w:style>
  <w:style w:type="character" w:customStyle="1" w:styleId="1344">
    <w:name w:val="Char Char25"/>
    <w:autoRedefine/>
    <w:qFormat/>
    <w:uiPriority w:val="0"/>
    <w:rPr>
      <w:kern w:val="2"/>
      <w:sz w:val="18"/>
      <w:szCs w:val="18"/>
    </w:rPr>
  </w:style>
  <w:style w:type="character" w:customStyle="1" w:styleId="1345">
    <w:name w:val="p4"/>
    <w:autoRedefine/>
    <w:qFormat/>
    <w:uiPriority w:val="0"/>
  </w:style>
  <w:style w:type="character" w:customStyle="1" w:styleId="1346">
    <w:name w:val="active4"/>
    <w:autoRedefine/>
    <w:qFormat/>
    <w:uiPriority w:val="0"/>
  </w:style>
  <w:style w:type="character" w:customStyle="1" w:styleId="1347">
    <w:name w:val="folder2"/>
    <w:basedOn w:val="86"/>
    <w:autoRedefine/>
    <w:qFormat/>
    <w:uiPriority w:val="0"/>
  </w:style>
  <w:style w:type="character" w:customStyle="1" w:styleId="1348">
    <w:name w:val="Char Char361"/>
    <w:autoRedefine/>
    <w:qFormat/>
    <w:uiPriority w:val="0"/>
    <w:rPr>
      <w:rFonts w:eastAsia="宋体" w:cs="Courier New"/>
      <w:b/>
      <w:bCs/>
      <w:kern w:val="2"/>
      <w:sz w:val="28"/>
      <w:szCs w:val="32"/>
      <w:lang w:val="en-US" w:eastAsia="zh-CN" w:bidi="ar-SA"/>
    </w:rPr>
  </w:style>
  <w:style w:type="character" w:customStyle="1" w:styleId="1349">
    <w:name w:val="fr"/>
    <w:autoRedefine/>
    <w:qFormat/>
    <w:uiPriority w:val="0"/>
    <w:rPr>
      <w:shd w:val="clear" w:color="auto" w:fill="FFFFFF"/>
    </w:rPr>
  </w:style>
  <w:style w:type="character" w:customStyle="1" w:styleId="1350">
    <w:name w:val="Char Char32"/>
    <w:autoRedefine/>
    <w:qFormat/>
    <w:uiPriority w:val="0"/>
    <w:rPr>
      <w:rFonts w:ascii="Arial" w:hAnsi="Arial"/>
      <w:b/>
      <w:sz w:val="30"/>
      <w:lang w:val="en-GB"/>
    </w:rPr>
  </w:style>
  <w:style w:type="character" w:customStyle="1" w:styleId="1351">
    <w:name w:val="x3级标题 Char"/>
    <w:autoRedefine/>
    <w:qFormat/>
    <w:uiPriority w:val="0"/>
    <w:rPr>
      <w:rFonts w:eastAsia="宋体" w:cs="宋体"/>
      <w:b/>
      <w:bCs/>
      <w:kern w:val="2"/>
      <w:sz w:val="28"/>
      <w:szCs w:val="32"/>
      <w:lang w:val="en-US" w:eastAsia="zh-CN" w:bidi="ar-SA"/>
    </w:rPr>
  </w:style>
  <w:style w:type="character" w:customStyle="1" w:styleId="1352">
    <w:name w:val="正文文字 Char Char"/>
    <w:autoRedefine/>
    <w:qFormat/>
    <w:uiPriority w:val="0"/>
    <w:rPr>
      <w:rFonts w:eastAsia="宋体" w:cs="宋体"/>
      <w:kern w:val="2"/>
      <w:sz w:val="24"/>
      <w:szCs w:val="24"/>
      <w:lang w:val="en-US" w:eastAsia="zh-CN" w:bidi="ar-SA"/>
    </w:rPr>
  </w:style>
  <w:style w:type="character" w:customStyle="1" w:styleId="1353">
    <w:name w:val="Char Char7"/>
    <w:autoRedefine/>
    <w:qFormat/>
    <w:uiPriority w:val="0"/>
    <w:rPr>
      <w:rFonts w:eastAsia="宋体"/>
      <w:kern w:val="2"/>
      <w:sz w:val="18"/>
      <w:szCs w:val="18"/>
      <w:lang w:val="en-US" w:eastAsia="zh-CN" w:bidi="ar-SA"/>
    </w:rPr>
  </w:style>
  <w:style w:type="character" w:customStyle="1" w:styleId="1354">
    <w:name w:val="题注 Char2"/>
    <w:autoRedefine/>
    <w:qFormat/>
    <w:uiPriority w:val="0"/>
    <w:rPr>
      <w:rFonts w:ascii="Arial" w:hAnsi="Arial" w:eastAsia="黑体" w:cs="Arial"/>
      <w:kern w:val="2"/>
      <w:lang w:val="en-US" w:eastAsia="zh-CN" w:bidi="ar-SA"/>
    </w:rPr>
  </w:style>
  <w:style w:type="character" w:customStyle="1" w:styleId="1355">
    <w:name w:val="Char Char301"/>
    <w:autoRedefine/>
    <w:qFormat/>
    <w:uiPriority w:val="0"/>
    <w:rPr>
      <w:rFonts w:ascii="Arial" w:hAnsi="Arial"/>
      <w:sz w:val="24"/>
      <w:lang w:val="en-US"/>
    </w:rPr>
  </w:style>
  <w:style w:type="character" w:customStyle="1" w:styleId="1356">
    <w:name w:val="datetime42"/>
    <w:autoRedefine/>
    <w:qFormat/>
    <w:uiPriority w:val="0"/>
    <w:rPr>
      <w:color w:val="000000"/>
    </w:rPr>
  </w:style>
  <w:style w:type="character" w:customStyle="1" w:styleId="1357">
    <w:name w:val="datetime28"/>
    <w:autoRedefine/>
    <w:qFormat/>
    <w:uiPriority w:val="0"/>
    <w:rPr>
      <w:color w:val="000000"/>
      <w:sz w:val="18"/>
      <w:szCs w:val="18"/>
    </w:rPr>
  </w:style>
  <w:style w:type="character" w:customStyle="1" w:styleId="1358">
    <w:name w:val="Char Char31"/>
    <w:autoRedefine/>
    <w:qFormat/>
    <w:uiPriority w:val="0"/>
    <w:rPr>
      <w:b/>
      <w:sz w:val="28"/>
      <w:szCs w:val="28"/>
      <w:lang w:val="en-GB"/>
    </w:rPr>
  </w:style>
  <w:style w:type="character" w:customStyle="1" w:styleId="1359">
    <w:name w:val="tpc_content1"/>
    <w:autoRedefine/>
    <w:qFormat/>
    <w:uiPriority w:val="0"/>
    <w:rPr>
      <w:sz w:val="20"/>
      <w:szCs w:val="20"/>
    </w:rPr>
  </w:style>
  <w:style w:type="character" w:customStyle="1" w:styleId="1360">
    <w:name w:val="Char Char38"/>
    <w:autoRedefine/>
    <w:qFormat/>
    <w:uiPriority w:val="0"/>
    <w:rPr>
      <w:rFonts w:eastAsia="宋体"/>
      <w:b/>
      <w:bCs/>
      <w:kern w:val="44"/>
      <w:sz w:val="44"/>
      <w:szCs w:val="44"/>
      <w:lang w:val="en-US" w:eastAsia="zh-CN" w:bidi="ar-SA"/>
    </w:rPr>
  </w:style>
  <w:style w:type="character" w:customStyle="1" w:styleId="1361">
    <w:name w:val="question-title2"/>
    <w:basedOn w:val="86"/>
    <w:autoRedefine/>
    <w:qFormat/>
    <w:uiPriority w:val="0"/>
  </w:style>
  <w:style w:type="character" w:customStyle="1" w:styleId="1362">
    <w:name w:val="style141"/>
    <w:autoRedefine/>
    <w:qFormat/>
    <w:uiPriority w:val="0"/>
    <w:rPr>
      <w:b/>
      <w:bCs/>
      <w:color w:val="BA0303"/>
    </w:rPr>
  </w:style>
  <w:style w:type="character" w:customStyle="1" w:styleId="1363">
    <w:name w:val="wenzi1"/>
    <w:autoRedefine/>
    <w:qFormat/>
    <w:uiPriority w:val="0"/>
    <w:rPr>
      <w:rFonts w:hint="default" w:ascii="ˎ̥" w:hAnsi="ˎ̥"/>
      <w:color w:val="666666"/>
      <w:sz w:val="15"/>
      <w:szCs w:val="15"/>
      <w:u w:val="none"/>
    </w:rPr>
  </w:style>
  <w:style w:type="character" w:customStyle="1" w:styleId="1364">
    <w:name w:val="样式 标题 1 + 居中 Char Char Char"/>
    <w:autoRedefine/>
    <w:qFormat/>
    <w:uiPriority w:val="0"/>
    <w:rPr>
      <w:rFonts w:eastAsia="黑体" w:cs="宋体"/>
      <w:bCs/>
      <w:kern w:val="44"/>
      <w:sz w:val="36"/>
      <w:lang w:val="en-US" w:eastAsia="zh-CN" w:bidi="ar-SA"/>
    </w:rPr>
  </w:style>
  <w:style w:type="character" w:customStyle="1" w:styleId="1365">
    <w:name w:val="k1"/>
    <w:autoRedefine/>
    <w:qFormat/>
    <w:uiPriority w:val="0"/>
    <w:rPr>
      <w:rFonts w:hint="eastAsia" w:ascii="宋体" w:hAnsi="宋体" w:eastAsia="宋体"/>
      <w:b/>
      <w:bCs/>
      <w:color w:val="FF0000"/>
      <w:sz w:val="25"/>
      <w:szCs w:val="25"/>
      <w:u w:val="none"/>
    </w:rPr>
  </w:style>
  <w:style w:type="character" w:customStyle="1" w:styleId="1366">
    <w:name w:val="95正文 Char3"/>
    <w:link w:val="846"/>
    <w:autoRedefine/>
    <w:qFormat/>
    <w:uiPriority w:val="0"/>
    <w:rPr>
      <w:rFonts w:ascii="Times New Roman" w:hAnsi="Times New Roman" w:cs="Times New Roman"/>
      <w:sz w:val="24"/>
      <w:szCs w:val="24"/>
    </w:rPr>
  </w:style>
  <w:style w:type="character" w:customStyle="1" w:styleId="1367">
    <w:name w:val="正文文本 字符1"/>
    <w:autoRedefine/>
    <w:qFormat/>
    <w:uiPriority w:val="99"/>
    <w:rPr>
      <w:rFonts w:ascii="Times New Roman" w:hAnsi="Times New Roman" w:eastAsia="宋体" w:cs="Times New Roman"/>
      <w:szCs w:val="20"/>
    </w:rPr>
  </w:style>
  <w:style w:type="character" w:customStyle="1" w:styleId="1368">
    <w:name w:val="Char Char311"/>
    <w:autoRedefine/>
    <w:qFormat/>
    <w:uiPriority w:val="0"/>
    <w:rPr>
      <w:b/>
      <w:sz w:val="28"/>
      <w:szCs w:val="28"/>
      <w:lang w:val="en-US"/>
    </w:rPr>
  </w:style>
  <w:style w:type="character" w:customStyle="1" w:styleId="1369">
    <w:name w:val="time20"/>
    <w:autoRedefine/>
    <w:qFormat/>
    <w:uiPriority w:val="0"/>
    <w:rPr>
      <w:rFonts w:hint="eastAsia" w:ascii="宋体" w:hAnsi="宋体" w:eastAsia="宋体" w:cs="宋体"/>
      <w:color w:val="2A2A2A"/>
      <w:sz w:val="18"/>
      <w:szCs w:val="18"/>
    </w:rPr>
  </w:style>
  <w:style w:type="character" w:customStyle="1" w:styleId="1370">
    <w:name w:val="add"/>
    <w:autoRedefine/>
    <w:qFormat/>
    <w:uiPriority w:val="0"/>
    <w:rPr>
      <w:rFonts w:hint="eastAsia" w:ascii="宋体" w:hAnsi="宋体" w:eastAsia="宋体" w:cs="宋体"/>
      <w:color w:val="006BB6"/>
      <w:sz w:val="21"/>
      <w:szCs w:val="21"/>
    </w:rPr>
  </w:style>
  <w:style w:type="character" w:customStyle="1" w:styleId="1371">
    <w:name w:val="样式 (符号) 宋体 13 磅"/>
    <w:autoRedefine/>
    <w:qFormat/>
    <w:uiPriority w:val="0"/>
    <w:rPr>
      <w:rFonts w:ascii="宋体" w:eastAsia="宋体"/>
      <w:sz w:val="27"/>
      <w:szCs w:val="27"/>
    </w:rPr>
  </w:style>
  <w:style w:type="character" w:customStyle="1" w:styleId="1372">
    <w:name w:val="Date Char"/>
    <w:autoRedefine/>
    <w:qFormat/>
    <w:uiPriority w:val="0"/>
    <w:rPr>
      <w:rFonts w:eastAsia="宋体"/>
      <w:b/>
      <w:kern w:val="2"/>
      <w:sz w:val="28"/>
      <w:szCs w:val="24"/>
      <w:lang w:val="en-US" w:eastAsia="zh-CN" w:bidi="ar-SA"/>
    </w:rPr>
  </w:style>
  <w:style w:type="character" w:customStyle="1" w:styleId="1373">
    <w:name w:val="hover78"/>
    <w:autoRedefine/>
    <w:qFormat/>
    <w:uiPriority w:val="0"/>
    <w:rPr>
      <w:color w:val="FFFFFF"/>
      <w:shd w:val="clear" w:color="auto" w:fill="016BB9"/>
    </w:rPr>
  </w:style>
  <w:style w:type="character" w:customStyle="1" w:styleId="1374">
    <w:name w:val="Default Char Char"/>
    <w:autoRedefine/>
    <w:qFormat/>
    <w:uiPriority w:val="0"/>
    <w:rPr>
      <w:rFonts w:ascii="黑体" w:eastAsia="黑体" w:cs="黑体"/>
      <w:color w:val="000000"/>
      <w:sz w:val="24"/>
      <w:szCs w:val="24"/>
      <w:lang w:val="en-US" w:eastAsia="zh-CN" w:bidi="ar-SA"/>
    </w:rPr>
  </w:style>
  <w:style w:type="character" w:customStyle="1" w:styleId="1375">
    <w:name w:val="Char Char12"/>
    <w:autoRedefine/>
    <w:qFormat/>
    <w:uiPriority w:val="0"/>
    <w:rPr>
      <w:kern w:val="2"/>
      <w:sz w:val="18"/>
      <w:szCs w:val="18"/>
    </w:rPr>
  </w:style>
  <w:style w:type="character" w:customStyle="1" w:styleId="1376">
    <w:name w:val="自定义正文 Char Char"/>
    <w:autoRedefine/>
    <w:qFormat/>
    <w:uiPriority w:val="0"/>
    <w:rPr>
      <w:rFonts w:eastAsia="宋体"/>
      <w:sz w:val="28"/>
      <w:szCs w:val="21"/>
      <w:lang w:val="en-US" w:eastAsia="zh-CN" w:bidi="ar-SA"/>
    </w:rPr>
  </w:style>
  <w:style w:type="character" w:customStyle="1" w:styleId="1377">
    <w:name w:val="报告表格内容 Char"/>
    <w:link w:val="898"/>
    <w:autoRedefine/>
    <w:qFormat/>
    <w:uiPriority w:val="0"/>
    <w:rPr>
      <w:rFonts w:ascii="Times New Roman" w:hAnsi="Times New Roman" w:cs="Times New Roman"/>
    </w:rPr>
  </w:style>
  <w:style w:type="character" w:customStyle="1" w:styleId="1378">
    <w:name w:val="black21"/>
    <w:autoRedefine/>
    <w:qFormat/>
    <w:uiPriority w:val="0"/>
    <w:rPr>
      <w:color w:val="000000"/>
      <w:sz w:val="18"/>
      <w:szCs w:val="18"/>
      <w:u w:val="none"/>
    </w:rPr>
  </w:style>
  <w:style w:type="character" w:customStyle="1" w:styleId="1379">
    <w:name w:val="currentfile"/>
    <w:basedOn w:val="86"/>
    <w:autoRedefine/>
    <w:qFormat/>
    <w:uiPriority w:val="0"/>
  </w:style>
  <w:style w:type="character" w:customStyle="1" w:styleId="1380">
    <w:name w:val="Char Char321"/>
    <w:autoRedefine/>
    <w:qFormat/>
    <w:uiPriority w:val="0"/>
    <w:rPr>
      <w:rFonts w:ascii="Arial" w:hAnsi="Arial"/>
      <w:b/>
      <w:sz w:val="30"/>
      <w:lang w:val="en-US"/>
    </w:rPr>
  </w:style>
  <w:style w:type="character" w:customStyle="1" w:styleId="1381">
    <w:name w:val="refresh"/>
    <w:autoRedefine/>
    <w:qFormat/>
    <w:uiPriority w:val="0"/>
  </w:style>
  <w:style w:type="character" w:customStyle="1" w:styleId="1382">
    <w:name w:val="123YJ Char"/>
    <w:autoRedefine/>
    <w:qFormat/>
    <w:uiPriority w:val="0"/>
    <w:rPr>
      <w:rFonts w:eastAsia="宋体"/>
      <w:kern w:val="2"/>
      <w:sz w:val="18"/>
      <w:lang w:val="en-US" w:eastAsia="zh-CN" w:bidi="ar-SA"/>
    </w:rPr>
  </w:style>
  <w:style w:type="character" w:customStyle="1" w:styleId="1383">
    <w:name w:val="正文文本缩进一 Char Char"/>
    <w:link w:val="1311"/>
    <w:autoRedefine/>
    <w:qFormat/>
    <w:uiPriority w:val="0"/>
    <w:rPr>
      <w:rFonts w:ascii="宋体" w:hAnsi="宋体" w:cs="Times New Roman"/>
      <w:sz w:val="28"/>
      <w:szCs w:val="24"/>
    </w:rPr>
  </w:style>
  <w:style w:type="character" w:customStyle="1" w:styleId="1384">
    <w:name w:val="blue1 style2"/>
    <w:basedOn w:val="86"/>
    <w:autoRedefine/>
    <w:qFormat/>
    <w:uiPriority w:val="0"/>
  </w:style>
  <w:style w:type="character" w:customStyle="1" w:styleId="1385">
    <w:name w:val="bsb二级标题 Char"/>
    <w:link w:val="823"/>
    <w:autoRedefine/>
    <w:qFormat/>
    <w:uiPriority w:val="0"/>
    <w:rPr>
      <w:rFonts w:ascii="黑体" w:hAnsi="Times New Roman" w:eastAsia="黑体" w:cs="Times New Roman"/>
      <w:bCs/>
      <w:kern w:val="2"/>
      <w:sz w:val="30"/>
      <w:szCs w:val="30"/>
    </w:rPr>
  </w:style>
  <w:style w:type="character" w:customStyle="1" w:styleId="1386">
    <w:name w:val="font71"/>
    <w:autoRedefine/>
    <w:qFormat/>
    <w:uiPriority w:val="0"/>
    <w:rPr>
      <w:rFonts w:hint="default" w:ascii="Times New Roman" w:hAnsi="Times New Roman" w:cs="Times New Roman"/>
      <w:color w:val="000000"/>
      <w:sz w:val="16"/>
      <w:szCs w:val="16"/>
      <w:u w:val="none"/>
    </w:rPr>
  </w:style>
  <w:style w:type="character" w:customStyle="1" w:styleId="1387">
    <w:name w:val="123YJ Char Char2"/>
    <w:autoRedefine/>
    <w:qFormat/>
    <w:uiPriority w:val="0"/>
    <w:rPr>
      <w:rFonts w:eastAsia="宋体"/>
      <w:kern w:val="2"/>
      <w:sz w:val="18"/>
      <w:lang w:val="en-US" w:eastAsia="zh-CN" w:bidi="ar-SA"/>
    </w:rPr>
  </w:style>
  <w:style w:type="character" w:customStyle="1" w:styleId="1388">
    <w:name w:val="Char Char6"/>
    <w:autoRedefine/>
    <w:qFormat/>
    <w:uiPriority w:val="0"/>
    <w:rPr>
      <w:rFonts w:ascii="宋体" w:hAnsi="Times" w:eastAsia="宋体"/>
      <w:sz w:val="24"/>
      <w:lang w:val="en-US" w:eastAsia="zh-CN" w:bidi="ar-SA"/>
    </w:rPr>
  </w:style>
  <w:style w:type="character" w:customStyle="1" w:styleId="1389">
    <w:name w:val="datetime29"/>
    <w:basedOn w:val="86"/>
    <w:autoRedefine/>
    <w:qFormat/>
    <w:uiPriority w:val="0"/>
  </w:style>
  <w:style w:type="character" w:customStyle="1" w:styleId="1390">
    <w:name w:val="pagelinks"/>
    <w:autoRedefine/>
    <w:qFormat/>
    <w:uiPriority w:val="0"/>
  </w:style>
  <w:style w:type="character" w:customStyle="1" w:styleId="1391">
    <w:name w:val="Char Char28"/>
    <w:autoRedefine/>
    <w:qFormat/>
    <w:uiPriority w:val="0"/>
    <w:rPr>
      <w:rFonts w:ascii="Arial" w:hAnsi="Arial"/>
      <w:lang w:val="fr-FR"/>
    </w:rPr>
  </w:style>
  <w:style w:type="character" w:customStyle="1" w:styleId="1392">
    <w:name w:val="datetime33"/>
    <w:autoRedefine/>
    <w:qFormat/>
    <w:uiPriority w:val="0"/>
    <w:rPr>
      <w:color w:val="5D5C5C"/>
    </w:rPr>
  </w:style>
  <w:style w:type="character" w:customStyle="1" w:styleId="1393">
    <w:name w:val="尾注文本 Char1"/>
    <w:autoRedefine/>
    <w:semiHidden/>
    <w:qFormat/>
    <w:uiPriority w:val="99"/>
    <w:rPr>
      <w:kern w:val="2"/>
      <w:sz w:val="21"/>
    </w:rPr>
  </w:style>
  <w:style w:type="character" w:customStyle="1" w:styleId="1394">
    <w:name w:val="条标题1.1.1 Char2"/>
    <w:autoRedefine/>
    <w:qFormat/>
    <w:uiPriority w:val="0"/>
    <w:rPr>
      <w:rFonts w:eastAsia="宋体"/>
      <w:b/>
      <w:bCs/>
      <w:kern w:val="2"/>
      <w:sz w:val="32"/>
      <w:szCs w:val="32"/>
      <w:lang w:val="en-US" w:eastAsia="zh-CN" w:bidi="ar-SA"/>
    </w:rPr>
  </w:style>
  <w:style w:type="character" w:customStyle="1" w:styleId="1395">
    <w:name w:val="样式 标题4 Char Char"/>
    <w:autoRedefine/>
    <w:qFormat/>
    <w:uiPriority w:val="0"/>
    <w:rPr>
      <w:b/>
      <w:bCs/>
      <w:kern w:val="2"/>
      <w:sz w:val="24"/>
      <w:szCs w:val="24"/>
    </w:rPr>
  </w:style>
  <w:style w:type="character" w:customStyle="1" w:styleId="1396">
    <w:name w:val="6-正文 Char Char"/>
    <w:link w:val="1326"/>
    <w:autoRedefine/>
    <w:qFormat/>
    <w:uiPriority w:val="0"/>
    <w:rPr>
      <w:rFonts w:ascii="宋体" w:hAnsi="宋体" w:cs="Times New Roman"/>
      <w:sz w:val="24"/>
    </w:rPr>
  </w:style>
  <w:style w:type="character" w:customStyle="1" w:styleId="1397">
    <w:name w:val="Char Char3811"/>
    <w:autoRedefine/>
    <w:qFormat/>
    <w:uiPriority w:val="0"/>
    <w:rPr>
      <w:rFonts w:eastAsia="宋体"/>
      <w:b/>
      <w:bCs/>
      <w:kern w:val="44"/>
      <w:sz w:val="44"/>
      <w:szCs w:val="44"/>
      <w:lang w:val="en-US" w:eastAsia="zh-CN" w:bidi="ar-SA"/>
    </w:rPr>
  </w:style>
  <w:style w:type="character" w:customStyle="1" w:styleId="1398">
    <w:name w:val="Ò³Ã¼ Char3"/>
    <w:autoRedefine/>
    <w:semiHidden/>
    <w:qFormat/>
    <w:uiPriority w:val="0"/>
    <w:rPr>
      <w:rFonts w:eastAsia="宋体"/>
      <w:kern w:val="2"/>
      <w:sz w:val="18"/>
      <w:lang w:val="en-US" w:eastAsia="zh-CN" w:bidi="ar-SA"/>
    </w:rPr>
  </w:style>
  <w:style w:type="character" w:customStyle="1" w:styleId="1399">
    <w:name w:val="xxxxx正文 Char Char"/>
    <w:autoRedefine/>
    <w:qFormat/>
    <w:uiPriority w:val="0"/>
    <w:rPr>
      <w:rFonts w:eastAsia="宋体"/>
      <w:sz w:val="24"/>
      <w:szCs w:val="24"/>
      <w:lang w:val="zh-CN" w:eastAsia="en-US" w:bidi="ar-SA"/>
    </w:rPr>
  </w:style>
  <w:style w:type="character" w:customStyle="1" w:styleId="1400">
    <w:name w:val="datetime10"/>
    <w:autoRedefine/>
    <w:qFormat/>
    <w:uiPriority w:val="0"/>
    <w:rPr>
      <w:color w:val="5C5C5C"/>
      <w:sz w:val="16"/>
      <w:szCs w:val="16"/>
    </w:rPr>
  </w:style>
  <w:style w:type="character" w:customStyle="1" w:styleId="1401">
    <w:name w:val="open2"/>
    <w:autoRedefine/>
    <w:qFormat/>
    <w:uiPriority w:val="0"/>
  </w:style>
  <w:style w:type="character" w:customStyle="1" w:styleId="1402">
    <w:name w:val="text_edit editable-title"/>
    <w:basedOn w:val="86"/>
    <w:autoRedefine/>
    <w:qFormat/>
    <w:uiPriority w:val="0"/>
  </w:style>
  <w:style w:type="character" w:customStyle="1" w:styleId="1403">
    <w:name w:val="datetime45"/>
    <w:basedOn w:val="86"/>
    <w:autoRedefine/>
    <w:qFormat/>
    <w:uiPriority w:val="0"/>
  </w:style>
  <w:style w:type="character" w:customStyle="1" w:styleId="1404">
    <w:name w:val="msonormal"/>
    <w:autoRedefine/>
    <w:qFormat/>
    <w:uiPriority w:val="0"/>
  </w:style>
  <w:style w:type="character" w:customStyle="1" w:styleId="1405">
    <w:name w:val="hover77"/>
    <w:autoRedefine/>
    <w:qFormat/>
    <w:uiPriority w:val="0"/>
    <w:rPr>
      <w:color w:val="333333"/>
      <w:shd w:val="clear" w:color="auto" w:fill="FFFFFF"/>
    </w:rPr>
  </w:style>
  <w:style w:type="character" w:customStyle="1" w:styleId="1406">
    <w:name w:val="kyo标题4 Char Char"/>
    <w:link w:val="1314"/>
    <w:autoRedefine/>
    <w:qFormat/>
    <w:uiPriority w:val="0"/>
    <w:rPr>
      <w:rFonts w:ascii="Times New Roman" w:hAnsi="Times New Roman" w:cs="Times New Roman"/>
      <w:b/>
      <w:bCs/>
      <w:sz w:val="24"/>
      <w:szCs w:val="24"/>
    </w:rPr>
  </w:style>
  <w:style w:type="character" w:customStyle="1" w:styleId="1407">
    <w:name w:val="title41"/>
    <w:autoRedefine/>
    <w:qFormat/>
    <w:uiPriority w:val="0"/>
    <w:rPr>
      <w:rFonts w:hint="eastAsia" w:ascii="宋体" w:hAnsi="宋体" w:eastAsia="宋体"/>
      <w:color w:val="FF6600"/>
      <w:sz w:val="36"/>
      <w:szCs w:val="36"/>
    </w:rPr>
  </w:style>
  <w:style w:type="character" w:customStyle="1" w:styleId="1408">
    <w:name w:val="正文样式 Char Char"/>
    <w:link w:val="1260"/>
    <w:autoRedefine/>
    <w:qFormat/>
    <w:uiPriority w:val="0"/>
    <w:rPr>
      <w:rFonts w:ascii="宋体" w:hAnsi="Times New Roman" w:cs="Times New Roman"/>
      <w:sz w:val="24"/>
      <w:szCs w:val="24"/>
      <w:lang w:eastAsia="en-US" w:bidi="en-US"/>
    </w:rPr>
  </w:style>
  <w:style w:type="character" w:customStyle="1" w:styleId="1409">
    <w:name w:val="正文文本 Char2"/>
    <w:basedOn w:val="86"/>
    <w:autoRedefine/>
    <w:semiHidden/>
    <w:qFormat/>
    <w:uiPriority w:val="99"/>
  </w:style>
  <w:style w:type="character" w:customStyle="1" w:styleId="1410">
    <w:name w:val="style51"/>
    <w:autoRedefine/>
    <w:qFormat/>
    <w:uiPriority w:val="0"/>
    <w:rPr>
      <w:sz w:val="24"/>
      <w:szCs w:val="24"/>
    </w:rPr>
  </w:style>
  <w:style w:type="character" w:customStyle="1" w:styleId="1411">
    <w:name w:val="first-child2"/>
    <w:autoRedefine/>
    <w:qFormat/>
    <w:uiPriority w:val="0"/>
  </w:style>
  <w:style w:type="character" w:customStyle="1" w:styleId="1412">
    <w:name w:val="xxxxx正文 Char Char Char"/>
    <w:autoRedefine/>
    <w:qFormat/>
    <w:uiPriority w:val="0"/>
    <w:rPr>
      <w:rFonts w:ascii="宋体" w:hAnsi="Calibri" w:eastAsia="宋体"/>
      <w:sz w:val="24"/>
      <w:szCs w:val="24"/>
      <w:lang w:val="zh-CN" w:eastAsia="en-US" w:bidi="en-US"/>
    </w:rPr>
  </w:style>
  <w:style w:type="character" w:customStyle="1" w:styleId="1413">
    <w:name w:val="Char Char111"/>
    <w:autoRedefine/>
    <w:qFormat/>
    <w:uiPriority w:val="0"/>
    <w:rPr>
      <w:rFonts w:ascii="宋体" w:eastAsia="宋体"/>
      <w:kern w:val="2"/>
      <w:sz w:val="21"/>
      <w:szCs w:val="21"/>
      <w:lang w:val="en-US" w:eastAsia="zh-CN" w:bidi="ar-SA"/>
    </w:rPr>
  </w:style>
  <w:style w:type="character" w:customStyle="1" w:styleId="1414">
    <w:name w:val="0000样式 小四"/>
    <w:autoRedefine/>
    <w:qFormat/>
    <w:uiPriority w:val="0"/>
    <w:rPr>
      <w:sz w:val="24"/>
    </w:rPr>
  </w:style>
  <w:style w:type="character" w:customStyle="1" w:styleId="1415">
    <w:name w:val="fu正文 Char Char"/>
    <w:link w:val="829"/>
    <w:autoRedefine/>
    <w:qFormat/>
    <w:uiPriority w:val="0"/>
    <w:rPr>
      <w:rFonts w:ascii="宋体" w:hAnsi="宋体" w:cs="Times New Roman"/>
      <w:color w:val="000000"/>
      <w:sz w:val="24"/>
      <w:szCs w:val="24"/>
    </w:rPr>
  </w:style>
  <w:style w:type="character" w:customStyle="1" w:styleId="1416">
    <w:name w:val="font61"/>
    <w:autoRedefine/>
    <w:qFormat/>
    <w:uiPriority w:val="0"/>
    <w:rPr>
      <w:rFonts w:hint="default" w:ascii="Times New Roman" w:hAnsi="Times New Roman" w:cs="Times New Roman"/>
      <w:color w:val="000000"/>
      <w:sz w:val="21"/>
      <w:szCs w:val="21"/>
      <w:u w:val="none"/>
      <w:vertAlign w:val="subscript"/>
    </w:rPr>
  </w:style>
  <w:style w:type="character" w:customStyle="1" w:styleId="1417">
    <w:name w:val="Char Char33"/>
    <w:autoRedefine/>
    <w:qFormat/>
    <w:uiPriority w:val="0"/>
    <w:rPr>
      <w:b/>
      <w:sz w:val="28"/>
      <w:szCs w:val="28"/>
      <w:lang w:val="en-GB"/>
    </w:rPr>
  </w:style>
  <w:style w:type="character" w:customStyle="1" w:styleId="1418">
    <w:name w:val="ca-2"/>
    <w:autoRedefine/>
    <w:qFormat/>
    <w:uiPriority w:val="0"/>
  </w:style>
  <w:style w:type="character" w:customStyle="1" w:styleId="1419">
    <w:name w:val="first-child5"/>
    <w:autoRedefine/>
    <w:qFormat/>
    <w:uiPriority w:val="0"/>
    <w:rPr>
      <w:bdr w:val="single" w:color="E4E3E3" w:sz="6" w:space="0"/>
    </w:rPr>
  </w:style>
  <w:style w:type="character" w:customStyle="1" w:styleId="1420">
    <w:name w:val="标题 1 Char Char Char"/>
    <w:autoRedefine/>
    <w:qFormat/>
    <w:uiPriority w:val="0"/>
    <w:rPr>
      <w:rFonts w:ascii="仿宋_GB2312" w:eastAsia="仿宋_GB2312"/>
      <w:b/>
      <w:kern w:val="2"/>
      <w:sz w:val="36"/>
      <w:szCs w:val="44"/>
      <w:lang w:val="en-US" w:eastAsia="zh-CN" w:bidi="ar-SA"/>
    </w:rPr>
  </w:style>
  <w:style w:type="character" w:customStyle="1" w:styleId="1421">
    <w:name w:val="无间隔 Char"/>
    <w:link w:val="1201"/>
    <w:autoRedefine/>
    <w:qFormat/>
    <w:uiPriority w:val="0"/>
    <w:rPr>
      <w:rFonts w:ascii="Times New Roman" w:hAnsi="Times New Roman" w:cs="Times New Roman"/>
      <w:kern w:val="2"/>
      <w:sz w:val="22"/>
      <w:szCs w:val="22"/>
    </w:rPr>
  </w:style>
  <w:style w:type="character" w:customStyle="1" w:styleId="1422">
    <w:name w:val="font121"/>
    <w:autoRedefine/>
    <w:qFormat/>
    <w:uiPriority w:val="0"/>
    <w:rPr>
      <w:rFonts w:hint="eastAsia" w:ascii="宋体" w:hAnsi="宋体" w:eastAsia="宋体"/>
      <w:b/>
      <w:bCs/>
      <w:color w:val="000000"/>
      <w:sz w:val="18"/>
      <w:szCs w:val="18"/>
      <w:u w:val="none"/>
    </w:rPr>
  </w:style>
  <w:style w:type="character" w:customStyle="1" w:styleId="1423">
    <w:name w:val="active7"/>
    <w:autoRedefine/>
    <w:qFormat/>
    <w:uiPriority w:val="0"/>
    <w:rPr>
      <w:color w:val="EB5800"/>
    </w:rPr>
  </w:style>
  <w:style w:type="character" w:customStyle="1" w:styleId="1424">
    <w:name w:val="style71"/>
    <w:autoRedefine/>
    <w:qFormat/>
    <w:uiPriority w:val="0"/>
    <w:rPr>
      <w:rFonts w:ascii="黑体" w:eastAsia="宋体"/>
      <w:b/>
      <w:bCs/>
      <w:color w:val="993300"/>
      <w:kern w:val="2"/>
      <w:sz w:val="21"/>
      <w:szCs w:val="21"/>
      <w:lang w:val="en-US" w:eastAsia="zh-CN" w:bidi="ar-SA"/>
    </w:rPr>
  </w:style>
  <w:style w:type="character" w:customStyle="1" w:styleId="1425">
    <w:name w:val="正文文本最新 Char Char Char Char"/>
    <w:autoRedefine/>
    <w:qFormat/>
    <w:uiPriority w:val="0"/>
    <w:rPr>
      <w:rFonts w:eastAsia="宋体"/>
      <w:bCs/>
      <w:kern w:val="2"/>
      <w:sz w:val="28"/>
      <w:szCs w:val="28"/>
      <w:lang w:val="en-US" w:eastAsia="zh-CN" w:bidi="ar-SA"/>
    </w:rPr>
  </w:style>
  <w:style w:type="character" w:customStyle="1" w:styleId="1426">
    <w:name w:val="info31"/>
    <w:autoRedefine/>
    <w:qFormat/>
    <w:uiPriority w:val="0"/>
    <w:rPr>
      <w:rFonts w:hint="eastAsia" w:ascii="宋体" w:hAnsi="宋体" w:eastAsia="宋体" w:cs="宋体"/>
      <w:color w:val="004B80"/>
      <w:sz w:val="21"/>
      <w:szCs w:val="21"/>
    </w:rPr>
  </w:style>
  <w:style w:type="character" w:customStyle="1" w:styleId="1427">
    <w:name w:val="报告正文文字 Char Char Char"/>
    <w:autoRedefine/>
    <w:qFormat/>
    <w:uiPriority w:val="0"/>
    <w:rPr>
      <w:rFonts w:ascii="宋体" w:hAnsi="宋体" w:eastAsia="宋体"/>
      <w:color w:val="000000"/>
      <w:spacing w:val="4"/>
      <w:sz w:val="24"/>
      <w:lang w:bidi="ar-SA"/>
    </w:rPr>
  </w:style>
  <w:style w:type="character" w:customStyle="1" w:styleId="1428">
    <w:name w:val="Char Char26"/>
    <w:autoRedefine/>
    <w:qFormat/>
    <w:uiPriority w:val="0"/>
    <w:rPr>
      <w:rFonts w:ascii="Arial" w:hAnsi="Arial"/>
      <w:b/>
      <w:i/>
      <w:sz w:val="18"/>
      <w:lang w:val="fr-FR"/>
    </w:rPr>
  </w:style>
  <w:style w:type="character" w:customStyle="1" w:styleId="1429">
    <w:name w:val="datetime1"/>
    <w:basedOn w:val="86"/>
    <w:autoRedefine/>
    <w:qFormat/>
    <w:uiPriority w:val="0"/>
  </w:style>
  <w:style w:type="character" w:customStyle="1" w:styleId="1430">
    <w:name w:val="111111正文 Char Char"/>
    <w:link w:val="1099"/>
    <w:autoRedefine/>
    <w:qFormat/>
    <w:uiPriority w:val="0"/>
    <w:rPr>
      <w:rFonts w:ascii="Times New Roman" w:hAnsi="Times New Roman" w:cs="Times New Roman"/>
      <w:sz w:val="24"/>
      <w:szCs w:val="24"/>
      <w:lang w:eastAsia="en-US"/>
    </w:rPr>
  </w:style>
  <w:style w:type="character" w:customStyle="1" w:styleId="1431">
    <w:name w:val="font171"/>
    <w:autoRedefine/>
    <w:qFormat/>
    <w:uiPriority w:val="0"/>
    <w:rPr>
      <w:rFonts w:hint="default" w:ascii="Times New Roman" w:hAnsi="Times New Roman" w:cs="Times New Roman"/>
      <w:b/>
      <w:bCs/>
      <w:color w:val="000000"/>
      <w:sz w:val="22"/>
      <w:szCs w:val="22"/>
      <w:u w:val="none"/>
    </w:rPr>
  </w:style>
  <w:style w:type="character" w:customStyle="1" w:styleId="1432">
    <w:name w:val="Char Char35"/>
    <w:autoRedefine/>
    <w:qFormat/>
    <w:uiPriority w:val="0"/>
    <w:rPr>
      <w:rFonts w:ascii="Arial" w:hAnsi="Arial" w:eastAsia="黑体"/>
      <w:b/>
      <w:bCs/>
      <w:kern w:val="2"/>
      <w:sz w:val="28"/>
      <w:szCs w:val="28"/>
      <w:lang w:val="en-US" w:eastAsia="zh-CN" w:bidi="ar-SA"/>
    </w:rPr>
  </w:style>
  <w:style w:type="character" w:customStyle="1" w:styleId="1433">
    <w:name w:val="项目6 Char"/>
    <w:link w:val="1082"/>
    <w:autoRedefine/>
    <w:qFormat/>
    <w:uiPriority w:val="0"/>
    <w:rPr>
      <w:rFonts w:ascii="Times New Roman" w:hAnsi="Times New Roman" w:cs="Times New Roman"/>
      <w:color w:val="000000"/>
      <w:sz w:val="24"/>
      <w:szCs w:val="24"/>
    </w:rPr>
  </w:style>
  <w:style w:type="character" w:customStyle="1" w:styleId="1434">
    <w:name w:val="Char Char231"/>
    <w:autoRedefine/>
    <w:qFormat/>
    <w:uiPriority w:val="0"/>
    <w:rPr>
      <w:rFonts w:ascii="Arial" w:hAnsi="Arial" w:eastAsia="黑体"/>
      <w:b/>
      <w:bCs/>
      <w:kern w:val="2"/>
      <w:sz w:val="32"/>
      <w:szCs w:val="32"/>
      <w:lang w:val="en-US" w:eastAsia="zh-CN" w:bidi="ar-SA"/>
    </w:rPr>
  </w:style>
  <w:style w:type="character" w:customStyle="1" w:styleId="1435">
    <w:name w:val="样式 标题4 Char Char Char"/>
    <w:autoRedefine/>
    <w:qFormat/>
    <w:uiPriority w:val="0"/>
    <w:rPr>
      <w:rFonts w:eastAsia="宋体"/>
      <w:b/>
      <w:bCs/>
      <w:kern w:val="2"/>
      <w:sz w:val="24"/>
      <w:szCs w:val="24"/>
      <w:lang w:val="en-US" w:eastAsia="zh-CN" w:bidi="ar-SA"/>
    </w:rPr>
  </w:style>
  <w:style w:type="character" w:customStyle="1" w:styleId="1436">
    <w:name w:val="样式 标题4 Char Char Char Char"/>
    <w:autoRedefine/>
    <w:qFormat/>
    <w:uiPriority w:val="0"/>
    <w:rPr>
      <w:rFonts w:eastAsia="宋体"/>
      <w:b/>
      <w:bCs/>
      <w:kern w:val="2"/>
      <w:sz w:val="24"/>
      <w:szCs w:val="24"/>
      <w:lang w:val="en-US" w:eastAsia="zh-CN" w:bidi="ar-SA"/>
    </w:rPr>
  </w:style>
  <w:style w:type="character" w:customStyle="1" w:styleId="1437">
    <w:name w:val="主要文字 Char"/>
    <w:autoRedefine/>
    <w:qFormat/>
    <w:uiPriority w:val="0"/>
    <w:rPr>
      <w:rFonts w:hAnsi="宋体" w:eastAsia="宋体"/>
      <w:kern w:val="2"/>
      <w:sz w:val="21"/>
      <w:szCs w:val="21"/>
      <w:lang w:val="en-US" w:eastAsia="zh-CN" w:bidi="ar-SA"/>
    </w:rPr>
  </w:style>
  <w:style w:type="character" w:customStyle="1" w:styleId="1438">
    <w:name w:val="tool_index_crumbs_span"/>
    <w:autoRedefine/>
    <w:qFormat/>
    <w:uiPriority w:val="0"/>
    <w:rPr>
      <w:color w:val="FF6000"/>
    </w:rPr>
  </w:style>
  <w:style w:type="character" w:customStyle="1" w:styleId="1439">
    <w:name w:val="孙佳正文样式 Char"/>
    <w:autoRedefine/>
    <w:qFormat/>
    <w:uiPriority w:val="0"/>
    <w:rPr>
      <w:rFonts w:ascii="华文楷体" w:hAnsi="华文楷体" w:eastAsia="华文楷体"/>
      <w:sz w:val="28"/>
      <w:szCs w:val="28"/>
    </w:rPr>
  </w:style>
  <w:style w:type="character" w:customStyle="1" w:styleId="1440">
    <w:name w:val="样式 标题 3 + Times New Roman 行距: 多倍行距 1.3 字行 Char Char"/>
    <w:link w:val="886"/>
    <w:autoRedefine/>
    <w:qFormat/>
    <w:uiPriority w:val="0"/>
    <w:rPr>
      <w:rFonts w:ascii="Times New Roman" w:hAnsi="Times New Roman" w:eastAsia="黑体" w:cs="Times New Roman"/>
      <w:sz w:val="24"/>
    </w:rPr>
  </w:style>
  <w:style w:type="character" w:customStyle="1" w:styleId="1441">
    <w:name w:val="141"/>
    <w:basedOn w:val="86"/>
    <w:autoRedefine/>
    <w:qFormat/>
    <w:uiPriority w:val="0"/>
  </w:style>
  <w:style w:type="character" w:customStyle="1" w:styleId="1442">
    <w:name w:val="样式 标题 2 + 段前: 7.8 磅 段后: 7.8 磅 行距: 1.5 倍行距 Char"/>
    <w:autoRedefine/>
    <w:qFormat/>
    <w:uiPriority w:val="0"/>
    <w:rPr>
      <w:rFonts w:ascii="Arial" w:hAnsi="Arial" w:eastAsia="黑体" w:cs="宋体"/>
      <w:b/>
      <w:bCs/>
      <w:kern w:val="2"/>
      <w:sz w:val="30"/>
      <w:szCs w:val="32"/>
      <w:lang w:val="en-US" w:eastAsia="zh-CN" w:bidi="ar-SA"/>
    </w:rPr>
  </w:style>
  <w:style w:type="character" w:customStyle="1" w:styleId="1443">
    <w:name w:val="font161"/>
    <w:autoRedefine/>
    <w:qFormat/>
    <w:uiPriority w:val="0"/>
    <w:rPr>
      <w:rFonts w:hint="default" w:ascii="Times New Roman" w:hAnsi="Times New Roman" w:cs="Times New Roman"/>
      <w:b/>
      <w:bCs/>
      <w:color w:val="000000"/>
      <w:sz w:val="18"/>
      <w:szCs w:val="18"/>
      <w:u w:val="none"/>
    </w:rPr>
  </w:style>
  <w:style w:type="character" w:customStyle="1" w:styleId="1444">
    <w:name w:val="font181"/>
    <w:autoRedefine/>
    <w:qFormat/>
    <w:uiPriority w:val="0"/>
    <w:rPr>
      <w:rFonts w:hint="default" w:ascii="Times New Roman" w:hAnsi="Times New Roman" w:cs="Times New Roman"/>
      <w:color w:val="000000"/>
      <w:sz w:val="18"/>
      <w:szCs w:val="18"/>
      <w:u w:val="none"/>
    </w:rPr>
  </w:style>
  <w:style w:type="character" w:customStyle="1" w:styleId="1445">
    <w:name w:val="9css21"/>
    <w:autoRedefine/>
    <w:qFormat/>
    <w:uiPriority w:val="0"/>
    <w:rPr>
      <w:spacing w:val="268"/>
      <w:sz w:val="20"/>
      <w:szCs w:val="20"/>
    </w:rPr>
  </w:style>
  <w:style w:type="character" w:customStyle="1" w:styleId="1446">
    <w:name w:val="mod"/>
    <w:autoRedefine/>
    <w:qFormat/>
    <w:uiPriority w:val="0"/>
  </w:style>
  <w:style w:type="character" w:customStyle="1" w:styleId="1447">
    <w:name w:val="legend"/>
    <w:autoRedefine/>
    <w:qFormat/>
    <w:uiPriority w:val="0"/>
    <w:rPr>
      <w:rFonts w:ascii="Arial" w:hAnsi="Arial" w:cs="Arial"/>
      <w:b/>
      <w:color w:val="73B304"/>
      <w:sz w:val="21"/>
      <w:szCs w:val="21"/>
      <w:shd w:val="clear" w:color="auto" w:fill="FFFFFF"/>
    </w:rPr>
  </w:style>
  <w:style w:type="character" w:customStyle="1" w:styleId="1448">
    <w:name w:val="ca-1"/>
    <w:basedOn w:val="86"/>
    <w:autoRedefine/>
    <w:qFormat/>
    <w:uiPriority w:val="0"/>
  </w:style>
  <w:style w:type="character" w:customStyle="1" w:styleId="1449">
    <w:name w:val="Char Char11"/>
    <w:autoRedefine/>
    <w:qFormat/>
    <w:uiPriority w:val="0"/>
    <w:rPr>
      <w:rFonts w:ascii="宋体" w:eastAsia="宋体"/>
      <w:kern w:val="2"/>
      <w:sz w:val="21"/>
      <w:szCs w:val="21"/>
      <w:lang w:val="en-US" w:eastAsia="zh-CN" w:bidi="ar-SA"/>
    </w:rPr>
  </w:style>
  <w:style w:type="character" w:customStyle="1" w:styleId="1450">
    <w:name w:val="z-窗体底端 Char"/>
    <w:link w:val="1281"/>
    <w:autoRedefine/>
    <w:qFormat/>
    <w:uiPriority w:val="0"/>
    <w:rPr>
      <w:rFonts w:ascii="Arial" w:hAnsi="Arial" w:cs="Times New Roman"/>
      <w:vanish/>
      <w:sz w:val="16"/>
      <w:szCs w:val="16"/>
    </w:rPr>
  </w:style>
  <w:style w:type="character" w:customStyle="1" w:styleId="1451">
    <w:name w:val="datetime3"/>
    <w:basedOn w:val="86"/>
    <w:autoRedefine/>
    <w:qFormat/>
    <w:uiPriority w:val="0"/>
  </w:style>
  <w:style w:type="character" w:customStyle="1" w:styleId="1452">
    <w:name w:val="Char Char241"/>
    <w:autoRedefine/>
    <w:qFormat/>
    <w:uiPriority w:val="0"/>
    <w:rPr>
      <w:kern w:val="2"/>
      <w:sz w:val="18"/>
      <w:szCs w:val="18"/>
    </w:rPr>
  </w:style>
  <w:style w:type="character" w:customStyle="1" w:styleId="1453">
    <w:name w:val="datetime"/>
    <w:basedOn w:val="86"/>
    <w:autoRedefine/>
    <w:qFormat/>
    <w:uiPriority w:val="0"/>
  </w:style>
  <w:style w:type="character" w:customStyle="1" w:styleId="1454">
    <w:name w:val="hig1"/>
    <w:autoRedefine/>
    <w:qFormat/>
    <w:uiPriority w:val="0"/>
  </w:style>
  <w:style w:type="character" w:customStyle="1" w:styleId="1455">
    <w:name w:val="datetime8"/>
    <w:autoRedefine/>
    <w:qFormat/>
    <w:uiPriority w:val="0"/>
    <w:rPr>
      <w:color w:val="000000"/>
      <w:sz w:val="19"/>
      <w:szCs w:val="19"/>
    </w:rPr>
  </w:style>
  <w:style w:type="character" w:customStyle="1" w:styleId="1456">
    <w:name w:val="x二级标题 Char"/>
    <w:link w:val="1277"/>
    <w:autoRedefine/>
    <w:qFormat/>
    <w:uiPriority w:val="0"/>
    <w:rPr>
      <w:rFonts w:ascii="Arial" w:hAnsi="Arial" w:eastAsia="黑体" w:cs="Times New Roman"/>
      <w:b/>
      <w:bCs/>
      <w:sz w:val="30"/>
      <w:szCs w:val="32"/>
    </w:rPr>
  </w:style>
  <w:style w:type="character" w:customStyle="1" w:styleId="1457">
    <w:name w:val="Char Char91"/>
    <w:autoRedefine/>
    <w:qFormat/>
    <w:uiPriority w:val="0"/>
    <w:rPr>
      <w:rFonts w:eastAsia="宋体"/>
      <w:kern w:val="2"/>
      <w:sz w:val="28"/>
      <w:szCs w:val="24"/>
      <w:lang w:val="en-US" w:eastAsia="zh-CN" w:bidi="ar-SA"/>
    </w:rPr>
  </w:style>
  <w:style w:type="character" w:customStyle="1" w:styleId="1458">
    <w:name w:val="modify_click"/>
    <w:autoRedefine/>
    <w:qFormat/>
    <w:uiPriority w:val="0"/>
    <w:rPr>
      <w:color w:val="FFFFFF"/>
      <w:shd w:val="clear" w:color="auto" w:fill="F07700"/>
    </w:rPr>
  </w:style>
  <w:style w:type="character" w:customStyle="1" w:styleId="1459">
    <w:name w:val="修改表格标题 Char"/>
    <w:link w:val="922"/>
    <w:autoRedefine/>
    <w:qFormat/>
    <w:uiPriority w:val="0"/>
    <w:rPr>
      <w:rFonts w:ascii="Times New Roman" w:hAnsi="Times New Roman" w:cs="Times New Roman"/>
      <w:b/>
      <w:bCs/>
      <w:sz w:val="24"/>
      <w:szCs w:val="24"/>
    </w:rPr>
  </w:style>
  <w:style w:type="character" w:customStyle="1" w:styleId="1460">
    <w:name w:val="syh3级标题 Char Char"/>
    <w:link w:val="1223"/>
    <w:autoRedefine/>
    <w:qFormat/>
    <w:uiPriority w:val="0"/>
    <w:rPr>
      <w:rFonts w:ascii="黑体" w:hAnsi="宋体" w:eastAsia="黑体" w:cs="Times New Roman"/>
      <w:b/>
      <w:sz w:val="24"/>
      <w:szCs w:val="24"/>
      <w:lang w:val="zh-CN"/>
    </w:rPr>
  </w:style>
  <w:style w:type="character" w:customStyle="1" w:styleId="1461">
    <w:name w:val="datetime30"/>
    <w:autoRedefine/>
    <w:qFormat/>
    <w:uiPriority w:val="0"/>
    <w:rPr>
      <w:sz w:val="18"/>
      <w:szCs w:val="18"/>
    </w:rPr>
  </w:style>
  <w:style w:type="character" w:customStyle="1" w:styleId="1462">
    <w:name w:val="font81"/>
    <w:autoRedefine/>
    <w:qFormat/>
    <w:uiPriority w:val="0"/>
    <w:rPr>
      <w:rFonts w:hint="default" w:ascii="Times New Roman" w:hAnsi="Times New Roman" w:cs="Times New Roman"/>
      <w:color w:val="000000"/>
      <w:sz w:val="20"/>
      <w:szCs w:val="20"/>
      <w:u w:val="none"/>
      <w:vertAlign w:val="superscript"/>
    </w:rPr>
  </w:style>
  <w:style w:type="character" w:customStyle="1" w:styleId="1463">
    <w:name w:val="content1"/>
    <w:autoRedefine/>
    <w:qFormat/>
    <w:uiPriority w:val="0"/>
    <w:rPr>
      <w:color w:val="000000"/>
      <w:sz w:val="21"/>
      <w:szCs w:val="21"/>
      <w:u w:val="none"/>
    </w:rPr>
  </w:style>
  <w:style w:type="character" w:customStyle="1" w:styleId="1464">
    <w:name w:val="ca-5"/>
    <w:autoRedefine/>
    <w:qFormat/>
    <w:uiPriority w:val="0"/>
  </w:style>
  <w:style w:type="character" w:customStyle="1" w:styleId="1465">
    <w:name w:val="datetime17"/>
    <w:autoRedefine/>
    <w:qFormat/>
    <w:uiPriority w:val="0"/>
    <w:rPr>
      <w:color w:val="5C5C5C"/>
      <w:sz w:val="16"/>
      <w:szCs w:val="16"/>
    </w:rPr>
  </w:style>
  <w:style w:type="character" w:customStyle="1" w:styleId="1466">
    <w:name w:val="syh3级标题 Char"/>
    <w:autoRedefine/>
    <w:qFormat/>
    <w:uiPriority w:val="0"/>
    <w:rPr>
      <w:rFonts w:ascii="黑体" w:hAnsi="宋体" w:eastAsia="黑体"/>
      <w:b/>
      <w:sz w:val="24"/>
      <w:szCs w:val="24"/>
      <w:lang w:val="zh-CN" w:eastAsia="zh-CN" w:bidi="ar-SA"/>
    </w:rPr>
  </w:style>
  <w:style w:type="character" w:customStyle="1" w:styleId="1467">
    <w:name w:val="Char Char611"/>
    <w:autoRedefine/>
    <w:qFormat/>
    <w:uiPriority w:val="0"/>
    <w:rPr>
      <w:rFonts w:ascii="宋体" w:hAnsi="Times" w:eastAsia="宋体"/>
      <w:sz w:val="24"/>
      <w:lang w:val="en-US" w:eastAsia="zh-CN" w:bidi="ar-SA"/>
    </w:rPr>
  </w:style>
  <w:style w:type="character" w:customStyle="1" w:styleId="1468">
    <w:name w:val="Char Char171"/>
    <w:autoRedefine/>
    <w:qFormat/>
    <w:uiPriority w:val="0"/>
    <w:rPr>
      <w:rFonts w:eastAsia="宋体"/>
      <w:b/>
      <w:bCs/>
      <w:kern w:val="2"/>
      <w:sz w:val="32"/>
      <w:szCs w:val="32"/>
      <w:lang w:val="en-US" w:eastAsia="zh-CN" w:bidi="ar-SA"/>
    </w:rPr>
  </w:style>
  <w:style w:type="character" w:customStyle="1" w:styleId="1469">
    <w:name w:val="正文文本缩进 字符1"/>
    <w:autoRedefine/>
    <w:qFormat/>
    <w:uiPriority w:val="99"/>
    <w:rPr>
      <w:rFonts w:ascii="Times New Roman" w:hAnsi="Times New Roman" w:eastAsia="宋体" w:cs="Times New Roman"/>
      <w:sz w:val="32"/>
      <w:szCs w:val="24"/>
    </w:rPr>
  </w:style>
  <w:style w:type="character" w:customStyle="1" w:styleId="1470">
    <w:name w:val="bds_nopic"/>
    <w:autoRedefine/>
    <w:qFormat/>
    <w:uiPriority w:val="0"/>
  </w:style>
  <w:style w:type="character" w:customStyle="1" w:styleId="1471">
    <w:name w:val="doc_title"/>
    <w:autoRedefine/>
    <w:qFormat/>
    <w:uiPriority w:val="0"/>
  </w:style>
  <w:style w:type="character" w:customStyle="1" w:styleId="1472">
    <w:name w:val="Char Char221"/>
    <w:autoRedefine/>
    <w:qFormat/>
    <w:uiPriority w:val="0"/>
    <w:rPr>
      <w:rFonts w:eastAsia="宋体"/>
      <w:b/>
      <w:bCs/>
      <w:kern w:val="2"/>
      <w:sz w:val="32"/>
      <w:szCs w:val="32"/>
      <w:lang w:val="en-US" w:eastAsia="zh-CN" w:bidi="ar-SA"/>
    </w:rPr>
  </w:style>
  <w:style w:type="character" w:customStyle="1" w:styleId="1473">
    <w:name w:val="font01"/>
    <w:autoRedefine/>
    <w:qFormat/>
    <w:uiPriority w:val="0"/>
    <w:rPr>
      <w:rFonts w:hint="default" w:ascii="Times New Roman" w:hAnsi="Times New Roman" w:cs="Times New Roman"/>
      <w:b/>
      <w:bCs/>
      <w:color w:val="000000"/>
      <w:sz w:val="20"/>
      <w:szCs w:val="20"/>
      <w:u w:val="none"/>
      <w:vertAlign w:val="subscript"/>
    </w:rPr>
  </w:style>
  <w:style w:type="character" w:customStyle="1" w:styleId="1474">
    <w:name w:val="[1]正文 Char Char"/>
    <w:autoRedefine/>
    <w:qFormat/>
    <w:uiPriority w:val="0"/>
    <w:rPr>
      <w:rFonts w:ascii="Calibri" w:hAnsi="Calibri" w:eastAsia="宋体"/>
      <w:sz w:val="24"/>
      <w:szCs w:val="28"/>
    </w:rPr>
  </w:style>
  <w:style w:type="character" w:customStyle="1" w:styleId="1475">
    <w:name w:val="正文文本缩进 2 Char1"/>
    <w:autoRedefine/>
    <w:qFormat/>
    <w:uiPriority w:val="0"/>
    <w:rPr>
      <w:rFonts w:eastAsia="宋体"/>
      <w:sz w:val="24"/>
      <w:szCs w:val="24"/>
      <w:lang w:eastAsia="en-US" w:bidi="ar-SA"/>
    </w:rPr>
  </w:style>
  <w:style w:type="character" w:customStyle="1" w:styleId="1476">
    <w:name w:val="unnamed11"/>
    <w:autoRedefine/>
    <w:qFormat/>
    <w:uiPriority w:val="0"/>
    <w:rPr>
      <w:rFonts w:eastAsia="宋体" w:cs="宋体"/>
      <w:kern w:val="2"/>
      <w:sz w:val="30"/>
      <w:szCs w:val="30"/>
      <w:u w:val="none"/>
      <w:lang w:val="en-US" w:eastAsia="zh-CN" w:bidi="ar-SA"/>
    </w:rPr>
  </w:style>
  <w:style w:type="character" w:customStyle="1" w:styleId="1477">
    <w:name w:val="自定义正文 Char"/>
    <w:link w:val="1210"/>
    <w:autoRedefine/>
    <w:qFormat/>
    <w:uiPriority w:val="0"/>
    <w:rPr>
      <w:rFonts w:ascii="Times New Roman" w:hAnsi="Times New Roman" w:cs="Times New Roman"/>
      <w:sz w:val="28"/>
      <w:szCs w:val="21"/>
    </w:rPr>
  </w:style>
  <w:style w:type="character" w:customStyle="1" w:styleId="1478">
    <w:name w:val="headline-content"/>
    <w:basedOn w:val="86"/>
    <w:autoRedefine/>
    <w:qFormat/>
    <w:uiPriority w:val="0"/>
  </w:style>
  <w:style w:type="character" w:customStyle="1" w:styleId="1479">
    <w:name w:val="del"/>
    <w:autoRedefine/>
    <w:qFormat/>
    <w:uiPriority w:val="0"/>
  </w:style>
  <w:style w:type="character" w:customStyle="1" w:styleId="1480">
    <w:name w:val="font131"/>
    <w:autoRedefine/>
    <w:qFormat/>
    <w:uiPriority w:val="0"/>
    <w:rPr>
      <w:rFonts w:hint="eastAsia" w:ascii="宋体" w:hAnsi="宋体" w:eastAsia="宋体"/>
      <w:b/>
      <w:bCs/>
      <w:color w:val="000000"/>
      <w:sz w:val="22"/>
      <w:szCs w:val="22"/>
      <w:u w:val="none"/>
    </w:rPr>
  </w:style>
  <w:style w:type="character" w:customStyle="1" w:styleId="1481">
    <w:name w:val="hover79"/>
    <w:autoRedefine/>
    <w:qFormat/>
    <w:uiPriority w:val="0"/>
    <w:rPr>
      <w:shd w:val="clear" w:color="auto" w:fill="FF6600"/>
    </w:rPr>
  </w:style>
  <w:style w:type="character" w:customStyle="1" w:styleId="1482">
    <w:name w:val="bititle"/>
    <w:autoRedefine/>
    <w:qFormat/>
    <w:uiPriority w:val="0"/>
  </w:style>
  <w:style w:type="character" w:customStyle="1" w:styleId="1483">
    <w:name w:val="正文文本最新 Char Char Char Char1 Char Char Char1 Char"/>
    <w:link w:val="869"/>
    <w:autoRedefine/>
    <w:qFormat/>
    <w:uiPriority w:val="0"/>
    <w:rPr>
      <w:rFonts w:ascii="Times New Roman" w:hAnsi="Times New Roman" w:cs="Times New Roman"/>
      <w:bCs/>
      <w:sz w:val="28"/>
      <w:szCs w:val="24"/>
    </w:rPr>
  </w:style>
  <w:style w:type="character" w:customStyle="1" w:styleId="1484">
    <w:name w:val="Char Char10"/>
    <w:autoRedefine/>
    <w:qFormat/>
    <w:uiPriority w:val="0"/>
    <w:rPr>
      <w:rFonts w:eastAsia="宋体"/>
      <w:kern w:val="2"/>
      <w:sz w:val="18"/>
      <w:szCs w:val="18"/>
      <w:lang w:val="en-US" w:eastAsia="zh-CN" w:bidi="ar-SA"/>
    </w:rPr>
  </w:style>
  <w:style w:type="character" w:customStyle="1" w:styleId="1485">
    <w:name w:val="Char Char3"/>
    <w:autoRedefine/>
    <w:qFormat/>
    <w:uiPriority w:val="0"/>
    <w:rPr>
      <w:rFonts w:eastAsia="宋体"/>
      <w:kern w:val="2"/>
      <w:sz w:val="18"/>
      <w:szCs w:val="18"/>
      <w:lang w:val="en-US" w:eastAsia="zh-CN" w:bidi="ar-SA"/>
    </w:rPr>
  </w:style>
  <w:style w:type="character" w:customStyle="1" w:styleId="1486">
    <w:name w:val="样式 标题 2 + 段前: 7.8 磅 段后: 7.8 磅 行距: 1.5 倍行距 Char Char"/>
    <w:link w:val="956"/>
    <w:autoRedefine/>
    <w:qFormat/>
    <w:uiPriority w:val="0"/>
    <w:rPr>
      <w:rFonts w:ascii="Times New Roman" w:hAnsi="Times New Roman" w:eastAsia="黑体" w:cs="Times New Roman"/>
      <w:bCs/>
      <w:sz w:val="30"/>
    </w:rPr>
  </w:style>
  <w:style w:type="character" w:customStyle="1" w:styleId="1487">
    <w:name w:val="datetime34"/>
    <w:basedOn w:val="86"/>
    <w:autoRedefine/>
    <w:qFormat/>
    <w:uiPriority w:val="0"/>
  </w:style>
  <w:style w:type="character" w:customStyle="1" w:styleId="1488">
    <w:name w:val="active"/>
    <w:autoRedefine/>
    <w:qFormat/>
    <w:uiPriority w:val="0"/>
    <w:rPr>
      <w:color w:val="006BB6"/>
    </w:rPr>
  </w:style>
  <w:style w:type="character" w:customStyle="1" w:styleId="1489">
    <w:name w:val="z-窗体顶端 Char"/>
    <w:link w:val="925"/>
    <w:autoRedefine/>
    <w:qFormat/>
    <w:uiPriority w:val="0"/>
    <w:rPr>
      <w:rFonts w:ascii="Arial" w:hAnsi="Arial" w:cs="Times New Roman"/>
      <w:vanish/>
      <w:sz w:val="16"/>
      <w:szCs w:val="16"/>
    </w:rPr>
  </w:style>
  <w:style w:type="character" w:customStyle="1" w:styleId="1490">
    <w:name w:val="css-text3"/>
    <w:autoRedefine/>
    <w:qFormat/>
    <w:uiPriority w:val="0"/>
  </w:style>
  <w:style w:type="character" w:customStyle="1" w:styleId="1491">
    <w:name w:val="正文文本缩进 3 Char1"/>
    <w:autoRedefine/>
    <w:qFormat/>
    <w:uiPriority w:val="0"/>
    <w:rPr>
      <w:rFonts w:eastAsia="宋体"/>
      <w:sz w:val="16"/>
      <w:szCs w:val="16"/>
    </w:rPr>
  </w:style>
  <w:style w:type="character" w:customStyle="1" w:styleId="1492">
    <w:name w:val="0表格 Char"/>
    <w:link w:val="1073"/>
    <w:autoRedefine/>
    <w:qFormat/>
    <w:uiPriority w:val="0"/>
    <w:rPr>
      <w:rFonts w:ascii="Times New Roman" w:hAnsi="Times New Roman" w:cs="Times New Roman"/>
      <w:sz w:val="28"/>
      <w:szCs w:val="28"/>
    </w:rPr>
  </w:style>
  <w:style w:type="character" w:customStyle="1" w:styleId="1493">
    <w:name w:val="Char Char331"/>
    <w:autoRedefine/>
    <w:qFormat/>
    <w:uiPriority w:val="0"/>
    <w:rPr>
      <w:b/>
      <w:sz w:val="28"/>
      <w:szCs w:val="28"/>
      <w:lang w:val="en-US"/>
    </w:rPr>
  </w:style>
  <w:style w:type="character" w:customStyle="1" w:styleId="1494">
    <w:name w:val="headline-content2"/>
    <w:basedOn w:val="86"/>
    <w:autoRedefine/>
    <w:qFormat/>
    <w:uiPriority w:val="0"/>
  </w:style>
  <w:style w:type="character" w:customStyle="1" w:styleId="1495">
    <w:name w:val="a161"/>
    <w:autoRedefine/>
    <w:qFormat/>
    <w:uiPriority w:val="0"/>
    <w:rPr>
      <w:b/>
      <w:bCs/>
      <w:sz w:val="24"/>
      <w:szCs w:val="24"/>
    </w:rPr>
  </w:style>
  <w:style w:type="character" w:customStyle="1" w:styleId="1496">
    <w:name w:val="11 Char"/>
    <w:link w:val="1275"/>
    <w:autoRedefine/>
    <w:qFormat/>
    <w:uiPriority w:val="0"/>
    <w:rPr>
      <w:rFonts w:ascii="黑体" w:hAnsi="宋体" w:eastAsia="黑体" w:cs="Times New Roman"/>
      <w:spacing w:val="5"/>
      <w:sz w:val="24"/>
      <w:szCs w:val="24"/>
    </w:rPr>
  </w:style>
  <w:style w:type="character" w:customStyle="1" w:styleId="1497">
    <w:name w:val="我的正文 Char Char"/>
    <w:link w:val="845"/>
    <w:autoRedefine/>
    <w:qFormat/>
    <w:uiPriority w:val="0"/>
    <w:rPr>
      <w:rFonts w:ascii="Times New Roman" w:hAnsi="Times New Roman" w:cs="Times New Roman"/>
      <w:sz w:val="24"/>
      <w:szCs w:val="24"/>
    </w:rPr>
  </w:style>
  <w:style w:type="character" w:customStyle="1" w:styleId="1498">
    <w:name w:val="last-child"/>
    <w:autoRedefine/>
    <w:qFormat/>
    <w:uiPriority w:val="0"/>
  </w:style>
  <w:style w:type="character" w:customStyle="1" w:styleId="1499">
    <w:name w:val="title-text"/>
    <w:autoRedefine/>
    <w:qFormat/>
    <w:uiPriority w:val="0"/>
  </w:style>
  <w:style w:type="character" w:customStyle="1" w:styleId="1500">
    <w:name w:val="aa1"/>
    <w:autoRedefine/>
    <w:qFormat/>
    <w:uiPriority w:val="0"/>
    <w:rPr>
      <w:rFonts w:hint="eastAsia" w:ascii="宋体" w:hAnsi="宋体" w:eastAsia="宋体"/>
      <w:spacing w:val="400"/>
      <w:sz w:val="24"/>
      <w:szCs w:val="24"/>
    </w:rPr>
  </w:style>
  <w:style w:type="character" w:customStyle="1" w:styleId="1501">
    <w:name w:val="ca-0"/>
    <w:basedOn w:val="86"/>
    <w:autoRedefine/>
    <w:qFormat/>
    <w:uiPriority w:val="0"/>
  </w:style>
  <w:style w:type="character" w:customStyle="1" w:styleId="1502">
    <w:name w:val="datetime40"/>
    <w:basedOn w:val="86"/>
    <w:autoRedefine/>
    <w:qFormat/>
    <w:uiPriority w:val="0"/>
  </w:style>
  <w:style w:type="character" w:customStyle="1" w:styleId="1503">
    <w:name w:val="文本正文 Char Char"/>
    <w:link w:val="856"/>
    <w:autoRedefine/>
    <w:qFormat/>
    <w:uiPriority w:val="0"/>
    <w:rPr>
      <w:rFonts w:ascii="Times New Roman" w:hAnsi="Times New Roman" w:cs="Times New Roman"/>
      <w:snapToGrid w:val="0"/>
      <w:sz w:val="24"/>
      <w:szCs w:val="24"/>
    </w:rPr>
  </w:style>
  <w:style w:type="character" w:customStyle="1" w:styleId="1504">
    <w:name w:val="style91"/>
    <w:autoRedefine/>
    <w:qFormat/>
    <w:uiPriority w:val="0"/>
    <w:rPr>
      <w:sz w:val="28"/>
      <w:szCs w:val="28"/>
    </w:rPr>
  </w:style>
  <w:style w:type="character" w:customStyle="1" w:styleId="1505">
    <w:name w:val="style21"/>
    <w:autoRedefine/>
    <w:qFormat/>
    <w:uiPriority w:val="0"/>
    <w:rPr>
      <w:b/>
      <w:bCs/>
      <w:sz w:val="24"/>
      <w:szCs w:val="24"/>
    </w:rPr>
  </w:style>
  <w:style w:type="character" w:customStyle="1" w:styleId="1506">
    <w:name w:val="datetime6"/>
    <w:basedOn w:val="86"/>
    <w:autoRedefine/>
    <w:qFormat/>
    <w:uiPriority w:val="0"/>
  </w:style>
  <w:style w:type="character" w:customStyle="1" w:styleId="1507">
    <w:name w:val="active9"/>
    <w:autoRedefine/>
    <w:qFormat/>
    <w:uiPriority w:val="0"/>
    <w:rPr>
      <w:color w:val="FF0000"/>
    </w:rPr>
  </w:style>
  <w:style w:type="character" w:customStyle="1" w:styleId="1508">
    <w:name w:val="style441"/>
    <w:autoRedefine/>
    <w:qFormat/>
    <w:uiPriority w:val="0"/>
    <w:rPr>
      <w:sz w:val="22"/>
      <w:szCs w:val="22"/>
    </w:rPr>
  </w:style>
  <w:style w:type="character" w:customStyle="1" w:styleId="1509">
    <w:name w:val="description"/>
    <w:autoRedefine/>
    <w:qFormat/>
    <w:uiPriority w:val="0"/>
  </w:style>
  <w:style w:type="character" w:customStyle="1" w:styleId="1510">
    <w:name w:val="Char Char351"/>
    <w:autoRedefine/>
    <w:qFormat/>
    <w:uiPriority w:val="0"/>
    <w:rPr>
      <w:rFonts w:ascii="Arial" w:hAnsi="Arial" w:eastAsia="黑体"/>
      <w:b/>
      <w:bCs/>
      <w:kern w:val="2"/>
      <w:sz w:val="28"/>
      <w:szCs w:val="28"/>
      <w:lang w:val="en-US" w:eastAsia="zh-CN" w:bidi="ar-SA"/>
    </w:rPr>
  </w:style>
  <w:style w:type="character" w:customStyle="1" w:styleId="1511">
    <w:name w:val="Char Char37"/>
    <w:autoRedefine/>
    <w:qFormat/>
    <w:uiPriority w:val="0"/>
    <w:rPr>
      <w:rFonts w:ascii="Arial" w:hAnsi="Arial" w:eastAsia="黑体"/>
      <w:b/>
      <w:bCs/>
      <w:kern w:val="2"/>
      <w:sz w:val="32"/>
      <w:szCs w:val="32"/>
      <w:lang w:val="en-US" w:eastAsia="zh-CN" w:bidi="ar-SA"/>
    </w:rPr>
  </w:style>
  <w:style w:type="character" w:customStyle="1" w:styleId="1512">
    <w:name w:val="样式 标题4 Char"/>
    <w:link w:val="1293"/>
    <w:autoRedefine/>
    <w:qFormat/>
    <w:uiPriority w:val="0"/>
    <w:rPr>
      <w:rFonts w:ascii="Times New Roman" w:hAnsi="Times New Roman" w:cs="Times New Roman"/>
      <w:b/>
      <w:bCs/>
      <w:sz w:val="24"/>
      <w:szCs w:val="24"/>
    </w:rPr>
  </w:style>
  <w:style w:type="character" w:customStyle="1" w:styleId="1513">
    <w:name w:val="LX标题2 Char Char"/>
    <w:link w:val="1070"/>
    <w:autoRedefine/>
    <w:qFormat/>
    <w:uiPriority w:val="0"/>
    <w:rPr>
      <w:rFonts w:ascii="Times New Roman" w:hAnsi="Times New Roman" w:cs="Times New Roman"/>
      <w:spacing w:val="5"/>
      <w:kern w:val="44"/>
      <w:sz w:val="30"/>
    </w:rPr>
  </w:style>
  <w:style w:type="character" w:customStyle="1" w:styleId="1514">
    <w:name w:val="datetime23"/>
    <w:autoRedefine/>
    <w:qFormat/>
    <w:uiPriority w:val="0"/>
    <w:rPr>
      <w:color w:val="000000"/>
      <w:sz w:val="19"/>
      <w:szCs w:val="19"/>
    </w:rPr>
  </w:style>
  <w:style w:type="character" w:customStyle="1" w:styleId="1515">
    <w:name w:val="modify"/>
    <w:autoRedefine/>
    <w:qFormat/>
    <w:uiPriority w:val="0"/>
    <w:rPr>
      <w:rFonts w:hint="eastAsia" w:ascii="宋体" w:hAnsi="宋体" w:eastAsia="宋体" w:cs="宋体"/>
      <w:color w:val="006BB6"/>
      <w:sz w:val="21"/>
      <w:szCs w:val="21"/>
    </w:rPr>
  </w:style>
  <w:style w:type="character" w:customStyle="1" w:styleId="1516">
    <w:name w:val="font14"/>
    <w:autoRedefine/>
    <w:qFormat/>
    <w:uiPriority w:val="0"/>
  </w:style>
  <w:style w:type="character" w:customStyle="1" w:styleId="1517">
    <w:name w:val="报告正文 Char"/>
    <w:link w:val="883"/>
    <w:autoRedefine/>
    <w:qFormat/>
    <w:uiPriority w:val="0"/>
    <w:rPr>
      <w:rFonts w:ascii="Times New Roman" w:hAnsi="Times New Roman" w:cs="Times New Roman"/>
      <w:szCs w:val="21"/>
    </w:rPr>
  </w:style>
  <w:style w:type="character" w:customStyle="1" w:styleId="1518">
    <w:name w:val="datetime7"/>
    <w:basedOn w:val="86"/>
    <w:autoRedefine/>
    <w:qFormat/>
    <w:uiPriority w:val="0"/>
  </w:style>
  <w:style w:type="character" w:customStyle="1" w:styleId="1519">
    <w:name w:val="燕山正文 Char Char Char Char"/>
    <w:link w:val="1034"/>
    <w:autoRedefine/>
    <w:qFormat/>
    <w:uiPriority w:val="0"/>
    <w:rPr>
      <w:rFonts w:ascii="Times New Roman" w:hAnsi="宋体" w:cs="Times New Roman"/>
      <w:color w:val="000000"/>
      <w:szCs w:val="21"/>
    </w:rPr>
  </w:style>
  <w:style w:type="character" w:customStyle="1" w:styleId="1520">
    <w:name w:val="zw1"/>
    <w:autoRedefine/>
    <w:qFormat/>
    <w:uiPriority w:val="0"/>
    <w:rPr>
      <w:rFonts w:hint="default"/>
      <w:color w:val="006699"/>
      <w:sz w:val="20"/>
    </w:rPr>
  </w:style>
  <w:style w:type="character" w:customStyle="1" w:styleId="1521">
    <w:name w:val="s4 Char1"/>
    <w:autoRedefine/>
    <w:qFormat/>
    <w:uiPriority w:val="0"/>
    <w:rPr>
      <w:rFonts w:ascii="宋体" w:eastAsia="宋体"/>
      <w:sz w:val="28"/>
      <w:lang w:val="en-US" w:eastAsia="zh-CN"/>
    </w:rPr>
  </w:style>
  <w:style w:type="character" w:customStyle="1" w:styleId="1522">
    <w:name w:val="even Char Char"/>
    <w:autoRedefine/>
    <w:qFormat/>
    <w:uiPriority w:val="0"/>
    <w:rPr>
      <w:rFonts w:eastAsia="宋体"/>
      <w:kern w:val="2"/>
      <w:sz w:val="18"/>
      <w:szCs w:val="18"/>
      <w:lang w:val="en-US" w:eastAsia="zh-CN" w:bidi="ar-SA"/>
    </w:rPr>
  </w:style>
  <w:style w:type="character" w:customStyle="1" w:styleId="1523">
    <w:name w:val="table1 Char"/>
    <w:link w:val="905"/>
    <w:autoRedefine/>
    <w:qFormat/>
    <w:uiPriority w:val="0"/>
    <w:rPr>
      <w:rFonts w:ascii="Times New Roman" w:hAnsi="Times New Roman" w:cs="Times New Roman"/>
      <w:kern w:val="2"/>
    </w:rPr>
  </w:style>
  <w:style w:type="character" w:customStyle="1" w:styleId="1524">
    <w:name w:val="正正文 Char Char"/>
    <w:link w:val="1122"/>
    <w:autoRedefine/>
    <w:qFormat/>
    <w:uiPriority w:val="0"/>
    <w:rPr>
      <w:rFonts w:ascii="Times New Roman" w:hAnsi="Times New Roman" w:eastAsia="仿宋_GB2312" w:cs="Times New Roman"/>
      <w:sz w:val="24"/>
      <w:szCs w:val="24"/>
    </w:rPr>
  </w:style>
  <w:style w:type="character" w:customStyle="1" w:styleId="1525">
    <w:name w:val="Char Char312"/>
    <w:autoRedefine/>
    <w:qFormat/>
    <w:uiPriority w:val="0"/>
    <w:rPr>
      <w:b/>
      <w:sz w:val="28"/>
      <w:szCs w:val="28"/>
      <w:lang w:val="en-GB"/>
    </w:rPr>
  </w:style>
  <w:style w:type="character" w:customStyle="1" w:styleId="1526">
    <w:name w:val="h31"/>
    <w:autoRedefine/>
    <w:qFormat/>
    <w:uiPriority w:val="0"/>
    <w:rPr>
      <w:sz w:val="19"/>
      <w:szCs w:val="19"/>
    </w:rPr>
  </w:style>
  <w:style w:type="character" w:customStyle="1" w:styleId="1527">
    <w:name w:val="first-child7"/>
    <w:autoRedefine/>
    <w:qFormat/>
    <w:uiPriority w:val="0"/>
  </w:style>
  <w:style w:type="character" w:customStyle="1" w:styleId="1528">
    <w:name w:val="first-child8"/>
    <w:autoRedefine/>
    <w:qFormat/>
    <w:uiPriority w:val="0"/>
  </w:style>
  <w:style w:type="character" w:customStyle="1" w:styleId="1529">
    <w:name w:val="Char Char24"/>
    <w:autoRedefine/>
    <w:qFormat/>
    <w:uiPriority w:val="0"/>
    <w:rPr>
      <w:kern w:val="2"/>
      <w:sz w:val="18"/>
      <w:szCs w:val="18"/>
    </w:rPr>
  </w:style>
  <w:style w:type="character" w:customStyle="1" w:styleId="1530">
    <w:name w:val="Normal Char Char Char"/>
    <w:autoRedefine/>
    <w:qFormat/>
    <w:uiPriority w:val="0"/>
    <w:rPr>
      <w:rFonts w:ascii="宋体" w:eastAsia="宋体"/>
      <w:sz w:val="24"/>
      <w:lang w:val="en-US" w:eastAsia="zh-CN" w:bidi="ar-SA"/>
    </w:rPr>
  </w:style>
  <w:style w:type="character" w:customStyle="1" w:styleId="1531">
    <w:name w:val="aa Char Char"/>
    <w:autoRedefine/>
    <w:qFormat/>
    <w:uiPriority w:val="0"/>
    <w:rPr>
      <w:rFonts w:ascii="Arial" w:hAnsi="Arial" w:eastAsia="宋体"/>
      <w:kern w:val="2"/>
      <w:sz w:val="28"/>
      <w:szCs w:val="21"/>
      <w:lang w:val="en-US" w:eastAsia="zh-CN" w:bidi="ar-SA"/>
    </w:rPr>
  </w:style>
  <w:style w:type="character" w:customStyle="1" w:styleId="1532">
    <w:name w:val="LX标题2 Char"/>
    <w:autoRedefine/>
    <w:qFormat/>
    <w:uiPriority w:val="0"/>
    <w:rPr>
      <w:rFonts w:eastAsia="宋体"/>
      <w:spacing w:val="5"/>
      <w:kern w:val="44"/>
      <w:sz w:val="30"/>
      <w:lang w:bidi="ar-SA"/>
    </w:rPr>
  </w:style>
  <w:style w:type="character" w:customStyle="1" w:styleId="1533">
    <w:name w:val="datetime22"/>
    <w:basedOn w:val="86"/>
    <w:autoRedefine/>
    <w:qFormat/>
    <w:uiPriority w:val="0"/>
  </w:style>
  <w:style w:type="character" w:customStyle="1" w:styleId="1534">
    <w:name w:val="duanluo14px18021"/>
    <w:autoRedefine/>
    <w:qFormat/>
    <w:uiPriority w:val="0"/>
    <w:rPr>
      <w:sz w:val="21"/>
      <w:szCs w:val="21"/>
    </w:rPr>
  </w:style>
  <w:style w:type="character" w:customStyle="1" w:styleId="1535">
    <w:name w:val="Char Char"/>
    <w:autoRedefine/>
    <w:qFormat/>
    <w:uiPriority w:val="0"/>
    <w:rPr>
      <w:rFonts w:ascii="Arial" w:hAnsi="Arial" w:eastAsia="黑体"/>
      <w:b/>
      <w:bCs/>
      <w:kern w:val="2"/>
      <w:sz w:val="32"/>
      <w:szCs w:val="32"/>
      <w:lang w:val="en-US" w:eastAsia="zh-CN" w:bidi="ar-SA"/>
    </w:rPr>
  </w:style>
  <w:style w:type="character" w:customStyle="1" w:styleId="1536">
    <w:name w:val="LX标题3 Char Char"/>
    <w:link w:val="970"/>
    <w:autoRedefine/>
    <w:qFormat/>
    <w:uiPriority w:val="0"/>
    <w:rPr>
      <w:rFonts w:ascii="Times New Roman" w:hAnsi="Times New Roman" w:cs="Times New Roman"/>
      <w:b/>
      <w:spacing w:val="5"/>
      <w:sz w:val="28"/>
    </w:rPr>
  </w:style>
  <w:style w:type="character" w:customStyle="1" w:styleId="1537">
    <w:name w:val="layui-layer-tabnow"/>
    <w:autoRedefine/>
    <w:qFormat/>
    <w:uiPriority w:val="0"/>
    <w:rPr>
      <w:bdr w:val="single" w:color="CCCCCC" w:sz="6" w:space="0"/>
      <w:shd w:val="clear" w:color="auto" w:fill="FFFFFF"/>
    </w:rPr>
  </w:style>
  <w:style w:type="character" w:customStyle="1" w:styleId="1538">
    <w:name w:val="datetime35"/>
    <w:basedOn w:val="86"/>
    <w:autoRedefine/>
    <w:qFormat/>
    <w:uiPriority w:val="0"/>
  </w:style>
  <w:style w:type="character" w:customStyle="1" w:styleId="1539">
    <w:name w:val="Char Char2811"/>
    <w:autoRedefine/>
    <w:qFormat/>
    <w:uiPriority w:val="0"/>
    <w:rPr>
      <w:rFonts w:ascii="Arial" w:hAnsi="Arial"/>
      <w:lang w:val="fr-FR"/>
    </w:rPr>
  </w:style>
  <w:style w:type="character" w:customStyle="1" w:styleId="1540">
    <w:name w:val="5-标 Char Char"/>
    <w:link w:val="1133"/>
    <w:autoRedefine/>
    <w:qFormat/>
    <w:uiPriority w:val="0"/>
    <w:rPr>
      <w:rFonts w:ascii="Times New Roman" w:hAnsi="Times New Roman" w:cs="Times New Roman"/>
      <w:b/>
      <w:sz w:val="24"/>
      <w:szCs w:val="24"/>
    </w:rPr>
  </w:style>
  <w:style w:type="character" w:customStyle="1" w:styleId="1541">
    <w:name w:val="Char Char2511"/>
    <w:autoRedefine/>
    <w:qFormat/>
    <w:uiPriority w:val="0"/>
    <w:rPr>
      <w:kern w:val="2"/>
      <w:sz w:val="18"/>
      <w:szCs w:val="18"/>
    </w:rPr>
  </w:style>
  <w:style w:type="character" w:customStyle="1" w:styleId="1542">
    <w:name w:val="1正文段落 Char Char"/>
    <w:autoRedefine/>
    <w:qFormat/>
    <w:uiPriority w:val="0"/>
    <w:rPr>
      <w:rFonts w:eastAsia="宋体"/>
      <w:snapToGrid w:val="0"/>
      <w:sz w:val="24"/>
      <w:szCs w:val="24"/>
      <w:lang w:val="en-US" w:eastAsia="zh-CN" w:bidi="ar-SA"/>
    </w:rPr>
  </w:style>
  <w:style w:type="character" w:customStyle="1" w:styleId="1543">
    <w:name w:val="font51"/>
    <w:autoRedefine/>
    <w:qFormat/>
    <w:uiPriority w:val="0"/>
    <w:rPr>
      <w:rFonts w:hint="default" w:ascii="Times New Roman" w:hAnsi="Times New Roman" w:cs="Times New Roman"/>
      <w:color w:val="000000"/>
      <w:sz w:val="20"/>
      <w:szCs w:val="20"/>
      <w:u w:val="none"/>
    </w:rPr>
  </w:style>
  <w:style w:type="character" w:customStyle="1" w:styleId="1544">
    <w:name w:val="1正文段落 Char1"/>
    <w:link w:val="1079"/>
    <w:autoRedefine/>
    <w:qFormat/>
    <w:uiPriority w:val="0"/>
    <w:rPr>
      <w:rFonts w:ascii="Times New Roman" w:hAnsi="Times New Roman" w:cs="Times New Roman"/>
      <w:snapToGrid w:val="0"/>
      <w:sz w:val="24"/>
      <w:szCs w:val="24"/>
    </w:rPr>
  </w:style>
  <w:style w:type="character" w:customStyle="1" w:styleId="1545">
    <w:name w:val="g Char"/>
    <w:autoRedefine/>
    <w:qFormat/>
    <w:uiPriority w:val="0"/>
    <w:rPr>
      <w:rFonts w:eastAsia="宋体"/>
      <w:kern w:val="2"/>
      <w:sz w:val="18"/>
      <w:lang w:val="en-US" w:eastAsia="zh-CN" w:bidi="ar-SA"/>
    </w:rPr>
  </w:style>
  <w:style w:type="character" w:customStyle="1" w:styleId="1546">
    <w:name w:val="报告正文文字 Char Char"/>
    <w:link w:val="1035"/>
    <w:autoRedefine/>
    <w:qFormat/>
    <w:uiPriority w:val="0"/>
    <w:rPr>
      <w:rFonts w:ascii="宋体" w:hAnsi="宋体" w:cs="Times New Roman"/>
      <w:color w:val="000000"/>
      <w:spacing w:val="4"/>
      <w:sz w:val="24"/>
    </w:rPr>
  </w:style>
  <w:style w:type="character" w:customStyle="1" w:styleId="1547">
    <w:name w:val="Char Char322"/>
    <w:autoRedefine/>
    <w:qFormat/>
    <w:uiPriority w:val="0"/>
    <w:rPr>
      <w:rFonts w:ascii="Arial" w:hAnsi="Arial"/>
      <w:b/>
      <w:sz w:val="30"/>
      <w:lang w:val="en-GB"/>
    </w:rPr>
  </w:style>
  <w:style w:type="character" w:customStyle="1" w:styleId="1548">
    <w:name w:val="标题 1 字符1"/>
    <w:autoRedefine/>
    <w:qFormat/>
    <w:uiPriority w:val="9"/>
    <w:rPr>
      <w:rFonts w:ascii="Times New Roman" w:hAnsi="Times New Roman"/>
      <w:b/>
      <w:bCs/>
      <w:kern w:val="44"/>
      <w:sz w:val="32"/>
      <w:szCs w:val="44"/>
    </w:rPr>
  </w:style>
  <w:style w:type="character" w:customStyle="1" w:styleId="1549">
    <w:name w:val="3zw1"/>
    <w:autoRedefine/>
    <w:qFormat/>
    <w:uiPriority w:val="0"/>
    <w:rPr>
      <w:color w:val="000000"/>
      <w:sz w:val="21"/>
      <w:szCs w:val="21"/>
    </w:rPr>
  </w:style>
  <w:style w:type="character" w:customStyle="1" w:styleId="1550">
    <w:name w:val="14t1"/>
    <w:autoRedefine/>
    <w:qFormat/>
    <w:uiPriority w:val="0"/>
  </w:style>
  <w:style w:type="character" w:customStyle="1" w:styleId="1551">
    <w:name w:val="正文文本缩进 3 Char Char"/>
    <w:autoRedefine/>
    <w:qFormat/>
    <w:uiPriority w:val="0"/>
    <w:rPr>
      <w:rFonts w:eastAsia="宋体" w:cs="宋体"/>
      <w:kern w:val="2"/>
      <w:sz w:val="24"/>
      <w:szCs w:val="24"/>
      <w:lang w:val="en-US" w:eastAsia="zh-CN" w:bidi="ar-SA"/>
    </w:rPr>
  </w:style>
  <w:style w:type="character" w:customStyle="1" w:styleId="1552">
    <w:name w:val="Char Char34"/>
    <w:autoRedefine/>
    <w:qFormat/>
    <w:uiPriority w:val="0"/>
    <w:rPr>
      <w:rFonts w:ascii="Arial" w:hAnsi="Arial"/>
      <w:b/>
      <w:sz w:val="30"/>
      <w:lang w:val="en-GB"/>
    </w:rPr>
  </w:style>
  <w:style w:type="character" w:customStyle="1" w:styleId="1553">
    <w:name w:val="Char Char5"/>
    <w:autoRedefine/>
    <w:qFormat/>
    <w:uiPriority w:val="0"/>
    <w:rPr>
      <w:rFonts w:ascii="宋体" w:hAnsi="Courier New"/>
      <w:kern w:val="2"/>
      <w:sz w:val="21"/>
    </w:rPr>
  </w:style>
  <w:style w:type="character" w:customStyle="1" w:styleId="1554">
    <w:name w:val="more6"/>
    <w:autoRedefine/>
    <w:qFormat/>
    <w:uiPriority w:val="0"/>
  </w:style>
  <w:style w:type="character" w:customStyle="1" w:styleId="1555">
    <w:name w:val="修改表格标题 Char Char Char"/>
    <w:autoRedefine/>
    <w:qFormat/>
    <w:uiPriority w:val="0"/>
    <w:rPr>
      <w:rFonts w:eastAsia="宋体"/>
      <w:b/>
      <w:bCs/>
      <w:kern w:val="2"/>
      <w:sz w:val="24"/>
      <w:szCs w:val="24"/>
      <w:lang w:val="en-US" w:eastAsia="zh-CN" w:bidi="ar-SA"/>
    </w:rPr>
  </w:style>
  <w:style w:type="character" w:customStyle="1" w:styleId="1556">
    <w:name w:val="bsb三级标题 Char"/>
    <w:link w:val="1106"/>
    <w:autoRedefine/>
    <w:qFormat/>
    <w:uiPriority w:val="0"/>
    <w:rPr>
      <w:rFonts w:ascii="Times New Roman" w:hAnsi="Times New Roman" w:eastAsia="黑体" w:cs="Times New Roman"/>
      <w:bCs/>
      <w:kern w:val="2"/>
      <w:sz w:val="28"/>
      <w:szCs w:val="28"/>
    </w:rPr>
  </w:style>
  <w:style w:type="character" w:customStyle="1" w:styleId="1557">
    <w:name w:val="文章正文 Char Char"/>
    <w:link w:val="1296"/>
    <w:autoRedefine/>
    <w:qFormat/>
    <w:uiPriority w:val="0"/>
    <w:rPr>
      <w:rFonts w:ascii="Times New Roman" w:hAnsi="Times New Roman" w:cs="Times New Roman"/>
      <w:sz w:val="24"/>
    </w:rPr>
  </w:style>
  <w:style w:type="character" w:customStyle="1" w:styleId="1558">
    <w:name w:val="normal1"/>
    <w:autoRedefine/>
    <w:qFormat/>
    <w:uiPriority w:val="0"/>
    <w:rPr>
      <w:rFonts w:hint="eastAsia" w:ascii="宋体" w:hAnsi="宋体" w:eastAsia="宋体" w:cs="Tahoma"/>
      <w:sz w:val="18"/>
      <w:szCs w:val="18"/>
    </w:rPr>
  </w:style>
  <w:style w:type="character" w:customStyle="1" w:styleId="1559">
    <w:name w:val="datetime41"/>
    <w:basedOn w:val="86"/>
    <w:autoRedefine/>
    <w:qFormat/>
    <w:uiPriority w:val="0"/>
  </w:style>
  <w:style w:type="character" w:customStyle="1" w:styleId="1560">
    <w:name w:val="bsb四级标题 Char"/>
    <w:link w:val="1118"/>
    <w:autoRedefine/>
    <w:qFormat/>
    <w:uiPriority w:val="0"/>
    <w:rPr>
      <w:rFonts w:ascii="Times New Roman" w:hAnsi="Times New Roman" w:cs="Times New Roman"/>
      <w:b/>
      <w:kern w:val="2"/>
      <w:sz w:val="24"/>
    </w:rPr>
  </w:style>
  <w:style w:type="character" w:customStyle="1" w:styleId="1561">
    <w:name w:val="active1"/>
    <w:autoRedefine/>
    <w:qFormat/>
    <w:uiPriority w:val="0"/>
    <w:rPr>
      <w:bdr w:val="single" w:color="B6D3F1" w:sz="6" w:space="0"/>
      <w:shd w:val="clear" w:color="auto" w:fill="FFFFFF"/>
    </w:rPr>
  </w:style>
  <w:style w:type="character" w:customStyle="1" w:styleId="1562">
    <w:name w:val="【正文】 Char Char Char"/>
    <w:autoRedefine/>
    <w:qFormat/>
    <w:uiPriority w:val="0"/>
    <w:rPr>
      <w:rFonts w:eastAsia="宋体" w:cs="宋体"/>
      <w:spacing w:val="20"/>
      <w:kern w:val="2"/>
      <w:sz w:val="24"/>
      <w:lang w:val="en-US" w:eastAsia="zh-CN" w:bidi="ar-SA"/>
    </w:rPr>
  </w:style>
  <w:style w:type="character" w:customStyle="1" w:styleId="1563">
    <w:name w:val="count"/>
    <w:autoRedefine/>
    <w:qFormat/>
    <w:uiPriority w:val="0"/>
    <w:rPr>
      <w:color w:val="FF6600"/>
    </w:rPr>
  </w:style>
  <w:style w:type="character" w:customStyle="1" w:styleId="1564">
    <w:name w:val="first-child6"/>
    <w:autoRedefine/>
    <w:qFormat/>
    <w:uiPriority w:val="0"/>
    <w:rPr>
      <w:bdr w:val="single" w:color="E4E3E3" w:sz="6" w:space="0"/>
    </w:rPr>
  </w:style>
  <w:style w:type="character" w:customStyle="1" w:styleId="1565">
    <w:name w:val="无间隔 Char Char"/>
    <w:autoRedefine/>
    <w:qFormat/>
    <w:uiPriority w:val="0"/>
    <w:rPr>
      <w:rFonts w:ascii="Calibri" w:hAnsi="Calibri"/>
      <w:sz w:val="22"/>
      <w:szCs w:val="22"/>
      <w:lang w:val="en-US" w:eastAsia="zh-CN" w:bidi="ar-SA"/>
    </w:rPr>
  </w:style>
  <w:style w:type="character" w:customStyle="1" w:styleId="1566">
    <w:name w:val="first-child9"/>
    <w:autoRedefine/>
    <w:qFormat/>
    <w:uiPriority w:val="0"/>
    <w:rPr>
      <w:b/>
      <w:color w:val="DE5833"/>
      <w:sz w:val="21"/>
      <w:szCs w:val="21"/>
    </w:rPr>
  </w:style>
  <w:style w:type="character" w:customStyle="1" w:styleId="1567">
    <w:name w:val="Char Char352"/>
    <w:autoRedefine/>
    <w:qFormat/>
    <w:uiPriority w:val="0"/>
    <w:rPr>
      <w:rFonts w:ascii="Arial" w:hAnsi="Arial" w:eastAsia="黑体"/>
      <w:b/>
      <w:bCs/>
      <w:kern w:val="2"/>
      <w:sz w:val="28"/>
      <w:szCs w:val="28"/>
      <w:lang w:val="en-US" w:eastAsia="zh-CN" w:bidi="ar-SA"/>
    </w:rPr>
  </w:style>
  <w:style w:type="character" w:customStyle="1" w:styleId="1568">
    <w:name w:val="lan"/>
    <w:autoRedefine/>
    <w:qFormat/>
    <w:uiPriority w:val="0"/>
    <w:rPr>
      <w:strike/>
    </w:rPr>
  </w:style>
  <w:style w:type="character" w:customStyle="1" w:styleId="1569">
    <w:name w:val="Char Char362"/>
    <w:autoRedefine/>
    <w:qFormat/>
    <w:uiPriority w:val="0"/>
    <w:rPr>
      <w:rFonts w:eastAsia="宋体"/>
      <w:kern w:val="2"/>
      <w:sz w:val="18"/>
      <w:szCs w:val="18"/>
      <w:lang w:val="en-US" w:eastAsia="zh-CN" w:bidi="ar-SA"/>
    </w:rPr>
  </w:style>
  <w:style w:type="character" w:customStyle="1" w:styleId="1570">
    <w:name w:val="Char Char30"/>
    <w:autoRedefine/>
    <w:qFormat/>
    <w:uiPriority w:val="0"/>
    <w:rPr>
      <w:rFonts w:ascii="Arial" w:hAnsi="Arial"/>
      <w:sz w:val="24"/>
      <w:lang w:val="fr-FR"/>
    </w:rPr>
  </w:style>
  <w:style w:type="character" w:customStyle="1" w:styleId="1571">
    <w:name w:val="webkit-html-tag"/>
    <w:autoRedefine/>
    <w:qFormat/>
    <w:uiPriority w:val="0"/>
  </w:style>
  <w:style w:type="character" w:customStyle="1" w:styleId="1572">
    <w:name w:val="正文文本最新 Char Char Char Char1 Char Char Char Char Char Char1 Char"/>
    <w:link w:val="1017"/>
    <w:autoRedefine/>
    <w:qFormat/>
    <w:uiPriority w:val="0"/>
    <w:rPr>
      <w:rFonts w:ascii="Times New Roman" w:hAnsi="Times New Roman" w:cs="Times New Roman"/>
      <w:bCs/>
      <w:sz w:val="28"/>
      <w:szCs w:val="24"/>
    </w:rPr>
  </w:style>
  <w:style w:type="character" w:customStyle="1" w:styleId="1573">
    <w:name w:val="datetime24"/>
    <w:basedOn w:val="86"/>
    <w:autoRedefine/>
    <w:qFormat/>
    <w:uiPriority w:val="0"/>
  </w:style>
  <w:style w:type="character" w:customStyle="1" w:styleId="1574">
    <w:name w:val="Char Char381"/>
    <w:autoRedefine/>
    <w:qFormat/>
    <w:uiPriority w:val="0"/>
    <w:rPr>
      <w:rFonts w:eastAsia="宋体"/>
      <w:b/>
      <w:bCs/>
      <w:kern w:val="44"/>
      <w:sz w:val="44"/>
      <w:szCs w:val="44"/>
      <w:lang w:val="en-US" w:eastAsia="zh-CN" w:bidi="ar-SA"/>
    </w:rPr>
  </w:style>
  <w:style w:type="character" w:customStyle="1" w:styleId="1575">
    <w:name w:val="font011"/>
    <w:autoRedefine/>
    <w:qFormat/>
    <w:uiPriority w:val="0"/>
    <w:rPr>
      <w:rFonts w:hint="eastAsia" w:ascii="宋体" w:hAnsi="宋体" w:eastAsia="宋体"/>
      <w:color w:val="6F6F6F"/>
      <w:sz w:val="18"/>
      <w:szCs w:val="18"/>
    </w:rPr>
  </w:style>
  <w:style w:type="character" w:customStyle="1" w:styleId="1576">
    <w:name w:val="主要文字 Char Char"/>
    <w:link w:val="844"/>
    <w:autoRedefine/>
    <w:qFormat/>
    <w:uiPriority w:val="0"/>
    <w:rPr>
      <w:rFonts w:ascii="Times New Roman" w:hAnsi="宋体" w:cs="Times New Roman"/>
      <w:szCs w:val="21"/>
    </w:rPr>
  </w:style>
  <w:style w:type="character" w:customStyle="1" w:styleId="1577">
    <w:name w:val="Ay三级标题 Char"/>
    <w:link w:val="996"/>
    <w:autoRedefine/>
    <w:qFormat/>
    <w:uiPriority w:val="0"/>
    <w:rPr>
      <w:rFonts w:ascii="Times New Roman" w:hAnsi="Times New Roman" w:eastAsia="黑体" w:cs="Times New Roman"/>
      <w:b/>
      <w:kern w:val="2"/>
      <w:sz w:val="24"/>
      <w:szCs w:val="24"/>
    </w:rPr>
  </w:style>
  <w:style w:type="character" w:customStyle="1" w:styleId="1578">
    <w:name w:val="项标题(1) Char Char"/>
    <w:autoRedefine/>
    <w:qFormat/>
    <w:uiPriority w:val="0"/>
    <w:rPr>
      <w:sz w:val="24"/>
    </w:rPr>
  </w:style>
  <w:style w:type="character" w:customStyle="1" w:styleId="1579">
    <w:name w:val="datetime38"/>
    <w:basedOn w:val="86"/>
    <w:autoRedefine/>
    <w:qFormat/>
    <w:uiPriority w:val="0"/>
  </w:style>
  <w:style w:type="character" w:customStyle="1" w:styleId="1580">
    <w:name w:val="hover27"/>
    <w:basedOn w:val="86"/>
    <w:autoRedefine/>
    <w:qFormat/>
    <w:uiPriority w:val="0"/>
  </w:style>
  <w:style w:type="character" w:customStyle="1" w:styleId="1581">
    <w:name w:val="4正文 Char Char"/>
    <w:link w:val="1273"/>
    <w:autoRedefine/>
    <w:qFormat/>
    <w:uiPriority w:val="0"/>
    <w:rPr>
      <w:rFonts w:ascii="Times New Roman" w:hAnsi="Times New Roman" w:cs="Times New Roman"/>
      <w:sz w:val="24"/>
    </w:rPr>
  </w:style>
  <w:style w:type="character" w:customStyle="1" w:styleId="1582">
    <w:name w:val="Char Char291"/>
    <w:autoRedefine/>
    <w:qFormat/>
    <w:uiPriority w:val="0"/>
    <w:rPr>
      <w:i/>
      <w:sz w:val="22"/>
      <w:lang w:val="en-US"/>
    </w:rPr>
  </w:style>
  <w:style w:type="character" w:customStyle="1" w:styleId="1583">
    <w:name w:val="first-child4"/>
    <w:autoRedefine/>
    <w:qFormat/>
    <w:uiPriority w:val="0"/>
  </w:style>
  <w:style w:type="character" w:customStyle="1" w:styleId="1584">
    <w:name w:val="fu正文 Char Char Char"/>
    <w:autoRedefine/>
    <w:qFormat/>
    <w:uiPriority w:val="0"/>
    <w:rPr>
      <w:rFonts w:ascii="宋体" w:hAnsi="宋体" w:eastAsia="宋体"/>
      <w:color w:val="000000"/>
      <w:sz w:val="24"/>
      <w:szCs w:val="24"/>
      <w:lang w:val="en-US" w:eastAsia="en-US" w:bidi="en-US"/>
    </w:rPr>
  </w:style>
  <w:style w:type="character" w:customStyle="1" w:styleId="1585">
    <w:name w:val="下标样式"/>
    <w:autoRedefine/>
    <w:qFormat/>
    <w:uiPriority w:val="0"/>
    <w:rPr>
      <w:rFonts w:eastAsia="宋体"/>
      <w:b/>
      <w:sz w:val="21"/>
      <w:szCs w:val="21"/>
      <w:vertAlign w:val="subscript"/>
    </w:rPr>
  </w:style>
  <w:style w:type="character" w:customStyle="1" w:styleId="1586">
    <w:name w:val="Char Char81"/>
    <w:autoRedefine/>
    <w:qFormat/>
    <w:uiPriority w:val="0"/>
    <w:rPr>
      <w:rFonts w:eastAsia="宋体"/>
      <w:kern w:val="2"/>
      <w:sz w:val="18"/>
      <w:szCs w:val="18"/>
      <w:lang w:val="en-US" w:eastAsia="zh-CN" w:bidi="ar-SA"/>
    </w:rPr>
  </w:style>
  <w:style w:type="character" w:customStyle="1" w:styleId="1587">
    <w:name w:val="6表(图)头 Char"/>
    <w:link w:val="918"/>
    <w:autoRedefine/>
    <w:qFormat/>
    <w:uiPriority w:val="0"/>
    <w:rPr>
      <w:rFonts w:ascii="Times New Roman" w:hAnsi="Times New Roman" w:eastAsia="黑体" w:cs="Times New Roman"/>
      <w:b/>
      <w:bCs/>
      <w:sz w:val="28"/>
    </w:rPr>
  </w:style>
  <w:style w:type="character" w:customStyle="1" w:styleId="1588">
    <w:name w:val="ca-13"/>
    <w:autoRedefine/>
    <w:qFormat/>
    <w:uiPriority w:val="0"/>
  </w:style>
  <w:style w:type="character" w:customStyle="1" w:styleId="1589">
    <w:name w:val="font2"/>
    <w:autoRedefine/>
    <w:qFormat/>
    <w:uiPriority w:val="0"/>
  </w:style>
  <w:style w:type="character" w:customStyle="1" w:styleId="1590">
    <w:name w:val="z31"/>
    <w:autoRedefine/>
    <w:qFormat/>
    <w:uiPriority w:val="0"/>
    <w:rPr>
      <w:rFonts w:hint="default" w:ascii="ˎ̥" w:hAnsi="ˎ̥"/>
      <w:color w:val="000000"/>
      <w:sz w:val="21"/>
      <w:szCs w:val="21"/>
      <w:u w:val="none"/>
    </w:rPr>
  </w:style>
  <w:style w:type="character" w:customStyle="1" w:styleId="1591">
    <w:name w:val="TX-表头 字符"/>
    <w:link w:val="874"/>
    <w:autoRedefine/>
    <w:qFormat/>
    <w:uiPriority w:val="0"/>
    <w:rPr>
      <w:rFonts w:ascii="Times New Roman" w:hAnsi="Times New Roman" w:eastAsia="仿宋" w:cs="Times New Roman"/>
      <w:b/>
      <w:kern w:val="2"/>
      <w:sz w:val="24"/>
      <w:szCs w:val="22"/>
    </w:rPr>
  </w:style>
  <w:style w:type="character" w:customStyle="1" w:styleId="1592">
    <w:name w:val="修改表格标题 Char Char"/>
    <w:autoRedefine/>
    <w:qFormat/>
    <w:uiPriority w:val="0"/>
    <w:rPr>
      <w:rFonts w:eastAsia="宋体"/>
      <w:b/>
      <w:bCs/>
      <w:kern w:val="2"/>
      <w:sz w:val="24"/>
      <w:szCs w:val="24"/>
      <w:lang w:val="en-US" w:eastAsia="zh-CN" w:bidi="ar-SA"/>
    </w:rPr>
  </w:style>
  <w:style w:type="character" w:customStyle="1" w:styleId="1593">
    <w:name w:val="项目3 Char"/>
    <w:link w:val="1270"/>
    <w:autoRedefine/>
    <w:qFormat/>
    <w:uiPriority w:val="0"/>
    <w:rPr>
      <w:rFonts w:ascii="宋体" w:hAnsi="宋体" w:cs="Times New Roman"/>
      <w:b/>
      <w:bCs/>
      <w:sz w:val="28"/>
      <w:szCs w:val="28"/>
    </w:rPr>
  </w:style>
  <w:style w:type="character" w:customStyle="1" w:styleId="1594">
    <w:name w:val="题注 Char"/>
    <w:link w:val="26"/>
    <w:autoRedefine/>
    <w:qFormat/>
    <w:uiPriority w:val="0"/>
    <w:rPr>
      <w:rFonts w:ascii="Arial" w:hAnsi="Arial" w:eastAsia="黑体" w:cs="Times New Roman"/>
    </w:rPr>
  </w:style>
  <w:style w:type="character" w:customStyle="1" w:styleId="1595">
    <w:name w:val="hover83"/>
    <w:autoRedefine/>
    <w:qFormat/>
    <w:uiPriority w:val="0"/>
    <w:rPr>
      <w:color w:val="FFFFFF"/>
      <w:shd w:val="clear" w:color="auto" w:fill="016BB9"/>
    </w:rPr>
  </w:style>
  <w:style w:type="character" w:customStyle="1" w:styleId="1596">
    <w:name w:val="特点标题 Char"/>
    <w:autoRedefine/>
    <w:qFormat/>
    <w:uiPriority w:val="0"/>
    <w:rPr>
      <w:rFonts w:eastAsia="宋体"/>
      <w:kern w:val="2"/>
      <w:sz w:val="36"/>
      <w:lang w:val="en-US" w:eastAsia="zh-CN" w:bidi="ar-SA"/>
    </w:rPr>
  </w:style>
  <w:style w:type="character" w:customStyle="1" w:styleId="1597">
    <w:name w:val="font081"/>
    <w:autoRedefine/>
    <w:qFormat/>
    <w:uiPriority w:val="0"/>
    <w:rPr>
      <w:rFonts w:hint="eastAsia" w:ascii="宋体" w:hAnsi="宋体" w:eastAsia="宋体"/>
      <w:color w:val="747474"/>
      <w:sz w:val="18"/>
      <w:szCs w:val="18"/>
    </w:rPr>
  </w:style>
  <w:style w:type="character" w:customStyle="1" w:styleId="1598">
    <w:name w:val="001"/>
    <w:autoRedefine/>
    <w:qFormat/>
    <w:uiPriority w:val="0"/>
    <w:rPr>
      <w:rFonts w:eastAsia="宋体"/>
      <w:sz w:val="24"/>
    </w:rPr>
  </w:style>
  <w:style w:type="character" w:customStyle="1" w:styleId="1599">
    <w:name w:val="Char Char23"/>
    <w:autoRedefine/>
    <w:qFormat/>
    <w:uiPriority w:val="0"/>
    <w:rPr>
      <w:rFonts w:eastAsia="宋体" w:cs="Courier New"/>
      <w:b/>
      <w:bCs/>
      <w:kern w:val="2"/>
      <w:sz w:val="28"/>
      <w:szCs w:val="32"/>
      <w:lang w:val="en-US" w:eastAsia="zh-CN" w:bidi="ar-SA"/>
    </w:rPr>
  </w:style>
  <w:style w:type="character" w:customStyle="1" w:styleId="1600">
    <w:name w:val="first-child3"/>
    <w:autoRedefine/>
    <w:qFormat/>
    <w:uiPriority w:val="0"/>
  </w:style>
  <w:style w:type="character" w:customStyle="1" w:styleId="1601">
    <w:name w:val="Char Char71"/>
    <w:autoRedefine/>
    <w:qFormat/>
    <w:uiPriority w:val="0"/>
    <w:rPr>
      <w:rFonts w:eastAsia="宋体"/>
      <w:kern w:val="2"/>
      <w:sz w:val="18"/>
      <w:szCs w:val="18"/>
      <w:lang w:val="en-US" w:eastAsia="zh-CN" w:bidi="ar-SA"/>
    </w:rPr>
  </w:style>
  <w:style w:type="character" w:customStyle="1" w:styleId="1602">
    <w:name w:val="bds_more"/>
    <w:autoRedefine/>
    <w:qFormat/>
    <w:uiPriority w:val="0"/>
  </w:style>
  <w:style w:type="character" w:customStyle="1" w:styleId="1603">
    <w:name w:val="正文五号 Char"/>
    <w:link w:val="1285"/>
    <w:autoRedefine/>
    <w:qFormat/>
    <w:uiPriority w:val="0"/>
    <w:rPr>
      <w:rFonts w:ascii="Times New Roman" w:hAnsi="Times New Roman" w:cs="Times New Roman"/>
      <w:sz w:val="21"/>
      <w:szCs w:val="24"/>
    </w:rPr>
  </w:style>
  <w:style w:type="character" w:customStyle="1" w:styleId="1604">
    <w:name w:val="Char Char371"/>
    <w:autoRedefine/>
    <w:qFormat/>
    <w:uiPriority w:val="0"/>
    <w:rPr>
      <w:rFonts w:ascii="Arial" w:hAnsi="Arial" w:eastAsia="黑体"/>
      <w:b/>
      <w:bCs/>
      <w:kern w:val="2"/>
      <w:sz w:val="32"/>
      <w:szCs w:val="32"/>
      <w:lang w:val="en-US" w:eastAsia="zh-CN" w:bidi="ar-SA"/>
    </w:rPr>
  </w:style>
  <w:style w:type="character" w:customStyle="1" w:styleId="1605">
    <w:name w:val="123YJ Char Char1"/>
    <w:autoRedefine/>
    <w:qFormat/>
    <w:uiPriority w:val="0"/>
    <w:rPr>
      <w:rFonts w:eastAsia="宋体"/>
      <w:kern w:val="2"/>
      <w:sz w:val="18"/>
      <w:lang w:val="en-US" w:eastAsia="zh-CN" w:bidi="ar-SA"/>
    </w:rPr>
  </w:style>
  <w:style w:type="character" w:customStyle="1" w:styleId="1606">
    <w:name w:val="Char Char8"/>
    <w:autoRedefine/>
    <w:qFormat/>
    <w:uiPriority w:val="0"/>
    <w:rPr>
      <w:rFonts w:eastAsia="宋体"/>
      <w:kern w:val="2"/>
      <w:sz w:val="18"/>
      <w:szCs w:val="18"/>
      <w:lang w:val="en-US" w:eastAsia="zh-CN" w:bidi="ar-SA"/>
    </w:rPr>
  </w:style>
  <w:style w:type="character" w:customStyle="1" w:styleId="1607">
    <w:name w:val="LX标题3 Char"/>
    <w:autoRedefine/>
    <w:qFormat/>
    <w:uiPriority w:val="0"/>
    <w:rPr>
      <w:rFonts w:eastAsia="宋体"/>
      <w:b/>
      <w:spacing w:val="5"/>
      <w:sz w:val="28"/>
      <w:lang w:bidi="ar-SA"/>
    </w:rPr>
  </w:style>
  <w:style w:type="character" w:customStyle="1" w:styleId="1608">
    <w:name w:val="h3 Char"/>
    <w:autoRedefine/>
    <w:qFormat/>
    <w:uiPriority w:val="0"/>
    <w:rPr>
      <w:rFonts w:eastAsia="黑体"/>
      <w:kern w:val="2"/>
      <w:sz w:val="28"/>
      <w:lang w:val="en-US" w:eastAsia="zh-CN" w:bidi="ar-SA"/>
    </w:rPr>
  </w:style>
  <w:style w:type="character" w:customStyle="1" w:styleId="1609">
    <w:name w:val="catalog"/>
    <w:autoRedefine/>
    <w:qFormat/>
    <w:uiPriority w:val="0"/>
    <w:rPr>
      <w:rFonts w:eastAsia="黑体"/>
      <w:kern w:val="2"/>
      <w:sz w:val="30"/>
      <w:szCs w:val="24"/>
      <w:lang w:val="en-US" w:eastAsia="zh-CN" w:bidi="ar-SA"/>
    </w:rPr>
  </w:style>
  <w:style w:type="character" w:customStyle="1" w:styleId="1610">
    <w:name w:val="Char Char16"/>
    <w:autoRedefine/>
    <w:qFormat/>
    <w:uiPriority w:val="0"/>
    <w:rPr>
      <w:rFonts w:eastAsia="宋体"/>
      <w:sz w:val="24"/>
      <w:szCs w:val="24"/>
      <w:lang w:val="en-US" w:eastAsia="en-US" w:bidi="ar-SA"/>
    </w:rPr>
  </w:style>
  <w:style w:type="character" w:customStyle="1" w:styleId="1611">
    <w:name w:val="morewin"/>
    <w:autoRedefine/>
    <w:qFormat/>
    <w:uiPriority w:val="0"/>
  </w:style>
  <w:style w:type="character" w:customStyle="1" w:styleId="1612">
    <w:name w:val="5文章(治) Char"/>
    <w:link w:val="1309"/>
    <w:autoRedefine/>
    <w:qFormat/>
    <w:uiPriority w:val="0"/>
    <w:rPr>
      <w:rFonts w:ascii="Times New Roman" w:hAnsi="Times New Roman" w:cs="Times New Roman"/>
      <w:sz w:val="24"/>
      <w:szCs w:val="24"/>
    </w:rPr>
  </w:style>
  <w:style w:type="character" w:customStyle="1" w:styleId="1613">
    <w:name w:val="colorr"/>
    <w:autoRedefine/>
    <w:qFormat/>
    <w:uiPriority w:val="0"/>
    <w:rPr>
      <w:b/>
      <w:color w:val="FF5A00"/>
      <w:sz w:val="21"/>
      <w:szCs w:val="21"/>
    </w:rPr>
  </w:style>
  <w:style w:type="character" w:customStyle="1" w:styleId="1614">
    <w:name w:val="报告正文 Char1"/>
    <w:autoRedefine/>
    <w:qFormat/>
    <w:uiPriority w:val="0"/>
    <w:rPr>
      <w:kern w:val="2"/>
      <w:sz w:val="28"/>
      <w:szCs w:val="24"/>
    </w:rPr>
  </w:style>
  <w:style w:type="character" w:customStyle="1" w:styleId="1615">
    <w:name w:val="file"/>
    <w:basedOn w:val="86"/>
    <w:autoRedefine/>
    <w:qFormat/>
    <w:uiPriority w:val="0"/>
  </w:style>
  <w:style w:type="character" w:customStyle="1" w:styleId="1616">
    <w:name w:val="count1"/>
    <w:autoRedefine/>
    <w:qFormat/>
    <w:uiPriority w:val="0"/>
    <w:rPr>
      <w:color w:val="DB550C"/>
      <w:sz w:val="18"/>
      <w:szCs w:val="18"/>
    </w:rPr>
  </w:style>
  <w:style w:type="character" w:customStyle="1" w:styleId="1617">
    <w:name w:val="thistab10"/>
    <w:autoRedefine/>
    <w:qFormat/>
    <w:uiPriority w:val="0"/>
  </w:style>
  <w:style w:type="character" w:customStyle="1" w:styleId="1618">
    <w:name w:val="price_unline"/>
    <w:autoRedefine/>
    <w:qFormat/>
    <w:uiPriority w:val="0"/>
  </w:style>
  <w:style w:type="character" w:customStyle="1" w:styleId="1619">
    <w:name w:val="unnamed112"/>
    <w:autoRedefine/>
    <w:qFormat/>
    <w:uiPriority w:val="0"/>
    <w:rPr>
      <w:sz w:val="18"/>
      <w:szCs w:val="18"/>
    </w:rPr>
  </w:style>
  <w:style w:type="character" w:customStyle="1" w:styleId="1620">
    <w:name w:val="样式 标题 1 + 居中 Char"/>
    <w:link w:val="1238"/>
    <w:autoRedefine/>
    <w:qFormat/>
    <w:uiPriority w:val="0"/>
    <w:rPr>
      <w:rFonts w:ascii="Times New Roman" w:hAnsi="Times New Roman" w:eastAsia="黑体" w:cs="Times New Roman"/>
      <w:bCs/>
      <w:kern w:val="44"/>
      <w:sz w:val="36"/>
    </w:rPr>
  </w:style>
  <w:style w:type="character" w:customStyle="1" w:styleId="1621">
    <w:name w:val="datetime5"/>
    <w:autoRedefine/>
    <w:qFormat/>
    <w:uiPriority w:val="0"/>
    <w:rPr>
      <w:color w:val="5C5C5C"/>
      <w:sz w:val="16"/>
      <w:szCs w:val="16"/>
    </w:rPr>
  </w:style>
  <w:style w:type="character" w:customStyle="1" w:styleId="1622">
    <w:name w:val="datetime36"/>
    <w:basedOn w:val="86"/>
    <w:autoRedefine/>
    <w:qFormat/>
    <w:uiPriority w:val="0"/>
  </w:style>
  <w:style w:type="character" w:customStyle="1" w:styleId="1623">
    <w:name w:val="Char Char27"/>
    <w:autoRedefine/>
    <w:qFormat/>
    <w:uiPriority w:val="0"/>
    <w:rPr>
      <w:rFonts w:ascii="Arial" w:hAnsi="Arial"/>
      <w:i/>
      <w:lang w:val="fr-FR"/>
    </w:rPr>
  </w:style>
  <w:style w:type="character" w:customStyle="1" w:styleId="1624">
    <w:name w:val="datetime26"/>
    <w:autoRedefine/>
    <w:qFormat/>
    <w:uiPriority w:val="0"/>
    <w:rPr>
      <w:sz w:val="18"/>
      <w:szCs w:val="18"/>
    </w:rPr>
  </w:style>
  <w:style w:type="character" w:customStyle="1" w:styleId="1625">
    <w:name w:val="datetime19"/>
    <w:basedOn w:val="86"/>
    <w:autoRedefine/>
    <w:qFormat/>
    <w:uiPriority w:val="0"/>
  </w:style>
  <w:style w:type="character" w:customStyle="1" w:styleId="1626">
    <w:name w:val="font101"/>
    <w:autoRedefine/>
    <w:qFormat/>
    <w:uiPriority w:val="0"/>
    <w:rPr>
      <w:rFonts w:hint="default" w:ascii="Times New Roman" w:hAnsi="Times New Roman" w:cs="Times New Roman"/>
      <w:b/>
      <w:bCs/>
      <w:color w:val="000000"/>
      <w:sz w:val="18"/>
      <w:szCs w:val="18"/>
      <w:u w:val="none"/>
    </w:rPr>
  </w:style>
  <w:style w:type="character" w:customStyle="1" w:styleId="1627">
    <w:name w:val="newsbody1"/>
    <w:autoRedefine/>
    <w:qFormat/>
    <w:uiPriority w:val="0"/>
    <w:rPr>
      <w:color w:val="363636"/>
      <w:sz w:val="21"/>
      <w:szCs w:val="21"/>
    </w:rPr>
  </w:style>
  <w:style w:type="character" w:customStyle="1" w:styleId="1628">
    <w:name w:val="text1"/>
    <w:basedOn w:val="86"/>
    <w:autoRedefine/>
    <w:qFormat/>
    <w:uiPriority w:val="0"/>
  </w:style>
  <w:style w:type="character" w:customStyle="1" w:styleId="1629">
    <w:name w:val="ssx11"/>
    <w:autoRedefine/>
    <w:qFormat/>
    <w:uiPriority w:val="0"/>
    <w:rPr>
      <w:color w:val="FFFFFF"/>
      <w:sz w:val="2"/>
      <w:szCs w:val="2"/>
    </w:rPr>
  </w:style>
  <w:style w:type="character" w:customStyle="1" w:styleId="1630">
    <w:name w:val="datetime21"/>
    <w:basedOn w:val="86"/>
    <w:autoRedefine/>
    <w:qFormat/>
    <w:uiPriority w:val="0"/>
  </w:style>
  <w:style w:type="character" w:customStyle="1" w:styleId="1631">
    <w:name w:val="ltxt1"/>
    <w:autoRedefine/>
    <w:qFormat/>
    <w:uiPriority w:val="0"/>
    <w:rPr>
      <w:rFonts w:hint="default" w:eastAsia="宋体" w:cs="宋体"/>
      <w:color w:val="000000"/>
      <w:kern w:val="2"/>
      <w:sz w:val="24"/>
      <w:szCs w:val="24"/>
      <w:u w:val="none"/>
      <w:lang w:val="en-US" w:eastAsia="zh-CN" w:bidi="ar-SA"/>
    </w:rPr>
  </w:style>
  <w:style w:type="character" w:customStyle="1" w:styleId="1632">
    <w:name w:val="Char Char72"/>
    <w:autoRedefine/>
    <w:qFormat/>
    <w:uiPriority w:val="0"/>
    <w:rPr>
      <w:rFonts w:eastAsia="宋体"/>
      <w:kern w:val="2"/>
      <w:sz w:val="18"/>
      <w:szCs w:val="18"/>
      <w:lang w:val="en-US" w:eastAsia="zh-CN" w:bidi="ar-SA"/>
    </w:rPr>
  </w:style>
  <w:style w:type="character" w:customStyle="1" w:styleId="1633">
    <w:name w:val="bsharetext"/>
    <w:basedOn w:val="86"/>
    <w:autoRedefine/>
    <w:qFormat/>
    <w:uiPriority w:val="0"/>
  </w:style>
  <w:style w:type="character" w:customStyle="1" w:styleId="1634">
    <w:name w:val="条文首行缩进 Char Char"/>
    <w:link w:val="826"/>
    <w:autoRedefine/>
    <w:qFormat/>
    <w:uiPriority w:val="0"/>
    <w:rPr>
      <w:rFonts w:ascii="Arial" w:hAnsi="Arial" w:cs="Times New Roman"/>
      <w:sz w:val="24"/>
      <w:szCs w:val="24"/>
    </w:rPr>
  </w:style>
  <w:style w:type="character" w:customStyle="1" w:styleId="1635">
    <w:name w:val="style81"/>
    <w:autoRedefine/>
    <w:qFormat/>
    <w:uiPriority w:val="0"/>
    <w:rPr>
      <w:sz w:val="24"/>
      <w:szCs w:val="24"/>
    </w:rPr>
  </w:style>
  <w:style w:type="character" w:customStyle="1" w:styleId="1636">
    <w:name w:val="open"/>
    <w:autoRedefine/>
    <w:qFormat/>
    <w:uiPriority w:val="0"/>
  </w:style>
  <w:style w:type="character" w:customStyle="1" w:styleId="1637">
    <w:name w:val="文本正文 Char"/>
    <w:autoRedefine/>
    <w:qFormat/>
    <w:uiPriority w:val="0"/>
    <w:rPr>
      <w:rFonts w:ascii="仿宋_GB2312" w:hAnsi="宋体" w:eastAsia="仿宋_GB2312" w:cs="Courier New"/>
      <w:kern w:val="2"/>
      <w:sz w:val="28"/>
      <w:szCs w:val="28"/>
    </w:rPr>
  </w:style>
  <w:style w:type="character" w:customStyle="1" w:styleId="1638">
    <w:name w:val="样式 标题 1 + 居中 Char Char"/>
    <w:autoRedefine/>
    <w:qFormat/>
    <w:uiPriority w:val="0"/>
    <w:rPr>
      <w:rFonts w:eastAsia="黑体" w:cs="宋体"/>
      <w:bCs/>
      <w:kern w:val="44"/>
      <w:sz w:val="36"/>
      <w:lang w:val="en-US" w:eastAsia="zh-CN" w:bidi="ar-SA"/>
    </w:rPr>
  </w:style>
  <w:style w:type="character" w:customStyle="1" w:styleId="1639">
    <w:name w:val="grame"/>
    <w:autoRedefine/>
    <w:qFormat/>
    <w:uiPriority w:val="0"/>
  </w:style>
  <w:style w:type="character" w:customStyle="1" w:styleId="1640">
    <w:name w:val="Char Char36"/>
    <w:autoRedefine/>
    <w:qFormat/>
    <w:uiPriority w:val="0"/>
    <w:rPr>
      <w:rFonts w:eastAsia="宋体" w:cs="Courier New"/>
      <w:b/>
      <w:bCs/>
      <w:kern w:val="2"/>
      <w:sz w:val="28"/>
      <w:szCs w:val="32"/>
      <w:lang w:val="en-US" w:eastAsia="zh-CN" w:bidi="ar-SA"/>
    </w:rPr>
  </w:style>
  <w:style w:type="character" w:customStyle="1" w:styleId="1641">
    <w:name w:val="datetime14"/>
    <w:basedOn w:val="86"/>
    <w:autoRedefine/>
    <w:qFormat/>
    <w:uiPriority w:val="0"/>
  </w:style>
  <w:style w:type="character" w:customStyle="1" w:styleId="1642">
    <w:name w:val="table-xiayou"/>
    <w:autoRedefine/>
    <w:qFormat/>
    <w:uiPriority w:val="0"/>
  </w:style>
  <w:style w:type="character" w:customStyle="1" w:styleId="1643">
    <w:name w:val="datetime27"/>
    <w:basedOn w:val="86"/>
    <w:autoRedefine/>
    <w:qFormat/>
    <w:uiPriority w:val="0"/>
  </w:style>
  <w:style w:type="character" w:customStyle="1" w:styleId="1644">
    <w:name w:val="active3"/>
    <w:autoRedefine/>
    <w:qFormat/>
    <w:uiPriority w:val="0"/>
    <w:rPr>
      <w:color w:val="FFFFFF"/>
      <w:shd w:val="clear" w:color="auto" w:fill="006BB6"/>
    </w:rPr>
  </w:style>
  <w:style w:type="character" w:customStyle="1" w:styleId="1645">
    <w:name w:val="unnamed51"/>
    <w:autoRedefine/>
    <w:qFormat/>
    <w:uiPriority w:val="0"/>
    <w:rPr>
      <w:rFonts w:hint="default"/>
      <w:sz w:val="18"/>
      <w:szCs w:val="18"/>
    </w:rPr>
  </w:style>
  <w:style w:type="character" w:customStyle="1" w:styleId="1646">
    <w:name w:val="题注+ Char"/>
    <w:autoRedefine/>
    <w:qFormat/>
    <w:uiPriority w:val="0"/>
    <w:rPr>
      <w:rFonts w:eastAsia="宋体"/>
      <w:b/>
      <w:kern w:val="2"/>
      <w:sz w:val="21"/>
      <w:szCs w:val="21"/>
      <w:lang w:val="en-US" w:eastAsia="zh-CN" w:bidi="ar-SA"/>
    </w:rPr>
  </w:style>
  <w:style w:type="character" w:customStyle="1" w:styleId="1647">
    <w:name w:val="hover84"/>
    <w:autoRedefine/>
    <w:qFormat/>
    <w:uiPriority w:val="0"/>
    <w:rPr>
      <w:color w:val="EB0100"/>
    </w:rPr>
  </w:style>
  <w:style w:type="character" w:customStyle="1" w:styleId="1648">
    <w:name w:val="Section Char Char1"/>
    <w:autoRedefine/>
    <w:qFormat/>
    <w:uiPriority w:val="0"/>
    <w:rPr>
      <w:b/>
      <w:snapToGrid/>
      <w:sz w:val="28"/>
      <w:szCs w:val="28"/>
      <w:lang w:val="fr-FR"/>
    </w:rPr>
  </w:style>
  <w:style w:type="character" w:customStyle="1" w:styleId="1649">
    <w:name w:val="文章正文 Char"/>
    <w:autoRedefine/>
    <w:qFormat/>
    <w:uiPriority w:val="0"/>
    <w:rPr>
      <w:rFonts w:ascii="Times New Roman" w:hAnsi="Times New Roman"/>
      <w:sz w:val="24"/>
    </w:rPr>
  </w:style>
  <w:style w:type="character" w:customStyle="1" w:styleId="1650">
    <w:name w:val="正文文本缩进 Char2"/>
    <w:basedOn w:val="86"/>
    <w:autoRedefine/>
    <w:semiHidden/>
    <w:qFormat/>
    <w:uiPriority w:val="99"/>
  </w:style>
  <w:style w:type="character" w:customStyle="1" w:styleId="1651">
    <w:name w:val="datetime4"/>
    <w:basedOn w:val="86"/>
    <w:autoRedefine/>
    <w:qFormat/>
    <w:uiPriority w:val="0"/>
  </w:style>
  <w:style w:type="character" w:customStyle="1" w:styleId="1652">
    <w:name w:val="part"/>
    <w:autoRedefine/>
    <w:qFormat/>
    <w:uiPriority w:val="0"/>
  </w:style>
  <w:style w:type="character" w:customStyle="1" w:styleId="1653">
    <w:name w:val="Char Char61"/>
    <w:autoRedefine/>
    <w:qFormat/>
    <w:uiPriority w:val="0"/>
    <w:rPr>
      <w:rFonts w:ascii="Times New Roman" w:hAnsi="Times New Roman" w:eastAsia="宋体" w:cs="Times New Roman"/>
      <w:sz w:val="18"/>
      <w:szCs w:val="18"/>
    </w:rPr>
  </w:style>
  <w:style w:type="character" w:customStyle="1" w:styleId="1654">
    <w:name w:val="正文文本缩进 2 Char2"/>
    <w:basedOn w:val="86"/>
    <w:autoRedefine/>
    <w:semiHidden/>
    <w:qFormat/>
    <w:uiPriority w:val="99"/>
  </w:style>
  <w:style w:type="character" w:customStyle="1" w:styleId="1655">
    <w:name w:val="font112"/>
    <w:autoRedefine/>
    <w:qFormat/>
    <w:uiPriority w:val="0"/>
    <w:rPr>
      <w:rFonts w:hint="eastAsia" w:ascii="华文中宋" w:hAnsi="华文中宋" w:eastAsia="华文中宋" w:cs="华文中宋"/>
      <w:b/>
      <w:color w:val="000000"/>
      <w:sz w:val="20"/>
      <w:szCs w:val="20"/>
      <w:u w:val="none"/>
    </w:rPr>
  </w:style>
  <w:style w:type="character" w:customStyle="1" w:styleId="1656">
    <w:name w:val="info25"/>
    <w:autoRedefine/>
    <w:qFormat/>
    <w:uiPriority w:val="0"/>
    <w:rPr>
      <w:rFonts w:hint="eastAsia" w:ascii="宋体" w:hAnsi="宋体" w:eastAsia="宋体" w:cs="宋体"/>
      <w:color w:val="006BB6"/>
      <w:sz w:val="21"/>
      <w:szCs w:val="21"/>
    </w:rPr>
  </w:style>
  <w:style w:type="character" w:customStyle="1" w:styleId="1657">
    <w:name w:val="J【表头】 Char Char"/>
    <w:link w:val="1327"/>
    <w:autoRedefine/>
    <w:qFormat/>
    <w:uiPriority w:val="0"/>
    <w:rPr>
      <w:rFonts w:ascii="宋体" w:hAnsi="宋体" w:cs="Times New Roman"/>
      <w:b/>
      <w:szCs w:val="21"/>
    </w:rPr>
  </w:style>
  <w:style w:type="character" w:customStyle="1" w:styleId="1658">
    <w:name w:val="datetime12"/>
    <w:basedOn w:val="86"/>
    <w:autoRedefine/>
    <w:qFormat/>
    <w:uiPriority w:val="0"/>
  </w:style>
  <w:style w:type="character" w:customStyle="1" w:styleId="1659">
    <w:name w:val="datetime15"/>
    <w:basedOn w:val="86"/>
    <w:autoRedefine/>
    <w:qFormat/>
    <w:uiPriority w:val="0"/>
  </w:style>
  <w:style w:type="character" w:customStyle="1" w:styleId="1660">
    <w:name w:val="Char Char2711"/>
    <w:autoRedefine/>
    <w:qFormat/>
    <w:uiPriority w:val="0"/>
    <w:rPr>
      <w:rFonts w:ascii="Arial" w:hAnsi="Arial"/>
      <w:i/>
      <w:lang w:val="fr-FR"/>
    </w:rPr>
  </w:style>
  <w:style w:type="character" w:customStyle="1" w:styleId="1661">
    <w:name w:val="Char Char261"/>
    <w:autoRedefine/>
    <w:qFormat/>
    <w:uiPriority w:val="0"/>
    <w:rPr>
      <w:rFonts w:ascii="Arial" w:hAnsi="Arial"/>
      <w:b/>
      <w:i/>
      <w:sz w:val="18"/>
      <w:lang w:val="en-US"/>
    </w:rPr>
  </w:style>
  <w:style w:type="character" w:customStyle="1" w:styleId="1662">
    <w:name w:val="datetime25"/>
    <w:basedOn w:val="86"/>
    <w:autoRedefine/>
    <w:qFormat/>
    <w:uiPriority w:val="0"/>
  </w:style>
  <w:style w:type="character" w:customStyle="1" w:styleId="1663">
    <w:name w:val="datetime18"/>
    <w:autoRedefine/>
    <w:qFormat/>
    <w:uiPriority w:val="0"/>
    <w:rPr>
      <w:color w:val="5C5C5C"/>
      <w:sz w:val="16"/>
      <w:szCs w:val="16"/>
    </w:rPr>
  </w:style>
  <w:style w:type="character" w:customStyle="1" w:styleId="1664">
    <w:name w:val="Char Char13"/>
    <w:autoRedefine/>
    <w:qFormat/>
    <w:uiPriority w:val="0"/>
    <w:rPr>
      <w:rFonts w:ascii="宋体" w:hAnsi="PMingLiU" w:eastAsia="宋体"/>
      <w:kern w:val="2"/>
      <w:sz w:val="24"/>
      <w:szCs w:val="24"/>
      <w:lang w:val="en-US" w:eastAsia="zh-CN" w:bidi="ar-SA"/>
    </w:rPr>
  </w:style>
  <w:style w:type="character" w:customStyle="1" w:styleId="1665">
    <w:name w:val="font91"/>
    <w:autoRedefine/>
    <w:qFormat/>
    <w:uiPriority w:val="0"/>
    <w:rPr>
      <w:rFonts w:hint="default" w:ascii="Times New Roman" w:hAnsi="Times New Roman" w:cs="Times New Roman"/>
      <w:color w:val="000000"/>
      <w:sz w:val="22"/>
      <w:szCs w:val="22"/>
      <w:u w:val="none"/>
    </w:rPr>
  </w:style>
  <w:style w:type="character" w:customStyle="1" w:styleId="1666">
    <w:name w:val="Char Char292"/>
    <w:autoRedefine/>
    <w:qFormat/>
    <w:uiPriority w:val="0"/>
    <w:rPr>
      <w:i/>
      <w:sz w:val="22"/>
      <w:lang w:val="fr-FR"/>
    </w:rPr>
  </w:style>
  <w:style w:type="character" w:customStyle="1" w:styleId="1667">
    <w:name w:val="bds_nopic1"/>
    <w:autoRedefine/>
    <w:qFormat/>
    <w:uiPriority w:val="0"/>
  </w:style>
  <w:style w:type="character" w:customStyle="1" w:styleId="1668">
    <w:name w:val="datetime20"/>
    <w:basedOn w:val="86"/>
    <w:autoRedefine/>
    <w:qFormat/>
    <w:uiPriority w:val="0"/>
  </w:style>
  <w:style w:type="character" w:customStyle="1" w:styleId="1669">
    <w:name w:val="info"/>
    <w:autoRedefine/>
    <w:qFormat/>
    <w:uiPriority w:val="0"/>
    <w:rPr>
      <w:color w:val="188EA7"/>
    </w:rPr>
  </w:style>
  <w:style w:type="character" w:customStyle="1" w:styleId="1670">
    <w:name w:val="Default Char"/>
    <w:link w:val="2"/>
    <w:autoRedefine/>
    <w:qFormat/>
    <w:locked/>
    <w:uiPriority w:val="0"/>
    <w:rPr>
      <w:color w:val="000000"/>
      <w:kern w:val="2"/>
      <w:sz w:val="24"/>
      <w:szCs w:val="24"/>
    </w:rPr>
  </w:style>
  <w:style w:type="character" w:customStyle="1" w:styleId="1671">
    <w:name w:val="Char Char372"/>
    <w:autoRedefine/>
    <w:qFormat/>
    <w:uiPriority w:val="0"/>
    <w:rPr>
      <w:rFonts w:ascii="Arial" w:hAnsi="Arial" w:eastAsia="黑体"/>
      <w:b/>
      <w:bCs/>
      <w:kern w:val="2"/>
      <w:sz w:val="32"/>
      <w:szCs w:val="32"/>
      <w:lang w:val="en-US" w:eastAsia="zh-CN" w:bidi="ar-SA"/>
    </w:rPr>
  </w:style>
  <w:style w:type="character" w:customStyle="1" w:styleId="1672">
    <w:name w:val="文档结构图 Char"/>
    <w:link w:val="29"/>
    <w:autoRedefine/>
    <w:qFormat/>
    <w:uiPriority w:val="0"/>
    <w:rPr>
      <w:rFonts w:ascii="宋体" w:hAnsi="Times New Roman" w:cs="Times New Roman"/>
      <w:sz w:val="18"/>
      <w:szCs w:val="18"/>
    </w:rPr>
  </w:style>
  <w:style w:type="character" w:customStyle="1" w:styleId="1673">
    <w:name w:val="1-正文 Char Char"/>
    <w:autoRedefine/>
    <w:qFormat/>
    <w:uiPriority w:val="0"/>
    <w:rPr>
      <w:rFonts w:eastAsia="宋体"/>
      <w:kern w:val="2"/>
      <w:sz w:val="24"/>
      <w:szCs w:val="24"/>
      <w:lang w:val="en-US" w:eastAsia="zh-CN" w:bidi="ar-SA"/>
    </w:rPr>
  </w:style>
  <w:style w:type="character" w:customStyle="1" w:styleId="1674">
    <w:name w:val="Ò³Ã¼ Char Char"/>
    <w:autoRedefine/>
    <w:qFormat/>
    <w:uiPriority w:val="0"/>
    <w:rPr>
      <w:rFonts w:eastAsia="宋体"/>
      <w:kern w:val="2"/>
      <w:sz w:val="18"/>
      <w:lang w:val="en-US" w:eastAsia="zh-CN" w:bidi="ar-SA"/>
    </w:rPr>
  </w:style>
  <w:style w:type="character" w:customStyle="1" w:styleId="1675">
    <w:name w:val="标题 1 Char Char"/>
    <w:autoRedefine/>
    <w:qFormat/>
    <w:uiPriority w:val="0"/>
    <w:rPr>
      <w:rFonts w:ascii="仿宋_GB2312" w:eastAsia="仿宋_GB2312"/>
      <w:b/>
      <w:kern w:val="2"/>
      <w:sz w:val="36"/>
      <w:szCs w:val="44"/>
      <w:lang w:val="en-US" w:eastAsia="zh-CN" w:bidi="ar-SA"/>
    </w:rPr>
  </w:style>
  <w:style w:type="character" w:customStyle="1" w:styleId="1676">
    <w:name w:val="a Char Char Char Char Char Char"/>
    <w:link w:val="1262"/>
    <w:autoRedefine/>
    <w:qFormat/>
    <w:uiPriority w:val="0"/>
    <w:rPr>
      <w:rFonts w:ascii="宋体" w:hAnsi="宋体" w:cs="Times New Roman"/>
      <w:bCs/>
      <w:sz w:val="28"/>
      <w:szCs w:val="28"/>
    </w:rPr>
  </w:style>
  <w:style w:type="character" w:customStyle="1" w:styleId="1677">
    <w:name w:val="正文样式1 Char"/>
    <w:autoRedefine/>
    <w:qFormat/>
    <w:uiPriority w:val="0"/>
    <w:rPr>
      <w:rFonts w:ascii="宋体" w:hAnsi="Courier New" w:eastAsia="宋体"/>
      <w:sz w:val="24"/>
      <w:lang w:val="en-US" w:eastAsia="zh-CN" w:bidi="ar-SA"/>
    </w:rPr>
  </w:style>
  <w:style w:type="character" w:customStyle="1" w:styleId="1678">
    <w:name w:val="datetime32"/>
    <w:basedOn w:val="86"/>
    <w:autoRedefine/>
    <w:qFormat/>
    <w:uiPriority w:val="0"/>
  </w:style>
  <w:style w:type="character" w:customStyle="1" w:styleId="1679">
    <w:name w:val="Char Char262"/>
    <w:autoRedefine/>
    <w:qFormat/>
    <w:uiPriority w:val="0"/>
    <w:rPr>
      <w:rFonts w:ascii="Arial" w:hAnsi="Arial"/>
      <w:b/>
      <w:i/>
      <w:sz w:val="18"/>
      <w:lang w:val="fr-FR"/>
    </w:rPr>
  </w:style>
  <w:style w:type="character" w:customStyle="1" w:styleId="1680">
    <w:name w:val="Char Char302"/>
    <w:autoRedefine/>
    <w:qFormat/>
    <w:uiPriority w:val="0"/>
    <w:rPr>
      <w:rFonts w:ascii="Arial" w:hAnsi="Arial"/>
      <w:sz w:val="24"/>
      <w:lang w:val="fr-FR"/>
    </w:rPr>
  </w:style>
  <w:style w:type="character" w:customStyle="1" w:styleId="1681">
    <w:name w:val="hover82"/>
    <w:autoRedefine/>
    <w:qFormat/>
    <w:uiPriority w:val="0"/>
    <w:rPr>
      <w:color w:val="006BB6"/>
    </w:rPr>
  </w:style>
  <w:style w:type="character" w:customStyle="1" w:styleId="1682">
    <w:name w:val="Char Char17"/>
    <w:autoRedefine/>
    <w:semiHidden/>
    <w:qFormat/>
    <w:uiPriority w:val="0"/>
    <w:rPr>
      <w:sz w:val="18"/>
      <w:szCs w:val="18"/>
    </w:rPr>
  </w:style>
  <w:style w:type="character" w:customStyle="1" w:styleId="1683">
    <w:name w:val="error"/>
    <w:autoRedefine/>
    <w:qFormat/>
    <w:uiPriority w:val="0"/>
    <w:rPr>
      <w:color w:val="CC0000"/>
    </w:rPr>
  </w:style>
  <w:style w:type="character" w:customStyle="1" w:styleId="1684">
    <w:name w:val="gj"/>
    <w:autoRedefine/>
    <w:qFormat/>
    <w:uiPriority w:val="0"/>
    <w:rPr>
      <w:color w:val="FFF600"/>
    </w:rPr>
  </w:style>
  <w:style w:type="character" w:customStyle="1" w:styleId="1685">
    <w:name w:val="bds_more1"/>
    <w:autoRedefine/>
    <w:qFormat/>
    <w:uiPriority w:val="0"/>
    <w:rPr>
      <w:rFonts w:hint="eastAsia" w:ascii="宋体" w:hAnsi="宋体" w:eastAsia="宋体" w:cs="宋体"/>
    </w:rPr>
  </w:style>
  <w:style w:type="character" w:customStyle="1" w:styleId="1686">
    <w:name w:val="Char Char Char Char Char"/>
    <w:autoRedefine/>
    <w:qFormat/>
    <w:uiPriority w:val="0"/>
    <w:rPr>
      <w:rFonts w:ascii="宋体" w:hAnsi="宋体"/>
      <w:kern w:val="2"/>
      <w:sz w:val="24"/>
      <w:szCs w:val="24"/>
    </w:rPr>
  </w:style>
  <w:style w:type="character" w:customStyle="1" w:styleId="1687">
    <w:name w:val="样式 标题 3 + 段前: 7.8 磅 段后: 7.8 磅 行距: 固定值 20 磅 Char Char"/>
    <w:link w:val="923"/>
    <w:autoRedefine/>
    <w:qFormat/>
    <w:uiPriority w:val="0"/>
    <w:rPr>
      <w:rFonts w:ascii="Times New Roman" w:hAnsi="Times New Roman" w:cs="Times New Roman"/>
      <w:b/>
      <w:bCs/>
      <w:sz w:val="30"/>
      <w:szCs w:val="30"/>
    </w:rPr>
  </w:style>
  <w:style w:type="character" w:customStyle="1" w:styleId="1688">
    <w:name w:val="cn1"/>
    <w:autoRedefine/>
    <w:qFormat/>
    <w:uiPriority w:val="0"/>
    <w:rPr>
      <w:sz w:val="21"/>
      <w:szCs w:val="21"/>
    </w:rPr>
  </w:style>
  <w:style w:type="character" w:customStyle="1" w:styleId="1689">
    <w:name w:val="报告书正文 Char"/>
    <w:autoRedefine/>
    <w:qFormat/>
    <w:uiPriority w:val="0"/>
    <w:rPr>
      <w:rFonts w:eastAsia="宋体"/>
      <w:kern w:val="2"/>
      <w:sz w:val="24"/>
      <w:szCs w:val="24"/>
      <w:lang w:val="en-US" w:eastAsia="zh-CN" w:bidi="ar-SA"/>
    </w:rPr>
  </w:style>
  <w:style w:type="character" w:customStyle="1" w:styleId="1690">
    <w:name w:val="样式 标题 2 + 段前: 7.8 磅 段后: 7.8 磅 行距: 1.5 倍行距 Char Char Char"/>
    <w:autoRedefine/>
    <w:qFormat/>
    <w:uiPriority w:val="0"/>
    <w:rPr>
      <w:rFonts w:ascii="Arial" w:hAnsi="Arial" w:eastAsia="黑体" w:cs="宋体"/>
      <w:b/>
      <w:bCs/>
      <w:kern w:val="2"/>
      <w:sz w:val="30"/>
      <w:szCs w:val="32"/>
      <w:lang w:val="en-US" w:eastAsia="zh-CN" w:bidi="ar-SA"/>
    </w:rPr>
  </w:style>
  <w:style w:type="character" w:customStyle="1" w:styleId="1691">
    <w:name w:val="apple-style-span"/>
    <w:basedOn w:val="86"/>
    <w:autoRedefine/>
    <w:qFormat/>
    <w:uiPriority w:val="0"/>
  </w:style>
  <w:style w:type="character" w:customStyle="1" w:styleId="1692">
    <w:name w:val="正文文本缩进 3 Char"/>
    <w:autoRedefine/>
    <w:qFormat/>
    <w:uiPriority w:val="0"/>
    <w:rPr>
      <w:rFonts w:eastAsia="宋体"/>
      <w:kern w:val="2"/>
      <w:sz w:val="16"/>
      <w:szCs w:val="16"/>
      <w:lang w:val="en-US" w:eastAsia="zh-CN" w:bidi="ar-SA"/>
    </w:rPr>
  </w:style>
  <w:style w:type="character" w:customStyle="1" w:styleId="1693">
    <w:name w:val="Char Char20"/>
    <w:autoRedefine/>
    <w:qFormat/>
    <w:uiPriority w:val="0"/>
    <w:rPr>
      <w:rFonts w:ascii="仿宋_GB2312" w:eastAsia="宋体"/>
      <w:kern w:val="2"/>
      <w:sz w:val="24"/>
      <w:szCs w:val="24"/>
      <w:lang w:val="en-US" w:eastAsia="zh-CN" w:bidi="ar-SA"/>
    </w:rPr>
  </w:style>
  <w:style w:type="character" w:customStyle="1" w:styleId="1694">
    <w:name w:val="Char Char332"/>
    <w:autoRedefine/>
    <w:qFormat/>
    <w:uiPriority w:val="0"/>
    <w:rPr>
      <w:b/>
      <w:sz w:val="28"/>
      <w:szCs w:val="28"/>
      <w:lang w:val="en-GB"/>
    </w:rPr>
  </w:style>
  <w:style w:type="character" w:customStyle="1" w:styleId="1695">
    <w:name w:val="first-child1"/>
    <w:autoRedefine/>
    <w:qFormat/>
    <w:uiPriority w:val="0"/>
    <w:rPr>
      <w:bdr w:val="single" w:color="E4E3E3" w:sz="6" w:space="0"/>
    </w:rPr>
  </w:style>
  <w:style w:type="character" w:customStyle="1" w:styleId="1696">
    <w:name w:val="Char Char3411"/>
    <w:autoRedefine/>
    <w:qFormat/>
    <w:uiPriority w:val="0"/>
    <w:rPr>
      <w:rFonts w:ascii="Arial" w:hAnsi="Arial"/>
      <w:b/>
      <w:sz w:val="30"/>
      <w:lang w:val="en-GB"/>
    </w:rPr>
  </w:style>
  <w:style w:type="character" w:customStyle="1" w:styleId="1697">
    <w:name w:val="datetime9"/>
    <w:basedOn w:val="86"/>
    <w:autoRedefine/>
    <w:qFormat/>
    <w:uiPriority w:val="0"/>
  </w:style>
  <w:style w:type="character" w:customStyle="1" w:styleId="1698">
    <w:name w:val="file1"/>
    <w:basedOn w:val="86"/>
    <w:autoRedefine/>
    <w:qFormat/>
    <w:uiPriority w:val="0"/>
  </w:style>
  <w:style w:type="character" w:customStyle="1" w:styleId="1699">
    <w:name w:val="datetime44"/>
    <w:basedOn w:val="86"/>
    <w:autoRedefine/>
    <w:qFormat/>
    <w:uiPriority w:val="0"/>
  </w:style>
  <w:style w:type="character" w:customStyle="1" w:styleId="1700">
    <w:name w:val="正文样式 Char1"/>
    <w:autoRedefine/>
    <w:qFormat/>
    <w:uiPriority w:val="0"/>
    <w:rPr>
      <w:rFonts w:ascii="宋体" w:hAnsi="宋体" w:eastAsia="宋体"/>
      <w:kern w:val="2"/>
      <w:sz w:val="24"/>
      <w:szCs w:val="24"/>
      <w:lang w:val="en-US" w:eastAsia="zh-CN" w:bidi="ar-SA"/>
    </w:rPr>
  </w:style>
  <w:style w:type="character" w:customStyle="1" w:styleId="1701">
    <w:name w:val="H4 Char"/>
    <w:autoRedefine/>
    <w:qFormat/>
    <w:uiPriority w:val="0"/>
    <w:rPr>
      <w:rFonts w:ascii="Arial" w:hAnsi="Arial" w:eastAsia="黑体"/>
      <w:b/>
      <w:bCs/>
      <w:kern w:val="2"/>
      <w:sz w:val="28"/>
      <w:szCs w:val="28"/>
      <w:lang w:val="en-US" w:eastAsia="zh-CN" w:bidi="ar-SA"/>
    </w:rPr>
  </w:style>
  <w:style w:type="character" w:customStyle="1" w:styleId="1702">
    <w:name w:val="font21"/>
    <w:autoRedefine/>
    <w:qFormat/>
    <w:uiPriority w:val="0"/>
    <w:rPr>
      <w:rFonts w:hint="default" w:ascii="Times New Roman" w:hAnsi="Times New Roman" w:cs="Times New Roman"/>
      <w:b/>
      <w:bCs/>
      <w:color w:val="000000"/>
      <w:sz w:val="20"/>
      <w:szCs w:val="20"/>
      <w:u w:val="none"/>
    </w:rPr>
  </w:style>
  <w:style w:type="character" w:customStyle="1" w:styleId="1703">
    <w:name w:val="HTML 预设格式 Char1"/>
    <w:autoRedefine/>
    <w:semiHidden/>
    <w:qFormat/>
    <w:uiPriority w:val="99"/>
    <w:rPr>
      <w:rFonts w:ascii="Courier New" w:hAnsi="Courier New" w:cs="Courier New"/>
      <w:sz w:val="20"/>
      <w:szCs w:val="20"/>
    </w:rPr>
  </w:style>
  <w:style w:type="character" w:customStyle="1" w:styleId="1704">
    <w:name w:val="blue"/>
    <w:autoRedefine/>
    <w:qFormat/>
    <w:uiPriority w:val="0"/>
  </w:style>
  <w:style w:type="character" w:customStyle="1" w:styleId="1705">
    <w:name w:val="datetime43"/>
    <w:basedOn w:val="86"/>
    <w:autoRedefine/>
    <w:qFormat/>
    <w:uiPriority w:val="0"/>
  </w:style>
  <w:style w:type="character" w:customStyle="1" w:styleId="1706">
    <w:name w:val="Char Char232"/>
    <w:autoRedefine/>
    <w:qFormat/>
    <w:uiPriority w:val="0"/>
    <w:rPr>
      <w:rFonts w:eastAsia="宋体" w:cs="Courier New"/>
      <w:b/>
      <w:bCs/>
      <w:kern w:val="2"/>
      <w:sz w:val="28"/>
      <w:szCs w:val="32"/>
      <w:lang w:val="en-US" w:eastAsia="zh-CN" w:bidi="ar-SA"/>
    </w:rPr>
  </w:style>
  <w:style w:type="character" w:customStyle="1" w:styleId="1707">
    <w:name w:val="bds_nopic2"/>
    <w:autoRedefine/>
    <w:qFormat/>
    <w:uiPriority w:val="0"/>
  </w:style>
  <w:style w:type="character" w:customStyle="1" w:styleId="1708">
    <w:name w:val="name28"/>
    <w:autoRedefine/>
    <w:qFormat/>
    <w:uiPriority w:val="0"/>
    <w:rPr>
      <w:rFonts w:ascii="微软雅黑" w:hAnsi="微软雅黑" w:eastAsia="微软雅黑" w:cs="微软雅黑"/>
      <w:color w:val="F96300"/>
      <w:sz w:val="27"/>
      <w:szCs w:val="27"/>
    </w:rPr>
  </w:style>
  <w:style w:type="character" w:customStyle="1" w:styleId="1709">
    <w:name w:val="style101"/>
    <w:autoRedefine/>
    <w:qFormat/>
    <w:uiPriority w:val="0"/>
    <w:rPr>
      <w:b/>
      <w:bCs/>
      <w:color w:val="9D0000"/>
      <w:sz w:val="24"/>
      <w:szCs w:val="24"/>
    </w:rPr>
  </w:style>
  <w:style w:type="character" w:customStyle="1" w:styleId="1710">
    <w:name w:val="folder"/>
    <w:basedOn w:val="86"/>
    <w:autoRedefine/>
    <w:qFormat/>
    <w:uiPriority w:val="0"/>
  </w:style>
  <w:style w:type="character" w:customStyle="1" w:styleId="1711">
    <w:name w:val="【正文】 Char Char"/>
    <w:autoRedefine/>
    <w:qFormat/>
    <w:uiPriority w:val="0"/>
    <w:rPr>
      <w:rFonts w:eastAsia="宋体" w:cs="宋体"/>
      <w:spacing w:val="20"/>
      <w:kern w:val="2"/>
      <w:sz w:val="24"/>
      <w:lang w:val="en-US" w:eastAsia="zh-CN" w:bidi="ar-SA"/>
    </w:rPr>
  </w:style>
  <w:style w:type="character" w:customStyle="1" w:styleId="1712">
    <w:name w:val="syh2级标题 Char"/>
    <w:autoRedefine/>
    <w:qFormat/>
    <w:uiPriority w:val="0"/>
    <w:rPr>
      <w:rFonts w:ascii="黑体" w:hAnsi="宋体" w:eastAsia="黑体"/>
      <w:b/>
      <w:sz w:val="28"/>
      <w:szCs w:val="28"/>
      <w:lang w:val="zh-CN" w:eastAsia="zh-CN" w:bidi="ar-SA"/>
    </w:rPr>
  </w:style>
  <w:style w:type="character" w:customStyle="1" w:styleId="1713">
    <w:name w:val="a Char Char1"/>
    <w:link w:val="1242"/>
    <w:autoRedefine/>
    <w:qFormat/>
    <w:uiPriority w:val="0"/>
    <w:rPr>
      <w:rFonts w:ascii="宋体" w:hAnsi="宋体" w:cs="Times New Roman"/>
      <w:bCs/>
      <w:sz w:val="28"/>
      <w:szCs w:val="28"/>
    </w:rPr>
  </w:style>
  <w:style w:type="character" w:customStyle="1" w:styleId="1714">
    <w:name w:val="新正文 Char Char"/>
    <w:link w:val="1159"/>
    <w:autoRedefine/>
    <w:qFormat/>
    <w:uiPriority w:val="0"/>
    <w:rPr>
      <w:rFonts w:ascii="Times New Roman" w:hAnsi="Times New Roman" w:cs="Times New Roman"/>
      <w:sz w:val="24"/>
      <w:szCs w:val="24"/>
    </w:rPr>
  </w:style>
  <w:style w:type="character" w:customStyle="1" w:styleId="1715">
    <w:name w:val="content_size_131"/>
    <w:autoRedefine/>
    <w:qFormat/>
    <w:uiPriority w:val="0"/>
    <w:rPr>
      <w:sz w:val="20"/>
      <w:szCs w:val="20"/>
    </w:rPr>
  </w:style>
  <w:style w:type="character" w:customStyle="1" w:styleId="1716">
    <w:name w:val="zhei1"/>
    <w:autoRedefine/>
    <w:qFormat/>
    <w:uiPriority w:val="0"/>
    <w:rPr>
      <w:color w:val="4C4545"/>
      <w:sz w:val="21"/>
      <w:u w:val="none"/>
    </w:rPr>
  </w:style>
  <w:style w:type="character" w:customStyle="1" w:styleId="1717">
    <w:name w:val="active6"/>
    <w:autoRedefine/>
    <w:qFormat/>
    <w:uiPriority w:val="0"/>
    <w:rPr>
      <w:color w:val="FF6000"/>
    </w:rPr>
  </w:style>
  <w:style w:type="character" w:customStyle="1" w:styleId="1718">
    <w:name w:val="Char Char131"/>
    <w:autoRedefine/>
    <w:qFormat/>
    <w:uiPriority w:val="0"/>
    <w:rPr>
      <w:rFonts w:ascii="Arial" w:hAnsi="Arial" w:eastAsia="宋体"/>
      <w:b/>
      <w:bCs/>
      <w:kern w:val="2"/>
      <w:sz w:val="32"/>
      <w:szCs w:val="32"/>
      <w:lang w:val="en-US" w:eastAsia="zh-CN" w:bidi="ar-SA"/>
    </w:rPr>
  </w:style>
  <w:style w:type="character" w:customStyle="1" w:styleId="1719">
    <w:name w:val="release-day"/>
    <w:autoRedefine/>
    <w:qFormat/>
    <w:uiPriority w:val="0"/>
    <w:rPr>
      <w:bdr w:val="single" w:color="BDEBB0" w:sz="6" w:space="0"/>
      <w:shd w:val="clear" w:color="auto" w:fill="F5FFF1"/>
    </w:rPr>
  </w:style>
  <w:style w:type="character" w:customStyle="1" w:styleId="1720">
    <w:name w:val="10"/>
    <w:autoRedefine/>
    <w:qFormat/>
    <w:uiPriority w:val="0"/>
    <w:rPr>
      <w:rFonts w:hint="default" w:ascii="Times New Roman" w:hAnsi="Times New Roman" w:cs="Times New Roman"/>
    </w:rPr>
  </w:style>
  <w:style w:type="character" w:customStyle="1" w:styleId="1721">
    <w:name w:val="word3noad"/>
    <w:autoRedefine/>
    <w:qFormat/>
    <w:uiPriority w:val="0"/>
  </w:style>
  <w:style w:type="character" w:customStyle="1" w:styleId="1722">
    <w:name w:val="model11"/>
    <w:autoRedefine/>
    <w:qFormat/>
    <w:uiPriority w:val="0"/>
    <w:rPr>
      <w:rFonts w:hint="eastAsia" w:ascii="宋体" w:hAnsi="宋体" w:eastAsia="宋体"/>
      <w:sz w:val="18"/>
      <w:szCs w:val="18"/>
      <w:u w:val="none"/>
    </w:rPr>
  </w:style>
  <w:style w:type="character" w:customStyle="1" w:styleId="1723">
    <w:name w:val="Char Char2"/>
    <w:autoRedefine/>
    <w:qFormat/>
    <w:uiPriority w:val="0"/>
    <w:rPr>
      <w:rFonts w:eastAsia="宋体"/>
      <w:kern w:val="2"/>
      <w:sz w:val="18"/>
      <w:lang w:val="en-US" w:eastAsia="zh-CN" w:bidi="ar-SA"/>
    </w:rPr>
  </w:style>
  <w:style w:type="character" w:customStyle="1" w:styleId="1724">
    <w:name w:val="bsb表头 Char"/>
    <w:link w:val="821"/>
    <w:autoRedefine/>
    <w:qFormat/>
    <w:uiPriority w:val="0"/>
    <w:rPr>
      <w:rFonts w:ascii="Times New Roman" w:hAnsi="Times New Roman" w:cs="宋体"/>
      <w:b/>
      <w:sz w:val="24"/>
      <w:szCs w:val="24"/>
      <w:lang w:eastAsia="en-US" w:bidi="en-US"/>
    </w:rPr>
  </w:style>
  <w:style w:type="character" w:customStyle="1" w:styleId="1725">
    <w:name w:val="ht1"/>
    <w:autoRedefine/>
    <w:qFormat/>
    <w:uiPriority w:val="0"/>
    <w:rPr>
      <w:rFonts w:ascii="黑体" w:eastAsia="黑体"/>
      <w:b/>
    </w:rPr>
  </w:style>
  <w:style w:type="character" w:customStyle="1" w:styleId="1726">
    <w:name w:val="active8"/>
    <w:autoRedefine/>
    <w:qFormat/>
    <w:uiPriority w:val="0"/>
    <w:rPr>
      <w:color w:val="FFFFFF"/>
      <w:shd w:val="clear" w:color="auto" w:fill="FF6000"/>
    </w:rPr>
  </w:style>
  <w:style w:type="character" w:customStyle="1" w:styleId="1727">
    <w:name w:val="datetime11"/>
    <w:autoRedefine/>
    <w:qFormat/>
    <w:uiPriority w:val="0"/>
    <w:rPr>
      <w:color w:val="5C5C5C"/>
      <w:sz w:val="16"/>
      <w:szCs w:val="16"/>
    </w:rPr>
  </w:style>
  <w:style w:type="character" w:customStyle="1" w:styleId="1728">
    <w:name w:val="active2"/>
    <w:autoRedefine/>
    <w:qFormat/>
    <w:uiPriority w:val="0"/>
    <w:rPr>
      <w:bdr w:val="single" w:color="EB5800" w:sz="6" w:space="0"/>
    </w:rPr>
  </w:style>
  <w:style w:type="character" w:customStyle="1" w:styleId="1729">
    <w:name w:val="active5"/>
    <w:autoRedefine/>
    <w:qFormat/>
    <w:uiPriority w:val="0"/>
    <w:rPr>
      <w:shd w:val="clear" w:color="auto" w:fill="FFFFFF"/>
    </w:rPr>
  </w:style>
  <w:style w:type="character" w:customStyle="1" w:styleId="1730">
    <w:name w:val="title8"/>
    <w:basedOn w:val="86"/>
    <w:autoRedefine/>
    <w:qFormat/>
    <w:uiPriority w:val="0"/>
  </w:style>
  <w:style w:type="character" w:customStyle="1" w:styleId="1731">
    <w:name w:val="项 Char"/>
    <w:autoRedefine/>
    <w:qFormat/>
    <w:uiPriority w:val="0"/>
    <w:rPr>
      <w:rFonts w:eastAsia="宋体"/>
      <w:sz w:val="24"/>
      <w:lang w:val="en-US" w:eastAsia="zh-CN" w:bidi="ar-SA"/>
    </w:rPr>
  </w:style>
  <w:style w:type="character" w:customStyle="1" w:styleId="1732">
    <w:name w:val="folder1"/>
    <w:basedOn w:val="86"/>
    <w:autoRedefine/>
    <w:qFormat/>
    <w:uiPriority w:val="0"/>
  </w:style>
  <w:style w:type="character" w:customStyle="1" w:styleId="1733">
    <w:name w:val="Char Char271"/>
    <w:autoRedefine/>
    <w:qFormat/>
    <w:uiPriority w:val="0"/>
    <w:rPr>
      <w:rFonts w:ascii="Arial" w:hAnsi="Arial"/>
      <w:i/>
      <w:lang w:val="en-US"/>
    </w:rPr>
  </w:style>
  <w:style w:type="character" w:customStyle="1" w:styleId="1734">
    <w:name w:val="Char Char4"/>
    <w:autoRedefine/>
    <w:qFormat/>
    <w:uiPriority w:val="0"/>
    <w:rPr>
      <w:kern w:val="2"/>
      <w:sz w:val="18"/>
      <w:szCs w:val="18"/>
    </w:rPr>
  </w:style>
  <w:style w:type="character" w:customStyle="1" w:styleId="1735">
    <w:name w:val="table Char"/>
    <w:link w:val="906"/>
    <w:autoRedefine/>
    <w:qFormat/>
    <w:uiPriority w:val="0"/>
    <w:rPr>
      <w:rFonts w:ascii="Times New Roman" w:hAnsi="Times New Roman" w:cs="Times New Roman"/>
      <w:kern w:val="2"/>
    </w:rPr>
  </w:style>
  <w:style w:type="character" w:customStyle="1" w:styleId="1736">
    <w:name w:val="样式 报告正文 + 首行缩进:  2 字符 Char"/>
    <w:link w:val="977"/>
    <w:autoRedefine/>
    <w:qFormat/>
    <w:uiPriority w:val="0"/>
    <w:rPr>
      <w:rFonts w:ascii="Times New Roman" w:hAnsi="Times New Roman" w:cs="Times New Roman"/>
      <w:sz w:val="24"/>
      <w:szCs w:val="24"/>
    </w:rPr>
  </w:style>
  <w:style w:type="character" w:customStyle="1" w:styleId="1737">
    <w:name w:val="Char Char102"/>
    <w:autoRedefine/>
    <w:qFormat/>
    <w:uiPriority w:val="0"/>
    <w:rPr>
      <w:rFonts w:eastAsia="宋体"/>
      <w:kern w:val="2"/>
      <w:sz w:val="18"/>
      <w:szCs w:val="18"/>
      <w:lang w:val="en-US" w:eastAsia="zh-CN" w:bidi="ar-SA"/>
    </w:rPr>
  </w:style>
  <w:style w:type="character" w:customStyle="1" w:styleId="1738">
    <w:name w:val="样式 标题 2 + 段前: 7.8 磅 段后: 7.8 磅 行距: 1.5 倍行距 Char Char Char Char"/>
    <w:autoRedefine/>
    <w:qFormat/>
    <w:uiPriority w:val="0"/>
    <w:rPr>
      <w:rFonts w:ascii="Arial" w:hAnsi="Arial" w:eastAsia="黑体" w:cs="宋体"/>
      <w:b/>
      <w:bCs/>
      <w:kern w:val="2"/>
      <w:sz w:val="30"/>
      <w:szCs w:val="32"/>
      <w:lang w:val="en-US" w:eastAsia="zh-CN" w:bidi="ar-SA"/>
    </w:rPr>
  </w:style>
  <w:style w:type="character" w:customStyle="1" w:styleId="1739">
    <w:name w:val="亚行正文 Char"/>
    <w:link w:val="926"/>
    <w:autoRedefine/>
    <w:qFormat/>
    <w:uiPriority w:val="0"/>
    <w:rPr>
      <w:rFonts w:ascii="Times New Roman" w:hAnsi="Times New Roman" w:cs="Times New Roman"/>
      <w:color w:val="000000"/>
      <w:sz w:val="24"/>
      <w:szCs w:val="24"/>
    </w:rPr>
  </w:style>
  <w:style w:type="character" w:customStyle="1" w:styleId="1740">
    <w:name w:val="style161"/>
    <w:autoRedefine/>
    <w:qFormat/>
    <w:uiPriority w:val="0"/>
    <w:rPr>
      <w:color w:val="000000"/>
      <w:sz w:val="23"/>
    </w:rPr>
  </w:style>
  <w:style w:type="character" w:customStyle="1" w:styleId="1741">
    <w:name w:val="style4"/>
    <w:basedOn w:val="86"/>
    <w:autoRedefine/>
    <w:qFormat/>
    <w:uiPriority w:val="0"/>
  </w:style>
  <w:style w:type="character" w:customStyle="1" w:styleId="1742">
    <w:name w:val="font021"/>
    <w:autoRedefine/>
    <w:qFormat/>
    <w:uiPriority w:val="0"/>
    <w:rPr>
      <w:rFonts w:hint="eastAsia" w:ascii="宋体" w:hAnsi="宋体" w:eastAsia="宋体"/>
      <w:color w:val="002065"/>
      <w:sz w:val="18"/>
      <w:szCs w:val="18"/>
    </w:rPr>
  </w:style>
  <w:style w:type="character" w:customStyle="1" w:styleId="1743">
    <w:name w:val="Char Char9"/>
    <w:autoRedefine/>
    <w:qFormat/>
    <w:uiPriority w:val="0"/>
    <w:rPr>
      <w:rFonts w:eastAsia="宋体"/>
      <w:kern w:val="2"/>
      <w:sz w:val="28"/>
      <w:szCs w:val="24"/>
      <w:lang w:val="en-US" w:eastAsia="zh-CN" w:bidi="ar-SA"/>
    </w:rPr>
  </w:style>
  <w:style w:type="character" w:customStyle="1" w:styleId="1744">
    <w:name w:val="a16"/>
    <w:autoRedefine/>
    <w:qFormat/>
    <w:uiPriority w:val="0"/>
  </w:style>
  <w:style w:type="character" w:customStyle="1" w:styleId="1745">
    <w:name w:val="Char Char341"/>
    <w:autoRedefine/>
    <w:qFormat/>
    <w:uiPriority w:val="0"/>
    <w:rPr>
      <w:rFonts w:ascii="Arial" w:hAnsi="Arial"/>
      <w:b/>
      <w:sz w:val="30"/>
      <w:lang w:val="en-US"/>
    </w:rPr>
  </w:style>
  <w:style w:type="character" w:customStyle="1" w:styleId="1746">
    <w:name w:val="【正文】 Char"/>
    <w:link w:val="1301"/>
    <w:autoRedefine/>
    <w:qFormat/>
    <w:uiPriority w:val="0"/>
    <w:rPr>
      <w:rFonts w:ascii="Times New Roman" w:hAnsi="Times New Roman" w:cs="Times New Roman"/>
      <w:spacing w:val="20"/>
      <w:sz w:val="24"/>
    </w:rPr>
  </w:style>
  <w:style w:type="character" w:customStyle="1" w:styleId="1747">
    <w:name w:val="label"/>
    <w:autoRedefine/>
    <w:qFormat/>
    <w:uiPriority w:val="0"/>
  </w:style>
  <w:style w:type="character" w:customStyle="1" w:styleId="1748">
    <w:name w:val="正文文本缩进 Char1"/>
    <w:autoRedefine/>
    <w:qFormat/>
    <w:uiPriority w:val="0"/>
    <w:rPr>
      <w:rFonts w:ascii="Calibri" w:hAnsi="Calibri" w:eastAsia="宋体"/>
      <w:sz w:val="24"/>
      <w:szCs w:val="22"/>
      <w:lang w:val="en-US" w:eastAsia="en-US" w:bidi="en-US"/>
    </w:rPr>
  </w:style>
  <w:style w:type="character" w:customStyle="1" w:styleId="1749">
    <w:name w:val="t12h291"/>
    <w:autoRedefine/>
    <w:qFormat/>
    <w:uiPriority w:val="0"/>
    <w:rPr>
      <w:color w:val="000000"/>
      <w:sz w:val="18"/>
      <w:szCs w:val="18"/>
    </w:rPr>
  </w:style>
  <w:style w:type="character" w:customStyle="1" w:styleId="1750">
    <w:name w:val="Char Char161"/>
    <w:autoRedefine/>
    <w:qFormat/>
    <w:uiPriority w:val="0"/>
    <w:rPr>
      <w:rFonts w:eastAsia="宋体"/>
      <w:sz w:val="24"/>
      <w:szCs w:val="24"/>
      <w:lang w:val="en-US" w:eastAsia="en-US" w:bidi="ar-SA"/>
    </w:rPr>
  </w:style>
  <w:style w:type="character" w:customStyle="1" w:styleId="1751">
    <w:name w:val="无间隔 Char1"/>
    <w:link w:val="1267"/>
    <w:autoRedefine/>
    <w:qFormat/>
    <w:uiPriority w:val="0"/>
    <w:rPr>
      <w:rFonts w:ascii="Times New Roman" w:hAnsi="Times New Roman" w:eastAsia="Times New Roman" w:cs="Times New Roman"/>
      <w:kern w:val="2"/>
      <w:sz w:val="22"/>
      <w:szCs w:val="22"/>
    </w:rPr>
  </w:style>
  <w:style w:type="character" w:customStyle="1" w:styleId="1752">
    <w:name w:val="项目正文内容 Char1"/>
    <w:link w:val="1199"/>
    <w:autoRedefine/>
    <w:qFormat/>
    <w:uiPriority w:val="0"/>
    <w:rPr>
      <w:rFonts w:ascii="宋体" w:hAnsi="Courier New" w:cs="Times New Roman"/>
      <w:sz w:val="24"/>
      <w:szCs w:val="21"/>
    </w:rPr>
  </w:style>
  <w:style w:type="character" w:customStyle="1" w:styleId="1753">
    <w:name w:val="syh2级标题 Char Char"/>
    <w:link w:val="1080"/>
    <w:autoRedefine/>
    <w:qFormat/>
    <w:uiPriority w:val="0"/>
    <w:rPr>
      <w:rFonts w:ascii="黑体" w:hAnsi="宋体" w:eastAsia="黑体" w:cs="Times New Roman"/>
      <w:b/>
      <w:sz w:val="28"/>
      <w:szCs w:val="28"/>
      <w:lang w:val="zh-CN"/>
    </w:rPr>
  </w:style>
  <w:style w:type="character" w:customStyle="1" w:styleId="1754">
    <w:name w:val="fu正文 Char"/>
    <w:autoRedefine/>
    <w:qFormat/>
    <w:uiPriority w:val="0"/>
    <w:rPr>
      <w:rFonts w:ascii="宋体" w:hAnsi="宋体" w:eastAsia="宋体"/>
      <w:color w:val="000000"/>
      <w:kern w:val="2"/>
      <w:sz w:val="24"/>
      <w:szCs w:val="24"/>
    </w:rPr>
  </w:style>
  <w:style w:type="character" w:customStyle="1" w:styleId="1755">
    <w:name w:val="xxxxx正文 Char"/>
    <w:link w:val="1149"/>
    <w:autoRedefine/>
    <w:qFormat/>
    <w:uiPriority w:val="0"/>
    <w:rPr>
      <w:rFonts w:ascii="Times New Roman" w:hAnsi="Times New Roman" w:cs="Times New Roman"/>
      <w:sz w:val="24"/>
      <w:szCs w:val="24"/>
      <w:lang w:val="zh-CN" w:eastAsia="en-US"/>
    </w:rPr>
  </w:style>
  <w:style w:type="character" w:customStyle="1" w:styleId="1756">
    <w:name w:val="datetime2"/>
    <w:autoRedefine/>
    <w:qFormat/>
    <w:uiPriority w:val="0"/>
    <w:rPr>
      <w:sz w:val="22"/>
      <w:szCs w:val="22"/>
    </w:rPr>
  </w:style>
  <w:style w:type="character" w:customStyle="1" w:styleId="1757">
    <w:name w:val="bds_more2"/>
    <w:autoRedefine/>
    <w:qFormat/>
    <w:uiPriority w:val="0"/>
  </w:style>
  <w:style w:type="character" w:customStyle="1" w:styleId="1758">
    <w:name w:val="图标题 Char"/>
    <w:link w:val="1153"/>
    <w:autoRedefine/>
    <w:qFormat/>
    <w:uiPriority w:val="0"/>
    <w:rPr>
      <w:rFonts w:ascii="Times New Roman" w:hAnsi="Times New Roman" w:cs="Times New Roman"/>
      <w:b/>
      <w:bCs/>
      <w:color w:val="000000"/>
      <w:sz w:val="24"/>
      <w:lang w:val="zh-CN"/>
    </w:rPr>
  </w:style>
  <w:style w:type="character" w:customStyle="1" w:styleId="1759">
    <w:name w:val="hover80"/>
    <w:autoRedefine/>
    <w:qFormat/>
    <w:uiPriority w:val="0"/>
    <w:rPr>
      <w:color w:val="006BB6"/>
    </w:rPr>
  </w:style>
  <w:style w:type="character" w:customStyle="1" w:styleId="1760">
    <w:name w:val="apple-converted-space"/>
    <w:basedOn w:val="86"/>
    <w:autoRedefine/>
    <w:qFormat/>
    <w:uiPriority w:val="0"/>
  </w:style>
  <w:style w:type="character" w:customStyle="1" w:styleId="1761">
    <w:name w:val="datetime37"/>
    <w:basedOn w:val="86"/>
    <w:autoRedefine/>
    <w:qFormat/>
    <w:uiPriority w:val="0"/>
  </w:style>
  <w:style w:type="character" w:customStyle="1" w:styleId="1762">
    <w:name w:val="4正文 Char"/>
    <w:autoRedefine/>
    <w:qFormat/>
    <w:uiPriority w:val="0"/>
    <w:rPr>
      <w:rFonts w:cs="宋体"/>
      <w:kern w:val="2"/>
      <w:sz w:val="24"/>
    </w:rPr>
  </w:style>
  <w:style w:type="character" w:customStyle="1" w:styleId="1763">
    <w:name w:val="5-正文 Char"/>
    <w:link w:val="1110"/>
    <w:autoRedefine/>
    <w:qFormat/>
    <w:locked/>
    <w:uiPriority w:val="0"/>
    <w:rPr>
      <w:rFonts w:ascii="Times New Roman" w:hAnsi="Times New Roman" w:cs="Times New Roman"/>
      <w:kern w:val="2"/>
      <w:sz w:val="24"/>
    </w:rPr>
  </w:style>
  <w:style w:type="character" w:customStyle="1" w:styleId="1764">
    <w:name w:val="Char Char363"/>
    <w:autoRedefine/>
    <w:qFormat/>
    <w:uiPriority w:val="0"/>
    <w:rPr>
      <w:rFonts w:eastAsia="宋体" w:cs="Courier New"/>
      <w:b/>
      <w:bCs/>
      <w:kern w:val="2"/>
      <w:sz w:val="28"/>
      <w:szCs w:val="32"/>
      <w:lang w:val="en-US" w:eastAsia="zh-CN" w:bidi="ar-SA"/>
    </w:rPr>
  </w:style>
  <w:style w:type="character" w:customStyle="1" w:styleId="1765">
    <w:name w:val="Char Char21"/>
    <w:autoRedefine/>
    <w:qFormat/>
    <w:uiPriority w:val="0"/>
    <w:rPr>
      <w:rFonts w:eastAsia="宋体"/>
      <w:kern w:val="2"/>
      <w:sz w:val="18"/>
      <w:lang w:val="en-US" w:eastAsia="zh-CN" w:bidi="ar-SA"/>
    </w:rPr>
  </w:style>
  <w:style w:type="character" w:customStyle="1" w:styleId="1766">
    <w:name w:val="keyword"/>
    <w:autoRedefine/>
    <w:qFormat/>
    <w:uiPriority w:val="0"/>
  </w:style>
  <w:style w:type="character" w:customStyle="1" w:styleId="1767">
    <w:name w:val="报告书正文 Char1"/>
    <w:autoRedefine/>
    <w:qFormat/>
    <w:uiPriority w:val="0"/>
    <w:rPr>
      <w:rFonts w:eastAsia="宋体"/>
      <w:kern w:val="2"/>
      <w:sz w:val="24"/>
      <w:szCs w:val="24"/>
      <w:lang w:val="en-US" w:eastAsia="zh-CN" w:bidi="ar-SA"/>
    </w:rPr>
  </w:style>
  <w:style w:type="character" w:customStyle="1" w:styleId="1768">
    <w:name w:val="正文样式1 Char1"/>
    <w:link w:val="915"/>
    <w:autoRedefine/>
    <w:qFormat/>
    <w:uiPriority w:val="0"/>
    <w:rPr>
      <w:rFonts w:ascii="Times New Roman" w:hAnsi="Times New Roman" w:cs="Times New Roman"/>
      <w:sz w:val="24"/>
      <w:lang w:eastAsia="en-US"/>
    </w:rPr>
  </w:style>
  <w:style w:type="character" w:customStyle="1" w:styleId="1769">
    <w:name w:val="hover81"/>
    <w:autoRedefine/>
    <w:qFormat/>
    <w:uiPriority w:val="0"/>
    <w:rPr>
      <w:color w:val="484848"/>
      <w:shd w:val="clear" w:color="auto" w:fill="EEFAFF"/>
    </w:rPr>
  </w:style>
  <w:style w:type="character" w:customStyle="1" w:styleId="1770">
    <w:name w:val="datetime39"/>
    <w:basedOn w:val="86"/>
    <w:autoRedefine/>
    <w:qFormat/>
    <w:uiPriority w:val="0"/>
  </w:style>
  <w:style w:type="character" w:customStyle="1" w:styleId="1771">
    <w:name w:val="Char Char242"/>
    <w:autoRedefine/>
    <w:qFormat/>
    <w:uiPriority w:val="0"/>
    <w:rPr>
      <w:kern w:val="2"/>
      <w:sz w:val="18"/>
      <w:szCs w:val="18"/>
    </w:rPr>
  </w:style>
  <w:style w:type="character" w:customStyle="1" w:styleId="1772">
    <w:name w:val="pagebanner"/>
    <w:autoRedefine/>
    <w:qFormat/>
    <w:uiPriority w:val="0"/>
  </w:style>
  <w:style w:type="character" w:customStyle="1" w:styleId="1773">
    <w:name w:val="Char Char22"/>
    <w:autoRedefine/>
    <w:qFormat/>
    <w:uiPriority w:val="0"/>
    <w:rPr>
      <w:rFonts w:eastAsia="宋体"/>
      <w:b/>
      <w:bCs/>
      <w:kern w:val="2"/>
      <w:sz w:val="32"/>
      <w:szCs w:val="32"/>
      <w:lang w:val="en-US" w:eastAsia="zh-CN" w:bidi="ar-SA"/>
    </w:rPr>
  </w:style>
  <w:style w:type="character" w:customStyle="1" w:styleId="1774">
    <w:name w:val="x正文 Char"/>
    <w:autoRedefine/>
    <w:qFormat/>
    <w:uiPriority w:val="0"/>
    <w:rPr>
      <w:rFonts w:eastAsia="宋体"/>
      <w:kern w:val="2"/>
      <w:sz w:val="24"/>
      <w:szCs w:val="21"/>
      <w:lang w:val="en-US" w:eastAsia="zh-CN" w:bidi="ar-SA"/>
    </w:rPr>
  </w:style>
  <w:style w:type="character" w:customStyle="1" w:styleId="1775">
    <w:name w:val="info11"/>
    <w:autoRedefine/>
    <w:qFormat/>
    <w:uiPriority w:val="0"/>
    <w:rPr>
      <w:rFonts w:hint="eastAsia" w:ascii="宋体" w:hAnsi="宋体" w:eastAsia="宋体" w:cs="宋体"/>
      <w:color w:val="006BB6"/>
      <w:sz w:val="21"/>
      <w:szCs w:val="21"/>
    </w:rPr>
  </w:style>
  <w:style w:type="character" w:customStyle="1" w:styleId="1776">
    <w:name w:val="报告书正文 Char Char"/>
    <w:link w:val="783"/>
    <w:autoRedefine/>
    <w:qFormat/>
    <w:uiPriority w:val="0"/>
    <w:rPr>
      <w:rFonts w:ascii="宋体" w:hAnsi="宋体" w:cs="Times New Roman"/>
      <w:sz w:val="24"/>
      <w:szCs w:val="24"/>
      <w:lang w:val="zh-CN" w:bidi="zh-CN"/>
    </w:rPr>
  </w:style>
  <w:style w:type="character" w:customStyle="1" w:styleId="1777">
    <w:name w:val="Char Char251"/>
    <w:autoRedefine/>
    <w:qFormat/>
    <w:uiPriority w:val="0"/>
    <w:rPr>
      <w:kern w:val="2"/>
      <w:sz w:val="18"/>
      <w:szCs w:val="18"/>
    </w:rPr>
  </w:style>
  <w:style w:type="character" w:customStyle="1" w:styleId="1778">
    <w:name w:val="datetime16"/>
    <w:basedOn w:val="86"/>
    <w:autoRedefine/>
    <w:qFormat/>
    <w:uiPriority w:val="0"/>
  </w:style>
  <w:style w:type="character" w:customStyle="1" w:styleId="1779">
    <w:name w:val="datetime31"/>
    <w:basedOn w:val="86"/>
    <w:autoRedefine/>
    <w:qFormat/>
    <w:uiPriority w:val="0"/>
  </w:style>
  <w:style w:type="character" w:customStyle="1" w:styleId="1780">
    <w:name w:val="Char Char281"/>
    <w:autoRedefine/>
    <w:qFormat/>
    <w:uiPriority w:val="0"/>
    <w:rPr>
      <w:rFonts w:ascii="Arial" w:hAnsi="Arial"/>
      <w:lang w:val="en-US"/>
    </w:rPr>
  </w:style>
  <w:style w:type="character" w:customStyle="1" w:styleId="1781">
    <w:name w:val="first-child"/>
    <w:basedOn w:val="86"/>
    <w:autoRedefine/>
    <w:qFormat/>
    <w:uiPriority w:val="0"/>
  </w:style>
  <w:style w:type="character" w:customStyle="1" w:styleId="1782">
    <w:name w:val="split4"/>
    <w:autoRedefine/>
    <w:qFormat/>
    <w:uiPriority w:val="0"/>
  </w:style>
  <w:style w:type="character" w:customStyle="1" w:styleId="1783">
    <w:name w:val="Normal Char Char"/>
    <w:autoRedefine/>
    <w:qFormat/>
    <w:uiPriority w:val="0"/>
    <w:rPr>
      <w:rFonts w:ascii="宋体" w:eastAsia="宋体"/>
      <w:sz w:val="24"/>
      <w:lang w:val="en-US" w:eastAsia="zh-CN" w:bidi="ar-SA"/>
    </w:rPr>
  </w:style>
  <w:style w:type="character" w:customStyle="1" w:styleId="1784">
    <w:name w:val="Char Char172"/>
    <w:autoRedefine/>
    <w:semiHidden/>
    <w:qFormat/>
    <w:uiPriority w:val="0"/>
    <w:rPr>
      <w:sz w:val="18"/>
      <w:szCs w:val="18"/>
    </w:rPr>
  </w:style>
  <w:style w:type="character" w:customStyle="1" w:styleId="1785">
    <w:name w:val="font111"/>
    <w:autoRedefine/>
    <w:qFormat/>
    <w:uiPriority w:val="0"/>
    <w:rPr>
      <w:rFonts w:hint="eastAsia" w:ascii="宋体" w:hAnsi="宋体" w:eastAsia="宋体"/>
      <w:b/>
      <w:bCs/>
      <w:color w:val="426196"/>
      <w:sz w:val="24"/>
      <w:szCs w:val="24"/>
    </w:rPr>
  </w:style>
  <w:style w:type="character" w:customStyle="1" w:styleId="1786">
    <w:name w:val="正文文本首行缩进 2 字符1"/>
    <w:autoRedefine/>
    <w:qFormat/>
    <w:uiPriority w:val="99"/>
    <w:rPr>
      <w:rFonts w:ascii="Times New Roman" w:hAnsi="Times New Roman" w:eastAsia="宋体" w:cs="Times New Roman"/>
      <w:sz w:val="32"/>
      <w:szCs w:val="20"/>
    </w:rPr>
  </w:style>
  <w:style w:type="character" w:customStyle="1" w:styleId="1787">
    <w:name w:val="样式 表头 + (中文) 宋体 Char Char"/>
    <w:link w:val="1323"/>
    <w:autoRedefine/>
    <w:qFormat/>
    <w:uiPriority w:val="0"/>
    <w:rPr>
      <w:rFonts w:ascii="宋体" w:hAnsi="Times New Roman" w:cs="Times New Roman"/>
      <w:b/>
      <w:bCs/>
      <w:snapToGrid w:val="0"/>
      <w:color w:val="000000"/>
      <w:szCs w:val="21"/>
      <w:lang w:eastAsia="en-US"/>
    </w:rPr>
  </w:style>
  <w:style w:type="character" w:customStyle="1" w:styleId="1788">
    <w:name w:val="标题 1 Char1"/>
    <w:autoRedefine/>
    <w:qFormat/>
    <w:uiPriority w:val="0"/>
    <w:rPr>
      <w:rFonts w:eastAsia="宋体"/>
      <w:b/>
      <w:bCs/>
      <w:kern w:val="44"/>
      <w:sz w:val="44"/>
      <w:szCs w:val="44"/>
      <w:lang w:val="en-US" w:eastAsia="zh-CN" w:bidi="ar-SA"/>
    </w:rPr>
  </w:style>
  <w:style w:type="character" w:customStyle="1" w:styleId="1789">
    <w:name w:val="num"/>
    <w:autoRedefine/>
    <w:qFormat/>
    <w:uiPriority w:val="0"/>
    <w:rPr>
      <w:b/>
      <w:color w:val="FF7800"/>
    </w:rPr>
  </w:style>
  <w:style w:type="character" w:customStyle="1" w:styleId="1790">
    <w:name w:val="9dpi1"/>
    <w:autoRedefine/>
    <w:qFormat/>
    <w:uiPriority w:val="0"/>
    <w:rPr>
      <w:spacing w:val="30"/>
      <w:sz w:val="18"/>
      <w:szCs w:val="18"/>
    </w:rPr>
  </w:style>
  <w:style w:type="character" w:customStyle="1" w:styleId="1791">
    <w:name w:val="正文文字 Char2"/>
    <w:autoRedefine/>
    <w:qFormat/>
    <w:uiPriority w:val="0"/>
    <w:rPr>
      <w:rFonts w:ascii="Times New Roman" w:hAnsi="Times New Roman" w:eastAsia="宋体" w:cs="Times New Roman"/>
      <w:szCs w:val="24"/>
    </w:rPr>
  </w:style>
  <w:style w:type="table" w:customStyle="1" w:styleId="1792">
    <w:name w:val="网格型2"/>
    <w:basedOn w:val="82"/>
    <w:autoRedefine/>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3">
    <w:name w:val="网格型1"/>
    <w:basedOn w:val="82"/>
    <w:autoRedefine/>
    <w:qFormat/>
    <w:uiPriority w:val="0"/>
    <w:rPr>
      <w:rFonts w:eastAsia="黑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4">
    <w:name w:val="网格型4"/>
    <w:basedOn w:val="82"/>
    <w:autoRedefine/>
    <w:qFormat/>
    <w:uiPriority w:val="9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5">
    <w:name w:val="网格型3"/>
    <w:basedOn w:val="82"/>
    <w:autoRedefine/>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6">
    <w:name w:val="Table Normal"/>
    <w:autoRedefine/>
    <w:unhideWhenUsed/>
    <w:qFormat/>
    <w:uiPriority w:val="2"/>
    <w:pPr>
      <w:widowControl w:val="0"/>
    </w:pPr>
    <w:rPr>
      <w:sz w:val="22"/>
      <w:szCs w:val="22"/>
      <w:lang w:eastAsia="en-US"/>
    </w:rPr>
    <w:tblPr>
      <w:tblCellMar>
        <w:top w:w="0" w:type="dxa"/>
        <w:left w:w="0" w:type="dxa"/>
        <w:bottom w:w="0" w:type="dxa"/>
        <w:right w:w="0" w:type="dxa"/>
      </w:tblCellMar>
    </w:tblPr>
  </w:style>
  <w:style w:type="paragraph" w:customStyle="1" w:styleId="1797">
    <w:name w:val="tb"/>
    <w:basedOn w:val="1"/>
    <w:autoRedefine/>
    <w:qFormat/>
    <w:uiPriority w:val="0"/>
    <w:pPr>
      <w:widowControl w:val="0"/>
      <w:snapToGrid w:val="0"/>
      <w:spacing w:line="360" w:lineRule="exact"/>
      <w:jc w:val="center"/>
    </w:pPr>
    <w:rPr>
      <w:rFonts w:ascii="Calibri" w:hAnsi="Calibri"/>
      <w:snapToGrid w:val="0"/>
      <w:kern w:val="0"/>
      <w:szCs w:val="18"/>
    </w:rPr>
  </w:style>
  <w:style w:type="paragraph" w:customStyle="1" w:styleId="1798">
    <w:name w:val="修订31"/>
    <w:autoRedefine/>
    <w:hidden/>
    <w:unhideWhenUsed/>
    <w:qFormat/>
    <w:uiPriority w:val="99"/>
    <w:rPr>
      <w:rFonts w:ascii="Times New Roman" w:hAnsi="Times New Roman" w:eastAsia="宋体" w:cs="Times New Roman"/>
      <w:kern w:val="2"/>
      <w:sz w:val="24"/>
      <w:lang w:val="en-US" w:eastAsia="zh-CN" w:bidi="ar-SA"/>
    </w:rPr>
  </w:style>
  <w:style w:type="character" w:customStyle="1" w:styleId="1799">
    <w:name w:val="Unresolved Mention"/>
    <w:basedOn w:val="86"/>
    <w:autoRedefine/>
    <w:semiHidden/>
    <w:unhideWhenUsed/>
    <w:qFormat/>
    <w:uiPriority w:val="99"/>
    <w:rPr>
      <w:color w:val="605E5C"/>
      <w:shd w:val="clear" w:color="auto" w:fill="E1DFDD"/>
    </w:rPr>
  </w:style>
  <w:style w:type="paragraph" w:customStyle="1" w:styleId="1800">
    <w:name w:val="d表格-单倍行距"/>
    <w:autoRedefine/>
    <w:qFormat/>
    <w:uiPriority w:val="0"/>
    <w:pPr>
      <w:jc w:val="center"/>
    </w:pPr>
    <w:rPr>
      <w:rFonts w:ascii="Times New Roman" w:hAnsi="Times New Roman" w:eastAsia="宋体" w:cs="Times New Roman"/>
      <w:sz w:val="21"/>
      <w:szCs w:val="21"/>
      <w:lang w:val="en-US" w:eastAsia="zh-CN" w:bidi="ar-SA"/>
    </w:rPr>
  </w:style>
  <w:style w:type="character" w:customStyle="1" w:styleId="1801">
    <w:name w:val="cf01"/>
    <w:basedOn w:val="86"/>
    <w:autoRedefine/>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9" Type="http://schemas.openxmlformats.org/officeDocument/2006/relationships/chart" Target="charts/chart8.xml"/><Relationship Id="rId98" Type="http://schemas.openxmlformats.org/officeDocument/2006/relationships/image" Target="media/image68.jpeg"/><Relationship Id="rId97" Type="http://schemas.openxmlformats.org/officeDocument/2006/relationships/image" Target="media/image67.jpeg"/><Relationship Id="rId96" Type="http://schemas.openxmlformats.org/officeDocument/2006/relationships/chart" Target="charts/chart7.xml"/><Relationship Id="rId95" Type="http://schemas.openxmlformats.org/officeDocument/2006/relationships/chart" Target="charts/chart6.xml"/><Relationship Id="rId94" Type="http://schemas.openxmlformats.org/officeDocument/2006/relationships/image" Target="media/image66.jpeg"/><Relationship Id="rId93" Type="http://schemas.openxmlformats.org/officeDocument/2006/relationships/chart" Target="charts/chart5.xml"/><Relationship Id="rId92" Type="http://schemas.openxmlformats.org/officeDocument/2006/relationships/image" Target="media/image65.jpeg"/><Relationship Id="rId91" Type="http://schemas.openxmlformats.org/officeDocument/2006/relationships/image" Target="media/image64.jpeg"/><Relationship Id="rId90" Type="http://schemas.openxmlformats.org/officeDocument/2006/relationships/image" Target="media/image63.jpeg"/><Relationship Id="rId9" Type="http://schemas.openxmlformats.org/officeDocument/2006/relationships/footer" Target="footer2.xml"/><Relationship Id="rId89" Type="http://schemas.openxmlformats.org/officeDocument/2006/relationships/image" Target="media/image62.jpeg"/><Relationship Id="rId88" Type="http://schemas.openxmlformats.org/officeDocument/2006/relationships/image" Target="media/image61.jpeg"/><Relationship Id="rId87" Type="http://schemas.openxmlformats.org/officeDocument/2006/relationships/chart" Target="charts/chart4.xml"/><Relationship Id="rId86" Type="http://schemas.openxmlformats.org/officeDocument/2006/relationships/chart" Target="charts/chart3.xml"/><Relationship Id="rId85" Type="http://schemas.openxmlformats.org/officeDocument/2006/relationships/image" Target="media/image60.jpeg"/><Relationship Id="rId84" Type="http://schemas.openxmlformats.org/officeDocument/2006/relationships/image" Target="media/image59.jpeg"/><Relationship Id="rId83" Type="http://schemas.openxmlformats.org/officeDocument/2006/relationships/image" Target="media/image58.jpeg"/><Relationship Id="rId82" Type="http://schemas.openxmlformats.org/officeDocument/2006/relationships/image" Target="media/image57.jpeg"/><Relationship Id="rId81" Type="http://schemas.openxmlformats.org/officeDocument/2006/relationships/image" Target="media/image56.jpeg"/><Relationship Id="rId80" Type="http://schemas.openxmlformats.org/officeDocument/2006/relationships/image" Target="media/image55.jpeg"/><Relationship Id="rId8" Type="http://schemas.openxmlformats.org/officeDocument/2006/relationships/footer" Target="footer1.xml"/><Relationship Id="rId79" Type="http://schemas.openxmlformats.org/officeDocument/2006/relationships/image" Target="media/image54.jpeg"/><Relationship Id="rId78" Type="http://schemas.openxmlformats.org/officeDocument/2006/relationships/image" Target="media/image53.jpeg"/><Relationship Id="rId77" Type="http://schemas.openxmlformats.org/officeDocument/2006/relationships/image" Target="media/image52.png"/><Relationship Id="rId76" Type="http://schemas.openxmlformats.org/officeDocument/2006/relationships/image" Target="media/image51.jpeg"/><Relationship Id="rId75" Type="http://schemas.openxmlformats.org/officeDocument/2006/relationships/image" Target="media/image50.jpeg"/><Relationship Id="rId74" Type="http://schemas.openxmlformats.org/officeDocument/2006/relationships/chart" Target="charts/chart2.xml"/><Relationship Id="rId73" Type="http://schemas.openxmlformats.org/officeDocument/2006/relationships/chart" Target="charts/chart1.xml"/><Relationship Id="rId72" Type="http://schemas.openxmlformats.org/officeDocument/2006/relationships/image" Target="media/image49.png"/><Relationship Id="rId71" Type="http://schemas.openxmlformats.org/officeDocument/2006/relationships/image" Target="media/image48.jpeg"/><Relationship Id="rId70" Type="http://schemas.openxmlformats.org/officeDocument/2006/relationships/image" Target="media/image47.png"/><Relationship Id="rId7" Type="http://schemas.openxmlformats.org/officeDocument/2006/relationships/header" Target="header3.xml"/><Relationship Id="rId69" Type="http://schemas.openxmlformats.org/officeDocument/2006/relationships/image" Target="media/image46.jpeg"/><Relationship Id="rId68" Type="http://schemas.openxmlformats.org/officeDocument/2006/relationships/image" Target="media/image45.jpeg"/><Relationship Id="rId67" Type="http://schemas.openxmlformats.org/officeDocument/2006/relationships/image" Target="media/image44.jpeg"/><Relationship Id="rId66" Type="http://schemas.openxmlformats.org/officeDocument/2006/relationships/image" Target="media/image43.jpeg"/><Relationship Id="rId65" Type="http://schemas.openxmlformats.org/officeDocument/2006/relationships/image" Target="media/image42.jpeg"/><Relationship Id="rId64" Type="http://schemas.openxmlformats.org/officeDocument/2006/relationships/image" Target="media/image41.jpeg"/><Relationship Id="rId63" Type="http://schemas.openxmlformats.org/officeDocument/2006/relationships/image" Target="media/image40.jpeg"/><Relationship Id="rId62" Type="http://schemas.openxmlformats.org/officeDocument/2006/relationships/image" Target="media/image39.jpeg"/><Relationship Id="rId61" Type="http://schemas.openxmlformats.org/officeDocument/2006/relationships/image" Target="media/image38.jpeg"/><Relationship Id="rId60" Type="http://schemas.openxmlformats.org/officeDocument/2006/relationships/image" Target="media/image37.jpeg"/><Relationship Id="rId6" Type="http://schemas.openxmlformats.org/officeDocument/2006/relationships/header" Target="header2.xml"/><Relationship Id="rId59" Type="http://schemas.openxmlformats.org/officeDocument/2006/relationships/image" Target="media/image36.jpeg"/><Relationship Id="rId58" Type="http://schemas.openxmlformats.org/officeDocument/2006/relationships/image" Target="media/image35.jpeg"/><Relationship Id="rId57" Type="http://schemas.openxmlformats.org/officeDocument/2006/relationships/image" Target="media/image34.jpeg"/><Relationship Id="rId56" Type="http://schemas.openxmlformats.org/officeDocument/2006/relationships/image" Target="media/image33.jpeg"/><Relationship Id="rId55" Type="http://schemas.openxmlformats.org/officeDocument/2006/relationships/image" Target="media/image32.png"/><Relationship Id="rId54" Type="http://schemas.openxmlformats.org/officeDocument/2006/relationships/image" Target="media/image31.png"/><Relationship Id="rId53" Type="http://schemas.openxmlformats.org/officeDocument/2006/relationships/image" Target="media/image30.wmf"/><Relationship Id="rId52" Type="http://schemas.openxmlformats.org/officeDocument/2006/relationships/oleObject" Target="embeddings/oleObject4.bin"/><Relationship Id="rId51" Type="http://schemas.openxmlformats.org/officeDocument/2006/relationships/image" Target="media/image29.jpeg"/><Relationship Id="rId50" Type="http://schemas.openxmlformats.org/officeDocument/2006/relationships/image" Target="media/image28.jpeg"/><Relationship Id="rId5" Type="http://schemas.openxmlformats.org/officeDocument/2006/relationships/header" Target="header1.xml"/><Relationship Id="rId49" Type="http://schemas.openxmlformats.org/officeDocument/2006/relationships/image" Target="media/image27.jpeg"/><Relationship Id="rId48" Type="http://schemas.openxmlformats.org/officeDocument/2006/relationships/image" Target="media/image26.wmf"/><Relationship Id="rId47" Type="http://schemas.openxmlformats.org/officeDocument/2006/relationships/oleObject" Target="embeddings/oleObject3.bin"/><Relationship Id="rId46" Type="http://schemas.openxmlformats.org/officeDocument/2006/relationships/image" Target="media/image25.jpeg"/><Relationship Id="rId45" Type="http://schemas.openxmlformats.org/officeDocument/2006/relationships/image" Target="media/image24.wmf"/><Relationship Id="rId44" Type="http://schemas.openxmlformats.org/officeDocument/2006/relationships/oleObject" Target="embeddings/oleObject2.bin"/><Relationship Id="rId43" Type="http://schemas.openxmlformats.org/officeDocument/2006/relationships/image" Target="media/image23.jpe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endnotes" Target="endnotes.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emf"/><Relationship Id="rId31" Type="http://schemas.openxmlformats.org/officeDocument/2006/relationships/oleObject" Target="embeddings/oleObject1.bin"/><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3" Type="http://schemas.openxmlformats.org/officeDocument/2006/relationships/fontTable" Target="fontTable.xml"/><Relationship Id="rId282" Type="http://schemas.openxmlformats.org/officeDocument/2006/relationships/customXml" Target="../customXml/item2.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image" Target="media/image9.jpeg"/><Relationship Id="rId279" Type="http://schemas.openxmlformats.org/officeDocument/2006/relationships/image" Target="media/image191.png"/><Relationship Id="rId278" Type="http://schemas.openxmlformats.org/officeDocument/2006/relationships/image" Target="media/image190.jpeg"/><Relationship Id="rId277" Type="http://schemas.openxmlformats.org/officeDocument/2006/relationships/image" Target="media/image189.jpeg"/><Relationship Id="rId276" Type="http://schemas.openxmlformats.org/officeDocument/2006/relationships/image" Target="media/image188.jpeg"/><Relationship Id="rId275" Type="http://schemas.openxmlformats.org/officeDocument/2006/relationships/image" Target="media/image187.jpeg"/><Relationship Id="rId274" Type="http://schemas.openxmlformats.org/officeDocument/2006/relationships/image" Target="media/image186.jpeg"/><Relationship Id="rId273" Type="http://schemas.openxmlformats.org/officeDocument/2006/relationships/image" Target="media/image185.jpeg"/><Relationship Id="rId272" Type="http://schemas.openxmlformats.org/officeDocument/2006/relationships/image" Target="media/image184.jpeg"/><Relationship Id="rId271" Type="http://schemas.openxmlformats.org/officeDocument/2006/relationships/image" Target="media/image183.jpeg"/><Relationship Id="rId270" Type="http://schemas.openxmlformats.org/officeDocument/2006/relationships/image" Target="media/image182.jpeg"/><Relationship Id="rId27" Type="http://schemas.openxmlformats.org/officeDocument/2006/relationships/image" Target="media/image8.jpeg"/><Relationship Id="rId269" Type="http://schemas.openxmlformats.org/officeDocument/2006/relationships/image" Target="media/image181.jpeg"/><Relationship Id="rId268" Type="http://schemas.openxmlformats.org/officeDocument/2006/relationships/image" Target="media/image180.jpeg"/><Relationship Id="rId267" Type="http://schemas.openxmlformats.org/officeDocument/2006/relationships/image" Target="media/image179.jpeg"/><Relationship Id="rId266" Type="http://schemas.openxmlformats.org/officeDocument/2006/relationships/image" Target="media/image178.jpeg"/><Relationship Id="rId265" Type="http://schemas.openxmlformats.org/officeDocument/2006/relationships/image" Target="media/image177.jpeg"/><Relationship Id="rId264" Type="http://schemas.openxmlformats.org/officeDocument/2006/relationships/image" Target="media/image176.jpeg"/><Relationship Id="rId263" Type="http://schemas.openxmlformats.org/officeDocument/2006/relationships/image" Target="media/image175.jpeg"/><Relationship Id="rId262" Type="http://schemas.openxmlformats.org/officeDocument/2006/relationships/image" Target="media/image174.jpeg"/><Relationship Id="rId261" Type="http://schemas.openxmlformats.org/officeDocument/2006/relationships/image" Target="media/image173.jpeg"/><Relationship Id="rId260" Type="http://schemas.openxmlformats.org/officeDocument/2006/relationships/image" Target="media/image172.jpeg"/><Relationship Id="rId26" Type="http://schemas.openxmlformats.org/officeDocument/2006/relationships/image" Target="media/image7.jpeg"/><Relationship Id="rId259" Type="http://schemas.openxmlformats.org/officeDocument/2006/relationships/image" Target="media/image171.jpeg"/><Relationship Id="rId258" Type="http://schemas.openxmlformats.org/officeDocument/2006/relationships/image" Target="media/image170.jpeg"/><Relationship Id="rId257" Type="http://schemas.openxmlformats.org/officeDocument/2006/relationships/image" Target="media/image169.jpeg"/><Relationship Id="rId256" Type="http://schemas.openxmlformats.org/officeDocument/2006/relationships/image" Target="media/image168.jpeg"/><Relationship Id="rId255" Type="http://schemas.openxmlformats.org/officeDocument/2006/relationships/image" Target="media/image167.jpeg"/><Relationship Id="rId254" Type="http://schemas.openxmlformats.org/officeDocument/2006/relationships/image" Target="media/image166.jpeg"/><Relationship Id="rId253" Type="http://schemas.openxmlformats.org/officeDocument/2006/relationships/image" Target="media/image165.jpeg"/><Relationship Id="rId252" Type="http://schemas.openxmlformats.org/officeDocument/2006/relationships/image" Target="media/image164.jpeg"/><Relationship Id="rId251" Type="http://schemas.openxmlformats.org/officeDocument/2006/relationships/image" Target="media/image163.jpeg"/><Relationship Id="rId250" Type="http://schemas.openxmlformats.org/officeDocument/2006/relationships/image" Target="media/image162.jpeg"/><Relationship Id="rId25" Type="http://schemas.openxmlformats.org/officeDocument/2006/relationships/image" Target="media/image6.png"/><Relationship Id="rId249" Type="http://schemas.openxmlformats.org/officeDocument/2006/relationships/image" Target="media/image161.jpeg"/><Relationship Id="rId248" Type="http://schemas.openxmlformats.org/officeDocument/2006/relationships/image" Target="media/image160.jpeg"/><Relationship Id="rId247" Type="http://schemas.openxmlformats.org/officeDocument/2006/relationships/image" Target="media/image159.jpeg"/><Relationship Id="rId246" Type="http://schemas.openxmlformats.org/officeDocument/2006/relationships/image" Target="media/image158.jpeg"/><Relationship Id="rId245" Type="http://schemas.openxmlformats.org/officeDocument/2006/relationships/image" Target="media/image157.jpeg"/><Relationship Id="rId244" Type="http://schemas.openxmlformats.org/officeDocument/2006/relationships/image" Target="media/image156.jpeg"/><Relationship Id="rId243" Type="http://schemas.openxmlformats.org/officeDocument/2006/relationships/image" Target="media/image155.jpeg"/><Relationship Id="rId242" Type="http://schemas.openxmlformats.org/officeDocument/2006/relationships/image" Target="media/image154.jpeg"/><Relationship Id="rId241" Type="http://schemas.openxmlformats.org/officeDocument/2006/relationships/image" Target="media/image153.jpeg"/><Relationship Id="rId240" Type="http://schemas.openxmlformats.org/officeDocument/2006/relationships/image" Target="media/image152.jpeg"/><Relationship Id="rId24" Type="http://schemas.openxmlformats.org/officeDocument/2006/relationships/image" Target="media/image5.wmf"/><Relationship Id="rId239" Type="http://schemas.openxmlformats.org/officeDocument/2006/relationships/image" Target="media/image151.jpeg"/><Relationship Id="rId238" Type="http://schemas.openxmlformats.org/officeDocument/2006/relationships/image" Target="media/image150.jpeg"/><Relationship Id="rId237" Type="http://schemas.openxmlformats.org/officeDocument/2006/relationships/image" Target="media/image149.png"/><Relationship Id="rId236" Type="http://schemas.openxmlformats.org/officeDocument/2006/relationships/image" Target="media/image148.jpeg"/><Relationship Id="rId235" Type="http://schemas.openxmlformats.org/officeDocument/2006/relationships/image" Target="media/image147.jpeg"/><Relationship Id="rId234" Type="http://schemas.openxmlformats.org/officeDocument/2006/relationships/image" Target="media/image146.jpeg"/><Relationship Id="rId233" Type="http://schemas.openxmlformats.org/officeDocument/2006/relationships/image" Target="media/image145.jpeg"/><Relationship Id="rId232" Type="http://schemas.openxmlformats.org/officeDocument/2006/relationships/image" Target="media/image144.jpeg"/><Relationship Id="rId231" Type="http://schemas.openxmlformats.org/officeDocument/2006/relationships/image" Target="media/image143.jpeg"/><Relationship Id="rId230" Type="http://schemas.openxmlformats.org/officeDocument/2006/relationships/image" Target="media/image142.jpeg"/><Relationship Id="rId23" Type="http://schemas.openxmlformats.org/officeDocument/2006/relationships/image" Target="media/image4.png"/><Relationship Id="rId229" Type="http://schemas.openxmlformats.org/officeDocument/2006/relationships/image" Target="media/image141.jpeg"/><Relationship Id="rId228" Type="http://schemas.openxmlformats.org/officeDocument/2006/relationships/image" Target="media/image140.jpeg"/><Relationship Id="rId227" Type="http://schemas.openxmlformats.org/officeDocument/2006/relationships/image" Target="media/image139.jpeg"/><Relationship Id="rId226" Type="http://schemas.openxmlformats.org/officeDocument/2006/relationships/image" Target="media/image138.jpeg"/><Relationship Id="rId225" Type="http://schemas.openxmlformats.org/officeDocument/2006/relationships/image" Target="media/image137.jpeg"/><Relationship Id="rId224" Type="http://schemas.openxmlformats.org/officeDocument/2006/relationships/image" Target="media/image136.jpeg"/><Relationship Id="rId223" Type="http://schemas.openxmlformats.org/officeDocument/2006/relationships/image" Target="media/image135.jpeg"/><Relationship Id="rId222" Type="http://schemas.openxmlformats.org/officeDocument/2006/relationships/image" Target="media/image134.png"/><Relationship Id="rId221" Type="http://schemas.openxmlformats.org/officeDocument/2006/relationships/image" Target="media/image133.png"/><Relationship Id="rId220" Type="http://schemas.openxmlformats.org/officeDocument/2006/relationships/image" Target="media/image132.jpeg"/><Relationship Id="rId22" Type="http://schemas.openxmlformats.org/officeDocument/2006/relationships/image" Target="media/image3.jpeg"/><Relationship Id="rId219" Type="http://schemas.openxmlformats.org/officeDocument/2006/relationships/image" Target="media/image131.jpeg"/><Relationship Id="rId218" Type="http://schemas.openxmlformats.org/officeDocument/2006/relationships/image" Target="media/image130.wmf"/><Relationship Id="rId217" Type="http://schemas.openxmlformats.org/officeDocument/2006/relationships/oleObject" Target="embeddings/oleObject58.bin"/><Relationship Id="rId216" Type="http://schemas.openxmlformats.org/officeDocument/2006/relationships/image" Target="media/image129.wmf"/><Relationship Id="rId215" Type="http://schemas.openxmlformats.org/officeDocument/2006/relationships/oleObject" Target="embeddings/oleObject57.bin"/><Relationship Id="rId214" Type="http://schemas.openxmlformats.org/officeDocument/2006/relationships/image" Target="media/image128.wmf"/><Relationship Id="rId213" Type="http://schemas.openxmlformats.org/officeDocument/2006/relationships/oleObject" Target="embeddings/oleObject56.bin"/><Relationship Id="rId212" Type="http://schemas.openxmlformats.org/officeDocument/2006/relationships/image" Target="media/image127.wmf"/><Relationship Id="rId211" Type="http://schemas.openxmlformats.org/officeDocument/2006/relationships/oleObject" Target="embeddings/oleObject55.bin"/><Relationship Id="rId210" Type="http://schemas.openxmlformats.org/officeDocument/2006/relationships/image" Target="media/image126.wmf"/><Relationship Id="rId21" Type="http://schemas.openxmlformats.org/officeDocument/2006/relationships/image" Target="media/image2.jpeg"/><Relationship Id="rId209" Type="http://schemas.openxmlformats.org/officeDocument/2006/relationships/oleObject" Target="embeddings/oleObject54.bin"/><Relationship Id="rId208" Type="http://schemas.openxmlformats.org/officeDocument/2006/relationships/image" Target="media/image125.wmf"/><Relationship Id="rId207" Type="http://schemas.openxmlformats.org/officeDocument/2006/relationships/oleObject" Target="embeddings/oleObject53.bin"/><Relationship Id="rId206" Type="http://schemas.openxmlformats.org/officeDocument/2006/relationships/image" Target="media/image124.wmf"/><Relationship Id="rId205" Type="http://schemas.openxmlformats.org/officeDocument/2006/relationships/oleObject" Target="embeddings/oleObject52.bin"/><Relationship Id="rId204" Type="http://schemas.openxmlformats.org/officeDocument/2006/relationships/image" Target="media/image123.wmf"/><Relationship Id="rId203" Type="http://schemas.openxmlformats.org/officeDocument/2006/relationships/oleObject" Target="embeddings/oleObject51.bin"/><Relationship Id="rId202" Type="http://schemas.openxmlformats.org/officeDocument/2006/relationships/image" Target="media/image122.wmf"/><Relationship Id="rId201" Type="http://schemas.openxmlformats.org/officeDocument/2006/relationships/oleObject" Target="embeddings/oleObject50.bin"/><Relationship Id="rId200" Type="http://schemas.openxmlformats.org/officeDocument/2006/relationships/image" Target="media/image121.wmf"/><Relationship Id="rId20" Type="http://schemas.openxmlformats.org/officeDocument/2006/relationships/image" Target="media/image1.jpeg"/><Relationship Id="rId2" Type="http://schemas.openxmlformats.org/officeDocument/2006/relationships/settings" Target="settings.xml"/><Relationship Id="rId199" Type="http://schemas.openxmlformats.org/officeDocument/2006/relationships/oleObject" Target="embeddings/oleObject49.bin"/><Relationship Id="rId198" Type="http://schemas.openxmlformats.org/officeDocument/2006/relationships/image" Target="media/image120.wmf"/><Relationship Id="rId197" Type="http://schemas.openxmlformats.org/officeDocument/2006/relationships/oleObject" Target="embeddings/oleObject48.bin"/><Relationship Id="rId196" Type="http://schemas.openxmlformats.org/officeDocument/2006/relationships/image" Target="media/image119.wmf"/><Relationship Id="rId195" Type="http://schemas.openxmlformats.org/officeDocument/2006/relationships/oleObject" Target="embeddings/oleObject47.bin"/><Relationship Id="rId194" Type="http://schemas.openxmlformats.org/officeDocument/2006/relationships/image" Target="media/image118.wmf"/><Relationship Id="rId193" Type="http://schemas.openxmlformats.org/officeDocument/2006/relationships/oleObject" Target="embeddings/oleObject46.bin"/><Relationship Id="rId192" Type="http://schemas.openxmlformats.org/officeDocument/2006/relationships/image" Target="media/image117.wmf"/><Relationship Id="rId191" Type="http://schemas.openxmlformats.org/officeDocument/2006/relationships/oleObject" Target="embeddings/oleObject45.bin"/><Relationship Id="rId190" Type="http://schemas.openxmlformats.org/officeDocument/2006/relationships/image" Target="media/image116.wmf"/><Relationship Id="rId19" Type="http://schemas.openxmlformats.org/officeDocument/2006/relationships/theme" Target="theme/theme1.xml"/><Relationship Id="rId189" Type="http://schemas.openxmlformats.org/officeDocument/2006/relationships/oleObject" Target="embeddings/oleObject44.bin"/><Relationship Id="rId188" Type="http://schemas.openxmlformats.org/officeDocument/2006/relationships/image" Target="media/image115.wmf"/><Relationship Id="rId187" Type="http://schemas.openxmlformats.org/officeDocument/2006/relationships/oleObject" Target="embeddings/oleObject43.bin"/><Relationship Id="rId186" Type="http://schemas.openxmlformats.org/officeDocument/2006/relationships/image" Target="media/image114.wmf"/><Relationship Id="rId185" Type="http://schemas.openxmlformats.org/officeDocument/2006/relationships/oleObject" Target="embeddings/oleObject42.bin"/><Relationship Id="rId184" Type="http://schemas.openxmlformats.org/officeDocument/2006/relationships/image" Target="media/image113.wmf"/><Relationship Id="rId183" Type="http://schemas.openxmlformats.org/officeDocument/2006/relationships/oleObject" Target="embeddings/oleObject41.bin"/><Relationship Id="rId182" Type="http://schemas.openxmlformats.org/officeDocument/2006/relationships/image" Target="media/image112.wmf"/><Relationship Id="rId181" Type="http://schemas.openxmlformats.org/officeDocument/2006/relationships/oleObject" Target="embeddings/oleObject40.bin"/><Relationship Id="rId180" Type="http://schemas.openxmlformats.org/officeDocument/2006/relationships/image" Target="media/image111.wmf"/><Relationship Id="rId18" Type="http://schemas.openxmlformats.org/officeDocument/2006/relationships/header" Target="header5.xml"/><Relationship Id="rId179" Type="http://schemas.openxmlformats.org/officeDocument/2006/relationships/oleObject" Target="embeddings/oleObject39.bin"/><Relationship Id="rId178" Type="http://schemas.openxmlformats.org/officeDocument/2006/relationships/image" Target="media/image110.wmf"/><Relationship Id="rId177" Type="http://schemas.openxmlformats.org/officeDocument/2006/relationships/oleObject" Target="embeddings/oleObject38.bin"/><Relationship Id="rId176" Type="http://schemas.openxmlformats.org/officeDocument/2006/relationships/image" Target="media/image109.wmf"/><Relationship Id="rId175" Type="http://schemas.openxmlformats.org/officeDocument/2006/relationships/oleObject" Target="embeddings/oleObject37.bin"/><Relationship Id="rId174" Type="http://schemas.openxmlformats.org/officeDocument/2006/relationships/image" Target="media/image108.wmf"/><Relationship Id="rId173" Type="http://schemas.openxmlformats.org/officeDocument/2006/relationships/oleObject" Target="embeddings/oleObject36.bin"/><Relationship Id="rId172" Type="http://schemas.openxmlformats.org/officeDocument/2006/relationships/image" Target="media/image107.wmf"/><Relationship Id="rId171" Type="http://schemas.openxmlformats.org/officeDocument/2006/relationships/oleObject" Target="embeddings/oleObject35.bin"/><Relationship Id="rId170" Type="http://schemas.openxmlformats.org/officeDocument/2006/relationships/image" Target="media/image106.wmf"/><Relationship Id="rId17" Type="http://schemas.openxmlformats.org/officeDocument/2006/relationships/footer" Target="footer9.xml"/><Relationship Id="rId169" Type="http://schemas.openxmlformats.org/officeDocument/2006/relationships/oleObject" Target="embeddings/oleObject34.bin"/><Relationship Id="rId168" Type="http://schemas.openxmlformats.org/officeDocument/2006/relationships/image" Target="media/image105.wmf"/><Relationship Id="rId167" Type="http://schemas.openxmlformats.org/officeDocument/2006/relationships/oleObject" Target="embeddings/oleObject33.bin"/><Relationship Id="rId166" Type="http://schemas.openxmlformats.org/officeDocument/2006/relationships/image" Target="media/image104.wmf"/><Relationship Id="rId165" Type="http://schemas.openxmlformats.org/officeDocument/2006/relationships/oleObject" Target="embeddings/oleObject32.bin"/><Relationship Id="rId164" Type="http://schemas.openxmlformats.org/officeDocument/2006/relationships/image" Target="media/image103.wmf"/><Relationship Id="rId163" Type="http://schemas.openxmlformats.org/officeDocument/2006/relationships/oleObject" Target="embeddings/oleObject31.bin"/><Relationship Id="rId162" Type="http://schemas.openxmlformats.org/officeDocument/2006/relationships/image" Target="media/image102.wmf"/><Relationship Id="rId161" Type="http://schemas.openxmlformats.org/officeDocument/2006/relationships/oleObject" Target="embeddings/oleObject30.bin"/><Relationship Id="rId160" Type="http://schemas.openxmlformats.org/officeDocument/2006/relationships/image" Target="media/image101.wmf"/><Relationship Id="rId16" Type="http://schemas.openxmlformats.org/officeDocument/2006/relationships/footer" Target="footer8.xml"/><Relationship Id="rId159" Type="http://schemas.openxmlformats.org/officeDocument/2006/relationships/oleObject" Target="embeddings/oleObject29.bin"/><Relationship Id="rId158" Type="http://schemas.openxmlformats.org/officeDocument/2006/relationships/image" Target="media/image100.wmf"/><Relationship Id="rId157" Type="http://schemas.openxmlformats.org/officeDocument/2006/relationships/oleObject" Target="embeddings/oleObject28.bin"/><Relationship Id="rId156" Type="http://schemas.openxmlformats.org/officeDocument/2006/relationships/image" Target="media/image99.wmf"/><Relationship Id="rId155" Type="http://schemas.openxmlformats.org/officeDocument/2006/relationships/oleObject" Target="embeddings/oleObject27.bin"/><Relationship Id="rId154" Type="http://schemas.openxmlformats.org/officeDocument/2006/relationships/image" Target="media/image98.wmf"/><Relationship Id="rId153" Type="http://schemas.openxmlformats.org/officeDocument/2006/relationships/oleObject" Target="embeddings/oleObject26.bin"/><Relationship Id="rId152" Type="http://schemas.openxmlformats.org/officeDocument/2006/relationships/image" Target="media/image97.wmf"/><Relationship Id="rId151" Type="http://schemas.openxmlformats.org/officeDocument/2006/relationships/oleObject" Target="embeddings/oleObject25.bin"/><Relationship Id="rId150" Type="http://schemas.openxmlformats.org/officeDocument/2006/relationships/image" Target="media/image96.wmf"/><Relationship Id="rId15" Type="http://schemas.openxmlformats.org/officeDocument/2006/relationships/footer" Target="footer7.xml"/><Relationship Id="rId149" Type="http://schemas.openxmlformats.org/officeDocument/2006/relationships/oleObject" Target="embeddings/oleObject24.bin"/><Relationship Id="rId148" Type="http://schemas.openxmlformats.org/officeDocument/2006/relationships/image" Target="media/image95.wmf"/><Relationship Id="rId147" Type="http://schemas.openxmlformats.org/officeDocument/2006/relationships/oleObject" Target="embeddings/oleObject23.bin"/><Relationship Id="rId146" Type="http://schemas.openxmlformats.org/officeDocument/2006/relationships/image" Target="media/image94.wmf"/><Relationship Id="rId145" Type="http://schemas.openxmlformats.org/officeDocument/2006/relationships/oleObject" Target="embeddings/oleObject22.bin"/><Relationship Id="rId144" Type="http://schemas.openxmlformats.org/officeDocument/2006/relationships/image" Target="media/image93.wmf"/><Relationship Id="rId143" Type="http://schemas.openxmlformats.org/officeDocument/2006/relationships/oleObject" Target="embeddings/oleObject21.bin"/><Relationship Id="rId142" Type="http://schemas.openxmlformats.org/officeDocument/2006/relationships/image" Target="media/image92.wmf"/><Relationship Id="rId141" Type="http://schemas.openxmlformats.org/officeDocument/2006/relationships/oleObject" Target="embeddings/oleObject20.bin"/><Relationship Id="rId140" Type="http://schemas.openxmlformats.org/officeDocument/2006/relationships/image" Target="media/image91.wmf"/><Relationship Id="rId14" Type="http://schemas.openxmlformats.org/officeDocument/2006/relationships/footer" Target="footer6.xml"/><Relationship Id="rId139" Type="http://schemas.openxmlformats.org/officeDocument/2006/relationships/oleObject" Target="embeddings/oleObject19.bin"/><Relationship Id="rId138" Type="http://schemas.openxmlformats.org/officeDocument/2006/relationships/image" Target="media/image90.wmf"/><Relationship Id="rId137" Type="http://schemas.openxmlformats.org/officeDocument/2006/relationships/oleObject" Target="embeddings/oleObject18.bin"/><Relationship Id="rId136" Type="http://schemas.openxmlformats.org/officeDocument/2006/relationships/image" Target="media/image89.wmf"/><Relationship Id="rId135" Type="http://schemas.openxmlformats.org/officeDocument/2006/relationships/oleObject" Target="embeddings/oleObject17.bin"/><Relationship Id="rId134" Type="http://schemas.openxmlformats.org/officeDocument/2006/relationships/image" Target="media/image88.wmf"/><Relationship Id="rId133" Type="http://schemas.openxmlformats.org/officeDocument/2006/relationships/oleObject" Target="embeddings/oleObject16.bin"/><Relationship Id="rId132" Type="http://schemas.openxmlformats.org/officeDocument/2006/relationships/image" Target="media/image87.wmf"/><Relationship Id="rId131" Type="http://schemas.openxmlformats.org/officeDocument/2006/relationships/oleObject" Target="embeddings/oleObject15.bin"/><Relationship Id="rId130" Type="http://schemas.openxmlformats.org/officeDocument/2006/relationships/image" Target="media/image86.wmf"/><Relationship Id="rId13" Type="http://schemas.openxmlformats.org/officeDocument/2006/relationships/footer" Target="footer5.xml"/><Relationship Id="rId129" Type="http://schemas.openxmlformats.org/officeDocument/2006/relationships/oleObject" Target="embeddings/oleObject14.bin"/><Relationship Id="rId128" Type="http://schemas.openxmlformats.org/officeDocument/2006/relationships/image" Target="media/image85.wmf"/><Relationship Id="rId127" Type="http://schemas.openxmlformats.org/officeDocument/2006/relationships/oleObject" Target="embeddings/oleObject13.bin"/><Relationship Id="rId126" Type="http://schemas.openxmlformats.org/officeDocument/2006/relationships/image" Target="media/image84.wmf"/><Relationship Id="rId125" Type="http://schemas.openxmlformats.org/officeDocument/2006/relationships/oleObject" Target="embeddings/oleObject12.bin"/><Relationship Id="rId124" Type="http://schemas.openxmlformats.org/officeDocument/2006/relationships/image" Target="media/image83.wmf"/><Relationship Id="rId123" Type="http://schemas.openxmlformats.org/officeDocument/2006/relationships/oleObject" Target="embeddings/oleObject11.bin"/><Relationship Id="rId122" Type="http://schemas.openxmlformats.org/officeDocument/2006/relationships/image" Target="media/image82.wmf"/><Relationship Id="rId121" Type="http://schemas.openxmlformats.org/officeDocument/2006/relationships/oleObject" Target="embeddings/oleObject10.bin"/><Relationship Id="rId120" Type="http://schemas.openxmlformats.org/officeDocument/2006/relationships/image" Target="media/image81.wmf"/><Relationship Id="rId12" Type="http://schemas.openxmlformats.org/officeDocument/2006/relationships/footer" Target="footer4.xml"/><Relationship Id="rId119" Type="http://schemas.openxmlformats.org/officeDocument/2006/relationships/oleObject" Target="embeddings/oleObject9.bin"/><Relationship Id="rId118" Type="http://schemas.openxmlformats.org/officeDocument/2006/relationships/image" Target="media/image80.wmf"/><Relationship Id="rId117" Type="http://schemas.openxmlformats.org/officeDocument/2006/relationships/oleObject" Target="embeddings/oleObject8.bin"/><Relationship Id="rId116" Type="http://schemas.openxmlformats.org/officeDocument/2006/relationships/image" Target="media/image79.wmf"/><Relationship Id="rId115" Type="http://schemas.openxmlformats.org/officeDocument/2006/relationships/oleObject" Target="embeddings/oleObject7.bin"/><Relationship Id="rId114" Type="http://schemas.openxmlformats.org/officeDocument/2006/relationships/image" Target="media/image78.wmf"/><Relationship Id="rId113" Type="http://schemas.openxmlformats.org/officeDocument/2006/relationships/oleObject" Target="embeddings/oleObject6.bin"/><Relationship Id="rId112" Type="http://schemas.openxmlformats.org/officeDocument/2006/relationships/image" Target="media/image77.jpeg"/><Relationship Id="rId111" Type="http://schemas.openxmlformats.org/officeDocument/2006/relationships/image" Target="media/image76.jpeg"/><Relationship Id="rId110" Type="http://schemas.openxmlformats.org/officeDocument/2006/relationships/image" Target="media/image75.jpeg"/><Relationship Id="rId11" Type="http://schemas.openxmlformats.org/officeDocument/2006/relationships/header" Target="header4.xml"/><Relationship Id="rId109" Type="http://schemas.openxmlformats.org/officeDocument/2006/relationships/image" Target="media/image74.jpeg"/><Relationship Id="rId108" Type="http://schemas.openxmlformats.org/officeDocument/2006/relationships/image" Target="media/image73.jpeg"/><Relationship Id="rId107" Type="http://schemas.openxmlformats.org/officeDocument/2006/relationships/image" Target="media/image72.wmf"/><Relationship Id="rId106" Type="http://schemas.openxmlformats.org/officeDocument/2006/relationships/image" Target="media/image71.wmf"/><Relationship Id="rId105" Type="http://schemas.openxmlformats.org/officeDocument/2006/relationships/image" Target="media/image70.wmf"/><Relationship Id="rId104" Type="http://schemas.openxmlformats.org/officeDocument/2006/relationships/image" Target="media/image69.wmf"/><Relationship Id="rId103" Type="http://schemas.openxmlformats.org/officeDocument/2006/relationships/oleObject" Target="embeddings/oleObject5.bin"/><Relationship Id="rId102" Type="http://schemas.openxmlformats.org/officeDocument/2006/relationships/chart" Target="charts/chart11.xml"/><Relationship Id="rId101" Type="http://schemas.openxmlformats.org/officeDocument/2006/relationships/chart" Target="charts/chart10.xml"/><Relationship Id="rId100" Type="http://schemas.openxmlformats.org/officeDocument/2006/relationships/chart" Target="charts/chart9.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31179;&#26085;&#22805;&#38451;&#35199;&#19979;.wp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1.shengtai\35.danji\&#35299;&#35793;&#32467;&#26524;\&#25968;&#25454;&#32479;&#35745;\&#35780;&#20215;&#21306;&#22303;&#22320;&#21033;&#29992;&#31867;&#224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1704;&#31435;&#26031;\&#20010;&#20154;&#39033;&#30446;\2024&#24180;\&#21327;&#21161;\&#20869;&#33945;&#21476;&#21326;&#32724;&#20892;&#26519;&#29287;&#31185;&#25216;&#21457;&#23637;&#26377;&#38480;&#20844;&#21496;120&#19975;&#21482;&#34507;&#40481;&#39033;&#30446;&#29615;&#22659;&#24433;&#21709;&#25253;&#21578;-&#29983;&#24577;&#31456;&#33410;&#20462;&#25913;\&#34507;&#40481;&#25253;&#21578;&#39033;&#30446;&#21306;&#26356;&#25442;&#21518;&#26032;&#22270;&#21450;&#25968;&#25454;\&#25968;&#25454;&#32479;&#35745;\&#39033;&#30446;&#21306;&#22303;&#22320;&#21033;&#29992;&#31867;&#2241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1.shengtai\35.danji\&#35299;&#35793;&#32467;&#26524;\&#25968;&#25454;&#32479;&#35745;\&#35780;&#20215;&#21306;&#26893;&#34987;&#31867;&#2241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1.shengtai\35.danji\&#35299;&#35793;&#32467;&#26524;\&#25968;&#25454;&#32479;&#35745;\&#35780;&#20215;&#21306;&#26893;&#34987;&#31867;&#2241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4494;&#20449;\WeChat%20Files\yiciyisheng001\FileStorage\File\2024-04\&#26827;&#30424;&#20117;220kV&#32447;&#36335;&#26438;&#20301;&#22352;&#26631;2024032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1704;&#31435;&#26031;\&#20010;&#20154;&#39033;&#30446;\2024&#24180;\&#21327;&#21161;\&#20869;&#33945;&#21476;&#21326;&#32724;&#20892;&#26519;&#29287;&#31185;&#25216;&#21457;&#23637;&#26377;&#38480;&#20844;&#21496;120&#19975;&#21482;&#34507;&#40481;&#39033;&#30446;&#29615;&#22659;&#24433;&#21709;&#25253;&#21578;-&#29983;&#24577;&#31456;&#33410;&#20462;&#25913;\&#34507;&#40481;&#25253;&#21578;&#39033;&#30446;&#21306;&#26356;&#25442;&#21518;&#26032;&#22270;&#21450;&#25968;&#25454;\&#25968;&#25454;&#32479;&#35745;\&#35780;&#20215;&#21306;&#29983;&#24577;&#31995;&#3247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1704;&#31435;&#26031;\&#20010;&#20154;&#39033;&#30446;\2024&#24180;\&#21327;&#21161;\&#20869;&#33945;&#21476;&#21326;&#32724;&#20892;&#26519;&#29287;&#31185;&#25216;&#21457;&#23637;&#26377;&#38480;&#20844;&#21496;120&#19975;&#21482;&#34507;&#40481;&#39033;&#30446;&#29615;&#22659;&#24433;&#21709;&#25253;&#21578;-&#29983;&#24577;&#31456;&#33410;&#20462;&#25913;\&#34507;&#40481;&#25253;&#21578;&#39033;&#30446;&#21306;&#26356;&#25442;&#21518;&#26032;&#22270;&#21450;&#25968;&#25454;\&#25968;&#25454;&#32479;&#35745;\&#39033;&#30446;&#21306;&#29983;&#24577;&#31995;&#3247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G:\1.shengtai\1.&#23453;&#24179;&#28286;&#30719;&#21306;&#29983;&#24577;&#19968;&#32423;\&#22810;&#26679;&#24615;&#35745;&#31639;2(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1.shengtai\1.&#23453;&#24179;&#28286;&#30719;&#21306;&#29983;&#24577;&#19968;&#32423;\&#22810;&#26679;&#24615;&#35745;&#31639;2(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1.shengtai\1.&#23453;&#24179;&#28286;&#30719;&#21306;&#29983;&#24577;&#19968;&#32423;\&#22810;&#26679;&#24615;&#35745;&#31639;2(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G:\1.shengtai\1.&#23453;&#24179;&#28286;&#30719;&#21306;&#29983;&#24577;&#19968;&#32423;\&#22810;&#26679;&#24615;&#35745;&#31639;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Lbls>
            <c:dLbl>
              <c:idx val="0"/>
              <c:layout>
                <c:manualLayout>
                  <c:x val="0.240444211431165"/>
                  <c:y val="-0.168634476317567"/>
                </c:manualLayout>
              </c:layout>
              <c:tx>
                <c:rich>
                  <a:bodyPr rot="0" spcFirstLastPara="1" vertOverflow="ellipsis" vert="horz" wrap="square" lIns="38100" tIns="19050" rIns="38100" bIns="19050" anchor="ctr" anchorCtr="1"/>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zh-CN" altLang="en-US">
                        <a:solidFill>
                          <a:sysClr val="windowText" lastClr="000000"/>
                        </a:solidFill>
                      </a:rPr>
                      <a:t>灌木林地</a:t>
                    </a:r>
                    <a:endParaRPr lang="zh-CN" altLang="en-US">
                      <a:solidFill>
                        <a:sysClr val="windowText" lastClr="000000"/>
                      </a:solidFill>
                    </a:endParaRPr>
                  </a:p>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en-US" altLang="zh-CN">
                        <a:solidFill>
                          <a:sysClr val="windowText" lastClr="000000"/>
                        </a:solidFill>
                      </a:rPr>
                      <a:t>86.13%</a:t>
                    </a:r>
                    <a:endParaRPr lang="en-US" altLang="zh-CN">
                      <a:solidFill>
                        <a:sysClr val="windowText" lastClr="000000"/>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09997159390682"/>
                  <c:y val="-0.0440304520451539"/>
                </c:manualLayout>
              </c:layout>
              <c:tx>
                <c:rich>
                  <a:bodyPr rot="0" spcFirstLastPara="1" vertOverflow="ellipsis" vert="horz" wrap="square" lIns="38100" tIns="19050" rIns="38100" bIns="19050" anchor="ctr" anchorCtr="1"/>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zh-CN" altLang="en-US">
                        <a:solidFill>
                          <a:sysClr val="windowText" lastClr="000000"/>
                        </a:solidFill>
                      </a:rPr>
                      <a:t>农村宅基地</a:t>
                    </a:r>
                    <a:endParaRPr lang="zh-CN" altLang="en-US">
                      <a:solidFill>
                        <a:sysClr val="windowText" lastClr="000000"/>
                      </a:solidFill>
                    </a:endParaRPr>
                  </a:p>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en-US" altLang="zh-CN">
                        <a:solidFill>
                          <a:sysClr val="windowText" lastClr="000000"/>
                        </a:solidFill>
                      </a:rPr>
                      <a:t>0.06%</a:t>
                    </a:r>
                    <a:endParaRPr lang="en-US" altLang="zh-CN">
                      <a:solidFill>
                        <a:sysClr val="windowText" lastClr="000000"/>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10138888888889"/>
                  <c:y val="0.124074074074074"/>
                </c:manualLayout>
              </c:layout>
              <c:tx>
                <c:rich>
                  <a:bodyPr rot="0" spcFirstLastPara="1" vertOverflow="ellipsis" vert="horz" wrap="square" lIns="38100" tIns="19050" rIns="38100" bIns="19050" anchor="ctr" anchorCtr="1"/>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zh-CN" altLang="en-US">
                        <a:solidFill>
                          <a:sysClr val="windowText" lastClr="000000"/>
                        </a:solidFill>
                      </a:rPr>
                      <a:t>公路用地</a:t>
                    </a:r>
                    <a:endParaRPr lang="zh-CN" altLang="en-US">
                      <a:solidFill>
                        <a:sysClr val="windowText" lastClr="000000"/>
                      </a:solidFill>
                    </a:endParaRPr>
                  </a:p>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en-US" altLang="zh-CN">
                        <a:solidFill>
                          <a:sysClr val="windowText" lastClr="000000"/>
                        </a:solidFill>
                      </a:rPr>
                      <a:t>0.66%</a:t>
                    </a:r>
                    <a:endParaRPr lang="en-US" altLang="zh-CN">
                      <a:solidFill>
                        <a:sysClr val="windowText" lastClr="000000"/>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96111006041816"/>
                  <c:y val="-0.137159136564639"/>
                </c:manualLayout>
              </c:layout>
              <c:tx>
                <c:rich>
                  <a:bodyPr rot="0" spcFirstLastPara="1" vertOverflow="ellipsis" vert="horz" wrap="square" lIns="38100" tIns="19050" rIns="38100" bIns="19050" anchor="ctr" anchorCtr="1"/>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zh-CN" altLang="en-US">
                        <a:solidFill>
                          <a:sysClr val="windowText" lastClr="000000"/>
                        </a:solidFill>
                      </a:rPr>
                      <a:t>农村道路</a:t>
                    </a:r>
                    <a:endParaRPr lang="zh-CN" altLang="en-US">
                      <a:solidFill>
                        <a:sysClr val="windowText" lastClr="000000"/>
                      </a:solidFill>
                    </a:endParaRPr>
                  </a:p>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en-US" altLang="zh-CN">
                        <a:solidFill>
                          <a:sysClr val="windowText" lastClr="000000"/>
                        </a:solidFill>
                      </a:rPr>
                      <a:t>0.15%</a:t>
                    </a:r>
                    <a:endParaRPr lang="en-US" altLang="zh-CN">
                      <a:solidFill>
                        <a:sysClr val="windowText" lastClr="000000"/>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829166666666666"/>
                  <c:y val="-0.0653872505778117"/>
                </c:manualLayout>
              </c:layout>
              <c:tx>
                <c:rich>
                  <a:bodyPr rot="0" spcFirstLastPara="1" vertOverflow="ellipsis" vert="horz" wrap="square" lIns="38100" tIns="19050" rIns="38100" bIns="19050" anchor="ctr" anchorCtr="1"/>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zh-CN" altLang="en-US">
                        <a:solidFill>
                          <a:sysClr val="windowText" lastClr="000000"/>
                        </a:solidFill>
                      </a:rPr>
                      <a:t>干河床</a:t>
                    </a:r>
                    <a:endParaRPr lang="zh-CN" altLang="en-US">
                      <a:solidFill>
                        <a:sysClr val="windowText" lastClr="000000"/>
                      </a:solidFill>
                    </a:endParaRPr>
                  </a:p>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en-US" altLang="zh-CN">
                        <a:solidFill>
                          <a:sysClr val="windowText" lastClr="000000"/>
                        </a:solidFill>
                      </a:rPr>
                      <a:t>13%</a:t>
                    </a:r>
                    <a:endParaRPr lang="en-US" altLang="zh-CN">
                      <a:solidFill>
                        <a:sysClr val="windowText" lastClr="000000"/>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Sheet1!$B$2:$B$6</c:f>
              <c:strCache>
                <c:ptCount val="5"/>
                <c:pt idx="0">
                  <c:v>灌木林地</c:v>
                </c:pt>
                <c:pt idx="1">
                  <c:v>农村宅基地</c:v>
                </c:pt>
                <c:pt idx="2">
                  <c:v>公路用地</c:v>
                </c:pt>
                <c:pt idx="3">
                  <c:v>农村道路</c:v>
                </c:pt>
                <c:pt idx="4">
                  <c:v>季节性冲沟</c:v>
                </c:pt>
              </c:strCache>
            </c:strRef>
          </c:cat>
          <c:val>
            <c:numRef>
              <c:f>Sheet1!$F$2:$F$6</c:f>
              <c:numCache>
                <c:formatCode>0.00%</c:formatCode>
                <c:ptCount val="5"/>
                <c:pt idx="0">
                  <c:v>0.869722851611189</c:v>
                </c:pt>
                <c:pt idx="1">
                  <c:v>0.000456530818524207</c:v>
                </c:pt>
                <c:pt idx="2">
                  <c:v>0.00530813253103741</c:v>
                </c:pt>
                <c:pt idx="3">
                  <c:v>0.0012083465325227</c:v>
                </c:pt>
                <c:pt idx="4">
                  <c:v>0.123304138506727</c:v>
                </c:pt>
              </c:numCache>
            </c:numRef>
          </c:val>
        </c:ser>
        <c:dLbls>
          <c:showLegendKey val="0"/>
          <c:showVal val="0"/>
          <c:showCatName val="1"/>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861e7e95-a239-4c0f-bb05-2903ed454d7a}"/>
      </c:ext>
    </c:extLst>
  </c:chart>
  <c:spPr>
    <a:noFill/>
    <a:ln w="9525" cap="flat" cmpd="sng" algn="ctr">
      <a:noFill/>
      <a:prstDash val="solid"/>
      <a:round/>
    </a:ln>
    <a:effectLst/>
  </c:spPr>
  <c:txPr>
    <a:bodyPr/>
    <a:lstStyle/>
    <a:p>
      <a:pPr>
        <a:defRPr lang="zh-CN">
          <a:solidFill>
            <a:sysClr val="windowText" lastClr="000000"/>
          </a:solidFill>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Lbls>
            <c:dLbl>
              <c:idx val="0"/>
              <c:layout>
                <c:manualLayout>
                  <c:x val="-0.375"/>
                  <c:y val="-0.0937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[项目区土地利用类型.xlsx]Sheet1!$B$2</c:f>
              <c:strCache>
                <c:ptCount val="1"/>
                <c:pt idx="0">
                  <c:v>灌木林地</c:v>
                </c:pt>
              </c:strCache>
            </c:strRef>
          </c:cat>
          <c:val>
            <c:numRef>
              <c:f>[项目区土地利用类型.xlsx]Sheet1!$F$2</c:f>
              <c:numCache>
                <c:formatCode>0.00%</c:formatCode>
                <c:ptCount val="1"/>
                <c:pt idx="0">
                  <c:v>1</c:v>
                </c:pt>
              </c:numCache>
            </c:numRef>
          </c:val>
        </c:ser>
        <c:dLbls>
          <c:showLegendKey val="0"/>
          <c:showVal val="0"/>
          <c:showCatName val="1"/>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3ecbbbd-88b8-47ea-a24c-57f6050e9ad3}"/>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Pt>
            <c:idx val="5"/>
            <c:bubble3D val="0"/>
            <c:spPr>
              <a:solidFill>
                <a:schemeClr val="accent6"/>
              </a:solidFill>
              <a:ln w="25400">
                <a:solidFill>
                  <a:schemeClr val="lt1"/>
                </a:solidFill>
              </a:ln>
              <a:effectLst/>
              <a:scene3d>
                <a:camera prst="orthographicFront"/>
                <a:lightRig rig="threePt" dir="t"/>
              </a:scene3d>
              <a:sp3d contourW="25400">
                <a:contourClr>
                  <a:schemeClr val="lt1"/>
                </a:contourClr>
              </a:sp3d>
            </c:spPr>
          </c:dPt>
          <c:dLbls>
            <c:dLbl>
              <c:idx val="2"/>
              <c:layout>
                <c:manualLayout>
                  <c:x val="-0.0180501673321982"/>
                  <c:y val="0.0097549909255898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713105745247856"/>
                  <c:y val="-0.14269509981851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4375"/>
                  <c:y val="-0.14587114337568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ysClr val="windowText" lastClr="000000"/>
                    </a:solidFill>
                    <a:latin typeface="Times New Roman" panose="02020603050405020304" charset="0"/>
                    <a:ea typeface="Tahoma" panose="020B0604030504040204" pitchFamily="2" charset="0"/>
                    <a:cs typeface="Times New Roman" panose="02020603050405020304" charset="0"/>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Sheet1!$B$2:$B$7</c:f>
              <c:strCache>
                <c:ptCount val="6"/>
                <c:pt idx="0">
                  <c:v>四合木+红砂</c:v>
                </c:pt>
                <c:pt idx="1">
                  <c:v>霸王</c:v>
                </c:pt>
                <c:pt idx="2">
                  <c:v>霸王+沙冬青</c:v>
                </c:pt>
                <c:pt idx="3">
                  <c:v>居民点</c:v>
                </c:pt>
                <c:pt idx="4">
                  <c:v>道路</c:v>
                </c:pt>
                <c:pt idx="5">
                  <c:v>干河床</c:v>
                </c:pt>
              </c:strCache>
            </c:strRef>
          </c:cat>
          <c:val>
            <c:numRef>
              <c:f>Sheet1!$F$2:$F$7</c:f>
              <c:numCache>
                <c:formatCode>0.00%</c:formatCode>
                <c:ptCount val="6"/>
                <c:pt idx="0">
                  <c:v>0.5296</c:v>
                </c:pt>
                <c:pt idx="1">
                  <c:v>0.0968</c:v>
                </c:pt>
                <c:pt idx="2">
                  <c:v>0.0101</c:v>
                </c:pt>
                <c:pt idx="3">
                  <c:v>0.0006</c:v>
                </c:pt>
                <c:pt idx="4">
                  <c:v>0.0081</c:v>
                </c:pt>
                <c:pt idx="5">
                  <c:v>0.13</c:v>
                </c:pt>
              </c:numCache>
            </c:numRef>
          </c:val>
        </c:ser>
        <c:dLbls>
          <c:showLegendKey val="0"/>
          <c:showVal val="0"/>
          <c:showCatName val="1"/>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9b55edbb-dee2-458e-a665-1d33c74831c0}"/>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perspective val="3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tx>
            <c:strRef>
              <c:f>Sheet1!$C$28</c:f>
              <c:strCache>
                <c:ptCount val="1"/>
                <c:pt idx="0">
                  <c:v>霸王+沙冬青</c:v>
                </c:pt>
              </c:strCache>
            </c:strRef>
          </c:tx>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val>
            <c:numRef>
              <c:f>Sheet1!$D$28</c:f>
              <c:numCache>
                <c:formatCode>0.00%</c:formatCode>
                <c:ptCount val="1"/>
                <c:pt idx="0">
                  <c:v>1</c:v>
                </c:pt>
              </c:numCache>
            </c:numRef>
          </c:val>
        </c:ser>
        <c:dLbls>
          <c:showLegendKey val="0"/>
          <c:showVal val="0"/>
          <c:showCatName val="1"/>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57112e38-e7b2-4246-8706-ddb520b0e3f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Lbls>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ysClr val="windowText" lastClr="000000"/>
                    </a:solidFill>
                    <a:latin typeface="Times New Roman" panose="02020603050405020304" charset="0"/>
                    <a:ea typeface="宋体" panose="02010600030101010101" charset="-122"/>
                    <a:cs typeface="Times New Roman" panose="02020603050405020304" charset="0"/>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Sheet1!$J$21:$J$23</c:f>
              <c:strCache>
                <c:ptCount val="3"/>
                <c:pt idx="0">
                  <c:v>裸地</c:v>
                </c:pt>
                <c:pt idx="1">
                  <c:v>低覆盖度植被</c:v>
                </c:pt>
                <c:pt idx="2">
                  <c:v>中低盖度植被</c:v>
                </c:pt>
              </c:strCache>
            </c:strRef>
          </c:cat>
          <c:val>
            <c:numRef>
              <c:f>Sheet1!$K$21:$K$23</c:f>
              <c:numCache>
                <c:formatCode>0.00%</c:formatCode>
                <c:ptCount val="3"/>
                <c:pt idx="0">
                  <c:v>0.171805300446077</c:v>
                </c:pt>
                <c:pt idx="1">
                  <c:v>0.814615586460247</c:v>
                </c:pt>
                <c:pt idx="2">
                  <c:v>0.0135791130936762</c:v>
                </c:pt>
              </c:numCache>
            </c:numRef>
          </c:val>
        </c:ser>
        <c:dLbls>
          <c:showLegendKey val="0"/>
          <c:showVal val="0"/>
          <c:showCatName val="1"/>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b5295e55-b000-47aa-8e9b-70f9ca012751}"/>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Lbls>
            <c:dLbl>
              <c:idx val="0"/>
              <c:layout>
                <c:manualLayout>
                  <c:x val="0.201896663852827"/>
                  <c:y val="-0.048659745145210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45006020586568"/>
                  <c:y val="-0.0033692722371967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453860842965922"/>
                  <c:y val="-0.13454627133872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63888888888889"/>
                  <c:y val="-0.0671608265947889"/>
                </c:manualLayout>
              </c:layout>
              <c:tx>
                <c:rich>
                  <a:bodyPr rot="0" spcFirstLastPara="1" vertOverflow="ellipsis" vert="horz" wrap="square" lIns="38100" tIns="19050" rIns="38100" bIns="19050" anchor="ctr" anchorCtr="1"/>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zh-CN" altLang="en-US"/>
                      <a:t>干河床</a:t>
                    </a:r>
                    <a:endParaRPr lang="zh-CN" altLang="en-US"/>
                  </a:p>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r>
                      <a:rPr lang="en-US" altLang="zh-CN"/>
                      <a:t>13.00%</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ysClr val="windowText" lastClr="000000"/>
                    </a:solidFill>
                    <a:latin typeface="Times New Roman" panose="02020603050405020304" charset="0"/>
                    <a:ea typeface="+mj-ea"/>
                    <a:cs typeface="Times New Roman" panose="02020603050405020304" charset="0"/>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[评价区生态系统.xlsx]Sheet2!$B$2:$B$5</c:f>
              <c:strCache>
                <c:ptCount val="4"/>
                <c:pt idx="0">
                  <c:v>稀疏灌丛</c:v>
                </c:pt>
                <c:pt idx="1">
                  <c:v>居住地</c:v>
                </c:pt>
                <c:pt idx="2">
                  <c:v>工矿交通</c:v>
                </c:pt>
                <c:pt idx="3">
                  <c:v>季节性河流</c:v>
                </c:pt>
              </c:strCache>
            </c:strRef>
          </c:cat>
          <c:val>
            <c:numRef>
              <c:f>[评价区生态系统.xlsx]Sheet2!$F$2:$F$5</c:f>
              <c:numCache>
                <c:formatCode>0.00%</c:formatCode>
                <c:ptCount val="4"/>
                <c:pt idx="0">
                  <c:v>0.861298899164605</c:v>
                </c:pt>
                <c:pt idx="1">
                  <c:v>0.000567439725778456</c:v>
                </c:pt>
                <c:pt idx="2">
                  <c:v>0.00809824209495414</c:v>
                </c:pt>
                <c:pt idx="3">
                  <c:v>0.130035419014662</c:v>
                </c:pt>
              </c:numCache>
            </c:numRef>
          </c:val>
        </c:ser>
        <c:dLbls>
          <c:showLegendKey val="0"/>
          <c:showVal val="0"/>
          <c:showCatName val="1"/>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d15f2689-cd61-451e-97df-667847c08c17}"/>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Lbls>
            <c:dLbl>
              <c:idx val="0"/>
              <c:layout>
                <c:manualLayout>
                  <c:x val="-0.355805243445693"/>
                  <c:y val="-0.10851808634772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[项目区生态系统.xlsx]Sheet2!$B$2</c:f>
              <c:strCache>
                <c:ptCount val="1"/>
                <c:pt idx="0">
                  <c:v>稀疏灌丛</c:v>
                </c:pt>
              </c:strCache>
            </c:strRef>
          </c:cat>
          <c:val>
            <c:numRef>
              <c:f>[项目区生态系统.xlsx]Sheet2!$E$2</c:f>
              <c:numCache>
                <c:formatCode>0.00</c:formatCode>
                <c:ptCount val="1"/>
                <c:pt idx="0">
                  <c:v>28.021538882</c:v>
                </c:pt>
              </c:numCache>
            </c:numRef>
          </c:val>
        </c:ser>
        <c:dLbls>
          <c:showLegendKey val="0"/>
          <c:showVal val="0"/>
          <c:showCatName val="1"/>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f283ff-5a45-4bd5-bb32-5d082a70f678}"/>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Sheet5!$B$2</c:f>
              <c:strCache>
                <c:ptCount val="1"/>
                <c:pt idx="0">
                  <c:v>Margalef指数</c:v>
                </c:pt>
              </c:strCache>
            </c:strRef>
          </c:tx>
          <c:spPr>
            <a:ln w="28575" cap="rnd" cmpd="sng" algn="ctr">
              <a:solidFill>
                <a:schemeClr val="accent1"/>
              </a:solidFill>
              <a:prstDash val="solid"/>
              <a:round/>
            </a:ln>
            <a:effectLst/>
          </c:spPr>
          <c:marker>
            <c:symbol val="none"/>
          </c:marker>
          <c:dLbls>
            <c:delete val="1"/>
          </c:dLbls>
          <c:val>
            <c:numRef>
              <c:f>Sheet5!$B$3:$B$17</c:f>
              <c:numCache>
                <c:formatCode>General</c:formatCode>
                <c:ptCount val="15"/>
                <c:pt idx="0">
                  <c:v>0.417032391424246</c:v>
                </c:pt>
                <c:pt idx="1">
                  <c:v>0.38987124525128</c:v>
                </c:pt>
                <c:pt idx="2">
                  <c:v>0.455119613313419</c:v>
                </c:pt>
                <c:pt idx="3">
                  <c:v>0.417032391424246</c:v>
                </c:pt>
                <c:pt idx="4">
                  <c:v>0.369269373068855</c:v>
                </c:pt>
                <c:pt idx="5">
                  <c:v>0.253084869277317</c:v>
                </c:pt>
                <c:pt idx="6">
                  <c:v>0.2518706487517</c:v>
                </c:pt>
                <c:pt idx="7">
                  <c:v>0.281266414062728</c:v>
                </c:pt>
                <c:pt idx="8">
                  <c:v>0.29697420437337</c:v>
                </c:pt>
                <c:pt idx="9">
                  <c:v>0.314657980444125</c:v>
                </c:pt>
                <c:pt idx="10">
                  <c:v>0.417032391424246</c:v>
                </c:pt>
                <c:pt idx="11">
                  <c:v>0.38987124525128</c:v>
                </c:pt>
                <c:pt idx="12">
                  <c:v>0.378923181689951</c:v>
                </c:pt>
                <c:pt idx="13">
                  <c:v>0.281266414062728</c:v>
                </c:pt>
                <c:pt idx="14">
                  <c:v>0.283578492051333</c:v>
                </c:pt>
              </c:numCache>
            </c:numRef>
          </c:val>
          <c:smooth val="0"/>
        </c:ser>
        <c:dLbls>
          <c:showLegendKey val="0"/>
          <c:showVal val="0"/>
          <c:showCatName val="0"/>
          <c:showSerName val="0"/>
          <c:showPercent val="0"/>
          <c:showBubbleSize val="0"/>
        </c:dLbls>
        <c:marker val="0"/>
        <c:smooth val="0"/>
        <c:axId val="338082432"/>
        <c:axId val="338100992"/>
      </c:lineChart>
      <c:catAx>
        <c:axId val="338082432"/>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样地</a:t>
                </a:r>
                <a:endParaRPr lang="zh-CN" altLang="en-US"/>
              </a:p>
            </c:rich>
          </c:tx>
          <c:layout/>
          <c:overlay val="0"/>
          <c:spPr>
            <a:noFill/>
            <a:ln>
              <a:noFill/>
            </a:ln>
            <a:effectLst/>
          </c:spPr>
        </c:titl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100992"/>
        <c:crosses val="autoZero"/>
        <c:auto val="1"/>
        <c:lblAlgn val="ctr"/>
        <c:lblOffset val="100"/>
        <c:noMultiLvlLbl val="0"/>
      </c:catAx>
      <c:valAx>
        <c:axId val="338100992"/>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物种丰富度指数</a:t>
                </a:r>
                <a:endParaRPr lang="zh-CN" alt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082432"/>
        <c:crosses val="autoZero"/>
        <c:crossBetween val="between"/>
      </c:valAx>
      <c:spPr>
        <a:noFill/>
        <a:ln>
          <a:noFill/>
        </a:ln>
        <a:effectLst/>
      </c:spPr>
    </c:plotArea>
    <c:plotVisOnly val="1"/>
    <c:dispBlanksAs val="gap"/>
    <c:showDLblsOverMax val="0"/>
    <c:extLst>
      <c:ext uri="{0b15fc19-7d7d-44ad-8c2d-2c3a37ce22c3}">
        <chartProps xmlns="https://web.wps.cn/et/2018/main" chartId="{05cfa67e-9014-4031-8bc7-1b7912750d8d}"/>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cmpd="sng" algn="ctr">
              <a:solidFill>
                <a:schemeClr val="accent1"/>
              </a:solidFill>
              <a:prstDash val="solid"/>
              <a:round/>
            </a:ln>
            <a:effectLst/>
          </c:spPr>
          <c:marker>
            <c:symbol val="none"/>
          </c:marker>
          <c:dLbls>
            <c:delete val="1"/>
          </c:dLbls>
          <c:val>
            <c:numRef>
              <c:f>Sheet5!$D$3:$D$17</c:f>
              <c:numCache>
                <c:formatCode>General</c:formatCode>
                <c:ptCount val="15"/>
                <c:pt idx="0">
                  <c:v>0.689009238476659</c:v>
                </c:pt>
                <c:pt idx="1">
                  <c:v>0.690185676018804</c:v>
                </c:pt>
                <c:pt idx="2">
                  <c:v>0.636514168294813</c:v>
                </c:pt>
                <c:pt idx="3">
                  <c:v>0.655481773901393</c:v>
                </c:pt>
                <c:pt idx="4">
                  <c:v>0.690923309313818</c:v>
                </c:pt>
                <c:pt idx="5">
                  <c:v>0.666278442414676</c:v>
                </c:pt>
                <c:pt idx="6">
                  <c:v>0.652544773153785</c:v>
                </c:pt>
                <c:pt idx="7">
                  <c:v>0.68946919977516</c:v>
                </c:pt>
                <c:pt idx="8">
                  <c:v>0.687786822992113</c:v>
                </c:pt>
                <c:pt idx="9">
                  <c:v>0.689670928357027</c:v>
                </c:pt>
                <c:pt idx="10">
                  <c:v>0.585952618303551</c:v>
                </c:pt>
                <c:pt idx="11">
                  <c:v>0.690185676018804</c:v>
                </c:pt>
                <c:pt idx="12">
                  <c:v>0.682908104700472</c:v>
                </c:pt>
                <c:pt idx="13">
                  <c:v>0.642912439665801</c:v>
                </c:pt>
                <c:pt idx="14">
                  <c:v>0.677494404448707</c:v>
                </c:pt>
              </c:numCache>
            </c:numRef>
          </c:val>
          <c:smooth val="0"/>
        </c:ser>
        <c:dLbls>
          <c:showLegendKey val="0"/>
          <c:showVal val="0"/>
          <c:showCatName val="0"/>
          <c:showSerName val="0"/>
          <c:showPercent val="0"/>
          <c:showBubbleSize val="0"/>
        </c:dLbls>
        <c:marker val="0"/>
        <c:smooth val="0"/>
        <c:axId val="338125568"/>
        <c:axId val="338127488"/>
      </c:lineChart>
      <c:catAx>
        <c:axId val="338125568"/>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样地</a:t>
                </a:r>
                <a:endParaRPr lang="zh-CN" altLang="en-US"/>
              </a:p>
            </c:rich>
          </c:tx>
          <c:layout/>
          <c:overlay val="0"/>
          <c:spPr>
            <a:noFill/>
            <a:ln>
              <a:noFill/>
            </a:ln>
            <a:effectLst/>
          </c:spPr>
        </c:titl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127488"/>
        <c:crosses val="autoZero"/>
        <c:auto val="1"/>
        <c:lblAlgn val="ctr"/>
        <c:lblOffset val="100"/>
        <c:noMultiLvlLbl val="0"/>
      </c:catAx>
      <c:valAx>
        <c:axId val="338127488"/>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香农威纳多样性指数</a:t>
                </a:r>
                <a:endParaRPr lang="zh-CN" alt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125568"/>
        <c:crosses val="autoZero"/>
        <c:crossBetween val="between"/>
      </c:valAx>
      <c:spPr>
        <a:noFill/>
        <a:ln>
          <a:noFill/>
        </a:ln>
        <a:effectLst/>
      </c:spPr>
    </c:plotArea>
    <c:plotVisOnly val="1"/>
    <c:dispBlanksAs val="gap"/>
    <c:showDLblsOverMax val="0"/>
    <c:extLst>
      <c:ext uri="{0b15fc19-7d7d-44ad-8c2d-2c3a37ce22c3}">
        <chartProps xmlns="https://web.wps.cn/et/2018/main" chartId="{52f0c51a-0339-454b-9c62-84264d9c75ea}"/>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cmpd="sng" algn="ctr">
              <a:solidFill>
                <a:schemeClr val="accent1"/>
              </a:solidFill>
              <a:prstDash val="solid"/>
              <a:round/>
            </a:ln>
            <a:effectLst/>
          </c:spPr>
          <c:marker>
            <c:symbol val="none"/>
          </c:marker>
          <c:dLbls>
            <c:delete val="1"/>
          </c:dLbls>
          <c:val>
            <c:numRef>
              <c:f>Sheet5!$C$3:$C$17</c:f>
              <c:numCache>
                <c:formatCode>General</c:formatCode>
                <c:ptCount val="15"/>
                <c:pt idx="0">
                  <c:v>0.994030211476957</c:v>
                </c:pt>
                <c:pt idx="1">
                  <c:v>0.995727452084926</c:v>
                </c:pt>
                <c:pt idx="2">
                  <c:v>0.918295834054489</c:v>
                </c:pt>
                <c:pt idx="3">
                  <c:v>0.94566030460064</c:v>
                </c:pt>
                <c:pt idx="4">
                  <c:v>0.996791631981637</c:v>
                </c:pt>
                <c:pt idx="5">
                  <c:v>0.961236604722876</c:v>
                </c:pt>
                <c:pt idx="6">
                  <c:v>0.941423108186979</c:v>
                </c:pt>
                <c:pt idx="7">
                  <c:v>0.994693795361306</c:v>
                </c:pt>
                <c:pt idx="8">
                  <c:v>0.992266638719496</c:v>
                </c:pt>
                <c:pt idx="9">
                  <c:v>0.99498482818597</c:v>
                </c:pt>
                <c:pt idx="10">
                  <c:v>0.845350936622436</c:v>
                </c:pt>
                <c:pt idx="11">
                  <c:v>0.995727452084926</c:v>
                </c:pt>
                <c:pt idx="12">
                  <c:v>0.985228136034252</c:v>
                </c:pt>
                <c:pt idx="13">
                  <c:v>0.927526588431676</c:v>
                </c:pt>
                <c:pt idx="14">
                  <c:v>0.977417817528172</c:v>
                </c:pt>
              </c:numCache>
            </c:numRef>
          </c:val>
          <c:smooth val="0"/>
        </c:ser>
        <c:dLbls>
          <c:showLegendKey val="0"/>
          <c:showVal val="0"/>
          <c:showCatName val="0"/>
          <c:showSerName val="0"/>
          <c:showPercent val="0"/>
          <c:showBubbleSize val="0"/>
        </c:dLbls>
        <c:marker val="0"/>
        <c:smooth val="0"/>
        <c:axId val="338155776"/>
        <c:axId val="338268544"/>
      </c:lineChart>
      <c:catAx>
        <c:axId val="338155776"/>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样地</a:t>
                </a:r>
                <a:endParaRPr lang="zh-CN" altLang="en-US"/>
              </a:p>
            </c:rich>
          </c:tx>
          <c:layout/>
          <c:overlay val="0"/>
          <c:spPr>
            <a:noFill/>
            <a:ln>
              <a:noFill/>
            </a:ln>
            <a:effectLst/>
          </c:spPr>
        </c:titl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68544"/>
        <c:crosses val="autoZero"/>
        <c:auto val="1"/>
        <c:lblAlgn val="ctr"/>
        <c:lblOffset val="100"/>
        <c:noMultiLvlLbl val="0"/>
      </c:catAx>
      <c:valAx>
        <c:axId val="338268544"/>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均匀度指数</a:t>
                </a:r>
                <a:endParaRPr lang="zh-CN" alt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155776"/>
        <c:crosses val="autoZero"/>
        <c:crossBetween val="between"/>
      </c:valAx>
      <c:spPr>
        <a:noFill/>
        <a:ln>
          <a:noFill/>
        </a:ln>
        <a:effectLst/>
      </c:spPr>
    </c:plotArea>
    <c:plotVisOnly val="1"/>
    <c:dispBlanksAs val="gap"/>
    <c:showDLblsOverMax val="0"/>
    <c:extLst>
      <c:ext uri="{0b15fc19-7d7d-44ad-8c2d-2c3a37ce22c3}">
        <chartProps xmlns="https://web.wps.cn/et/2018/main" chartId="{add1fd06-6099-4356-9c0c-802ac5b7001e}"/>
      </c:ext>
    </c:extLst>
  </c:chart>
  <c:spPr>
    <a:noFill/>
    <a:ln w="9525" cap="flat" cmpd="sng" algn="ctr">
      <a:no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cmpd="sng" algn="ctr">
              <a:solidFill>
                <a:schemeClr val="accent1"/>
              </a:solidFill>
              <a:prstDash val="solid"/>
              <a:round/>
            </a:ln>
            <a:effectLst/>
          </c:spPr>
          <c:marker>
            <c:symbol val="none"/>
          </c:marker>
          <c:dLbls>
            <c:delete val="1"/>
          </c:dLbls>
          <c:val>
            <c:numRef>
              <c:f>Sheet5!$E$3:$E$17</c:f>
              <c:numCache>
                <c:formatCode>General</c:formatCode>
                <c:ptCount val="15"/>
                <c:pt idx="0">
                  <c:v>0.563449534627986</c:v>
                </c:pt>
                <c:pt idx="1">
                  <c:v>0.536059791213492</c:v>
                </c:pt>
                <c:pt idx="2">
                  <c:v>0.559731749181154</c:v>
                </c:pt>
                <c:pt idx="3">
                  <c:v>0.540639394548808</c:v>
                </c:pt>
                <c:pt idx="4">
                  <c:v>0.500144388910248</c:v>
                </c:pt>
                <c:pt idx="5">
                  <c:v>0.614163076622054</c:v>
                </c:pt>
                <c:pt idx="6">
                  <c:v>0.500403612351565</c:v>
                </c:pt>
                <c:pt idx="7">
                  <c:v>0.528061933106576</c:v>
                </c:pt>
                <c:pt idx="8">
                  <c:v>0.513084619930292</c:v>
                </c:pt>
                <c:pt idx="9">
                  <c:v>0.502380252694595</c:v>
                </c:pt>
                <c:pt idx="10">
                  <c:v>0.666023875114784</c:v>
                </c:pt>
                <c:pt idx="11">
                  <c:v>0.500006416085984</c:v>
                </c:pt>
                <c:pt idx="12">
                  <c:v>0.500055989473979</c:v>
                </c:pt>
                <c:pt idx="13">
                  <c:v>0.521974688219915</c:v>
                </c:pt>
                <c:pt idx="14">
                  <c:v>0.517574094013371</c:v>
                </c:pt>
              </c:numCache>
            </c:numRef>
          </c:val>
          <c:smooth val="0"/>
        </c:ser>
        <c:dLbls>
          <c:showLegendKey val="0"/>
          <c:showVal val="0"/>
          <c:showCatName val="0"/>
          <c:showSerName val="0"/>
          <c:showPercent val="0"/>
          <c:showBubbleSize val="0"/>
        </c:dLbls>
        <c:marker val="0"/>
        <c:smooth val="0"/>
        <c:axId val="338755584"/>
        <c:axId val="338757504"/>
      </c:lineChart>
      <c:catAx>
        <c:axId val="338755584"/>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样地</a:t>
                </a:r>
                <a:endParaRPr lang="zh-CN" altLang="en-US"/>
              </a:p>
            </c:rich>
          </c:tx>
          <c:layout/>
          <c:overlay val="0"/>
          <c:spPr>
            <a:noFill/>
            <a:ln>
              <a:noFill/>
            </a:ln>
            <a:effectLst/>
          </c:spPr>
        </c:titl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757504"/>
        <c:crosses val="autoZero"/>
        <c:auto val="1"/>
        <c:lblAlgn val="ctr"/>
        <c:lblOffset val="100"/>
        <c:noMultiLvlLbl val="0"/>
      </c:catAx>
      <c:valAx>
        <c:axId val="338757504"/>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优势度指数</a:t>
                </a:r>
                <a:endParaRPr lang="zh-CN" alt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755584"/>
        <c:crosses val="autoZero"/>
        <c:crossBetween val="between"/>
      </c:valAx>
      <c:spPr>
        <a:noFill/>
        <a:ln>
          <a:noFill/>
        </a:ln>
        <a:effectLst/>
      </c:spPr>
    </c:plotArea>
    <c:plotVisOnly val="1"/>
    <c:dispBlanksAs val="gap"/>
    <c:showDLblsOverMax val="0"/>
    <c:extLst>
      <c:ext uri="{0b15fc19-7d7d-44ad-8c2d-2c3a37ce22c3}">
        <chartProps xmlns="https://web.wps.cn/et/2018/main" chartId="{13236d1c-e768-4728-96d7-464b5766d018}"/>
      </c:ext>
    </c:extLst>
  </c:chart>
  <c:spPr>
    <a:noFill/>
    <a:ln w="9525" cap="flat" cmpd="sng" algn="ctr">
      <a:no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27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1D4B10-5D03-4351-B6DD-84AA8FDE8DD1}">
  <ds:schemaRefs/>
</ds:datastoreItem>
</file>

<file path=docProps/app.xml><?xml version="1.0" encoding="utf-8"?>
<Properties xmlns="http://schemas.openxmlformats.org/officeDocument/2006/extended-properties" xmlns:vt="http://schemas.openxmlformats.org/officeDocument/2006/docPropsVTypes">
  <Template>秋日夕阳西下.wpt</Template>
  <Company>微软公司</Company>
  <Pages>321</Pages>
  <Words>143127</Words>
  <Characters>172868</Characters>
  <Lines>1425</Lines>
  <Paragraphs>401</Paragraphs>
  <TotalTime>9</TotalTime>
  <ScaleCrop>false</ScaleCrop>
  <LinksUpToDate>false</LinksUpToDate>
  <CharactersWithSpaces>174681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2024-01-19T02:17:00Z</dcterms:created>
  <dc:creator>nana</dc:creator>
  <cp:lastModifiedBy>su</cp:lastModifiedBy>
  <cp:lastPrinted>2024-05-14T01:44:00Z</cp:lastPrinted>
  <dcterms:modified xsi:type="dcterms:W3CDTF">2026-04-24T02:27:08Z</dcterms:modified>
  <dc:title>磴口县瑞牧养殖有限公司高标准奶牛</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5CBD5D8930A84FC9879CB60BBECAE682_13</vt:lpwstr>
  </property>
  <property fmtid="{D5CDD505-2E9C-101B-9397-08002B2CF9AE}" pid="4" name="KSOTemplateDocerSaveRecord">
    <vt:lpwstr>eyJoZGlkIjoiNTBiMGZiZGU4YzA3MjQzZTI3ODk1ZDViMjEzMTEwZTEiLCJ1c2VySWQiOiI0MTgwODQyODkifQ==</vt:lpwstr>
  </property>
</Properties>
</file>