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center"/>
        <w:rPr>
          <w:rStyle w:val="6"/>
          <w:rFonts w:hint="eastAsia" w:ascii="宋体" w:hAnsi="宋体" w:eastAsia="宋体" w:cs="宋体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  <w:r>
        <w:rPr>
          <w:rStyle w:val="6"/>
          <w:rFonts w:hint="eastAsia" w:ascii="宋体" w:hAnsi="宋体" w:eastAsia="宋体" w:cs="宋体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鄂托克旗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center"/>
        <w:rPr>
          <w:rFonts w:hint="eastAsia" w:ascii="宋体" w:hAnsi="宋体" w:eastAsia="宋体" w:cs="宋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Style w:val="6"/>
          <w:rFonts w:hint="eastAsia" w:ascii="宋体" w:hAnsi="宋体" w:eastAsia="宋体" w:cs="宋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20</w:t>
      </w:r>
      <w:r>
        <w:rPr>
          <w:rStyle w:val="6"/>
          <w:rFonts w:hint="eastAsia" w:ascii="宋体" w:hAnsi="宋体" w:eastAsia="宋体" w:cs="宋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21</w:t>
      </w:r>
      <w:r>
        <w:rPr>
          <w:rStyle w:val="6"/>
          <w:rFonts w:hint="eastAsia" w:ascii="宋体" w:hAnsi="宋体" w:eastAsia="宋体" w:cs="宋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年国民经济和社会发展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center"/>
        <w:rPr>
          <w:rFonts w:hint="eastAsia" w:ascii="宋体" w:hAnsi="宋体" w:eastAsia="宋体" w:cs="宋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Style w:val="6"/>
          <w:rFonts w:hint="eastAsia" w:ascii="宋体" w:hAnsi="宋体" w:eastAsia="宋体" w:cs="宋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统计公报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center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鄂托克旗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统计局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center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国家统计局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鄂托克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调查队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center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（202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 3月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日）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 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2021年，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面对国内疫情散发和复杂的经济环境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，全旗上下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始终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以习近平新时代中国特色社会主义思想为指导，扎实推进统筹疫情防控和经济社会发展，生产需求持续恢复，企业效益不断改善，经济发展承压前行、稳中向好，实现了“十四五”良好开局。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Style w:val="6"/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 综合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初步核算结果显示，全旗全年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实现地区生产总值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519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亿元，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同比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增长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9.8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%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,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两年平均增速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6.7%。其中：第一产业实现增加值11.2亿元，同比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增长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4.2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%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；第二产业实现增加值417.2亿元，同比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增长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10.8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%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；第三产业实现增加值90.6亿元，同比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增长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7.1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%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；三次产业占比为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2.2:80.4:17.5；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人均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地区生产总值31.7万元，同比增长8.8%。</w:t>
      </w:r>
    </w:p>
    <w:p>
      <w:pPr>
        <w:pStyle w:val="2"/>
        <w:ind w:left="0" w:leftChars="0" w:firstLine="0" w:firstLineChars="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69230" cy="2146300"/>
            <wp:effectExtent l="0" t="0" r="7620" b="0"/>
            <wp:docPr id="1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14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left="0" w:leftChars="0" w:firstLine="0" w:firstLineChars="0"/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72405" cy="2611755"/>
            <wp:effectExtent l="0" t="0" r="4445" b="0"/>
            <wp:docPr id="1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61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2021年末全旗常住人口16.44万人，其中城镇人口13.09万人，乡村人口3.35万人，城镇化率为79.62%。年末户籍人口97767人，比上年末减少206人。</w:t>
      </w:r>
    </w:p>
    <w:p>
      <w:pPr>
        <w:pStyle w:val="2"/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/>
        <w:jc w:val="both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72405" cy="2292985"/>
            <wp:effectExtent l="0" t="0" r="4445" b="0"/>
            <wp:docPr id="1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292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outlineLvl w:val="9"/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全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旗实现财政总收入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103.3亿元，完成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一般公共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预算收入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32.2亿元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，较上年同期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增长12.9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%。其中：税收收入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28亿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元，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增长15.4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%；非税收入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4.2亿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元，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下降1.2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%；占比分别为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87.1%和12.9%。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全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旗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一般公共预算支出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57.1亿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元，同比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增长28.6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%，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其中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民生支出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31.9亿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元，占一般公共预算支出的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55.8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%。</w:t>
      </w:r>
    </w:p>
    <w:p>
      <w:pPr>
        <w:pStyle w:val="2"/>
        <w:ind w:left="0" w:leftChars="0" w:firstLine="0" w:firstLineChars="0"/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69230" cy="2464435"/>
            <wp:effectExtent l="0" t="0" r="7620" b="0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464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2021年，农村牧区剩余劳动力转移就业5323人，城镇新增就业1907人，就业困难人员203人、失业人员实现再就业547人，城镇登记失业率保持在3.78%以内。</w:t>
      </w:r>
    </w:p>
    <w:p>
      <w:pPr>
        <w:pStyle w:val="2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全旗主城区居民消费价格累计上涨1.2%，低于鄂尔多斯市平均水平1.4个百分点，高于自治区平均水平0.3个百分点。从不同口径价格指数看，食品价格指数下降 1.8%，消费品价格上涨1.6%，非食品价格上涨1.9%，工业品价格上涨3.6%，服务价格上涨0.6%。</w:t>
      </w:r>
    </w:p>
    <w:p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Style w:val="6"/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Style w:val="6"/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农牧业</w:t>
      </w:r>
    </w:p>
    <w:p>
      <w:pPr>
        <w:pStyle w:val="3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060000" w:fill="FFFFFF"/>
        <w:wordWrap/>
        <w:adjustRightInd/>
        <w:snapToGrid/>
        <w:spacing w:before="0" w:beforeAutospacing="0" w:after="0" w:afterAutospacing="0" w:line="560" w:lineRule="atLeast"/>
        <w:ind w:right="30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0"/>
          <w:sz w:val="32"/>
          <w:szCs w:val="32"/>
          <w:shd w:val="clear" w:color="070000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0"/>
          <w:sz w:val="32"/>
          <w:szCs w:val="32"/>
          <w:shd w:val="clear" w:color="070000" w:fill="FFFFFF"/>
          <w:lang w:val="en-US" w:eastAsia="zh-CN"/>
          <w14:textFill>
            <w14:solidFill>
              <w14:schemeClr w14:val="tx1"/>
            </w14:solidFill>
          </w14:textFill>
        </w:rPr>
        <w:t>2021年，全旗现价农林牧渔及服务业总产值19.8亿元，按可比价格计算同比增长4.3%。其中农业总产值8.7亿元、林业总产值0.67亿元、牧业总产值9.6亿元、渔业总产值0.33亿元、农林牧渔服务业总产值0.49亿元。</w:t>
      </w:r>
    </w:p>
    <w:p>
      <w:pPr>
        <w:pStyle w:val="3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060000" w:fill="FFFFFF"/>
        <w:wordWrap/>
        <w:adjustRightInd/>
        <w:snapToGrid/>
        <w:spacing w:before="0" w:beforeAutospacing="0" w:after="0" w:afterAutospacing="0" w:line="560" w:lineRule="atLeast"/>
        <w:ind w:right="300"/>
        <w:jc w:val="left"/>
        <w:textAlignment w:val="auto"/>
        <w:outlineLvl w:val="9"/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0"/>
          <w:sz w:val="32"/>
          <w:szCs w:val="32"/>
          <w:shd w:val="clear" w:color="070000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7325" cy="2329180"/>
            <wp:effectExtent l="0" t="0" r="9525" b="0"/>
            <wp:docPr id="1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32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060000" w:fill="FFFFFF"/>
        <w:wordWrap/>
        <w:adjustRightInd/>
        <w:snapToGrid/>
        <w:spacing w:before="0" w:beforeAutospacing="0" w:after="0" w:afterAutospacing="0" w:line="560" w:lineRule="atLeast"/>
        <w:ind w:right="30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0"/>
          <w:sz w:val="32"/>
          <w:szCs w:val="32"/>
          <w:shd w:val="clear" w:color="070000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0"/>
          <w:sz w:val="32"/>
          <w:szCs w:val="32"/>
          <w:shd w:val="clear" w:color="070000" w:fill="FFFFFF"/>
          <w:lang w:val="en-US" w:eastAsia="zh-CN"/>
          <w14:textFill>
            <w14:solidFill>
              <w14:schemeClr w14:val="tx1"/>
            </w14:solidFill>
          </w14:textFill>
        </w:rPr>
        <w:t>2021年，全旗农作物总播种面积32727.1公顷。其中粮食作物播种面积23267.7公顷，经济作物播种面积9459.4公顷。油料播种面积1707.5公顷，蔬菜及食用菌播种面积94.9公顷。全年粮食总产量12.9万吨，同比增长1.5%；油料产量0.43万吨，同比下降9.4%；蔬菜及食用菌产量0.38万吨，同比增长29.3%.</w:t>
      </w:r>
    </w:p>
    <w:p>
      <w:pPr>
        <w:pStyle w:val="3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060000" w:fill="FFFFFF"/>
        <w:wordWrap/>
        <w:adjustRightInd/>
        <w:snapToGrid/>
        <w:spacing w:before="0" w:beforeAutospacing="0" w:after="0" w:afterAutospacing="0" w:line="560" w:lineRule="atLeast"/>
        <w:ind w:right="300" w:firstLine="640" w:firstLineChars="200"/>
        <w:jc w:val="left"/>
        <w:textAlignment w:val="auto"/>
        <w:outlineLvl w:val="9"/>
        <w:rPr>
          <w:rStyle w:val="6"/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2021年，全旗拥有农业机械总动力276260千瓦，同比增长58.94%。全旗拥有大中型拖拉机2145台（30马力以上）包含20马力以上的3743台，同比增长8.46%；农用排灌机械4250台，同比增长2.43%。其中：节水灌溉类机械674套；联合收获机77台，同比增长30.5%。机械耕地面积占农作物总播种面积的比重为93.08%，机械播种面积占比为93.32%，机械收割面积占比为81.97%，农业耕种收综合机械化水平达到89.82%。</w:t>
      </w:r>
    </w:p>
    <w:p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Style w:val="6"/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三、工业</w:t>
      </w:r>
    </w:p>
    <w:p>
      <w:pPr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lang w:val="en-US" w:eastAsia="zh-CN"/>
          <w14:textFill>
            <w14:solidFill>
              <w14:schemeClr w14:val="tx1"/>
            </w14:solidFill>
          </w14:textFill>
        </w:rPr>
        <w:t>2021年，全旗规模以上工业企业达96家，较去年增加5家。全年规模以上工业增加值按可比价计算同比增长12.2%，按轻重工业分：轻工业增长15.8%，重工业增长14.1%；按经济类型分：国有控股企业增长19.1%，集体企业下降23.6%，股份制企业增长14%，外商及港澳台投资企业增长13.7%，其他经济类型工业企业增长22.6%。按三大门类分：采矿业增加值同比增长18.5%;制造业增长16.3%；电力、热力、燃气及水生产和供应业下降5%。三大门类比重分别为51.1%、36.2%和12.7%。工业产品产销率达100%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全年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规模以上工业企业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实现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营业收入1353.7亿元，同比增长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67.7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%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利润总额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245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亿元，同比增长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151.8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%。亏损企业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家，同比减少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家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亏损面为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20.8%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亏损企业亏损额15.5亿元。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规模以上工业企业营业收入利润率和成本费用利润率分别为18.1%和22.15%，同比分别提高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6.04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和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8.57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个百分点。</w:t>
      </w:r>
    </w:p>
    <w:p>
      <w:pPr>
        <w:pStyle w:val="2"/>
        <w:ind w:left="0" w:leftChars="0" w:firstLine="0" w:firstLineChars="0"/>
        <w:rPr>
          <w:rFonts w:hint="eastAsia"/>
        </w:rPr>
      </w:pPr>
      <w:r>
        <w:drawing>
          <wp:inline distT="0" distB="0" distL="114300" distR="114300">
            <wp:extent cx="5269230" cy="2343150"/>
            <wp:effectExtent l="0" t="0" r="7620" b="0"/>
            <wp:docPr id="1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全旗五成以上的工业产品保持增长态势。规模以上原煤产量3713.5万吨，同比增长20.9%；精煤1597.6万吨，同比增长13.6%；焦炭880.5万吨，同比增长30.4%；纯苯7.7万吨，同比增长16.7%；尿素79.3万吨，同比增长10.3%；烧碱121.4万吨，同比增长0.3%；PVC175.4万吨，同比增长1.2%；多晶硅11558吨，同比增长34.1%；无毛绒208吨，同比增长60.0%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全社会综合能源消费量2347.61万吨标准煤，同比增长1.46%，其中：农、林、牧、渔业同比增长10.29%；工业同比增长0.73；建筑业同比增长38.89%；服务业同比增长25.44%；居民生活同比增长5.17%。全年规模以上用电量354.2亿度，同比增长1%,单位GDP能耗同比下降7.57%。</w:t>
      </w:r>
    </w:p>
    <w:p>
      <w:pPr>
        <w:pStyle w:val="2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jc w:val="center"/>
        <w:rPr>
          <w:rStyle w:val="6"/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Style w:val="6"/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四、建筑业</w:t>
      </w:r>
    </w:p>
    <w:p>
      <w:pPr>
        <w:ind w:firstLine="700" w:firstLineChars="200"/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15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15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年末全旗具有资质等级的建筑施工企业5个，全年总承包和专业承包建筑业总产值19262.4万元，同比增长90.3%，竣工产值17469.3万元，同比增长72.6%。建筑业企业房屋建筑施工面积17191平方米，同比增长125.6%；竣工面积17191平方米，同比增长126.8%。</w:t>
      </w:r>
    </w:p>
    <w:p>
      <w:pPr>
        <w:pStyle w:val="2"/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jc w:val="center"/>
        <w:rPr>
          <w:rStyle w:val="6"/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Style w:val="6"/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五、固定资产投资</w:t>
      </w:r>
    </w:p>
    <w:p>
      <w:pPr>
        <w:ind w:firstLine="700" w:firstLineChars="200"/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15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15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全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15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旗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15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500万元以上固定资产投资同比增长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15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20.1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15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%。其中民间投资同比增长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15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3.3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15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%，民间投资占总投资比重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15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69.5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15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%。全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15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旗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15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亿元以上项目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15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29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15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个，亿元以上项目投资额比上年增长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15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16.4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15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%。</w:t>
      </w:r>
    </w:p>
    <w:p>
      <w:pPr>
        <w:ind w:firstLine="420" w:firstLineChars="200"/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15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151765</wp:posOffset>
            </wp:positionH>
            <wp:positionV relativeFrom="paragraph">
              <wp:posOffset>182245</wp:posOffset>
            </wp:positionV>
            <wp:extent cx="2722880" cy="1976755"/>
            <wp:effectExtent l="0" t="0" r="1270" b="4445"/>
            <wp:wrapSquare wrapText="bothSides"/>
            <wp:docPr id="5" name="图片 5" descr="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图片2"/>
                    <pic:cNvPicPr>
                      <a:picLocks noChangeAspect="1"/>
                    </pic:cNvPicPr>
                  </pic:nvPicPr>
                  <pic:blipFill>
                    <a:blip r:embed="rId10"/>
                    <a:srcRect l="12065" t="13714" r="25817" b="22538"/>
                    <a:stretch>
                      <a:fillRect/>
                    </a:stretch>
                  </pic:blipFill>
                  <pic:spPr>
                    <a:xfrm>
                      <a:off x="0" y="0"/>
                      <a:ext cx="2722880" cy="1976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15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主要工业行业投资中，采矿业投资同比增长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15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11739.4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15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%；制造业投资同比增长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15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13.1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15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%；电力、燃气及水的生产和供应业投资同比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15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下降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15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15.9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15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%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15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15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水利环境和公共设施管理业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15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投资同比下降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15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64.1%；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15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交通运输仓储和邮政业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15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同比增长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15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36.9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15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%；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15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教育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15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投资同比增长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15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655.4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15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%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15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numPr>
          <w:ilvl w:val="0"/>
          <w:numId w:val="0"/>
        </w:numPr>
        <w:jc w:val="both"/>
        <w:rPr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0"/>
        </w:numPr>
        <w:jc w:val="center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Style w:val="6"/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六、国内贸易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全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旗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实现社会消费品零售总额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32.6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亿元，同比增长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7.8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%。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按销售区域分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，城镇消费品零售额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25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亿元，同比增长7.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%，乡村消费品零售额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7.6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亿元，同比增长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7.5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%。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按消费类型分，商品零售额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29.1亿元，同比增长7%；餐费收入3.5亿元，同比增长14.5%。</w:t>
      </w:r>
    </w:p>
    <w:p>
      <w:pPr>
        <w:pStyle w:val="2"/>
        <w:ind w:left="0" w:leftChars="0" w:firstLine="0" w:firstLineChars="0"/>
        <w:rPr>
          <w:rFonts w:hint="eastAsia"/>
          <w:lang w:eastAsia="zh-CN"/>
        </w:rPr>
      </w:pPr>
      <w:r>
        <w:drawing>
          <wp:inline distT="0" distB="0" distL="114300" distR="114300">
            <wp:extent cx="5268595" cy="2049780"/>
            <wp:effectExtent l="0" t="0" r="8255" b="762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04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在限额以上单位商品零售额中，粮油、食品类同比增长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44.1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%；中西药品类同比增长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40.6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%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限额以上住宿业营业额同比增长41.1%;限额以上餐饮业营业额同比增长53.7%。</w:t>
      </w:r>
    </w:p>
    <w:p>
      <w:pPr>
        <w:pStyle w:val="2"/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Style w:val="6"/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七、交通和旅游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21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年，全旗公路总里程达到38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93.3公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里，按技术等级分: 高速公路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154.8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公里、一级公路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251.8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公里、二级公路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285.9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公里、三级公路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909.7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公里、四级公路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2157.1公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里、等外公路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134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公里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。全旗拥有铁路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5条，通车里程335.7公里，铁路货运量2061万吨。全旗75个嘎查村沥青（水泥）路通畅率100%、农村公路列养率100%、客车通达率100%。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全旗现有A级旅游景区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家，其中：4A级2家、3A级1家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全旗实现旅游收入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5269.3万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元，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同比下降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71.2%；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共接待游客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27.9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万人次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，同比增长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44.4%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pStyle w:val="2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Style w:val="6"/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八</w:t>
      </w:r>
      <w:r>
        <w:rPr>
          <w:rStyle w:val="6"/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、金融和保险业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firstLine="640" w:firstLineChars="200"/>
        <w:textAlignment w:val="auto"/>
        <w:rPr>
          <w:rStyle w:val="6"/>
          <w:rFonts w:hint="eastAsia" w:ascii="仿宋" w:hAnsi="仿宋" w:eastAsia="仿宋" w:cs="仿宋"/>
          <w:b w:val="0"/>
          <w:bCs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Style w:val="6"/>
          <w:rFonts w:hint="eastAsia" w:ascii="仿宋" w:hAnsi="仿宋" w:eastAsia="仿宋" w:cs="仿宋"/>
          <w:b w:val="0"/>
          <w:bCs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全旗共有金融机构营业网点53个，共有从业人员646人，其中法人金融机构3家。2021年末，全旗金融机构各项存款余额（人民币）193.6亿元，同比增长15.3%。其中，非金融企业存款余额47.2亿元，同比增长39.5%；住户存款余额133亿元，同比增长11.4%。2021年末，全旗金融机构各项贷款余额193.3亿元，同比增长7.9%。其中，非金融企业及机关团体贷款148.4亿元，同 比增长3.6%；住户贷款44.9亿元，同比增长23.8% 。全旗10家保险公司实现保费收入1.2亿元，从业人员305人。  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/>
        <w:textAlignment w:val="auto"/>
        <w:rPr>
          <w:rStyle w:val="6"/>
          <w:rFonts w:hint="eastAsia" w:ascii="仿宋" w:hAnsi="仿宋" w:eastAsia="仿宋" w:cs="仿宋"/>
          <w:b w:val="0"/>
          <w:bCs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6690" cy="2041525"/>
            <wp:effectExtent l="0" t="0" r="10160" b="0"/>
            <wp:docPr id="16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04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firstLine="640" w:firstLineChars="200"/>
        <w:textAlignment w:val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Style w:val="6"/>
          <w:rFonts w:hint="eastAsia" w:ascii="仿宋" w:hAnsi="仿宋" w:eastAsia="仿宋" w:cs="仿宋"/>
          <w:b w:val="0"/>
          <w:bCs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   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  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Style w:val="6"/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九</w:t>
      </w:r>
      <w:r>
        <w:rPr>
          <w:rStyle w:val="6"/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</w:t>
      </w:r>
      <w:r>
        <w:rPr>
          <w:rStyle w:val="6"/>
          <w:rFonts w:hint="eastAsia" w:ascii="仿宋" w:hAnsi="仿宋" w:eastAsia="仿宋" w:cs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教育</w:t>
      </w:r>
      <w:r>
        <w:rPr>
          <w:rStyle w:val="6"/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和科技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Style w:val="6"/>
          <w:rFonts w:hint="eastAsia" w:ascii="仿宋" w:hAnsi="仿宋" w:eastAsia="仿宋" w:cs="仿宋"/>
          <w:b w:val="0"/>
          <w:bCs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Style w:val="6"/>
          <w:rFonts w:hint="eastAsia" w:ascii="仿宋" w:hAnsi="仿宋" w:eastAsia="仿宋" w:cs="仿宋"/>
          <w:b w:val="0"/>
          <w:bCs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2021年全旗共有各类学校14所（不含幼儿园）。其中：普通高中1所，完全中学1所，职业中学1所，九年一贯制学校1所，初中2所，小学8所。全旗共有中小学专任教师1580人，其中：高中269人，初中416人，小学895人。全旗在校学生17670人（不含幼儿园）。其中：高中1380人，初中4227人，小学12063人。 </w:t>
      </w:r>
    </w:p>
    <w:p>
      <w:pPr>
        <w:pStyle w:val="2"/>
        <w:rPr>
          <w:rStyle w:val="6"/>
          <w:rFonts w:hint="eastAsia" w:ascii="仿宋" w:hAnsi="仿宋" w:eastAsia="仿宋" w:cs="仿宋"/>
          <w:b w:val="0"/>
          <w:bCs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Style w:val="6"/>
          <w:rFonts w:hint="eastAsia" w:ascii="仿宋" w:hAnsi="仿宋" w:eastAsia="仿宋" w:cs="仿宋"/>
          <w:b w:val="0"/>
          <w:bCs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全旗拥有国家级高新技术企业24家、拥有自治区级科技载体平台28个，其中:重点实验室1个、企业研究开发中心16个、企业技术中心5个、工程技术研究中心5个、院士工作站1个。</w:t>
      </w:r>
    </w:p>
    <w:p>
      <w:pPr>
        <w:pStyle w:val="2"/>
        <w:rPr>
          <w:rStyle w:val="6"/>
          <w:rFonts w:hint="eastAsia" w:ascii="仿宋" w:hAnsi="仿宋" w:eastAsia="仿宋" w:cs="仿宋"/>
          <w:b w:val="0"/>
          <w:bCs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center"/>
        <w:textAlignment w:val="auto"/>
        <w:rPr>
          <w:rStyle w:val="6"/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Style w:val="6"/>
          <w:rFonts w:hint="eastAsia" w:ascii="仿宋" w:hAnsi="仿宋" w:eastAsia="仿宋" w:cs="仿宋"/>
          <w:b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十、</w:t>
      </w:r>
      <w:r>
        <w:rPr>
          <w:rStyle w:val="6"/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文化、体育和卫生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2021年全旗拥有影剧院1个，文化馆1座，图书馆1座，博物馆3座。拥有广播电视台1座，广播人口覆盖率100%，电视人口覆盖率100%。全年开展各类文化活动80余场，乌兰牧骑下乡惠民演出91场次，直接参与的人数和观众达到30余万人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全旗拥有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单项体育协会和俱乐部23个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国家级社会体育指导员4人，一级20人，二级136人，三级184人，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全旗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2社区和75个嘎查村路径器材全部覆盖。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全旗共有公立医院3家，社区卫生服务中心2个，社区卫生服务站6个，乡镇卫生院10个，村卫生室48个，疾病预防控制中心1个，卫生监督所1个。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公立医院床位数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412张，乡镇卫生院床位数82张。</w:t>
      </w:r>
    </w:p>
    <w:p>
      <w:pPr>
        <w:pStyle w:val="2"/>
        <w:rPr>
          <w:rFonts w:hint="eastAsia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Style w:val="6"/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十</w:t>
      </w:r>
      <w:r>
        <w:rPr>
          <w:rStyle w:val="6"/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一</w:t>
      </w:r>
      <w:r>
        <w:rPr>
          <w:rStyle w:val="6"/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、环境保护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2021年，乌兰镇城区环境空气质量全年优良天数314天，污染天数34天，环境空气优良天数比例为90.2%，二氧化硫均值为13ug/m3，二氧化氮均值为13ug/m3，可吸入颗粒物PM2.5年平均浓度18ug/m3。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firstLine="640" w:firstLineChars="200"/>
        <w:textAlignment w:val="auto"/>
        <w:rPr>
          <w:rFonts w:hint="default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全旗林地面积184188.03公顷。其中：乔木林地5141.53公顷，占2.79%；灌木林地177680.11公顷，占96.47%；其他林地1366.39公顷，占0.74%。草地面积1637683.37公顷。其中：天然牧草地1611606.95公顷，占98.41%；人工牧草地4779.32公顷，占0.29%；其他草地21297.1公顷，占1.3%。　　湿地面积8009.43公顷。湿地是“三调”新增的一级地类，包括7个二级地类，我旗涉及2个二级类，其中：沼泽草地560.49公顷，占7%；内陆滩涂7448.94公顷，占93%。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/>
        <w:jc w:val="center"/>
        <w:textAlignment w:val="auto"/>
        <w:rPr>
          <w:rStyle w:val="6"/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Style w:val="6"/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十二、</w:t>
      </w:r>
      <w:r>
        <w:rPr>
          <w:rStyle w:val="6"/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人民生活和社会保障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50" w:afterLines="50" w:line="360" w:lineRule="auto"/>
        <w:ind w:firstLine="70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pacing w:val="15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2021年</w:t>
      </w:r>
      <w:r>
        <w:rPr>
          <w:rFonts w:hint="eastAsia" w:ascii="仿宋" w:hAnsi="仿宋" w:eastAsia="仿宋" w:cs="仿宋"/>
          <w:b w:val="0"/>
          <w:bCs/>
          <w:color w:val="000000" w:themeColor="text1"/>
          <w:spacing w:val="15"/>
          <w:sz w:val="32"/>
          <w:szCs w:val="32"/>
          <w14:textFill>
            <w14:solidFill>
              <w14:schemeClr w14:val="tx1"/>
            </w14:solidFill>
          </w14:textFill>
        </w:rPr>
        <w:t>抽样调查资料显示，全</w:t>
      </w:r>
      <w:r>
        <w:rPr>
          <w:rFonts w:hint="eastAsia" w:ascii="仿宋" w:hAnsi="仿宋" w:eastAsia="仿宋" w:cs="仿宋"/>
          <w:color w:val="000000" w:themeColor="text1"/>
          <w:spacing w:val="15"/>
          <w:sz w:val="32"/>
          <w:szCs w:val="32"/>
          <w14:textFill>
            <w14:solidFill>
              <w14:schemeClr w14:val="tx1"/>
            </w14:solidFill>
          </w14:textFill>
        </w:rPr>
        <w:t>旗全体居民人均可支配收入</w:t>
      </w:r>
      <w:r>
        <w:rPr>
          <w:rFonts w:hint="eastAsia" w:ascii="仿宋" w:hAnsi="仿宋" w:eastAsia="仿宋" w:cs="仿宋"/>
          <w:color w:val="000000" w:themeColor="text1"/>
          <w:spacing w:val="15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41865</w:t>
      </w:r>
      <w:r>
        <w:rPr>
          <w:rFonts w:hint="eastAsia" w:ascii="仿宋" w:hAnsi="仿宋" w:eastAsia="仿宋" w:cs="仿宋"/>
          <w:color w:val="000000" w:themeColor="text1"/>
          <w:spacing w:val="15"/>
          <w:sz w:val="32"/>
          <w:szCs w:val="32"/>
          <w14:textFill>
            <w14:solidFill>
              <w14:schemeClr w14:val="tx1"/>
            </w14:solidFill>
          </w14:textFill>
        </w:rPr>
        <w:t>元，同比增长</w:t>
      </w:r>
      <w:r>
        <w:rPr>
          <w:rFonts w:hint="eastAsia" w:ascii="仿宋" w:hAnsi="仿宋" w:eastAsia="仿宋" w:cs="仿宋"/>
          <w:color w:val="000000" w:themeColor="text1"/>
          <w:spacing w:val="15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7.4</w:t>
      </w:r>
      <w:r>
        <w:rPr>
          <w:rFonts w:hint="eastAsia" w:ascii="仿宋" w:hAnsi="仿宋" w:eastAsia="仿宋" w:cs="仿宋"/>
          <w:color w:val="000000" w:themeColor="text1"/>
          <w:spacing w:val="15"/>
          <w:sz w:val="32"/>
          <w:szCs w:val="32"/>
          <w14:textFill>
            <w14:solidFill>
              <w14:schemeClr w14:val="tx1"/>
            </w14:solidFill>
          </w14:textFill>
        </w:rPr>
        <w:t>%</w:t>
      </w:r>
      <w:r>
        <w:rPr>
          <w:rFonts w:hint="eastAsia" w:ascii="仿宋" w:hAnsi="仿宋" w:eastAsia="仿宋" w:cs="仿宋"/>
          <w:color w:val="000000" w:themeColor="text1"/>
          <w:spacing w:val="15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" w:hAnsi="仿宋" w:eastAsia="仿宋" w:cs="仿宋"/>
          <w:color w:val="000000" w:themeColor="text1"/>
          <w:spacing w:val="15"/>
          <w:sz w:val="32"/>
          <w:szCs w:val="32"/>
          <w14:textFill>
            <w14:solidFill>
              <w14:schemeClr w14:val="tx1"/>
            </w14:solidFill>
          </w14:textFill>
        </w:rPr>
        <w:t>按常住地分</w:t>
      </w:r>
      <w:r>
        <w:rPr>
          <w:rFonts w:hint="eastAsia" w:ascii="仿宋" w:hAnsi="仿宋" w:eastAsia="仿宋" w:cs="仿宋"/>
          <w:color w:val="000000" w:themeColor="text1"/>
          <w:spacing w:val="15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" w:hAnsi="仿宋" w:eastAsia="仿宋" w:cs="仿宋"/>
          <w:color w:val="000000" w:themeColor="text1"/>
          <w:spacing w:val="15"/>
          <w:sz w:val="32"/>
          <w:szCs w:val="32"/>
          <w14:textFill>
            <w14:solidFill>
              <w14:schemeClr w14:val="tx1"/>
            </w14:solidFill>
          </w14:textFill>
        </w:rPr>
        <w:t>城镇常住居民人均可支配收入</w:t>
      </w:r>
      <w:r>
        <w:rPr>
          <w:rFonts w:hint="eastAsia" w:ascii="仿宋" w:hAnsi="仿宋" w:eastAsia="仿宋" w:cs="仿宋"/>
          <w:color w:val="000000" w:themeColor="text1"/>
          <w:spacing w:val="15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52719</w:t>
      </w:r>
      <w:r>
        <w:rPr>
          <w:rFonts w:hint="eastAsia" w:ascii="仿宋" w:hAnsi="仿宋" w:eastAsia="仿宋" w:cs="仿宋"/>
          <w:color w:val="000000" w:themeColor="text1"/>
          <w:spacing w:val="15"/>
          <w:sz w:val="32"/>
          <w:szCs w:val="32"/>
          <w14:textFill>
            <w14:solidFill>
              <w14:schemeClr w14:val="tx1"/>
            </w14:solidFill>
          </w14:textFill>
        </w:rPr>
        <w:t>元，增长</w:t>
      </w:r>
      <w:r>
        <w:rPr>
          <w:rFonts w:hint="eastAsia" w:ascii="仿宋" w:hAnsi="仿宋" w:eastAsia="仿宋" w:cs="仿宋"/>
          <w:color w:val="000000" w:themeColor="text1"/>
          <w:spacing w:val="15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6.3</w:t>
      </w:r>
      <w:r>
        <w:rPr>
          <w:rFonts w:hint="eastAsia" w:ascii="仿宋" w:hAnsi="仿宋" w:eastAsia="仿宋" w:cs="仿宋"/>
          <w:color w:val="000000" w:themeColor="text1"/>
          <w:spacing w:val="15"/>
          <w:sz w:val="32"/>
          <w:szCs w:val="32"/>
          <w14:textFill>
            <w14:solidFill>
              <w14:schemeClr w14:val="tx1"/>
            </w14:solidFill>
          </w14:textFill>
        </w:rPr>
        <w:t>%；农村牧区常住居民人均可支配收入</w:t>
      </w:r>
      <w:r>
        <w:rPr>
          <w:rFonts w:hint="eastAsia" w:ascii="仿宋" w:hAnsi="仿宋" w:eastAsia="仿宋" w:cs="仿宋"/>
          <w:color w:val="000000" w:themeColor="text1"/>
          <w:spacing w:val="15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24016</w:t>
      </w:r>
      <w:r>
        <w:rPr>
          <w:rFonts w:hint="eastAsia" w:ascii="仿宋" w:hAnsi="仿宋" w:eastAsia="仿宋" w:cs="仿宋"/>
          <w:color w:val="000000" w:themeColor="text1"/>
          <w:spacing w:val="15"/>
          <w:sz w:val="32"/>
          <w:szCs w:val="32"/>
          <w14:textFill>
            <w14:solidFill>
              <w14:schemeClr w14:val="tx1"/>
            </w14:solidFill>
          </w14:textFill>
        </w:rPr>
        <w:t>元，增长</w:t>
      </w:r>
      <w:r>
        <w:rPr>
          <w:rFonts w:hint="eastAsia" w:ascii="仿宋" w:hAnsi="仿宋" w:eastAsia="仿宋" w:cs="仿宋"/>
          <w:color w:val="000000" w:themeColor="text1"/>
          <w:spacing w:val="15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9.5</w:t>
      </w:r>
      <w:r>
        <w:rPr>
          <w:rFonts w:hint="eastAsia" w:ascii="仿宋" w:hAnsi="仿宋" w:eastAsia="仿宋" w:cs="仿宋"/>
          <w:color w:val="000000" w:themeColor="text1"/>
          <w:spacing w:val="15"/>
          <w:sz w:val="32"/>
          <w:szCs w:val="32"/>
          <w14:textFill>
            <w14:solidFill>
              <w14:schemeClr w14:val="tx1"/>
            </w14:solidFill>
          </w14:textFill>
        </w:rPr>
        <w:t>%</w:t>
      </w:r>
      <w:r>
        <w:rPr>
          <w:rFonts w:hint="eastAsia" w:ascii="仿宋" w:hAnsi="仿宋" w:eastAsia="仿宋" w:cs="仿宋"/>
          <w:color w:val="000000" w:themeColor="text1"/>
          <w:spacing w:val="15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color w:val="000000" w:themeColor="text1"/>
          <w:spacing w:val="15"/>
          <w:sz w:val="32"/>
          <w:szCs w:val="32"/>
          <w14:textFill>
            <w14:solidFill>
              <w14:schemeClr w14:val="tx1"/>
            </w14:solidFill>
          </w14:textFill>
        </w:rPr>
        <w:t>快于城镇</w:t>
      </w:r>
      <w:r>
        <w:rPr>
          <w:rFonts w:hint="eastAsia" w:ascii="仿宋" w:hAnsi="仿宋" w:eastAsia="仿宋" w:cs="仿宋"/>
          <w:color w:val="000000" w:themeColor="text1"/>
          <w:spacing w:val="15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3.2</w:t>
      </w:r>
      <w:r>
        <w:rPr>
          <w:rFonts w:hint="eastAsia" w:ascii="仿宋" w:hAnsi="仿宋" w:eastAsia="仿宋" w:cs="仿宋"/>
          <w:color w:val="000000" w:themeColor="text1"/>
          <w:spacing w:val="15"/>
          <w:sz w:val="32"/>
          <w:szCs w:val="32"/>
          <w14:textFill>
            <w14:solidFill>
              <w14:schemeClr w14:val="tx1"/>
            </w14:solidFill>
          </w14:textFill>
        </w:rPr>
        <w:t>个百分点</w:t>
      </w:r>
      <w:r>
        <w:rPr>
          <w:rFonts w:hint="eastAsia" w:ascii="仿宋" w:hAnsi="仿宋" w:eastAsia="仿宋" w:cs="仿宋"/>
          <w:color w:val="000000" w:themeColor="text1"/>
          <w:spacing w:val="15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；城乡居民收入倍差</w:t>
      </w:r>
      <w:r>
        <w:rPr>
          <w:rFonts w:hint="eastAsia" w:ascii="仿宋" w:hAnsi="仿宋" w:eastAsia="仿宋" w:cs="仿宋"/>
          <w:color w:val="000000" w:themeColor="text1"/>
          <w:spacing w:val="15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2.195，</w:t>
      </w:r>
      <w:r>
        <w:rPr>
          <w:rFonts w:hint="eastAsia" w:ascii="仿宋" w:hAnsi="仿宋" w:eastAsia="仿宋" w:cs="仿宋"/>
          <w:color w:val="000000" w:themeColor="text1"/>
          <w:spacing w:val="15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较上年缩小</w:t>
      </w:r>
      <w:r>
        <w:rPr>
          <w:rFonts w:hint="eastAsia" w:ascii="仿宋" w:hAnsi="仿宋" w:eastAsia="仿宋" w:cs="仿宋"/>
          <w:color w:val="000000" w:themeColor="text1"/>
          <w:spacing w:val="15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0.07。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50" w:afterLines="50" w:line="360" w:lineRule="auto"/>
        <w:jc w:val="left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71770" cy="2675255"/>
            <wp:effectExtent l="0" t="0" r="5080" b="0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675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firstLine="640" w:firstLineChars="200"/>
        <w:textAlignment w:val="auto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全旗参加基本养老保险的各类人员达85594人，其中，企业职工养老保险参保人数44997人，机关事业单位养老保险参保人数8658人，城乡居民养老保险参保人数31939人。2021年底，全旗参加城镇职工医疗保险51253人，城乡居民医疗保险参保70109人，参加生育保险40830人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firstLine="640" w:firstLineChars="200"/>
        <w:textAlignment w:val="auto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2021年末，全旗享受城镇最低生活保障202人，享受农村最低生活保障407人。全旗公办社会福利机构1家，床位100张；民办社会福利机构3家，床位360个。 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firstLine="640" w:firstLineChars="200"/>
        <w:textAlignment w:val="auto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firstLine="640" w:firstLineChars="200"/>
        <w:textAlignment w:val="auto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注释：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firstLine="640" w:firstLineChars="200"/>
        <w:textAlignment w:val="auto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[1]本公报中数据部分为初步统计数。部分数据因四舍五入的原因，存在总计与分项合计不等的情况。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firstLine="640" w:firstLineChars="200"/>
        <w:textAlignment w:val="auto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[2]地区生产总值、各产业增加值绝对数按现价计算，增长速度按不变价格计算。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firstLine="640" w:firstLineChars="200"/>
        <w:textAlignment w:val="auto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[3]农业除粮食作物播种面积和产量为反馈数外，其余数据均为上报数。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firstLine="640" w:firstLineChars="200"/>
        <w:textAlignment w:val="auto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[4]主要工业产品产量为规模以上工业企业口径。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firstLine="640" w:firstLineChars="200"/>
        <w:textAlignment w:val="auto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[5]规模以上工业企业是指年主营业务收入2000万元及以上的全部法人工业企业。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firstLine="640" w:firstLineChars="200"/>
        <w:textAlignment w:val="auto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[6]限额以上批发零售企业是指年主营业务收入2000万元及以上的批发企业和年主营业务收入500万元及以上的零售企业。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firstLine="640" w:firstLineChars="200"/>
        <w:textAlignment w:val="auto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[7]规模以上服务业统计范围包括：年营业收入2000万元及以上的交通运输、仓储和邮政业，信息传输、软件和信息技术服务业，水利、环境和公共设施管理业，卫生行业法人单位；年营业收入1000万元及以上的房地产业（不含房地产开发经营），租赁和商务服务业，科学研究和技术服务业，教育行业法人单位；以及年营业收入500万元及以上的居民服务、修理和其他服务业，文化、体育和娱乐业，社会工作行业法人单位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firstLine="640" w:firstLineChars="200"/>
        <w:textAlignment w:val="auto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[8]民间固定资产投资是指具有集体、私营、个人性质的内资企（事业）单位以及由其控股（包括绝对控股和相对控股）的企业单位建造或购置固定资产的投资。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firstLine="640" w:firstLineChars="200"/>
        <w:textAlignment w:val="auto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firstLine="640" w:firstLineChars="200"/>
        <w:textAlignment w:val="auto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资料来源：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firstLine="640" w:firstLineChars="200"/>
        <w:textAlignment w:val="auto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本公报中户籍人口数据来自公安局；新增就业、就业困难人员再就业、城镇登记失业人员再就业、转移农村劳动力、城镇登记失业率、社会保障数据来自人力资源和社会保障局；医疗保障数据来自医疗保障局；财政数据来自财政局；金融数据、保险数据来自人民银行；养老服务、城乡居民最低生活保障标准、救助困难群众、救助金、高龄补贴数据来自民政局；教育、体育数据来自教育体育局；影剧院、文化馆、图书馆、博物馆、旅游数据来自文化和旅游局；医疗机构数据来自卫生健康委员会；科技计划项目、高新技术企业数据来自工信和科技局；道路和铁路数据来自交通局；森林面积、林草覆盖率数据来自林草局；空气质量数据来生态环境局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firstLine="640" w:firstLineChars="200"/>
        <w:textAlignment w:val="auto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firstLine="640" w:firstLineChars="200"/>
        <w:textAlignment w:val="auto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firstLine="640" w:firstLineChars="200"/>
        <w:textAlignment w:val="auto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附表：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/>
        <w:rPr>
          <w:color w:val="auto"/>
        </w:rPr>
      </w:pPr>
      <w:r>
        <w:drawing>
          <wp:inline distT="0" distB="0" distL="114300" distR="114300">
            <wp:extent cx="5273675" cy="6637020"/>
            <wp:effectExtent l="0" t="0" r="3175" b="1143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663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67F5313"/>
    <w:multiLevelType w:val="singleLevel"/>
    <w:tmpl w:val="F67F5313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D86811"/>
    <w:rsid w:val="002E01C1"/>
    <w:rsid w:val="0067722F"/>
    <w:rsid w:val="00DC46BB"/>
    <w:rsid w:val="00FB3B0C"/>
    <w:rsid w:val="00FC02BF"/>
    <w:rsid w:val="01202B52"/>
    <w:rsid w:val="01255435"/>
    <w:rsid w:val="0159301C"/>
    <w:rsid w:val="01B029AB"/>
    <w:rsid w:val="020873AC"/>
    <w:rsid w:val="02635CA5"/>
    <w:rsid w:val="0293743D"/>
    <w:rsid w:val="030F6698"/>
    <w:rsid w:val="031940D6"/>
    <w:rsid w:val="033438F2"/>
    <w:rsid w:val="036A3073"/>
    <w:rsid w:val="038B2FFA"/>
    <w:rsid w:val="039924D9"/>
    <w:rsid w:val="03EA0D40"/>
    <w:rsid w:val="03EA7201"/>
    <w:rsid w:val="04212517"/>
    <w:rsid w:val="042367A5"/>
    <w:rsid w:val="042D5090"/>
    <w:rsid w:val="04447821"/>
    <w:rsid w:val="04463C1A"/>
    <w:rsid w:val="055A585F"/>
    <w:rsid w:val="05627979"/>
    <w:rsid w:val="05D13AC9"/>
    <w:rsid w:val="05D66856"/>
    <w:rsid w:val="06192E7C"/>
    <w:rsid w:val="064A3E42"/>
    <w:rsid w:val="06500268"/>
    <w:rsid w:val="065A2869"/>
    <w:rsid w:val="06810D4C"/>
    <w:rsid w:val="06A47BB9"/>
    <w:rsid w:val="07180DEA"/>
    <w:rsid w:val="07A02A56"/>
    <w:rsid w:val="07AE40C3"/>
    <w:rsid w:val="07BA7F25"/>
    <w:rsid w:val="07C00A99"/>
    <w:rsid w:val="083E4834"/>
    <w:rsid w:val="08E93532"/>
    <w:rsid w:val="09091BB8"/>
    <w:rsid w:val="097E7B6C"/>
    <w:rsid w:val="09FD0C0A"/>
    <w:rsid w:val="0A1E4E03"/>
    <w:rsid w:val="0A2A6C74"/>
    <w:rsid w:val="0A2E280E"/>
    <w:rsid w:val="0A3A42FB"/>
    <w:rsid w:val="0A966BA3"/>
    <w:rsid w:val="0AB7160E"/>
    <w:rsid w:val="0AD940BD"/>
    <w:rsid w:val="0B076A73"/>
    <w:rsid w:val="0BD33CB0"/>
    <w:rsid w:val="0C0B25F1"/>
    <w:rsid w:val="0C294ADC"/>
    <w:rsid w:val="0C2C6DEE"/>
    <w:rsid w:val="0CA85607"/>
    <w:rsid w:val="0CF02E0F"/>
    <w:rsid w:val="0CFA76EE"/>
    <w:rsid w:val="0D0B4416"/>
    <w:rsid w:val="0D0B7038"/>
    <w:rsid w:val="0D8C6527"/>
    <w:rsid w:val="0D9857A0"/>
    <w:rsid w:val="0DD250ED"/>
    <w:rsid w:val="0DD53256"/>
    <w:rsid w:val="0DFE4755"/>
    <w:rsid w:val="0E0C0847"/>
    <w:rsid w:val="0E4C124B"/>
    <w:rsid w:val="0E8D3C88"/>
    <w:rsid w:val="0EA117F5"/>
    <w:rsid w:val="0F1777DD"/>
    <w:rsid w:val="0F180595"/>
    <w:rsid w:val="0F5B00DD"/>
    <w:rsid w:val="0FB75900"/>
    <w:rsid w:val="0FB963B9"/>
    <w:rsid w:val="0FCB1BA6"/>
    <w:rsid w:val="0FCD46C7"/>
    <w:rsid w:val="0FEB020C"/>
    <w:rsid w:val="112C1002"/>
    <w:rsid w:val="116207DE"/>
    <w:rsid w:val="118320B2"/>
    <w:rsid w:val="118C18BC"/>
    <w:rsid w:val="11B11A63"/>
    <w:rsid w:val="11E4111E"/>
    <w:rsid w:val="122C04DC"/>
    <w:rsid w:val="123D6042"/>
    <w:rsid w:val="12CB04BD"/>
    <w:rsid w:val="12DB7D35"/>
    <w:rsid w:val="12DF60C1"/>
    <w:rsid w:val="12F33E1D"/>
    <w:rsid w:val="13141854"/>
    <w:rsid w:val="13AA3B1A"/>
    <w:rsid w:val="13AA7FC5"/>
    <w:rsid w:val="140510FA"/>
    <w:rsid w:val="140A52BC"/>
    <w:rsid w:val="14273028"/>
    <w:rsid w:val="14461E69"/>
    <w:rsid w:val="1460717A"/>
    <w:rsid w:val="14BD5347"/>
    <w:rsid w:val="158807A7"/>
    <w:rsid w:val="159A3ED7"/>
    <w:rsid w:val="15C0425A"/>
    <w:rsid w:val="15D23CCD"/>
    <w:rsid w:val="16172FDD"/>
    <w:rsid w:val="162646AF"/>
    <w:rsid w:val="165224A5"/>
    <w:rsid w:val="16797F90"/>
    <w:rsid w:val="168C5FD6"/>
    <w:rsid w:val="16AA5CB8"/>
    <w:rsid w:val="16CA7326"/>
    <w:rsid w:val="178079EB"/>
    <w:rsid w:val="178669A5"/>
    <w:rsid w:val="178C5AA1"/>
    <w:rsid w:val="17F06C30"/>
    <w:rsid w:val="17F35B20"/>
    <w:rsid w:val="188E2685"/>
    <w:rsid w:val="189C5CE8"/>
    <w:rsid w:val="18CC423B"/>
    <w:rsid w:val="18D96680"/>
    <w:rsid w:val="191D746F"/>
    <w:rsid w:val="195D2E59"/>
    <w:rsid w:val="198777F4"/>
    <w:rsid w:val="19B741F9"/>
    <w:rsid w:val="19BE3EE6"/>
    <w:rsid w:val="19F8741E"/>
    <w:rsid w:val="1A3E12FC"/>
    <w:rsid w:val="1A5A1706"/>
    <w:rsid w:val="1A9B4FF6"/>
    <w:rsid w:val="1AB23C99"/>
    <w:rsid w:val="1ABA7600"/>
    <w:rsid w:val="1B043E2C"/>
    <w:rsid w:val="1B546013"/>
    <w:rsid w:val="1B602F95"/>
    <w:rsid w:val="1B7E6BB1"/>
    <w:rsid w:val="1B997B04"/>
    <w:rsid w:val="1BFE1817"/>
    <w:rsid w:val="1D696891"/>
    <w:rsid w:val="1D6D2D18"/>
    <w:rsid w:val="1D8773B6"/>
    <w:rsid w:val="1DC93FA4"/>
    <w:rsid w:val="1DEE5E49"/>
    <w:rsid w:val="1DF443A0"/>
    <w:rsid w:val="1E01086B"/>
    <w:rsid w:val="1E7B018B"/>
    <w:rsid w:val="1E897B06"/>
    <w:rsid w:val="1E9645BD"/>
    <w:rsid w:val="1EA00538"/>
    <w:rsid w:val="1ECA5DCD"/>
    <w:rsid w:val="1ED8781E"/>
    <w:rsid w:val="1EDD4E34"/>
    <w:rsid w:val="1F3F6D5A"/>
    <w:rsid w:val="1FC63B1B"/>
    <w:rsid w:val="20165FAF"/>
    <w:rsid w:val="201C5F22"/>
    <w:rsid w:val="20812D91"/>
    <w:rsid w:val="209008BA"/>
    <w:rsid w:val="20BB169A"/>
    <w:rsid w:val="217308C8"/>
    <w:rsid w:val="21FD1BD4"/>
    <w:rsid w:val="22417B66"/>
    <w:rsid w:val="22496B3D"/>
    <w:rsid w:val="2257113D"/>
    <w:rsid w:val="22742189"/>
    <w:rsid w:val="227B31F8"/>
    <w:rsid w:val="227D2C32"/>
    <w:rsid w:val="2294245C"/>
    <w:rsid w:val="22CE7708"/>
    <w:rsid w:val="22F71CF6"/>
    <w:rsid w:val="230008AD"/>
    <w:rsid w:val="234D599D"/>
    <w:rsid w:val="23E66F7D"/>
    <w:rsid w:val="247B7B4E"/>
    <w:rsid w:val="24AA7B5B"/>
    <w:rsid w:val="25045AC2"/>
    <w:rsid w:val="256677A6"/>
    <w:rsid w:val="25700436"/>
    <w:rsid w:val="257C5EC5"/>
    <w:rsid w:val="2585438B"/>
    <w:rsid w:val="258D6A31"/>
    <w:rsid w:val="259865AB"/>
    <w:rsid w:val="25B82E97"/>
    <w:rsid w:val="25BA7ED9"/>
    <w:rsid w:val="25CC7B9B"/>
    <w:rsid w:val="26171B6B"/>
    <w:rsid w:val="262B6643"/>
    <w:rsid w:val="262D7C31"/>
    <w:rsid w:val="2631611F"/>
    <w:rsid w:val="265C1952"/>
    <w:rsid w:val="266B0EA4"/>
    <w:rsid w:val="268F115B"/>
    <w:rsid w:val="26AA5F44"/>
    <w:rsid w:val="26D25AAB"/>
    <w:rsid w:val="27280910"/>
    <w:rsid w:val="274C7E6F"/>
    <w:rsid w:val="2821190E"/>
    <w:rsid w:val="2858552C"/>
    <w:rsid w:val="286F08B8"/>
    <w:rsid w:val="287D1E77"/>
    <w:rsid w:val="289B60E1"/>
    <w:rsid w:val="28B11632"/>
    <w:rsid w:val="28E20F1A"/>
    <w:rsid w:val="29234FDE"/>
    <w:rsid w:val="299C0EB2"/>
    <w:rsid w:val="29C22137"/>
    <w:rsid w:val="2A105C25"/>
    <w:rsid w:val="2A532EB0"/>
    <w:rsid w:val="2AB00F18"/>
    <w:rsid w:val="2B84017C"/>
    <w:rsid w:val="2C0D0BD3"/>
    <w:rsid w:val="2C1154EA"/>
    <w:rsid w:val="2C3562B0"/>
    <w:rsid w:val="2C6572B6"/>
    <w:rsid w:val="2C6B63E4"/>
    <w:rsid w:val="2C912F76"/>
    <w:rsid w:val="2CAD6F91"/>
    <w:rsid w:val="2CDF4FAF"/>
    <w:rsid w:val="2D0B5C4F"/>
    <w:rsid w:val="2D1957A6"/>
    <w:rsid w:val="2D6D1646"/>
    <w:rsid w:val="2D964B2C"/>
    <w:rsid w:val="2DBE1925"/>
    <w:rsid w:val="2E092F98"/>
    <w:rsid w:val="2E7C7B50"/>
    <w:rsid w:val="2E807F8D"/>
    <w:rsid w:val="2F062AA9"/>
    <w:rsid w:val="2F086FDC"/>
    <w:rsid w:val="2F132F0C"/>
    <w:rsid w:val="2F2230E3"/>
    <w:rsid w:val="2F276011"/>
    <w:rsid w:val="2F3748A4"/>
    <w:rsid w:val="2F3B2C37"/>
    <w:rsid w:val="2F735968"/>
    <w:rsid w:val="2F960198"/>
    <w:rsid w:val="2FAF45CB"/>
    <w:rsid w:val="30141094"/>
    <w:rsid w:val="301E10B6"/>
    <w:rsid w:val="30A81429"/>
    <w:rsid w:val="30ED0633"/>
    <w:rsid w:val="30F55280"/>
    <w:rsid w:val="3128125A"/>
    <w:rsid w:val="317203A1"/>
    <w:rsid w:val="318A468C"/>
    <w:rsid w:val="31A46F2A"/>
    <w:rsid w:val="32247AC2"/>
    <w:rsid w:val="3271730B"/>
    <w:rsid w:val="329677DE"/>
    <w:rsid w:val="330456FB"/>
    <w:rsid w:val="336C05B4"/>
    <w:rsid w:val="33967B42"/>
    <w:rsid w:val="33A83841"/>
    <w:rsid w:val="33CD67E1"/>
    <w:rsid w:val="34356023"/>
    <w:rsid w:val="34356316"/>
    <w:rsid w:val="34886801"/>
    <w:rsid w:val="34E9016F"/>
    <w:rsid w:val="34E92DCD"/>
    <w:rsid w:val="34EF4100"/>
    <w:rsid w:val="34F92D3B"/>
    <w:rsid w:val="3500432F"/>
    <w:rsid w:val="35843E04"/>
    <w:rsid w:val="35B72711"/>
    <w:rsid w:val="35CA4988"/>
    <w:rsid w:val="35CF7E46"/>
    <w:rsid w:val="35E66783"/>
    <w:rsid w:val="35F20079"/>
    <w:rsid w:val="35FB6489"/>
    <w:rsid w:val="360C7ABD"/>
    <w:rsid w:val="365B33C3"/>
    <w:rsid w:val="365F58A9"/>
    <w:rsid w:val="369976E3"/>
    <w:rsid w:val="36D34B2F"/>
    <w:rsid w:val="36E0506A"/>
    <w:rsid w:val="37137901"/>
    <w:rsid w:val="373059CE"/>
    <w:rsid w:val="377F3FB4"/>
    <w:rsid w:val="378E5A9C"/>
    <w:rsid w:val="37B92E75"/>
    <w:rsid w:val="37BE3310"/>
    <w:rsid w:val="37CF59DA"/>
    <w:rsid w:val="38045054"/>
    <w:rsid w:val="38262F51"/>
    <w:rsid w:val="384E2DE5"/>
    <w:rsid w:val="3891486E"/>
    <w:rsid w:val="38EB2E6F"/>
    <w:rsid w:val="39312F73"/>
    <w:rsid w:val="397B72CC"/>
    <w:rsid w:val="399374AF"/>
    <w:rsid w:val="3A544132"/>
    <w:rsid w:val="3A6C3BC5"/>
    <w:rsid w:val="3A8D6C50"/>
    <w:rsid w:val="3ABA4E75"/>
    <w:rsid w:val="3AD81B39"/>
    <w:rsid w:val="3B7F34AA"/>
    <w:rsid w:val="3B955C43"/>
    <w:rsid w:val="3B9638A5"/>
    <w:rsid w:val="3BA532A0"/>
    <w:rsid w:val="3C1B63A8"/>
    <w:rsid w:val="3C2C14B5"/>
    <w:rsid w:val="3C33397B"/>
    <w:rsid w:val="3C343F29"/>
    <w:rsid w:val="3C456C33"/>
    <w:rsid w:val="3D020C63"/>
    <w:rsid w:val="3D1F4715"/>
    <w:rsid w:val="3D3441D1"/>
    <w:rsid w:val="3DA45043"/>
    <w:rsid w:val="3DA81C8B"/>
    <w:rsid w:val="3E063DFD"/>
    <w:rsid w:val="3E7267C7"/>
    <w:rsid w:val="3ECE072D"/>
    <w:rsid w:val="3F157A32"/>
    <w:rsid w:val="3F5D08E7"/>
    <w:rsid w:val="3F8C2251"/>
    <w:rsid w:val="3FCF152A"/>
    <w:rsid w:val="3FD8644E"/>
    <w:rsid w:val="3FE21CD4"/>
    <w:rsid w:val="40280E77"/>
    <w:rsid w:val="40295C55"/>
    <w:rsid w:val="40661D09"/>
    <w:rsid w:val="409A035F"/>
    <w:rsid w:val="40AA7673"/>
    <w:rsid w:val="40E1765F"/>
    <w:rsid w:val="40F61C1B"/>
    <w:rsid w:val="41061ADD"/>
    <w:rsid w:val="41904498"/>
    <w:rsid w:val="41972B41"/>
    <w:rsid w:val="41B63597"/>
    <w:rsid w:val="41E5741B"/>
    <w:rsid w:val="420119CD"/>
    <w:rsid w:val="426C6036"/>
    <w:rsid w:val="4285176B"/>
    <w:rsid w:val="42BF1E3D"/>
    <w:rsid w:val="42C14733"/>
    <w:rsid w:val="436B215F"/>
    <w:rsid w:val="43AF64F0"/>
    <w:rsid w:val="43FB0624"/>
    <w:rsid w:val="4404167B"/>
    <w:rsid w:val="4425237B"/>
    <w:rsid w:val="449E56E3"/>
    <w:rsid w:val="44EA2CDF"/>
    <w:rsid w:val="45305B9B"/>
    <w:rsid w:val="45581F9C"/>
    <w:rsid w:val="45A1026A"/>
    <w:rsid w:val="45F214B1"/>
    <w:rsid w:val="46221EE8"/>
    <w:rsid w:val="466B12C8"/>
    <w:rsid w:val="467E74C5"/>
    <w:rsid w:val="469D401D"/>
    <w:rsid w:val="4739546B"/>
    <w:rsid w:val="474D0216"/>
    <w:rsid w:val="4760261F"/>
    <w:rsid w:val="47CA5720"/>
    <w:rsid w:val="482B0D30"/>
    <w:rsid w:val="48712FB6"/>
    <w:rsid w:val="48FE10AA"/>
    <w:rsid w:val="491A265E"/>
    <w:rsid w:val="4A17769C"/>
    <w:rsid w:val="4A3D119E"/>
    <w:rsid w:val="4A933D05"/>
    <w:rsid w:val="4ACA5FD5"/>
    <w:rsid w:val="4ACC163F"/>
    <w:rsid w:val="4B3A7A15"/>
    <w:rsid w:val="4B4E0A03"/>
    <w:rsid w:val="4B5C59B6"/>
    <w:rsid w:val="4B732368"/>
    <w:rsid w:val="4B7A2AF4"/>
    <w:rsid w:val="4BBE4497"/>
    <w:rsid w:val="4BE86B35"/>
    <w:rsid w:val="4C32410C"/>
    <w:rsid w:val="4C347639"/>
    <w:rsid w:val="4C37330F"/>
    <w:rsid w:val="4CB46925"/>
    <w:rsid w:val="4CBB6983"/>
    <w:rsid w:val="4D060294"/>
    <w:rsid w:val="4D0D12A1"/>
    <w:rsid w:val="4D0E141C"/>
    <w:rsid w:val="4DC82688"/>
    <w:rsid w:val="4DFB3861"/>
    <w:rsid w:val="4E5B1130"/>
    <w:rsid w:val="4E5E4A20"/>
    <w:rsid w:val="4E670554"/>
    <w:rsid w:val="4EEA2AD2"/>
    <w:rsid w:val="4EF40320"/>
    <w:rsid w:val="4F103D0F"/>
    <w:rsid w:val="4FD1669A"/>
    <w:rsid w:val="4FDA1163"/>
    <w:rsid w:val="4FE94D4F"/>
    <w:rsid w:val="500A2327"/>
    <w:rsid w:val="5024129E"/>
    <w:rsid w:val="506C3ED4"/>
    <w:rsid w:val="50726976"/>
    <w:rsid w:val="507F0A3C"/>
    <w:rsid w:val="50FB0F0E"/>
    <w:rsid w:val="519E3D2D"/>
    <w:rsid w:val="51DD48B4"/>
    <w:rsid w:val="520773FA"/>
    <w:rsid w:val="5225523F"/>
    <w:rsid w:val="523629E7"/>
    <w:rsid w:val="524F5BA2"/>
    <w:rsid w:val="52594D46"/>
    <w:rsid w:val="52850FCE"/>
    <w:rsid w:val="52E90E58"/>
    <w:rsid w:val="53731AD1"/>
    <w:rsid w:val="53784B50"/>
    <w:rsid w:val="538D1CEC"/>
    <w:rsid w:val="53A702C4"/>
    <w:rsid w:val="53FF5BE7"/>
    <w:rsid w:val="545E0712"/>
    <w:rsid w:val="54631816"/>
    <w:rsid w:val="5477270D"/>
    <w:rsid w:val="548F542D"/>
    <w:rsid w:val="54B32115"/>
    <w:rsid w:val="55020110"/>
    <w:rsid w:val="5504604E"/>
    <w:rsid w:val="55256712"/>
    <w:rsid w:val="554D1907"/>
    <w:rsid w:val="55651EDB"/>
    <w:rsid w:val="55737259"/>
    <w:rsid w:val="55A67AAC"/>
    <w:rsid w:val="55CA35D7"/>
    <w:rsid w:val="55E00E1F"/>
    <w:rsid w:val="55F8121C"/>
    <w:rsid w:val="566D73D0"/>
    <w:rsid w:val="56E147BB"/>
    <w:rsid w:val="56E169E0"/>
    <w:rsid w:val="57192DF4"/>
    <w:rsid w:val="57615433"/>
    <w:rsid w:val="57705DF4"/>
    <w:rsid w:val="579C75B2"/>
    <w:rsid w:val="57B40AAC"/>
    <w:rsid w:val="57CF1E0E"/>
    <w:rsid w:val="57DC1AB9"/>
    <w:rsid w:val="57F71B1E"/>
    <w:rsid w:val="58153503"/>
    <w:rsid w:val="582A3FCE"/>
    <w:rsid w:val="589B497E"/>
    <w:rsid w:val="58C779E0"/>
    <w:rsid w:val="58D87073"/>
    <w:rsid w:val="59031522"/>
    <w:rsid w:val="59B97EE3"/>
    <w:rsid w:val="59DA330F"/>
    <w:rsid w:val="5A1A5612"/>
    <w:rsid w:val="5A2A198A"/>
    <w:rsid w:val="5B092F3D"/>
    <w:rsid w:val="5B816CF0"/>
    <w:rsid w:val="5B8A5D2A"/>
    <w:rsid w:val="5B9A0656"/>
    <w:rsid w:val="5BCA64C7"/>
    <w:rsid w:val="5C132FEA"/>
    <w:rsid w:val="5C2A7D2F"/>
    <w:rsid w:val="5C726DFA"/>
    <w:rsid w:val="5CD86811"/>
    <w:rsid w:val="5D1E6F55"/>
    <w:rsid w:val="5D4D2A45"/>
    <w:rsid w:val="5D8A5BAC"/>
    <w:rsid w:val="5DD10C01"/>
    <w:rsid w:val="5DED1C97"/>
    <w:rsid w:val="5E1F6128"/>
    <w:rsid w:val="5E683590"/>
    <w:rsid w:val="5E943F18"/>
    <w:rsid w:val="5E9F5F1D"/>
    <w:rsid w:val="5F0D129E"/>
    <w:rsid w:val="5F257C4B"/>
    <w:rsid w:val="5F2D1851"/>
    <w:rsid w:val="604638E0"/>
    <w:rsid w:val="60D65E7F"/>
    <w:rsid w:val="610C1D30"/>
    <w:rsid w:val="617001B1"/>
    <w:rsid w:val="6170709C"/>
    <w:rsid w:val="61A06F35"/>
    <w:rsid w:val="61EE20C7"/>
    <w:rsid w:val="61F41846"/>
    <w:rsid w:val="621A5025"/>
    <w:rsid w:val="62774225"/>
    <w:rsid w:val="62876BA3"/>
    <w:rsid w:val="62BE1418"/>
    <w:rsid w:val="630737FB"/>
    <w:rsid w:val="6316155A"/>
    <w:rsid w:val="63253C81"/>
    <w:rsid w:val="63376AF8"/>
    <w:rsid w:val="63395405"/>
    <w:rsid w:val="63416776"/>
    <w:rsid w:val="634C3C9B"/>
    <w:rsid w:val="634F72B1"/>
    <w:rsid w:val="636444CC"/>
    <w:rsid w:val="63843603"/>
    <w:rsid w:val="639F2230"/>
    <w:rsid w:val="64054936"/>
    <w:rsid w:val="641C035B"/>
    <w:rsid w:val="64A575DA"/>
    <w:rsid w:val="64C01EB3"/>
    <w:rsid w:val="64C24E9B"/>
    <w:rsid w:val="64ED7705"/>
    <w:rsid w:val="65094E03"/>
    <w:rsid w:val="659A572B"/>
    <w:rsid w:val="659C6475"/>
    <w:rsid w:val="65CC5B9C"/>
    <w:rsid w:val="66083B12"/>
    <w:rsid w:val="667E46C4"/>
    <w:rsid w:val="66887883"/>
    <w:rsid w:val="66D936AB"/>
    <w:rsid w:val="66E04170"/>
    <w:rsid w:val="6724722C"/>
    <w:rsid w:val="672C73CE"/>
    <w:rsid w:val="672E341D"/>
    <w:rsid w:val="677D0530"/>
    <w:rsid w:val="67CD35C7"/>
    <w:rsid w:val="67F8629A"/>
    <w:rsid w:val="680E3325"/>
    <w:rsid w:val="68104E70"/>
    <w:rsid w:val="68183DB4"/>
    <w:rsid w:val="68524F64"/>
    <w:rsid w:val="68563069"/>
    <w:rsid w:val="686314D3"/>
    <w:rsid w:val="687E7327"/>
    <w:rsid w:val="68AB058D"/>
    <w:rsid w:val="692D1782"/>
    <w:rsid w:val="6957009D"/>
    <w:rsid w:val="69605A13"/>
    <w:rsid w:val="69654AA8"/>
    <w:rsid w:val="6A4334DE"/>
    <w:rsid w:val="6AED1F01"/>
    <w:rsid w:val="6B0706A6"/>
    <w:rsid w:val="6B1271E1"/>
    <w:rsid w:val="6B481F0D"/>
    <w:rsid w:val="6B580D39"/>
    <w:rsid w:val="6B8C7E54"/>
    <w:rsid w:val="6B97103D"/>
    <w:rsid w:val="6BF1329A"/>
    <w:rsid w:val="6C8A69CB"/>
    <w:rsid w:val="6CAE7EAF"/>
    <w:rsid w:val="6CEE52BC"/>
    <w:rsid w:val="6D3C6226"/>
    <w:rsid w:val="6D5A48A8"/>
    <w:rsid w:val="6D617FAC"/>
    <w:rsid w:val="6D936C48"/>
    <w:rsid w:val="6DC73FBB"/>
    <w:rsid w:val="6DCE6EB4"/>
    <w:rsid w:val="6E623FDB"/>
    <w:rsid w:val="6E945B20"/>
    <w:rsid w:val="6ED64F80"/>
    <w:rsid w:val="6F155BCC"/>
    <w:rsid w:val="6F156289"/>
    <w:rsid w:val="6F1C16EF"/>
    <w:rsid w:val="6F480E37"/>
    <w:rsid w:val="6F667AFB"/>
    <w:rsid w:val="6FEA39EC"/>
    <w:rsid w:val="70DE6A96"/>
    <w:rsid w:val="711315BD"/>
    <w:rsid w:val="712146E3"/>
    <w:rsid w:val="71B5349A"/>
    <w:rsid w:val="71B843A1"/>
    <w:rsid w:val="720248C7"/>
    <w:rsid w:val="722B3371"/>
    <w:rsid w:val="72933D54"/>
    <w:rsid w:val="72D63AC0"/>
    <w:rsid w:val="73166DF1"/>
    <w:rsid w:val="7337287B"/>
    <w:rsid w:val="73374BA6"/>
    <w:rsid w:val="73A536C7"/>
    <w:rsid w:val="73D955C9"/>
    <w:rsid w:val="74820F33"/>
    <w:rsid w:val="74EF757E"/>
    <w:rsid w:val="752C4F3D"/>
    <w:rsid w:val="758160FE"/>
    <w:rsid w:val="759E41DB"/>
    <w:rsid w:val="75A9126F"/>
    <w:rsid w:val="75EA61E8"/>
    <w:rsid w:val="75F02B2A"/>
    <w:rsid w:val="75FC15A2"/>
    <w:rsid w:val="76000D0B"/>
    <w:rsid w:val="7610431D"/>
    <w:rsid w:val="7638217F"/>
    <w:rsid w:val="763A3496"/>
    <w:rsid w:val="76A258BD"/>
    <w:rsid w:val="76AF00F6"/>
    <w:rsid w:val="77284508"/>
    <w:rsid w:val="77A05E85"/>
    <w:rsid w:val="77B17C2D"/>
    <w:rsid w:val="77DA6B4C"/>
    <w:rsid w:val="780A7990"/>
    <w:rsid w:val="781D5AFF"/>
    <w:rsid w:val="786639B3"/>
    <w:rsid w:val="786D5655"/>
    <w:rsid w:val="78811CE9"/>
    <w:rsid w:val="78882890"/>
    <w:rsid w:val="78A34B24"/>
    <w:rsid w:val="78AD3884"/>
    <w:rsid w:val="78CE3374"/>
    <w:rsid w:val="78FF41FF"/>
    <w:rsid w:val="7932788C"/>
    <w:rsid w:val="79384BA6"/>
    <w:rsid w:val="794D0523"/>
    <w:rsid w:val="796926C2"/>
    <w:rsid w:val="796C7B87"/>
    <w:rsid w:val="796F4D6E"/>
    <w:rsid w:val="79913275"/>
    <w:rsid w:val="79B87040"/>
    <w:rsid w:val="79BB5BF2"/>
    <w:rsid w:val="79F52858"/>
    <w:rsid w:val="7A2B3DDE"/>
    <w:rsid w:val="7A7C4370"/>
    <w:rsid w:val="7A8B3F11"/>
    <w:rsid w:val="7AA80AA4"/>
    <w:rsid w:val="7B245ADA"/>
    <w:rsid w:val="7B2513E0"/>
    <w:rsid w:val="7B526007"/>
    <w:rsid w:val="7B5B7469"/>
    <w:rsid w:val="7B630D1B"/>
    <w:rsid w:val="7B97043B"/>
    <w:rsid w:val="7B9E6683"/>
    <w:rsid w:val="7BDE2843"/>
    <w:rsid w:val="7C0141DB"/>
    <w:rsid w:val="7C064B90"/>
    <w:rsid w:val="7CA3445B"/>
    <w:rsid w:val="7CD00A9F"/>
    <w:rsid w:val="7CFD7749"/>
    <w:rsid w:val="7D192F8D"/>
    <w:rsid w:val="7D3159EB"/>
    <w:rsid w:val="7D5D1450"/>
    <w:rsid w:val="7DA46243"/>
    <w:rsid w:val="7E16408E"/>
    <w:rsid w:val="7E7026EA"/>
    <w:rsid w:val="7E706697"/>
    <w:rsid w:val="7EB33F0C"/>
    <w:rsid w:val="7F7E6C3B"/>
    <w:rsid w:val="7F8B2549"/>
    <w:rsid w:val="7F942C6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567"/>
    </w:p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emf"/><Relationship Id="rId8" Type="http://schemas.openxmlformats.org/officeDocument/2006/relationships/image" Target="media/image5.emf"/><Relationship Id="rId7" Type="http://schemas.openxmlformats.org/officeDocument/2006/relationships/image" Target="media/image4.emf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11.emf"/><Relationship Id="rId13" Type="http://schemas.openxmlformats.org/officeDocument/2006/relationships/image" Target="media/image10.emf"/><Relationship Id="rId12" Type="http://schemas.openxmlformats.org/officeDocument/2006/relationships/image" Target="media/image9.emf"/><Relationship Id="rId11" Type="http://schemas.openxmlformats.org/officeDocument/2006/relationships/image" Target="media/image8.emf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3711</Words>
  <Characters>4546</Characters>
  <Lines>0</Lines>
  <Paragraphs>0</Paragraphs>
  <TotalTime>177</TotalTime>
  <ScaleCrop>false</ScaleCrop>
  <LinksUpToDate>false</LinksUpToDate>
  <CharactersWithSpaces>4571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2020-03-30T00:48:00Z</dcterms:created>
  <dc:creator>黄毛羔羊</dc:creator>
  <cp:lastModifiedBy>戈壁</cp:lastModifiedBy>
  <cp:lastPrinted>2020-04-02T07:13:00Z</cp:lastPrinted>
  <dcterms:modified xsi:type="dcterms:W3CDTF">2022-04-12T08:03:22Z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8C9059C397204519A294AF08F397D0C4</vt:lpwstr>
  </property>
</Properties>
</file>