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09ABEE">
      <w:pPr>
        <w:keepNext w:val="0"/>
        <w:keepLines w:val="0"/>
        <w:pageBreakBefore w:val="0"/>
        <w:widowControl w:val="0"/>
        <w:kinsoku/>
        <w:wordWrap/>
        <w:overflowPunct/>
        <w:topLinePunct/>
        <w:autoSpaceDE/>
        <w:autoSpaceDN/>
        <w:bidi w:val="0"/>
        <w:adjustRightInd/>
        <w:snapToGrid/>
        <w:spacing w:line="560" w:lineRule="exact"/>
        <w:ind w:firstLine="840" w:firstLineChars="300"/>
        <w:jc w:val="both"/>
        <w:textAlignment w:val="auto"/>
        <w:rPr>
          <w:rFonts w:hint="eastAsia" w:ascii="宋体" w:hAnsi="宋体" w:eastAsia="宋体" w:cs="宋体"/>
          <w:sz w:val="28"/>
          <w:szCs w:val="28"/>
        </w:rPr>
      </w:pPr>
    </w:p>
    <w:p w14:paraId="424C81AE">
      <w:pPr>
        <w:keepNext w:val="0"/>
        <w:keepLines w:val="0"/>
        <w:pageBreakBefore w:val="0"/>
        <w:widowControl w:val="0"/>
        <w:kinsoku/>
        <w:wordWrap/>
        <w:overflowPunct/>
        <w:topLinePunct/>
        <w:autoSpaceDE/>
        <w:autoSpaceDN/>
        <w:bidi w:val="0"/>
        <w:adjustRightInd/>
        <w:snapToGrid/>
        <w:spacing w:line="560" w:lineRule="exact"/>
        <w:ind w:firstLine="840" w:firstLineChars="300"/>
        <w:jc w:val="both"/>
        <w:textAlignment w:val="auto"/>
        <w:rPr>
          <w:rFonts w:hint="eastAsia" w:ascii="宋体" w:hAnsi="宋体" w:eastAsia="宋体" w:cs="宋体"/>
          <w:sz w:val="28"/>
          <w:szCs w:val="28"/>
        </w:rPr>
      </w:pPr>
    </w:p>
    <w:p w14:paraId="6617040E">
      <w:pPr>
        <w:keepNext w:val="0"/>
        <w:keepLines w:val="0"/>
        <w:pageBreakBefore w:val="0"/>
        <w:widowControl w:val="0"/>
        <w:kinsoku/>
        <w:wordWrap/>
        <w:overflowPunct/>
        <w:topLinePunct/>
        <w:autoSpaceDE/>
        <w:autoSpaceDN/>
        <w:bidi w:val="0"/>
        <w:adjustRightInd/>
        <w:snapToGrid/>
        <w:spacing w:line="560" w:lineRule="exact"/>
        <w:ind w:firstLine="840" w:firstLineChars="300"/>
        <w:jc w:val="both"/>
        <w:textAlignment w:val="auto"/>
        <w:rPr>
          <w:rFonts w:hint="eastAsia" w:ascii="宋体" w:hAnsi="宋体" w:eastAsia="宋体" w:cs="宋体"/>
          <w:sz w:val="28"/>
          <w:szCs w:val="28"/>
        </w:rPr>
      </w:pPr>
    </w:p>
    <w:p w14:paraId="064FC6EA">
      <w:pPr>
        <w:keepNext w:val="0"/>
        <w:keepLines w:val="0"/>
        <w:pageBreakBefore w:val="0"/>
        <w:widowControl w:val="0"/>
        <w:kinsoku/>
        <w:wordWrap/>
        <w:overflowPunct/>
        <w:topLinePunct/>
        <w:autoSpaceDE/>
        <w:autoSpaceDN/>
        <w:bidi w:val="0"/>
        <w:adjustRightInd/>
        <w:snapToGrid/>
        <w:spacing w:line="560" w:lineRule="exact"/>
        <w:ind w:firstLine="840" w:firstLineChars="300"/>
        <w:jc w:val="both"/>
        <w:textAlignment w:val="auto"/>
        <w:rPr>
          <w:rFonts w:hint="eastAsia" w:ascii="宋体" w:hAnsi="宋体" w:eastAsia="宋体" w:cs="宋体"/>
          <w:sz w:val="28"/>
          <w:szCs w:val="28"/>
        </w:rPr>
      </w:pPr>
    </w:p>
    <w:p w14:paraId="74E80A15">
      <w:pPr>
        <w:keepNext w:val="0"/>
        <w:keepLines w:val="0"/>
        <w:pageBreakBefore w:val="0"/>
        <w:widowControl w:val="0"/>
        <w:kinsoku/>
        <w:wordWrap/>
        <w:overflowPunct/>
        <w:topLinePunct/>
        <w:autoSpaceDE/>
        <w:autoSpaceDN/>
        <w:bidi w:val="0"/>
        <w:adjustRightInd/>
        <w:snapToGrid/>
        <w:spacing w:line="560" w:lineRule="exact"/>
        <w:ind w:firstLine="840" w:firstLineChars="300"/>
        <w:jc w:val="both"/>
        <w:textAlignment w:val="auto"/>
        <w:rPr>
          <w:rFonts w:hint="eastAsia" w:ascii="宋体" w:hAnsi="宋体" w:eastAsia="宋体" w:cs="宋体"/>
          <w:sz w:val="28"/>
          <w:szCs w:val="28"/>
        </w:rPr>
      </w:pPr>
    </w:p>
    <w:p w14:paraId="0CB63B66">
      <w:pPr>
        <w:keepNext w:val="0"/>
        <w:keepLines w:val="0"/>
        <w:pageBreakBefore w:val="0"/>
        <w:widowControl w:val="0"/>
        <w:kinsoku/>
        <w:wordWrap/>
        <w:overflowPunct/>
        <w:topLinePunct/>
        <w:autoSpaceDE/>
        <w:autoSpaceDN/>
        <w:bidi w:val="0"/>
        <w:adjustRightInd/>
        <w:snapToGrid/>
        <w:spacing w:line="560" w:lineRule="exact"/>
        <w:ind w:firstLine="840" w:firstLineChars="300"/>
        <w:jc w:val="both"/>
        <w:textAlignment w:val="auto"/>
        <w:rPr>
          <w:rFonts w:hint="eastAsia" w:ascii="宋体" w:hAnsi="宋体" w:eastAsia="宋体" w:cs="宋体"/>
          <w:sz w:val="28"/>
          <w:szCs w:val="28"/>
        </w:rPr>
      </w:pPr>
    </w:p>
    <w:p w14:paraId="1954CB56">
      <w:pPr>
        <w:keepNext w:val="0"/>
        <w:keepLines w:val="0"/>
        <w:pageBreakBefore w:val="0"/>
        <w:widowControl w:val="0"/>
        <w:kinsoku/>
        <w:wordWrap/>
        <w:overflowPunct/>
        <w:topLinePunct/>
        <w:autoSpaceDE/>
        <w:autoSpaceDN/>
        <w:bidi w:val="0"/>
        <w:adjustRightInd/>
        <w:snapToGrid/>
        <w:spacing w:line="560" w:lineRule="exact"/>
        <w:ind w:firstLine="840" w:firstLineChars="300"/>
        <w:jc w:val="both"/>
        <w:textAlignment w:val="auto"/>
        <w:rPr>
          <w:rFonts w:hint="eastAsia" w:ascii="宋体" w:hAnsi="宋体" w:eastAsia="宋体" w:cs="宋体"/>
          <w:sz w:val="28"/>
          <w:szCs w:val="28"/>
        </w:rPr>
      </w:pPr>
    </w:p>
    <w:p w14:paraId="4F26518B">
      <w:pPr>
        <w:keepNext w:val="0"/>
        <w:keepLines w:val="0"/>
        <w:pageBreakBefore w:val="0"/>
        <w:widowControl w:val="0"/>
        <w:kinsoku/>
        <w:wordWrap/>
        <w:overflowPunct/>
        <w:topLinePunct/>
        <w:autoSpaceDE/>
        <w:autoSpaceDN/>
        <w:bidi w:val="0"/>
        <w:adjustRightInd/>
        <w:snapToGrid/>
        <w:spacing w:line="560" w:lineRule="exact"/>
        <w:ind w:firstLine="840" w:firstLineChars="300"/>
        <w:jc w:val="both"/>
        <w:textAlignment w:val="auto"/>
        <w:rPr>
          <w:rFonts w:hint="eastAsia" w:ascii="宋体" w:hAnsi="宋体" w:eastAsia="宋体" w:cs="宋体"/>
          <w:sz w:val="28"/>
          <w:szCs w:val="28"/>
        </w:rPr>
      </w:pPr>
    </w:p>
    <w:p w14:paraId="1E239E69">
      <w:pPr>
        <w:keepNext w:val="0"/>
        <w:keepLines w:val="0"/>
        <w:pageBreakBefore w:val="0"/>
        <w:widowControl w:val="0"/>
        <w:kinsoku/>
        <w:wordWrap/>
        <w:overflowPunct/>
        <w:topLinePunct/>
        <w:autoSpaceDE/>
        <w:autoSpaceDN/>
        <w:bidi w:val="0"/>
        <w:adjustRightInd/>
        <w:snapToGrid/>
        <w:spacing w:line="560" w:lineRule="exact"/>
        <w:ind w:firstLine="840" w:firstLineChars="300"/>
        <w:jc w:val="both"/>
        <w:textAlignment w:val="auto"/>
        <w:rPr>
          <w:rFonts w:hint="eastAsia" w:ascii="宋体" w:hAnsi="宋体" w:eastAsia="宋体" w:cs="宋体"/>
          <w:sz w:val="28"/>
          <w:szCs w:val="28"/>
        </w:rPr>
      </w:pPr>
    </w:p>
    <w:p w14:paraId="69314078">
      <w:pPr>
        <w:pStyle w:val="11"/>
        <w:pageBreakBefore w:val="0"/>
        <w:widowControl w:val="0"/>
        <w:kinsoku/>
        <w:topLinePunct/>
        <w:autoSpaceDE/>
        <w:autoSpaceDN/>
        <w:bidi w:val="0"/>
        <w:textAlignment w:val="auto"/>
        <w:rPr>
          <w:rFonts w:hint="eastAsia"/>
        </w:rPr>
      </w:pPr>
    </w:p>
    <w:p w14:paraId="31EE5C0C">
      <w:pPr>
        <w:pageBreakBefore w:val="0"/>
        <w:widowControl w:val="0"/>
        <w:kinsoku/>
        <w:topLinePunct/>
        <w:autoSpaceDE/>
        <w:autoSpaceDN/>
        <w:bidi w:val="0"/>
        <w:spacing w:line="440" w:lineRule="exact"/>
        <w:jc w:val="center"/>
        <w:textAlignment w:val="auto"/>
        <w:rPr>
          <w:rFonts w:hint="default" w:eastAsia="仿宋_GB2312"/>
          <w:sz w:val="32"/>
          <w:szCs w:val="32"/>
          <w:lang w:val="en-US" w:eastAsia="zh-CN"/>
        </w:rPr>
      </w:pPr>
      <w:r>
        <w:rPr>
          <w:rFonts w:hint="eastAsia" w:ascii="仿宋_GB2312" w:hAnsi="仿宋_GB2312" w:eastAsia="仿宋_GB2312" w:cs="仿宋_GB2312"/>
          <w:sz w:val="32"/>
          <w:szCs w:val="32"/>
        </w:rPr>
        <w:t>鄂</w:t>
      </w:r>
      <w:r>
        <w:rPr>
          <w:rFonts w:hint="eastAsia" w:ascii="仿宋_GB2312" w:hAnsi="仿宋_GB2312" w:eastAsia="仿宋_GB2312" w:cs="仿宋_GB2312"/>
          <w:sz w:val="32"/>
          <w:szCs w:val="32"/>
          <w:lang w:val="en-US" w:eastAsia="zh-CN"/>
        </w:rPr>
        <w:t>能发</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121</w:t>
      </w:r>
      <w:r>
        <w:rPr>
          <w:rFonts w:hint="eastAsia" w:ascii="仿宋_GB2312" w:hAnsi="仿宋_GB2312" w:eastAsia="仿宋_GB2312" w:cs="仿宋_GB2312"/>
          <w:sz w:val="32"/>
          <w:szCs w:val="32"/>
        </w:rPr>
        <w:t>号</w:t>
      </w:r>
    </w:p>
    <w:p w14:paraId="3262CC53">
      <w:pPr>
        <w:keepNext w:val="0"/>
        <w:keepLines w:val="0"/>
        <w:pageBreakBefore w:val="0"/>
        <w:widowControl w:val="0"/>
        <w:kinsoku/>
        <w:wordWrap/>
        <w:overflowPunct/>
        <w:topLinePunct/>
        <w:autoSpaceDE/>
        <w:autoSpaceDN/>
        <w:bidi w:val="0"/>
        <w:adjustRightInd/>
        <w:snapToGrid/>
        <w:spacing w:line="560" w:lineRule="exact"/>
        <w:ind w:firstLine="840" w:firstLineChars="300"/>
        <w:jc w:val="both"/>
        <w:textAlignment w:val="auto"/>
        <w:rPr>
          <w:rFonts w:hint="eastAsia" w:ascii="宋体" w:hAnsi="宋体" w:eastAsia="宋体" w:cs="宋体"/>
          <w:sz w:val="28"/>
          <w:szCs w:val="28"/>
        </w:rPr>
      </w:pPr>
    </w:p>
    <w:p w14:paraId="0B03F67E">
      <w:pPr>
        <w:keepNext w:val="0"/>
        <w:keepLines w:val="0"/>
        <w:pageBreakBefore w:val="0"/>
        <w:widowControl w:val="0"/>
        <w:kinsoku/>
        <w:wordWrap/>
        <w:overflowPunct/>
        <w:topLinePunct/>
        <w:autoSpaceDE/>
        <w:autoSpaceDN/>
        <w:bidi w:val="0"/>
        <w:adjustRightInd w:val="0"/>
        <w:snapToGrid w:val="0"/>
        <w:spacing w:line="520" w:lineRule="exact"/>
        <w:jc w:val="both"/>
        <w:textAlignment w:val="auto"/>
        <w:rPr>
          <w:rFonts w:hint="eastAsia" w:ascii="方正小标宋简体" w:eastAsia="方正小标宋简体"/>
          <w:sz w:val="44"/>
          <w:szCs w:val="44"/>
        </w:rPr>
      </w:pPr>
    </w:p>
    <w:p w14:paraId="642933E5">
      <w:pPr>
        <w:keepNext w:val="0"/>
        <w:keepLines w:val="0"/>
        <w:pageBreakBefore w:val="0"/>
        <w:widowControl w:val="0"/>
        <w:kinsoku/>
        <w:wordWrap/>
        <w:overflowPunct/>
        <w:topLinePunct/>
        <w:autoSpaceDE/>
        <w:autoSpaceDN/>
        <w:bidi w:val="0"/>
        <w:adjustRightInd/>
        <w:snapToGrid/>
        <w:spacing w:line="540" w:lineRule="exact"/>
        <w:ind w:right="-313" w:rightChars="-149"/>
        <w:jc w:val="center"/>
        <w:textAlignment w:val="auto"/>
        <w:rPr>
          <w:rFonts w:hint="eastAsia" w:ascii="方正小标宋简体" w:hAnsi="方正小标宋简体" w:eastAsia="方正小标宋简体" w:cs="方正小标宋简体"/>
          <w:sz w:val="44"/>
          <w:szCs w:val="44"/>
          <w:lang w:val="en-US" w:eastAsia="zh-CN"/>
        </w:rPr>
      </w:pPr>
      <w:bookmarkStart w:id="0" w:name="_GoBack"/>
      <w:r>
        <w:rPr>
          <w:rFonts w:hint="eastAsia" w:ascii="方正小标宋简体" w:hAnsi="方正小标宋简体" w:eastAsia="方正小标宋简体" w:cs="方正小标宋简体"/>
          <w:sz w:val="44"/>
          <w:szCs w:val="44"/>
          <w:lang w:eastAsia="zh-CN"/>
        </w:rPr>
        <w:t>鄂托克旗能源局</w:t>
      </w:r>
      <w:r>
        <w:rPr>
          <w:rFonts w:hint="eastAsia" w:ascii="方正小标宋简体" w:hAnsi="方正小标宋简体" w:eastAsia="方正小标宋简体" w:cs="方正小标宋简体"/>
          <w:sz w:val="44"/>
          <w:szCs w:val="44"/>
          <w:lang w:val="en-US" w:eastAsia="zh-CN"/>
        </w:rPr>
        <w:t>关于开展全旗能源行业</w:t>
      </w:r>
    </w:p>
    <w:p w14:paraId="159D4E24">
      <w:pPr>
        <w:keepNext w:val="0"/>
        <w:keepLines w:val="0"/>
        <w:pageBreakBefore w:val="0"/>
        <w:widowControl w:val="0"/>
        <w:kinsoku/>
        <w:wordWrap/>
        <w:overflowPunct/>
        <w:topLinePunct/>
        <w:autoSpaceDE/>
        <w:autoSpaceDN/>
        <w:bidi w:val="0"/>
        <w:adjustRightInd/>
        <w:snapToGrid/>
        <w:spacing w:line="540" w:lineRule="exact"/>
        <w:ind w:right="-313" w:rightChars="-149"/>
        <w:jc w:val="center"/>
        <w:textAlignment w:val="auto"/>
        <w:rPr>
          <w:rFonts w:hint="default" w:ascii="方正小标宋简体" w:hAnsi="方正小标宋简体" w:eastAsia="方正小标宋简体" w:cs="方正小标宋简体"/>
          <w:sz w:val="44"/>
          <w:szCs w:val="44"/>
          <w:lang w:val="en-US"/>
        </w:rPr>
      </w:pPr>
      <w:r>
        <w:rPr>
          <w:rFonts w:hint="eastAsia" w:ascii="方正小标宋简体" w:hAnsi="方正小标宋简体" w:eastAsia="方正小标宋简体" w:cs="方正小标宋简体"/>
          <w:sz w:val="44"/>
          <w:szCs w:val="44"/>
          <w:lang w:val="en-US" w:eastAsia="zh-CN"/>
        </w:rPr>
        <w:t>安全</w:t>
      </w:r>
      <w:r>
        <w:rPr>
          <w:rFonts w:hint="eastAsia" w:ascii="方正小标宋简体" w:hAnsi="方正小标宋简体" w:eastAsia="方正小标宋简体" w:cs="方正小标宋简体"/>
          <w:sz w:val="44"/>
          <w:szCs w:val="44"/>
          <w:lang w:eastAsia="zh-CN"/>
        </w:rPr>
        <w:t>生产</w:t>
      </w:r>
      <w:r>
        <w:rPr>
          <w:rFonts w:hint="eastAsia" w:ascii="方正小标宋简体" w:hAnsi="方正小标宋简体" w:eastAsia="方正小标宋简体" w:cs="方正小标宋简体"/>
          <w:sz w:val="44"/>
          <w:szCs w:val="44"/>
          <w:lang w:val="en-US" w:eastAsia="zh-CN"/>
        </w:rPr>
        <w:t>专项整治的通知</w:t>
      </w:r>
    </w:p>
    <w:bookmarkEnd w:id="0"/>
    <w:p w14:paraId="7902FA1D">
      <w:pPr>
        <w:keepNext w:val="0"/>
        <w:keepLines w:val="0"/>
        <w:pageBreakBefore w:val="0"/>
        <w:widowControl w:val="0"/>
        <w:kinsoku/>
        <w:wordWrap/>
        <w:overflowPunct/>
        <w:topLinePunct/>
        <w:autoSpaceDE/>
        <w:autoSpaceDN/>
        <w:bidi w:val="0"/>
        <w:adjustRightInd/>
        <w:snapToGrid/>
        <w:spacing w:line="540" w:lineRule="exact"/>
        <w:jc w:val="center"/>
        <w:textAlignment w:val="auto"/>
        <w:rPr>
          <w:rFonts w:hint="eastAsia" w:ascii="方正小标宋简体" w:hAnsi="方正小标宋简体" w:eastAsia="方正小标宋简体" w:cs="方正小标宋简体"/>
          <w:sz w:val="44"/>
          <w:szCs w:val="44"/>
        </w:rPr>
      </w:pPr>
    </w:p>
    <w:p w14:paraId="1AB9E81B">
      <w:pPr>
        <w:keepNext w:val="0"/>
        <w:keepLines w:val="0"/>
        <w:pageBreakBefore w:val="0"/>
        <w:widowControl w:val="0"/>
        <w:kinsoku/>
        <w:wordWrap/>
        <w:overflowPunct/>
        <w:topLinePunct/>
        <w:autoSpaceDE/>
        <w:autoSpaceDN/>
        <w:bidi w:val="0"/>
        <w:adjustRightInd/>
        <w:snapToGrid/>
        <w:spacing w:line="540" w:lineRule="exact"/>
        <w:jc w:val="both"/>
        <w:textAlignment w:val="auto"/>
        <w:rPr>
          <w:rFonts w:hint="eastAsia" w:ascii="方正小标宋简体" w:hAnsi="方正小标宋简体" w:eastAsia="方正小标宋简体" w:cs="方正小标宋简体"/>
          <w:sz w:val="44"/>
          <w:szCs w:val="44"/>
        </w:rPr>
      </w:pPr>
      <w:r>
        <w:rPr>
          <w:rFonts w:hint="eastAsia" w:ascii="仿宋_GB2312" w:hAnsi="仿宋_GB2312" w:eastAsia="仿宋_GB2312" w:cs="仿宋_GB2312"/>
          <w:sz w:val="32"/>
          <w:szCs w:val="32"/>
          <w:lang w:eastAsia="zh-CN"/>
        </w:rPr>
        <w:t>各相关股室、二级单位，各能源企业：</w:t>
      </w:r>
    </w:p>
    <w:p w14:paraId="3BF5EDA8">
      <w:pPr>
        <w:keepNext w:val="0"/>
        <w:keepLines w:val="0"/>
        <w:pageBreakBefore w:val="0"/>
        <w:widowControl w:val="0"/>
        <w:kinsoku/>
        <w:wordWrap/>
        <w:overflowPunct/>
        <w:topLinePunct/>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现将《</w:t>
      </w:r>
      <w:r>
        <w:rPr>
          <w:rFonts w:hint="eastAsia" w:ascii="仿宋_GB2312" w:hAnsi="仿宋_GB2312" w:eastAsia="仿宋_GB2312" w:cs="仿宋_GB2312"/>
          <w:sz w:val="32"/>
          <w:szCs w:val="32"/>
        </w:rPr>
        <w:t>鄂托克旗</w:t>
      </w:r>
      <w:r>
        <w:rPr>
          <w:rFonts w:hint="eastAsia" w:ascii="仿宋_GB2312" w:hAnsi="仿宋_GB2312" w:eastAsia="仿宋_GB2312" w:cs="仿宋_GB2312"/>
          <w:sz w:val="32"/>
          <w:szCs w:val="32"/>
          <w:lang w:val="en-US" w:eastAsia="zh-CN"/>
        </w:rPr>
        <w:t>能源行业安全生产专项整治</w:t>
      </w:r>
      <w:r>
        <w:rPr>
          <w:rFonts w:hint="eastAsia" w:ascii="仿宋_GB2312" w:hAnsi="仿宋_GB2312" w:eastAsia="仿宋_GB2312" w:cs="仿宋_GB2312"/>
          <w:sz w:val="32"/>
          <w:szCs w:val="32"/>
        </w:rPr>
        <w:t>方案</w:t>
      </w:r>
      <w:r>
        <w:rPr>
          <w:rFonts w:hint="eastAsia" w:ascii="仿宋_GB2312" w:hAnsi="仿宋_GB2312" w:eastAsia="仿宋_GB2312" w:cs="仿宋_GB2312"/>
          <w:sz w:val="32"/>
          <w:szCs w:val="32"/>
          <w:lang w:eastAsia="zh-CN"/>
        </w:rPr>
        <w:t>》印发给你们，请认真贯彻落实。</w:t>
      </w:r>
    </w:p>
    <w:p w14:paraId="113F2F3E">
      <w:pPr>
        <w:keepNext w:val="0"/>
        <w:keepLines w:val="0"/>
        <w:pageBreakBefore w:val="0"/>
        <w:widowControl w:val="0"/>
        <w:kinsoku/>
        <w:wordWrap/>
        <w:overflowPunct/>
        <w:topLinePunct/>
        <w:autoSpaceDE/>
        <w:autoSpaceDN/>
        <w:bidi w:val="0"/>
        <w:adjustRightInd/>
        <w:snapToGrid/>
        <w:spacing w:line="540" w:lineRule="exact"/>
        <w:jc w:val="both"/>
        <w:textAlignment w:val="auto"/>
        <w:rPr>
          <w:rFonts w:hint="eastAsia" w:ascii="仿宋_GB2312" w:hAnsi="仿宋_GB2312" w:eastAsia="仿宋_GB2312" w:cs="仿宋_GB2312"/>
          <w:sz w:val="32"/>
          <w:szCs w:val="32"/>
          <w:lang w:val="en-US" w:eastAsia="zh-CN"/>
        </w:rPr>
      </w:pPr>
    </w:p>
    <w:p w14:paraId="10F3FAE8">
      <w:pPr>
        <w:keepNext w:val="0"/>
        <w:keepLines w:val="0"/>
        <w:pageBreakBefore w:val="0"/>
        <w:widowControl w:val="0"/>
        <w:kinsoku/>
        <w:wordWrap/>
        <w:overflowPunct/>
        <w:topLinePunct/>
        <w:autoSpaceDE/>
        <w:autoSpaceDN/>
        <w:bidi w:val="0"/>
        <w:adjustRightInd/>
        <w:snapToGrid/>
        <w:spacing w:line="540" w:lineRule="exact"/>
        <w:jc w:val="both"/>
        <w:textAlignment w:val="auto"/>
        <w:rPr>
          <w:rFonts w:hint="eastAsia" w:ascii="仿宋_GB2312" w:hAnsi="仿宋_GB2312" w:eastAsia="仿宋_GB2312" w:cs="仿宋_GB2312"/>
          <w:sz w:val="32"/>
          <w:szCs w:val="32"/>
          <w:lang w:val="en-US" w:eastAsia="zh-CN"/>
        </w:rPr>
      </w:pPr>
    </w:p>
    <w:p w14:paraId="427877E3">
      <w:pPr>
        <w:keepNext w:val="0"/>
        <w:keepLines w:val="0"/>
        <w:pageBreakBefore w:val="0"/>
        <w:widowControl w:val="0"/>
        <w:kinsoku/>
        <w:wordWrap w:val="0"/>
        <w:overflowPunct/>
        <w:topLinePunct/>
        <w:autoSpaceDE/>
        <w:autoSpaceDN/>
        <w:bidi w:val="0"/>
        <w:adjustRightInd/>
        <w:snapToGrid/>
        <w:spacing w:line="540" w:lineRule="exact"/>
        <w:jc w:val="righ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鄂托克旗能源局        </w:t>
      </w:r>
    </w:p>
    <w:p w14:paraId="541FB964">
      <w:pPr>
        <w:keepNext w:val="0"/>
        <w:keepLines w:val="0"/>
        <w:pageBreakBefore w:val="0"/>
        <w:widowControl w:val="0"/>
        <w:kinsoku/>
        <w:wordWrap w:val="0"/>
        <w:overflowPunct/>
        <w:topLinePunct/>
        <w:autoSpaceDE/>
        <w:autoSpaceDN/>
        <w:bidi w:val="0"/>
        <w:adjustRightInd/>
        <w:snapToGrid/>
        <w:spacing w:line="540" w:lineRule="exact"/>
        <w:jc w:val="right"/>
        <w:textAlignment w:val="auto"/>
        <w:rPr>
          <w:rFonts w:hint="eastAsia" w:ascii="方正小标宋简体" w:hAnsi="方正小标宋简体" w:eastAsia="方正小标宋简体" w:cs="方正小标宋简体"/>
          <w:sz w:val="44"/>
          <w:szCs w:val="44"/>
          <w:lang w:val="en-US" w:eastAsia="zh-CN"/>
        </w:rPr>
      </w:pPr>
      <w:r>
        <w:rPr>
          <w:rFonts w:hint="eastAsia" w:ascii="仿宋_GB2312" w:hAnsi="仿宋_GB2312" w:eastAsia="仿宋_GB2312" w:cs="仿宋_GB2312"/>
          <w:sz w:val="32"/>
          <w:szCs w:val="32"/>
          <w:lang w:val="en-US" w:eastAsia="zh-CN"/>
        </w:rPr>
        <w:t xml:space="preserve">                               2026年7月27日       </w:t>
      </w:r>
    </w:p>
    <w:p w14:paraId="2F96F6D7">
      <w:pPr>
        <w:keepNext w:val="0"/>
        <w:keepLines w:val="0"/>
        <w:pageBreakBefore w:val="0"/>
        <w:widowControl w:val="0"/>
        <w:kinsoku/>
        <w:wordWrap/>
        <w:overflowPunct w:val="0"/>
        <w:topLinePunct/>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鄂托克旗能源行业安全生产</w:t>
      </w:r>
    </w:p>
    <w:p w14:paraId="012EED9A">
      <w:pPr>
        <w:keepNext w:val="0"/>
        <w:keepLines w:val="0"/>
        <w:pageBreakBefore w:val="0"/>
        <w:widowControl w:val="0"/>
        <w:kinsoku/>
        <w:wordWrap/>
        <w:overflowPunct w:val="0"/>
        <w:topLinePunct/>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专项整治方案</w:t>
      </w:r>
    </w:p>
    <w:p w14:paraId="6B6D429D">
      <w:pPr>
        <w:keepNext w:val="0"/>
        <w:keepLines w:val="0"/>
        <w:pageBreakBefore w:val="0"/>
        <w:widowControl w:val="0"/>
        <w:kinsoku/>
        <w:wordWrap/>
        <w:overflowPunct w:val="0"/>
        <w:topLinePunct/>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p>
    <w:p w14:paraId="10464947">
      <w:pPr>
        <w:keepNext w:val="0"/>
        <w:keepLines w:val="0"/>
        <w:pageBreakBefore w:val="0"/>
        <w:widowControl w:val="0"/>
        <w:kinsoku/>
        <w:wordWrap/>
        <w:overflowPunct w:val="0"/>
        <w:topLinePunct/>
        <w:autoSpaceDE/>
        <w:autoSpaceDN/>
        <w:bidi w:val="0"/>
        <w:adjustRightInd/>
        <w:snapToGrid/>
        <w:spacing w:line="560" w:lineRule="exact"/>
        <w:ind w:right="-313" w:rightChars="-149"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认真贯彻鄂尔多斯市人民政府2026年第20次常务会议暨安全生产委员会会议精神，落实自治区党委、政府，市委、政府及旗委、政府关于安全工作相关部署，按照《内蒙古自治区安全生产委员会办公室关于提醒加强工程施工现场安全防范工作的函》（内安委办〔2026〕63号）、《鄂尔多斯市安全生产委员会办公室转发内蒙古自治区安全生产委员会办公室关于开展劳动密集型企业安全专项治理工作的通知》（鄂安办发〔2026〕72号）、《鄂尔多斯市能源局关于进一步做好能源行业极端天气安全防范应对工作的紧急通知》（鄂能局发〔2026〕48号）等文件要求，结合我旗能源行业实际，切实做好能源行业安全生产工作，保障能源行业安全生产和人民群众生命财产安全，制定方案。</w:t>
      </w:r>
    </w:p>
    <w:p w14:paraId="79AF533C">
      <w:pPr>
        <w:keepNext w:val="0"/>
        <w:keepLines w:val="0"/>
        <w:pageBreakBefore w:val="0"/>
        <w:widowControl w:val="0"/>
        <w:kinsoku/>
        <w:wordWrap/>
        <w:overflowPunct w:val="0"/>
        <w:topLinePunct/>
        <w:autoSpaceDE/>
        <w:autoSpaceDN/>
        <w:bidi w:val="0"/>
        <w:adjustRightInd/>
        <w:snapToGrid/>
        <w:spacing w:line="560" w:lineRule="exact"/>
        <w:ind w:firstLine="640" w:firstLineChars="200"/>
        <w:jc w:val="both"/>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一、总体要求</w:t>
      </w:r>
    </w:p>
    <w:p w14:paraId="56360645">
      <w:pPr>
        <w:keepNext w:val="0"/>
        <w:keepLines w:val="0"/>
        <w:pageBreakBefore w:val="0"/>
        <w:widowControl w:val="0"/>
        <w:kinsoku/>
        <w:wordWrap/>
        <w:overflowPunct w:val="0"/>
        <w:topLinePunct/>
        <w:autoSpaceDE/>
        <w:autoSpaceDN/>
        <w:bidi w:val="0"/>
        <w:adjustRightInd/>
        <w:snapToGrid/>
        <w:spacing w:line="560" w:lineRule="exact"/>
        <w:ind w:right="-313" w:rightChars="-149" w:firstLine="640" w:firstLineChars="200"/>
        <w:jc w:val="both"/>
        <w:textAlignment w:val="auto"/>
        <w:rPr>
          <w:rFonts w:hint="eastAsia" w:ascii="黑体" w:hAnsi="黑体" w:eastAsia="黑体" w:cs="黑体"/>
          <w:sz w:val="32"/>
          <w:szCs w:val="32"/>
          <w:lang w:val="en-US" w:eastAsia="zh-CN"/>
        </w:rPr>
      </w:pPr>
      <w:r>
        <w:rPr>
          <w:rFonts w:hint="eastAsia" w:ascii="仿宋_GB2312" w:hAnsi="仿宋_GB2312" w:eastAsia="仿宋_GB2312" w:cs="仿宋_GB2312"/>
          <w:sz w:val="32"/>
          <w:szCs w:val="32"/>
          <w:lang w:val="en-US" w:eastAsia="zh-CN"/>
        </w:rPr>
        <w:t>以习近平新时代中国特色社会主义思想为指导，深入学习贯彻习近平总书记关于安全生产重要指示批示精神，以铸牢中华民族共同体意识为主线，全面落实上级党委、政府关于安全生产的工作部署，坚持人民至上、生命至上，牢固树立安全发展理念，采取有力措施消除风险隐患，坚决遏制各类事故发生，切实做好能源行业安全生产工作。</w:t>
      </w:r>
    </w:p>
    <w:p w14:paraId="1D5BFF39">
      <w:pPr>
        <w:keepNext w:val="0"/>
        <w:keepLines w:val="0"/>
        <w:pageBreakBefore w:val="0"/>
        <w:widowControl w:val="0"/>
        <w:kinsoku/>
        <w:wordWrap/>
        <w:overflowPunct w:val="0"/>
        <w:topLinePunct/>
        <w:autoSpaceDE/>
        <w:autoSpaceDN/>
        <w:bidi w:val="0"/>
        <w:adjustRightInd/>
        <w:snapToGrid/>
        <w:spacing w:line="560" w:lineRule="exact"/>
        <w:ind w:firstLine="640" w:firstLineChars="200"/>
        <w:jc w:val="both"/>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二、重点任务</w:t>
      </w:r>
    </w:p>
    <w:p w14:paraId="58597909">
      <w:pPr>
        <w:keepNext w:val="0"/>
        <w:keepLines w:val="0"/>
        <w:pageBreakBefore w:val="0"/>
        <w:widowControl w:val="0"/>
        <w:kinsoku/>
        <w:wordWrap/>
        <w:overflowPunct w:val="0"/>
        <w:topLinePunct/>
        <w:autoSpaceDE/>
        <w:autoSpaceDN/>
        <w:bidi w:val="0"/>
        <w:adjustRightInd/>
        <w:snapToGrid/>
        <w:spacing w:line="560" w:lineRule="exact"/>
        <w:ind w:firstLine="643" w:firstLineChars="200"/>
        <w:jc w:val="both"/>
        <w:textAlignment w:val="auto"/>
        <w:rPr>
          <w:rFonts w:hint="eastAsia" w:ascii="楷体_GB2312" w:hAnsi="楷体_GB2312" w:eastAsia="楷体_GB2312" w:cs="楷体_GB2312"/>
          <w:b/>
          <w:bCs/>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(一)全面压实安全生产责任</w:t>
      </w:r>
    </w:p>
    <w:p w14:paraId="3BD86351">
      <w:pPr>
        <w:keepNext w:val="0"/>
        <w:keepLines w:val="0"/>
        <w:pageBreakBefore w:val="0"/>
        <w:widowControl w:val="0"/>
        <w:kinsoku/>
        <w:wordWrap/>
        <w:overflowPunct w:val="0"/>
        <w:topLinePunct/>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压实部门监管责任。</w:t>
      </w:r>
      <w:r>
        <w:rPr>
          <w:rFonts w:hint="eastAsia" w:ascii="仿宋_GB2312" w:hAnsi="仿宋_GB2312" w:eastAsia="仿宋_GB2312" w:cs="仿宋_GB2312"/>
          <w:kern w:val="2"/>
          <w:sz w:val="32"/>
          <w:szCs w:val="32"/>
          <w:lang w:val="en-US" w:eastAsia="zh-CN" w:bidi="ar-SA"/>
        </w:rPr>
        <w:t>我局要坚决贯彻习近平总书记关于安全生产重要论述，严格落实“党政同责、一岗双责”和“三管三必须”要求，建立常态化、全链条安全监管机制，完善制度标准，严格审批把关，常态化监督检查。贯彻落实好上级部门关于安全生产工作的一系列决策部署和工作要求，将安全生产作为首要政治任务，层层压实监管责任。</w:t>
      </w:r>
    </w:p>
    <w:p w14:paraId="6770B5AF">
      <w:pPr>
        <w:keepNext w:val="0"/>
        <w:keepLines w:val="0"/>
        <w:pageBreakBefore w:val="0"/>
        <w:widowControl w:val="0"/>
        <w:kinsoku/>
        <w:wordWrap/>
        <w:overflowPunct w:val="0"/>
        <w:topLinePunct/>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落实企业主体责任。</w:t>
      </w:r>
      <w:r>
        <w:rPr>
          <w:rFonts w:hint="eastAsia" w:ascii="仿宋_GB2312" w:hAnsi="仿宋_GB2312" w:eastAsia="仿宋_GB2312" w:cs="仿宋_GB2312"/>
          <w:kern w:val="2"/>
          <w:sz w:val="32"/>
          <w:szCs w:val="32"/>
          <w:lang w:val="en-US" w:eastAsia="zh-CN" w:bidi="ar-SA"/>
        </w:rPr>
        <w:t>各能源企业将安全生产贯穿项目规划、建设施工、生产运行全过程。足额保障安全投入，加大安全教育培训、员工防护及隐患治理投入。严格落实安全风险分级管控和隐患排查治理双重预防机制，综合运用人工巡查、视频监控、设备在线监测、内部举报奖励等手段，全方位排查风险隐患，强化重要设施设备全过程管控。</w:t>
      </w:r>
    </w:p>
    <w:p w14:paraId="1F9DCF7F">
      <w:pPr>
        <w:keepNext w:val="0"/>
        <w:keepLines w:val="0"/>
        <w:pageBreakBefore w:val="0"/>
        <w:widowControl w:val="0"/>
        <w:kinsoku/>
        <w:wordWrap/>
        <w:overflowPunct w:val="0"/>
        <w:topLinePunct/>
        <w:autoSpaceDE/>
        <w:autoSpaceDN/>
        <w:bidi w:val="0"/>
        <w:adjustRightInd/>
        <w:snapToGrid/>
        <w:spacing w:line="560" w:lineRule="exact"/>
        <w:ind w:firstLine="643" w:firstLineChars="200"/>
        <w:jc w:val="both"/>
        <w:textAlignment w:val="auto"/>
        <w:rPr>
          <w:rFonts w:hint="eastAsia" w:ascii="楷体_GB2312" w:hAnsi="楷体_GB2312" w:eastAsia="楷体_GB2312" w:cs="楷体_GB2312"/>
          <w:b/>
          <w:bCs/>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(二）扎实做好防汛抗旱工作</w:t>
      </w:r>
    </w:p>
    <w:p w14:paraId="660661DD">
      <w:pPr>
        <w:keepNext w:val="0"/>
        <w:keepLines w:val="0"/>
        <w:pageBreakBefore w:val="0"/>
        <w:widowControl w:val="0"/>
        <w:kinsoku/>
        <w:wordWrap/>
        <w:overflowPunct w:val="0"/>
        <w:topLinePunct/>
        <w:autoSpaceDE/>
        <w:autoSpaceDN/>
        <w:bidi w:val="0"/>
        <w:adjustRightInd/>
        <w:snapToGrid/>
        <w:spacing w:line="560" w:lineRule="exact"/>
        <w:ind w:firstLine="643" w:firstLineChars="200"/>
        <w:jc w:val="both"/>
        <w:textAlignment w:val="auto"/>
        <w:rPr>
          <w:rFonts w:hint="eastAsia" w:ascii="楷体" w:hAnsi="楷体" w:eastAsia="楷体" w:cs="楷体"/>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1.紧盯能源重点领域风险防控</w:t>
      </w:r>
    </w:p>
    <w:p w14:paraId="18586EB3">
      <w:pPr>
        <w:keepNext w:val="0"/>
        <w:keepLines w:val="0"/>
        <w:pageBreakBefore w:val="0"/>
        <w:widowControl w:val="0"/>
        <w:kinsoku/>
        <w:wordWrap/>
        <w:overflowPunct w:val="0"/>
        <w:topLinePunct/>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火电方面：重点抓好机组检修、锅炉压力容器、氢站、消防</w:t>
      </w:r>
      <w:r>
        <w:rPr>
          <w:rFonts w:hint="default" w:ascii="仿宋_GB2312" w:hAnsi="仿宋_GB2312" w:eastAsia="仿宋_GB2312" w:cs="仿宋_GB2312"/>
          <w:kern w:val="2"/>
          <w:sz w:val="32"/>
          <w:szCs w:val="32"/>
          <w:lang w:val="en-US" w:eastAsia="zh-CN" w:bidi="ar-SA"/>
        </w:rPr>
        <w:t>及外包外委管理，严防设备带病运行、违章作业引发事故。加强对贮灰场、煤场、油罐区等场所的检查，加强防雷设施检测维护，严防坝坡垮塌、雷击爆燃等事故。</w:t>
      </w:r>
    </w:p>
    <w:p w14:paraId="0E02DCD3">
      <w:pPr>
        <w:keepNext w:val="0"/>
        <w:keepLines w:val="0"/>
        <w:pageBreakBefore w:val="0"/>
        <w:widowControl w:val="0"/>
        <w:kinsoku/>
        <w:wordWrap/>
        <w:overflowPunct w:val="0"/>
        <w:topLinePunct/>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新能源方面：强化风机、光伏电站、升压站安全管控，加强极端天气设备运维和现场管理，严防坍塌、触电、火灾事故。加强偏远地区应急救援能力建设，深入排查重要设备设施防汛隐患，严格落实各项防汛措施。</w:t>
      </w:r>
    </w:p>
    <w:p w14:paraId="76E7984A">
      <w:pPr>
        <w:keepNext w:val="0"/>
        <w:keepLines w:val="0"/>
        <w:pageBreakBefore w:val="0"/>
        <w:widowControl w:val="0"/>
        <w:kinsoku/>
        <w:wordWrap/>
        <w:overflowPunct w:val="0"/>
        <w:topLinePunct/>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储能方面：严格落实电池热失控监测预警、消防处置和安全运行规程，从严管控充放电操作，严防火灾、爆炸事故。</w:t>
      </w:r>
    </w:p>
    <w:p w14:paraId="40ED6446">
      <w:pPr>
        <w:keepNext w:val="0"/>
        <w:keepLines w:val="0"/>
        <w:pageBreakBefore w:val="0"/>
        <w:widowControl w:val="0"/>
        <w:kinsoku/>
        <w:wordWrap/>
        <w:overflowPunct w:val="0"/>
        <w:topLinePunct/>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电网方面：加强电网运行风险研判，强化重要输电通道、枢纽变电站安全防护，落实好重要输变电设施、电力线路的</w:t>
      </w:r>
      <w:r>
        <w:rPr>
          <w:rFonts w:hint="eastAsia" w:ascii="仿宋_GB2312" w:hAnsi="仿宋_GB2312" w:eastAsia="仿宋_GB2312" w:cs="仿宋_GB2312"/>
          <w:kern w:val="2"/>
          <w:sz w:val="32"/>
          <w:szCs w:val="32"/>
          <w:lang w:val="en-US" w:eastAsia="zh-CN" w:bidi="ar-SA"/>
        </w:rPr>
        <w:t>防汛</w:t>
      </w:r>
      <w:r>
        <w:rPr>
          <w:rFonts w:hint="default" w:ascii="仿宋_GB2312" w:hAnsi="仿宋_GB2312" w:eastAsia="仿宋_GB2312" w:cs="仿宋_GB2312"/>
          <w:kern w:val="2"/>
          <w:sz w:val="32"/>
          <w:szCs w:val="32"/>
          <w:lang w:val="en-US" w:eastAsia="zh-CN" w:bidi="ar-SA"/>
        </w:rPr>
        <w:t>防劳措施，加强巡检巡查，严防大面积停电和网络安全事件。</w:t>
      </w:r>
    </w:p>
    <w:p w14:paraId="3680B875">
      <w:pPr>
        <w:keepNext w:val="0"/>
        <w:keepLines w:val="0"/>
        <w:pageBreakBefore w:val="0"/>
        <w:widowControl w:val="0"/>
        <w:kinsoku/>
        <w:wordWrap/>
        <w:overflowPunct w:val="0"/>
        <w:topLinePunct/>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油气长输管道方面：深化高后果区管控，严厉打击第三方破坏行为，严防泄漏、爆炸事故，加强对洪水、滑坡、泥石流等地质灾害易发区的巡护巡查。</w:t>
      </w:r>
    </w:p>
    <w:p w14:paraId="316D8B38">
      <w:pPr>
        <w:keepNext w:val="0"/>
        <w:keepLines w:val="0"/>
        <w:pageBreakBefore w:val="0"/>
        <w:widowControl w:val="0"/>
        <w:kinsoku/>
        <w:wordWrap/>
        <w:overflowPunct w:val="0"/>
        <w:topLinePunct/>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洗选煤场集装站方面：加强临时建筑物、煤堆、厂区边坡等防汛风险检查。</w:t>
      </w:r>
    </w:p>
    <w:p w14:paraId="56929980">
      <w:pPr>
        <w:keepNext w:val="0"/>
        <w:keepLines w:val="0"/>
        <w:pageBreakBefore w:val="0"/>
        <w:widowControl w:val="0"/>
        <w:kinsoku/>
        <w:wordWrap/>
        <w:overflowPunct w:val="0"/>
        <w:topLinePunct/>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电力建设工程方面：排查项目现场及周边山洪、内涝、暴雨等灾害风险，做好基坑、边坡、渣场、施工营地等部位的排水措施，必要时采取停工、临时撤离等避险措施。</w:t>
      </w:r>
    </w:p>
    <w:p w14:paraId="6FBAA7DD">
      <w:pPr>
        <w:keepNext w:val="0"/>
        <w:keepLines w:val="0"/>
        <w:pageBreakBefore w:val="0"/>
        <w:widowControl w:val="0"/>
        <w:kinsoku/>
        <w:wordWrap/>
        <w:overflowPunct w:val="0"/>
        <w:topLinePunct/>
        <w:autoSpaceDE/>
        <w:autoSpaceDN/>
        <w:bidi w:val="0"/>
        <w:adjustRightInd/>
        <w:snapToGrid/>
        <w:spacing w:line="560" w:lineRule="exact"/>
        <w:ind w:firstLine="643" w:firstLineChars="200"/>
        <w:jc w:val="both"/>
        <w:textAlignment w:val="auto"/>
        <w:rPr>
          <w:rFonts w:hint="default"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2.</w:t>
      </w:r>
      <w:r>
        <w:rPr>
          <w:rFonts w:hint="default" w:ascii="仿宋_GB2312" w:hAnsi="仿宋_GB2312" w:eastAsia="仿宋_GB2312" w:cs="仿宋_GB2312"/>
          <w:b/>
          <w:bCs/>
          <w:kern w:val="2"/>
          <w:sz w:val="32"/>
          <w:szCs w:val="32"/>
          <w:lang w:val="en-US" w:eastAsia="zh-CN" w:bidi="ar-SA"/>
        </w:rPr>
        <w:t>筑牢电力汛期安全屏障</w:t>
      </w:r>
    </w:p>
    <w:p w14:paraId="6427F38E">
      <w:pPr>
        <w:keepNext w:val="0"/>
        <w:keepLines w:val="0"/>
        <w:pageBreakBefore w:val="0"/>
        <w:widowControl w:val="0"/>
        <w:kinsoku/>
        <w:wordWrap/>
        <w:overflowPunct w:val="0"/>
        <w:topLinePunct/>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立足“十五五”开局之年防汛抗旱新形势，早谋划、早部署、早防范。聚焦燃煤电厂、枢纽变电站、重要输电通道、电力施工现场等重点部位，对</w:t>
      </w:r>
      <w:r>
        <w:rPr>
          <w:rFonts w:hint="eastAsia" w:ascii="仿宋_GB2312" w:hAnsi="仿宋_GB2312" w:eastAsia="仿宋_GB2312" w:cs="仿宋_GB2312"/>
          <w:kern w:val="2"/>
          <w:sz w:val="32"/>
          <w:szCs w:val="32"/>
          <w:lang w:val="en-US" w:eastAsia="zh-CN" w:bidi="ar-SA"/>
        </w:rPr>
        <w:t>低洼地</w:t>
      </w:r>
      <w:r>
        <w:rPr>
          <w:rFonts w:hint="default" w:ascii="仿宋_GB2312" w:hAnsi="仿宋_GB2312" w:eastAsia="仿宋_GB2312" w:cs="仿宋_GB2312"/>
          <w:kern w:val="2"/>
          <w:sz w:val="32"/>
          <w:szCs w:val="32"/>
          <w:lang w:val="en-US" w:eastAsia="zh-CN" w:bidi="ar-SA"/>
        </w:rPr>
        <w:t>带、地质灾害易发区设施加密巡查频次，强化动态管控，严格执行汛期工地安全管理九条硬措施。组织汛前隐患拉网式排查，坚持专业排查与群防群治、集中排查与日常监管相结合，建立隐患台账、明确责任时限、实行销号闭环管理，坚决杜绝雨前排查、雨中出事。结合近年雨情汛情新特点、新规律，修订完善防汛抗旱应急预案，组织实战化应急演练，备足抢险队伍、物资装备和生活应急物资，提升应急处置能力。</w:t>
      </w:r>
    </w:p>
    <w:p w14:paraId="1E3AA750">
      <w:pPr>
        <w:keepNext w:val="0"/>
        <w:keepLines w:val="0"/>
        <w:pageBreakBefore w:val="0"/>
        <w:widowControl w:val="0"/>
        <w:kinsoku/>
        <w:wordWrap/>
        <w:overflowPunct w:val="0"/>
        <w:topLinePunct/>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3.加强响应联动和转移避险</w:t>
      </w:r>
    </w:p>
    <w:p w14:paraId="04678F7E">
      <w:pPr>
        <w:keepNext w:val="0"/>
        <w:keepLines w:val="0"/>
        <w:pageBreakBefore w:val="0"/>
        <w:widowControl w:val="0"/>
        <w:kinsoku/>
        <w:wordWrap/>
        <w:overflowPunct w:val="0"/>
        <w:topLinePunct/>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坚持关口前移，加强会商研判，及时启动应急响应，做好危险地区人员避险转移、突发险情灾情应对处置等工作，紧急情况下结合实际情况果断采取“关、停、撤、转”等刚性措施，全力减少人员伤亡和灾害损失。落实提前转移制度，严格执行转移避险“四个一律”要求，抓住“谁组织、转移谁、何时转、转何处、不擅返”五个关键环节，做到应转早转、应转尽转，确保人民群众生命安全。</w:t>
      </w:r>
    </w:p>
    <w:p w14:paraId="67755E04">
      <w:pPr>
        <w:keepNext w:val="0"/>
        <w:keepLines w:val="0"/>
        <w:pageBreakBefore w:val="0"/>
        <w:widowControl w:val="0"/>
        <w:kinsoku/>
        <w:wordWrap/>
        <w:overflowPunct w:val="0"/>
        <w:topLinePunct/>
        <w:autoSpaceDE/>
        <w:autoSpaceDN/>
        <w:bidi w:val="0"/>
        <w:adjustRightInd/>
        <w:snapToGrid/>
        <w:spacing w:line="560" w:lineRule="exact"/>
        <w:ind w:firstLine="643" w:firstLineChars="200"/>
        <w:jc w:val="both"/>
        <w:textAlignment w:val="auto"/>
        <w:rPr>
          <w:rFonts w:hint="eastAsia" w:ascii="楷体_GB2312" w:hAnsi="楷体_GB2312" w:eastAsia="楷体_GB2312" w:cs="楷体_GB2312"/>
          <w:b/>
          <w:bCs/>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(三）加强工程施工现场安全防范工作</w:t>
      </w:r>
    </w:p>
    <w:p w14:paraId="5BDD4BB7">
      <w:pPr>
        <w:keepNext w:val="0"/>
        <w:keepLines w:val="0"/>
        <w:pageBreakBefore w:val="0"/>
        <w:widowControl w:val="0"/>
        <w:kinsoku/>
        <w:wordWrap/>
        <w:overflowPunct w:val="0"/>
        <w:topLinePunct/>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要严格执行《内蒙古自治区安全生产委员会关于明确建设工程安全监管职责的通知》，并按部门职责分工抓好安全监管。要严查转包、违法分包、无资质施工等违法违规行为，督促有关单位严格执行施工方案，落实各项施工措施，坚决杜绝赶工期、抢进度等行为，要严格施工现场管理，强化深基坑、高支模、起重机械等关键部位安全管控，全面排查临边、洞口、脚手架、操作平台等防护设施，加强重大项目在建工程、重大基础设施等施工安全管理，特别是工业安装阶段安全管理，落实防高处坠落、防坍塌等措施，严格施工动火作业安全管理，恶劣天气坚决停止室外和高空作业。同时，举一反三进一步化解重点行业、重点场所、在建工程施工现场风险隐患，特别是对重大工程施工现场存在的典型问题和重大事故隐患，要及时曝光通报，坚决防范和遏制各类重特大事故发生。</w:t>
      </w:r>
    </w:p>
    <w:p w14:paraId="5029CA06">
      <w:pPr>
        <w:keepNext w:val="0"/>
        <w:keepLines w:val="0"/>
        <w:pageBreakBefore w:val="0"/>
        <w:widowControl w:val="0"/>
        <w:kinsoku/>
        <w:wordWrap/>
        <w:overflowPunct w:val="0"/>
        <w:topLinePunct/>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依法督促建设、施工、设计、监理等建设工程各方落实主体责任，特别是建设单位要严格工程承包管理，加强工期管控，合理统筹组织施工。施工企业在施工过程中，要进一步强化施工现场安全管理，规范施工流程，严格作业程序，细化安全措施，严格落实施工方案，确保做到“五个必须”，即：施工作业前必须编制施工方案，施工方案必须按规定审批或论证，施工作业前必须进行安全技术交底，施工过程中必须按施工方案施工，施工方案完成后必须经验收合格后方可进入下道工序。要进一步加强对现场作业人员的培训、考核和监督管理，培养一线作业人员遵章守纪习惯，</w:t>
      </w:r>
      <w:r>
        <w:rPr>
          <w:rFonts w:hint="eastAsia" w:ascii="仿宋_GB2312" w:hAnsi="仿宋_GB2312" w:eastAsia="仿宋_GB2312" w:cs="仿宋_GB2312"/>
          <w:kern w:val="2"/>
          <w:sz w:val="32"/>
          <w:szCs w:val="32"/>
          <w:lang w:val="en-US" w:eastAsia="zh-CN" w:bidi="ar-SA"/>
        </w:rPr>
        <w:t>增强</w:t>
      </w:r>
      <w:r>
        <w:rPr>
          <w:rFonts w:hint="default" w:ascii="仿宋_GB2312" w:hAnsi="仿宋_GB2312" w:eastAsia="仿宋_GB2312" w:cs="仿宋_GB2312"/>
          <w:kern w:val="2"/>
          <w:sz w:val="32"/>
          <w:szCs w:val="32"/>
          <w:lang w:val="en-US" w:eastAsia="zh-CN" w:bidi="ar-SA"/>
        </w:rPr>
        <w:t>安全防护意识，坚决杜绝施工现场“三违”行为。</w:t>
      </w:r>
    </w:p>
    <w:p w14:paraId="26719AA8">
      <w:pPr>
        <w:keepNext w:val="0"/>
        <w:keepLines w:val="0"/>
        <w:pageBreakBefore w:val="0"/>
        <w:widowControl w:val="0"/>
        <w:kinsoku/>
        <w:wordWrap/>
        <w:overflowPunct w:val="0"/>
        <w:topLinePunct/>
        <w:autoSpaceDE/>
        <w:autoSpaceDN/>
        <w:bidi w:val="0"/>
        <w:adjustRightInd/>
        <w:snapToGrid/>
        <w:spacing w:line="560" w:lineRule="exact"/>
        <w:ind w:firstLine="643" w:firstLineChars="200"/>
        <w:jc w:val="both"/>
        <w:textAlignment w:val="auto"/>
        <w:rPr>
          <w:rFonts w:hint="eastAsia" w:ascii="楷体_GB2312" w:hAnsi="楷体_GB2312" w:eastAsia="楷体_GB2312" w:cs="楷体_GB2312"/>
          <w:b/>
          <w:bCs/>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(四）消除有限空间安全隐患</w:t>
      </w:r>
    </w:p>
    <w:p w14:paraId="62FF5E8E">
      <w:pPr>
        <w:keepNext w:val="0"/>
        <w:keepLines w:val="0"/>
        <w:pageBreakBefore w:val="0"/>
        <w:widowControl w:val="0"/>
        <w:kinsoku/>
        <w:wordWrap/>
        <w:overflowPunct w:val="0"/>
        <w:topLinePunct/>
        <w:autoSpaceDE/>
        <w:autoSpaceDN/>
        <w:bidi w:val="0"/>
        <w:adjustRightInd/>
        <w:snapToGrid/>
        <w:spacing w:line="560" w:lineRule="exact"/>
        <w:ind w:firstLine="643" w:firstLineChars="200"/>
        <w:jc w:val="both"/>
        <w:textAlignment w:val="auto"/>
        <w:rPr>
          <w:rFonts w:hint="default"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1.</w:t>
      </w:r>
      <w:r>
        <w:rPr>
          <w:rFonts w:hint="default" w:ascii="仿宋_GB2312" w:hAnsi="仿宋_GB2312" w:eastAsia="仿宋_GB2312" w:cs="仿宋_GB2312"/>
          <w:b/>
          <w:bCs/>
          <w:kern w:val="2"/>
          <w:sz w:val="32"/>
          <w:szCs w:val="32"/>
          <w:lang w:val="en-US" w:eastAsia="zh-CN" w:bidi="ar-SA"/>
        </w:rPr>
        <w:t>强化有限空间作业安全专项治理</w:t>
      </w:r>
    </w:p>
    <w:p w14:paraId="74727E63">
      <w:pPr>
        <w:keepNext w:val="0"/>
        <w:keepLines w:val="0"/>
        <w:pageBreakBefore w:val="0"/>
        <w:widowControl w:val="0"/>
        <w:kinsoku/>
        <w:wordWrap/>
        <w:overflowPunct w:val="0"/>
        <w:topLinePunct/>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各企业</w:t>
      </w:r>
      <w:r>
        <w:rPr>
          <w:rFonts w:hint="default" w:ascii="仿宋_GB2312" w:hAnsi="仿宋_GB2312" w:eastAsia="仿宋_GB2312" w:cs="仿宋_GB2312"/>
          <w:kern w:val="2"/>
          <w:sz w:val="32"/>
          <w:szCs w:val="32"/>
          <w:lang w:val="en-US" w:eastAsia="zh-CN" w:bidi="ar-SA"/>
        </w:rPr>
        <w:t>组织开展《有限空间作业安全技术规范》</w:t>
      </w:r>
      <w:r>
        <w:rPr>
          <w:rFonts w:hint="default" w:ascii="仿宋_GB2312" w:hAnsi="仿宋_GB2312" w:eastAsia="仿宋_GB2312" w:cs="仿宋_GB2312"/>
          <w:sz w:val="32"/>
          <w:szCs w:val="32"/>
          <w:lang w:val="en-US" w:eastAsia="zh-CN"/>
        </w:rPr>
        <w:t>（GB46768-2025）</w:t>
      </w:r>
      <w:r>
        <w:rPr>
          <w:rFonts w:hint="default" w:ascii="仿宋_GB2312" w:hAnsi="仿宋_GB2312" w:eastAsia="仿宋_GB2312" w:cs="仿宋_GB2312"/>
          <w:kern w:val="2"/>
          <w:sz w:val="32"/>
          <w:szCs w:val="32"/>
          <w:lang w:val="en-US" w:eastAsia="zh-CN" w:bidi="ar-SA"/>
        </w:rPr>
        <w:t>专项教育培训和宣贯，确保从业人员懂风险、懂规范、会操作、会应急。要立即开展有限空间作业专项隐患排查整治行动，全方位、无死角梳理企业有限空间作业点位，建立台账、动态管理、销号整改。一是精准辨识风险。对所有密闭、半密闭作业空间逐一排查，精准识别硫化氢、一氧化碳、氨气、甲烷等有毒有害、窒息性气体风险，明确风险等级，张贴有限空间警示标识、安全告知牌。二是严查违规作业。重点整治无作业审批、无气体检测、无通风换气、无监护人员、无防护装备、无应急预案“六无”违规作业行为，坚决杜绝盲目作业、冒险作业。三是整改闭环管理。对排查发现的安全隐患，逐项制定整改措施、明确整改时限、落实整改责任人，建立排查、整改、复查闭环机制，所有隐患必须整改到位，坚决杜绝隐患带病作业。</w:t>
      </w:r>
    </w:p>
    <w:p w14:paraId="7F7AA0E9">
      <w:pPr>
        <w:keepNext w:val="0"/>
        <w:keepLines w:val="0"/>
        <w:pageBreakBefore w:val="0"/>
        <w:widowControl w:val="0"/>
        <w:kinsoku/>
        <w:wordWrap/>
        <w:overflowPunct w:val="0"/>
        <w:topLinePunct/>
        <w:autoSpaceDE/>
        <w:autoSpaceDN/>
        <w:bidi w:val="0"/>
        <w:adjustRightInd/>
        <w:snapToGrid/>
        <w:spacing w:line="560" w:lineRule="exact"/>
        <w:ind w:firstLine="643" w:firstLineChars="200"/>
        <w:jc w:val="both"/>
        <w:textAlignment w:val="auto"/>
        <w:rPr>
          <w:rFonts w:hint="default"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2.</w:t>
      </w:r>
      <w:r>
        <w:rPr>
          <w:rFonts w:hint="default" w:ascii="仿宋_GB2312" w:hAnsi="仿宋_GB2312" w:eastAsia="仿宋_GB2312" w:cs="仿宋_GB2312"/>
          <w:b/>
          <w:bCs/>
          <w:kern w:val="2"/>
          <w:sz w:val="32"/>
          <w:szCs w:val="32"/>
          <w:lang w:val="en-US" w:eastAsia="zh-CN" w:bidi="ar-SA"/>
        </w:rPr>
        <w:t>严格规范流程，严守有限空间作业规程</w:t>
      </w:r>
    </w:p>
    <w:p w14:paraId="49D19250">
      <w:pPr>
        <w:keepNext w:val="0"/>
        <w:keepLines w:val="0"/>
        <w:pageBreakBefore w:val="0"/>
        <w:widowControl w:val="0"/>
        <w:kinsoku/>
        <w:wordWrap/>
        <w:overflowPunct w:val="0"/>
        <w:topLinePunct/>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所有有限空间作业必须严格执行“先通风、再检测、后作业”刚性原则，任何单位、任何人不得违规变通、简化流程。作业前必须开启通风设备充分置换空间内气体，使用专业检测仪器对有毒有害气体、氧气浓度进行检测，检测不合格严禁作业。作业过程中安排专人全程旁站监护，监护人员不得擅自离岗，保持作业通道畅通、应急设备就位。作业人员必须规范佩戴正压式呼吸器、安全绳、安全带等防护装备，严禁未佩戴防护用品进入有限空间作业。坚决杜绝夜间私自作业、单人作业、无证作业等违法违规行为。</w:t>
      </w:r>
    </w:p>
    <w:p w14:paraId="6E16F67B">
      <w:pPr>
        <w:keepNext w:val="0"/>
        <w:keepLines w:val="0"/>
        <w:pageBreakBefore w:val="0"/>
        <w:widowControl w:val="0"/>
        <w:kinsoku/>
        <w:wordWrap/>
        <w:overflowPunct w:val="0"/>
        <w:topLinePunct/>
        <w:autoSpaceDE/>
        <w:autoSpaceDN/>
        <w:bidi w:val="0"/>
        <w:adjustRightInd/>
        <w:snapToGrid/>
        <w:spacing w:line="560" w:lineRule="exact"/>
        <w:ind w:firstLine="643" w:firstLineChars="200"/>
        <w:jc w:val="both"/>
        <w:textAlignment w:val="auto"/>
        <w:rPr>
          <w:rFonts w:hint="default"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3.</w:t>
      </w:r>
      <w:r>
        <w:rPr>
          <w:rFonts w:hint="default" w:ascii="仿宋_GB2312" w:hAnsi="仿宋_GB2312" w:eastAsia="仿宋_GB2312" w:cs="仿宋_GB2312"/>
          <w:b/>
          <w:bCs/>
          <w:kern w:val="2"/>
          <w:sz w:val="32"/>
          <w:szCs w:val="32"/>
          <w:lang w:val="en-US" w:eastAsia="zh-CN" w:bidi="ar-SA"/>
        </w:rPr>
        <w:t>完善应急体系，杜绝盲目施救次生事故</w:t>
      </w:r>
    </w:p>
    <w:p w14:paraId="5F1943F2">
      <w:pPr>
        <w:keepNext w:val="0"/>
        <w:keepLines w:val="0"/>
        <w:pageBreakBefore w:val="0"/>
        <w:widowControl w:val="0"/>
        <w:kinsoku/>
        <w:wordWrap/>
        <w:overflowPunct w:val="0"/>
        <w:topLinePunct/>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历次中毒窒息事故均存在盲目施救导致伤亡扩大的典型问题，是事故伤亡加重的核心原因。要立即组织修订完善有限空间作业专项应急预案，配齐空气呼吸器、救援三脚架、气体检测仪、应急通讯设备等救援物资，定期组织开展实战化应急演练。明确</w:t>
      </w:r>
    </w:p>
    <w:p w14:paraId="0C8E3D28">
      <w:pPr>
        <w:keepNext w:val="0"/>
        <w:keepLines w:val="0"/>
        <w:pageBreakBefore w:val="0"/>
        <w:widowControl w:val="0"/>
        <w:kinsoku/>
        <w:wordWrap/>
        <w:overflowPunct w:val="0"/>
        <w:topLinePunct/>
        <w:autoSpaceDE/>
        <w:autoSpaceDN/>
        <w:bidi w:val="0"/>
        <w:adjustRightInd/>
        <w:snapToGrid/>
        <w:spacing w:line="560" w:lineRule="exact"/>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应急处置流程，严禁无防护、无方案、无监护情况下盲目施救。一旦发生险情，第一时间停止作业、撤离人员、上报情况，科学开展救援，坚决杜绝次生、衍生安全事故。</w:t>
      </w:r>
    </w:p>
    <w:p w14:paraId="3DC066FC">
      <w:pPr>
        <w:keepNext w:val="0"/>
        <w:keepLines w:val="0"/>
        <w:pageBreakBefore w:val="0"/>
        <w:widowControl w:val="0"/>
        <w:kinsoku/>
        <w:wordWrap/>
        <w:overflowPunct w:val="0"/>
        <w:topLinePunct/>
        <w:autoSpaceDE/>
        <w:autoSpaceDN/>
        <w:bidi w:val="0"/>
        <w:adjustRightInd/>
        <w:snapToGrid/>
        <w:spacing w:line="560" w:lineRule="exact"/>
        <w:ind w:firstLine="643" w:firstLineChars="200"/>
        <w:jc w:val="both"/>
        <w:textAlignment w:val="auto"/>
        <w:rPr>
          <w:rFonts w:hint="eastAsia" w:ascii="楷体_GB2312" w:hAnsi="楷体_GB2312" w:eastAsia="楷体_GB2312" w:cs="楷体_GB2312"/>
          <w:b/>
          <w:bCs/>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（五）劳动密集型企业安全专项治理工作</w:t>
      </w:r>
    </w:p>
    <w:p w14:paraId="0259FA26">
      <w:pPr>
        <w:keepNext w:val="0"/>
        <w:keepLines w:val="0"/>
        <w:pageBreakBefore w:val="0"/>
        <w:widowControl w:val="0"/>
        <w:kinsoku/>
        <w:wordWrap/>
        <w:overflowPunct w:val="0"/>
        <w:topLinePunct/>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严格落实“三管三必须”要求，立足行业职能抓好</w:t>
      </w:r>
      <w:r>
        <w:rPr>
          <w:rFonts w:hint="eastAsia" w:ascii="仿宋_GB2312" w:hAnsi="仿宋_GB2312" w:eastAsia="仿宋_GB2312" w:cs="仿宋_GB2312"/>
          <w:kern w:val="2"/>
          <w:sz w:val="32"/>
          <w:szCs w:val="32"/>
          <w:lang w:val="en-US" w:eastAsia="zh-CN" w:bidi="ar-SA"/>
        </w:rPr>
        <w:t>能源</w:t>
      </w:r>
      <w:r>
        <w:rPr>
          <w:rFonts w:hint="default" w:ascii="仿宋_GB2312" w:hAnsi="仿宋_GB2312" w:eastAsia="仿宋_GB2312" w:cs="仿宋_GB2312"/>
          <w:kern w:val="2"/>
          <w:sz w:val="32"/>
          <w:szCs w:val="32"/>
          <w:lang w:val="en-US" w:eastAsia="zh-CN" w:bidi="ar-SA"/>
        </w:rPr>
        <w:t>领域劳动密集型经营场所安全治理，并结合劳动密集型企业火灾暴露出的突出问题，同步建立行业隐患台账，落实排查、整改、复核闭环管理，对行业突出违法违规行为依法开展执法处置。重点做好以下五个“清零”。</w:t>
      </w:r>
    </w:p>
    <w:p w14:paraId="58E0098E">
      <w:pPr>
        <w:keepNext w:val="0"/>
        <w:keepLines w:val="0"/>
        <w:pageBreakBefore w:val="0"/>
        <w:widowControl w:val="0"/>
        <w:kinsoku/>
        <w:wordWrap/>
        <w:overflowPunct w:val="0"/>
        <w:topLinePunct/>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厂房建筑安全清零：严查无手续厂房、违规搭建易燃夹芯彩钢板、门窗违规设置防盗网、疏散通道堵塞、厂中厂园中园混存混用等问题；</w:t>
      </w:r>
    </w:p>
    <w:p w14:paraId="4C5868B2">
      <w:pPr>
        <w:keepNext w:val="0"/>
        <w:keepLines w:val="0"/>
        <w:pageBreakBefore w:val="0"/>
        <w:widowControl w:val="0"/>
        <w:kinsoku/>
        <w:wordWrap/>
        <w:overflowPunct w:val="0"/>
        <w:topLinePunct/>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电气及动火作业清零：整治车间私拉乱接线路、大功率电器违规使用、设备超负荷运行、违规动火、气瓶违规存放、粉尘除尘系统不规范等隐患；</w:t>
      </w:r>
    </w:p>
    <w:p w14:paraId="3D3D0AEB">
      <w:pPr>
        <w:keepNext w:val="0"/>
        <w:keepLines w:val="0"/>
        <w:pageBreakBefore w:val="0"/>
        <w:widowControl w:val="0"/>
        <w:kinsoku/>
        <w:wordWrap/>
        <w:overflowPunct w:val="0"/>
        <w:topLinePunct/>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消防设施短板清零：全面核查消火栓、自动报警、喷淋、应急照明、防火门完好性，推动老旧厂房、员工宿舍加装独立烟感、简易喷淋、电气火灾监控；</w:t>
      </w:r>
    </w:p>
    <w:p w14:paraId="25448F24">
      <w:pPr>
        <w:keepNext w:val="0"/>
        <w:keepLines w:val="0"/>
        <w:pageBreakBefore w:val="0"/>
        <w:widowControl w:val="0"/>
        <w:kinsoku/>
        <w:wordWrap/>
        <w:overflowPunct w:val="0"/>
        <w:topLinePunct/>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分租转租责任清零：厘清厂房产权方、出租方、承租方三方安全责任，督促签订安全管理协议，杜绝安全责任悬空；</w:t>
      </w:r>
    </w:p>
    <w:p w14:paraId="51EF4F71">
      <w:pPr>
        <w:keepNext w:val="0"/>
        <w:keepLines w:val="0"/>
        <w:pageBreakBefore w:val="0"/>
        <w:widowControl w:val="0"/>
        <w:kinsoku/>
        <w:wordWrap/>
        <w:overflowPunct w:val="0"/>
        <w:topLinePunct/>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电动自行车整治清零：落实电动自行车全链条常态化治理要求，严查厂区、宿舍、快递网点室内停放、入户充电、飞线充电行为。</w:t>
      </w:r>
    </w:p>
    <w:p w14:paraId="2C1A42B1">
      <w:pPr>
        <w:keepNext w:val="0"/>
        <w:keepLines w:val="0"/>
        <w:pageBreakBefore w:val="0"/>
        <w:widowControl w:val="0"/>
        <w:kinsoku/>
        <w:wordWrap/>
        <w:overflowPunct w:val="0"/>
        <w:topLinePunct/>
        <w:autoSpaceDE/>
        <w:autoSpaceDN/>
        <w:bidi w:val="0"/>
        <w:adjustRightInd/>
        <w:snapToGrid/>
        <w:spacing w:line="560" w:lineRule="exact"/>
        <w:ind w:firstLine="643" w:firstLineChars="200"/>
        <w:jc w:val="both"/>
        <w:textAlignment w:val="auto"/>
        <w:rPr>
          <w:rFonts w:hint="eastAsia" w:ascii="楷体_GB2312" w:hAnsi="楷体_GB2312" w:eastAsia="楷体_GB2312" w:cs="楷体_GB2312"/>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（六）做好洗选煤厂“打非治违”工作</w:t>
      </w:r>
    </w:p>
    <w:p w14:paraId="08ACD1C5">
      <w:pPr>
        <w:keepNext w:val="0"/>
        <w:keepLines w:val="0"/>
        <w:pageBreakBefore w:val="0"/>
        <w:widowControl w:val="0"/>
        <w:kinsoku/>
        <w:wordWrap/>
        <w:overflowPunct w:val="0"/>
        <w:topLinePunct/>
        <w:autoSpaceDE/>
        <w:autoSpaceDN/>
        <w:bidi w:val="0"/>
        <w:adjustRightInd/>
        <w:snapToGrid/>
        <w:spacing w:line="560" w:lineRule="exact"/>
        <w:ind w:firstLine="640" w:firstLineChars="200"/>
        <w:jc w:val="both"/>
        <w:textAlignment w:val="auto"/>
        <w:rPr>
          <w:rFonts w:hint="eastAsia" w:ascii="楷体" w:hAnsi="楷体" w:eastAsia="楷体" w:cs="楷体"/>
          <w:b/>
          <w:bCs/>
          <w:kern w:val="2"/>
          <w:sz w:val="24"/>
          <w:szCs w:val="24"/>
          <w:lang w:val="en-US" w:eastAsia="zh-CN" w:bidi="ar-SA"/>
        </w:rPr>
      </w:pPr>
      <w:r>
        <w:rPr>
          <w:rFonts w:hint="eastAsia" w:ascii="仿宋_GB2312" w:hAnsi="仿宋_GB2312" w:eastAsia="仿宋_GB2312" w:cs="仿宋_GB2312"/>
          <w:kern w:val="2"/>
          <w:sz w:val="32"/>
          <w:szCs w:val="32"/>
          <w:lang w:val="en-US" w:eastAsia="zh-CN" w:bidi="ar-SA"/>
        </w:rPr>
        <w:t>要严厉打击工贸企业无资质生产、超范围经营、安全生产条件不达标等违法行为，重点整治有限空间作业、高处作业、涉爆粉尘等高风险环节违章作业问题，严查设备设施未定期检测、安全防护装置缺失、员工安全教育培训不到位、应急预案不健全、应急演练流于形式等隐患。要严厉打击“三违”行为，全面落实“班前班后五分钟”安全教育，完善企业内部隐患报告奖励制度，激发全员排查整治风险隐患的强烈意愿，综合运用服务指导、明查暗访等方式，加大作业现场检查力度。</w:t>
      </w:r>
    </w:p>
    <w:p w14:paraId="435E5396">
      <w:pPr>
        <w:keepNext w:val="0"/>
        <w:keepLines w:val="0"/>
        <w:pageBreakBefore w:val="0"/>
        <w:widowControl w:val="0"/>
        <w:kinsoku/>
        <w:wordWrap/>
        <w:overflowPunct w:val="0"/>
        <w:topLinePunct/>
        <w:autoSpaceDE/>
        <w:autoSpaceDN/>
        <w:bidi w:val="0"/>
        <w:adjustRightInd/>
        <w:snapToGrid/>
        <w:spacing w:line="560" w:lineRule="exact"/>
        <w:ind w:firstLine="643" w:firstLineChars="200"/>
        <w:jc w:val="both"/>
        <w:textAlignment w:val="auto"/>
        <w:rPr>
          <w:rFonts w:hint="eastAsia" w:ascii="楷体_GB2312" w:hAnsi="楷体_GB2312" w:eastAsia="楷体_GB2312" w:cs="楷体_GB2312"/>
          <w:b/>
          <w:bCs/>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（七）强化能源企业消防安全治理</w:t>
      </w:r>
    </w:p>
    <w:p w14:paraId="0DA97536">
      <w:pPr>
        <w:keepNext w:val="0"/>
        <w:keepLines w:val="0"/>
        <w:pageBreakBefore w:val="0"/>
        <w:widowControl w:val="0"/>
        <w:kinsoku/>
        <w:wordWrap/>
        <w:overflowPunct w:val="0"/>
        <w:topLinePunct/>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紧盯</w:t>
      </w:r>
      <w:r>
        <w:rPr>
          <w:rFonts w:hint="eastAsia" w:ascii="仿宋_GB2312" w:hAnsi="仿宋_GB2312" w:eastAsia="仿宋_GB2312" w:cs="仿宋_GB2312"/>
          <w:kern w:val="2"/>
          <w:sz w:val="32"/>
          <w:szCs w:val="32"/>
          <w:lang w:val="en-US" w:eastAsia="zh-CN" w:bidi="ar-SA"/>
        </w:rPr>
        <w:t>能源企业</w:t>
      </w:r>
      <w:r>
        <w:rPr>
          <w:rFonts w:hint="default" w:ascii="仿宋_GB2312" w:hAnsi="仿宋_GB2312" w:eastAsia="仿宋_GB2312" w:cs="仿宋_GB2312"/>
          <w:kern w:val="2"/>
          <w:sz w:val="32"/>
          <w:szCs w:val="32"/>
          <w:lang w:val="en-US" w:eastAsia="zh-CN" w:bidi="ar-SA"/>
        </w:rPr>
        <w:t>高层建筑等重点领域，人员密集场所，深入排查整治消防设施缺失、损坏、擅自停用，消防通道堵塞、锁闭、占用等问题。对于未设置避难间、高层建筑消防未验收、消火栓应建未建和已建损坏等问题，抓紧整改到位。常态化开展消防安全专项检查，对隐患问题立行立改。统筹推进建筑保温材料、人员密集场所动火作业、畅通生命通道等“一件事”全链条整治，扎实筑牢基层消防安全防线。</w:t>
      </w:r>
    </w:p>
    <w:p w14:paraId="48DC1E94">
      <w:pPr>
        <w:keepNext w:val="0"/>
        <w:keepLines w:val="0"/>
        <w:pageBreakBefore w:val="0"/>
        <w:widowControl w:val="0"/>
        <w:kinsoku/>
        <w:wordWrap/>
        <w:overflowPunct w:val="0"/>
        <w:topLinePunct/>
        <w:autoSpaceDE/>
        <w:autoSpaceDN/>
        <w:bidi w:val="0"/>
        <w:adjustRightInd/>
        <w:snapToGrid/>
        <w:spacing w:line="560" w:lineRule="exact"/>
        <w:ind w:firstLine="643" w:firstLineChars="200"/>
        <w:jc w:val="both"/>
        <w:textAlignment w:val="auto"/>
        <w:rPr>
          <w:rFonts w:hint="eastAsia" w:ascii="楷体_GB2312" w:hAnsi="楷体_GB2312" w:eastAsia="楷体_GB2312" w:cs="楷体_GB2312"/>
          <w:b/>
          <w:bCs/>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（八)做好网络安全工作</w:t>
      </w:r>
    </w:p>
    <w:p w14:paraId="3B8E0A2B">
      <w:pPr>
        <w:keepNext w:val="0"/>
        <w:keepLines w:val="0"/>
        <w:pageBreakBefore w:val="0"/>
        <w:widowControl w:val="0"/>
        <w:kinsoku/>
        <w:wordWrap/>
        <w:overflowPunct w:val="0"/>
        <w:topLinePunct/>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加强对电力企业网络安全的督促指导，督促各类电力企业认真落实“安全分区、网络专用、横向隔离、纵向认证”要求，督促新能源企业常态化开展网络安全风险和漏洞排查，建立问题台账，实行闭环整改;对排查不力导致发生网络安全事件的企业，要加大约谈通报力度，并常态化开展警示教育</w:t>
      </w:r>
      <w:r>
        <w:rPr>
          <w:rFonts w:hint="eastAsia" w:ascii="仿宋_GB2312" w:hAnsi="仿宋_GB2312" w:eastAsia="仿宋_GB2312" w:cs="仿宋_GB2312"/>
          <w:kern w:val="2"/>
          <w:sz w:val="32"/>
          <w:szCs w:val="32"/>
          <w:lang w:val="en-US" w:eastAsia="zh-CN" w:bidi="ar-SA"/>
        </w:rPr>
        <w:t>。</w:t>
      </w:r>
    </w:p>
    <w:p w14:paraId="3AC14882">
      <w:pPr>
        <w:keepNext w:val="0"/>
        <w:keepLines w:val="0"/>
        <w:pageBreakBefore w:val="0"/>
        <w:widowControl w:val="0"/>
        <w:kinsoku/>
        <w:wordWrap/>
        <w:overflowPunct w:val="0"/>
        <w:topLinePunct/>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各新能源企业立即开展自查自纠，重点针对外联设备管控、主机病毒防护、网络分区隔离等关键环节漏洞风险立查立改。建立健全工控设备准入审批、运维权限管理制度，加强运维人员网络安全教育培训，坚决杜绝违规操作行为。</w:t>
      </w:r>
    </w:p>
    <w:p w14:paraId="45DFFF70">
      <w:pPr>
        <w:keepNext w:val="0"/>
        <w:keepLines w:val="0"/>
        <w:pageBreakBefore w:val="0"/>
        <w:widowControl w:val="0"/>
        <w:kinsoku/>
        <w:wordWrap/>
        <w:overflowPunct w:val="0"/>
        <w:topLinePunct/>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电网企业要依托数字化安全监测平台，强化并网新能源场站涉网设备动态监测预警，常态化开展运行风险研判，对电网异常工况实现早预警、早督办、早整改;发现网络安全问题及时报告国家能源局派出机构并抄送自治区能源局;要严格并网验收及涉网安全校核工作，对网络安全防护配置、防护能力未达标的场站项目，依法依规实施并网限制、负荷调控等管控举措，全方位筑牢电网安全运行防线。</w:t>
      </w:r>
    </w:p>
    <w:p w14:paraId="6C004430">
      <w:pPr>
        <w:keepNext w:val="0"/>
        <w:keepLines w:val="0"/>
        <w:pageBreakBefore w:val="0"/>
        <w:widowControl w:val="0"/>
        <w:kinsoku/>
        <w:wordWrap/>
        <w:overflowPunct w:val="0"/>
        <w:topLinePunct/>
        <w:autoSpaceDE/>
        <w:autoSpaceDN/>
        <w:bidi w:val="0"/>
        <w:adjustRightInd/>
        <w:snapToGrid/>
        <w:spacing w:line="560" w:lineRule="exact"/>
        <w:ind w:firstLine="643" w:firstLineChars="200"/>
        <w:jc w:val="both"/>
        <w:textAlignment w:val="auto"/>
        <w:rPr>
          <w:rFonts w:hint="eastAsia" w:ascii="楷体_GB2312" w:hAnsi="楷体_GB2312" w:eastAsia="楷体_GB2312" w:cs="楷体_GB2312"/>
          <w:b/>
          <w:bCs/>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（九）开展全覆盖供电系统专项整治</w:t>
      </w:r>
    </w:p>
    <w:p w14:paraId="65ADB832">
      <w:pPr>
        <w:keepNext w:val="0"/>
        <w:keepLines w:val="0"/>
        <w:pageBreakBefore w:val="0"/>
        <w:widowControl w:val="0"/>
        <w:kinsoku/>
        <w:wordWrap/>
        <w:overflowPunct w:val="0"/>
        <w:topLinePunct/>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全面排查供电线路、变电站、变压器、高压开关柜、继电保护装置、应急电源等关键设备完好性，系统梳理各类供电风险隐患清单，统一建立问题台账，严格按照整改时限完成隐患闭环治理。从严核查双回路供电实际配置运行情况，严禁出现双回路供电线路同杆架设等不合规情形，常态化组织开展倒闸操作、电源切换实操演练，切实保障备用电源切换动作灵敏、运行可靠、响应迅速。认真摸排低洼路段、露天杆塔、山区线路等极易遭受暴雨、雷击、大风损毁的薄弱点位，针对性加装防风、防雷、防冲刷、防淹水各类防护设施，提升线路设备抵御极端天气的基础能力。</w:t>
      </w:r>
    </w:p>
    <w:p w14:paraId="3DADE1E5">
      <w:pPr>
        <w:keepNext w:val="0"/>
        <w:keepLines w:val="0"/>
        <w:pageBreakBefore w:val="0"/>
        <w:widowControl w:val="0"/>
        <w:kinsoku/>
        <w:wordWrap/>
        <w:overflowPunct w:val="0"/>
        <w:topLinePunct/>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结合本区域极端天气情况及次生衍生事故风险，加密重点线路和关键设备的日常巡检频次，充分运用数字化、信息化技术手段开展全方位在线监测，及时排查处置线路舞动、雷击异物挂网等各类故障隐患。建立健全极端天气供电风险监测预警机制，紧盯气象变化动态，提前推送各类预警信息，配齐配强应急抢修队伍、装备物资，结合极端天气灾害特点完善专项抢修预案，常态化组织开展应急演练，最大限度缩短故障停电处置时间。主动对接重要电力用户，搭建协同联动工作机制，提升供电故障整体防范应对水平。</w:t>
      </w:r>
    </w:p>
    <w:p w14:paraId="570F326B">
      <w:pPr>
        <w:keepNext w:val="0"/>
        <w:keepLines w:val="0"/>
        <w:pageBreakBefore w:val="0"/>
        <w:widowControl w:val="0"/>
        <w:kinsoku/>
        <w:wordWrap/>
        <w:overflowPunct w:val="0"/>
        <w:topLinePunct/>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严格落实二十四小时值班、领导带班制度，极端天气等特殊时段增配值班力量，强化关键岗位驻场值守，严格执行事故报告制度，一旦发生停电险情必须在规定时限内如实上报，坚决杜绝迟报、谎报、瞒报等行为。接到极端天气预警后第一时间将预警信息传递至基层岗位和一线作业人员，落实早预警、早准备、早处置各项工作，供电中断引发险情后第一时间启动应急预案，快速组织高危区域人员撤离。险情处置过程中统筹开展抢修作业，在守住安全底线的前提下尽快恢复供电，落实针对性风险防范措施，全力保障应急处置高效推进，严防各类次生、衍生安全事故发生。</w:t>
      </w:r>
    </w:p>
    <w:p w14:paraId="7D7A40E1">
      <w:pPr>
        <w:keepNext w:val="0"/>
        <w:keepLines w:val="0"/>
        <w:pageBreakBefore w:val="0"/>
        <w:widowControl w:val="0"/>
        <w:kinsoku/>
        <w:wordWrap/>
        <w:overflowPunct w:val="0"/>
        <w:topLinePunct/>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加强重点岗位从业人员专项安全培训，围绕极端天气下供电故障识别、双电源切换操作、突发停电应急疏散、现场险情处置等内容开展实操教学，全面提升工作人员面对极端天气、突发断电场景下的故障判断、应急处置与避险逃生能力。加大日常监督检查力度，督促岗位人员严格落实电力安全各项管理制度，筑牢汛期供用电安全防线。</w:t>
      </w:r>
    </w:p>
    <w:p w14:paraId="59FF1640">
      <w:pPr>
        <w:keepNext w:val="0"/>
        <w:keepLines w:val="0"/>
        <w:pageBreakBefore w:val="0"/>
        <w:widowControl w:val="0"/>
        <w:kinsoku/>
        <w:wordWrap/>
        <w:overflowPunct w:val="0"/>
        <w:topLinePunct/>
        <w:autoSpaceDE/>
        <w:autoSpaceDN/>
        <w:bidi w:val="0"/>
        <w:adjustRightInd/>
        <w:snapToGrid/>
        <w:spacing w:line="560" w:lineRule="exact"/>
        <w:ind w:firstLine="643" w:firstLineChars="200"/>
        <w:jc w:val="both"/>
        <w:textAlignment w:val="auto"/>
        <w:rPr>
          <w:rFonts w:hint="eastAsia" w:ascii="楷体_GB2312" w:hAnsi="楷体_GB2312" w:eastAsia="楷体_GB2312" w:cs="楷体_GB2312"/>
          <w:b/>
          <w:bCs/>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（十）继续做好外委外包单位及防范高处坠落的检查工作</w:t>
      </w:r>
    </w:p>
    <w:p w14:paraId="0E54B1A4">
      <w:pPr>
        <w:keepNext w:val="0"/>
        <w:keepLines w:val="0"/>
        <w:pageBreakBefore w:val="0"/>
        <w:widowControl w:val="0"/>
        <w:kinsoku/>
        <w:wordWrap/>
        <w:overflowPunct w:val="0"/>
        <w:topLinePunct/>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按照</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kern w:val="2"/>
          <w:sz w:val="32"/>
          <w:szCs w:val="32"/>
          <w:lang w:val="en-US" w:eastAsia="zh-CN" w:bidi="ar-SA"/>
        </w:rPr>
        <w:t>鄂托克旗能源局关于开展能源领域生产经营单位外包作业安全专项整治工作的通知</w:t>
      </w:r>
      <w:r>
        <w:rPr>
          <w:rFonts w:hint="eastAsia" w:ascii="仿宋_GB2312" w:hAnsi="仿宋_GB2312" w:eastAsia="仿宋_GB2312" w:cs="仿宋_GB2312"/>
          <w:sz w:val="32"/>
          <w:szCs w:val="32"/>
          <w:lang w:val="en-US" w:eastAsia="zh-CN"/>
        </w:rPr>
        <w:t>》（鄂能发〔2026〕57号）、《鄂托克旗能源局关于印发全旗能源领域防范高处坠落专项整治方案的通知》（鄂能发〔2026〕40号）中的要求继续对能源企业展开检查。</w:t>
      </w:r>
    </w:p>
    <w:p w14:paraId="69D6661E">
      <w:pPr>
        <w:keepNext w:val="0"/>
        <w:keepLines w:val="0"/>
        <w:pageBreakBefore w:val="0"/>
        <w:widowControl w:val="0"/>
        <w:kinsoku/>
        <w:wordWrap/>
        <w:overflowPunct w:val="0"/>
        <w:topLinePunct/>
        <w:autoSpaceDE/>
        <w:autoSpaceDN/>
        <w:bidi w:val="0"/>
        <w:adjustRightInd/>
        <w:snapToGrid/>
        <w:spacing w:line="560" w:lineRule="exact"/>
        <w:ind w:firstLine="640" w:firstLineChars="200"/>
        <w:jc w:val="both"/>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三、工作要求</w:t>
      </w:r>
    </w:p>
    <w:p w14:paraId="7A1FB9E1">
      <w:pPr>
        <w:keepNext w:val="0"/>
        <w:keepLines w:val="0"/>
        <w:pageBreakBefore w:val="0"/>
        <w:widowControl w:val="0"/>
        <w:kinsoku/>
        <w:wordWrap/>
        <w:overflowPunct w:val="0"/>
        <w:topLinePunct/>
        <w:autoSpaceDE/>
        <w:autoSpaceDN/>
        <w:bidi w:val="0"/>
        <w:adjustRightInd/>
        <w:snapToGrid/>
        <w:spacing w:line="560" w:lineRule="exact"/>
        <w:ind w:firstLine="643" w:firstLineChars="200"/>
        <w:jc w:val="both"/>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（一）迅速部署，全面自查</w:t>
      </w:r>
    </w:p>
    <w:p w14:paraId="2516AAFA">
      <w:pPr>
        <w:keepNext w:val="0"/>
        <w:keepLines w:val="0"/>
        <w:pageBreakBefore w:val="0"/>
        <w:widowControl w:val="0"/>
        <w:kinsoku/>
        <w:wordWrap/>
        <w:overflowPunct w:val="0"/>
        <w:topLinePunct/>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所有能源企业主要负责人要落实“第一责任人”责任，立即牵头组织开展全员、全过程、全方位的自查自改，全面细致排查每个环节、每个岗位、每项安全措施落实等情况，对发现的隐患列出清单，建立台账，制定整改方案，逐项落实整改责任、措施、资金、时限和预案，确保及时整改到位。</w:t>
      </w:r>
    </w:p>
    <w:p w14:paraId="579B9764">
      <w:pPr>
        <w:keepNext w:val="0"/>
        <w:keepLines w:val="0"/>
        <w:pageBreakBefore w:val="0"/>
        <w:widowControl w:val="0"/>
        <w:kinsoku/>
        <w:wordWrap/>
        <w:overflowPunct w:val="0"/>
        <w:topLinePunct/>
        <w:autoSpaceDE/>
        <w:autoSpaceDN/>
        <w:bidi w:val="0"/>
        <w:adjustRightInd/>
        <w:snapToGrid/>
        <w:spacing w:line="560" w:lineRule="exact"/>
        <w:ind w:firstLine="643" w:firstLineChars="200"/>
        <w:jc w:val="both"/>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（二）严格执法，闭环管理 </w:t>
      </w:r>
    </w:p>
    <w:p w14:paraId="7E38FEE1">
      <w:pPr>
        <w:keepNext w:val="0"/>
        <w:keepLines w:val="0"/>
        <w:pageBreakBefore w:val="0"/>
        <w:widowControl w:val="0"/>
        <w:kinsoku/>
        <w:wordWrap/>
        <w:overflowPunct w:val="0"/>
        <w:topLinePunct/>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能源局综合保障中心采取“四不两直”方式深入企业一线。对排查出的重大隐患，实行挂牌督办，落实“一隐患一方案”，确保整改措施、责任、资金、时限和预案“五到位”。对存在重大隐患且无法保证安全的，一律责令停产停业整顿。</w:t>
      </w:r>
    </w:p>
    <w:p w14:paraId="611179B9">
      <w:pPr>
        <w:keepNext w:val="0"/>
        <w:keepLines w:val="0"/>
        <w:pageBreakBefore w:val="0"/>
        <w:widowControl w:val="0"/>
        <w:kinsoku/>
        <w:wordWrap/>
        <w:overflowPunct w:val="0"/>
        <w:topLinePunct/>
        <w:autoSpaceDE/>
        <w:autoSpaceDN/>
        <w:bidi w:val="0"/>
        <w:adjustRightInd/>
        <w:snapToGrid/>
        <w:spacing w:line="560" w:lineRule="exact"/>
        <w:ind w:firstLine="643" w:firstLineChars="200"/>
        <w:jc w:val="both"/>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（三）强化值守，应急处理</w:t>
      </w:r>
    </w:p>
    <w:p w14:paraId="179FA87B">
      <w:pPr>
        <w:keepNext w:val="0"/>
        <w:keepLines w:val="0"/>
        <w:pageBreakBefore w:val="0"/>
        <w:widowControl w:val="0"/>
        <w:kinsoku/>
        <w:wordWrap/>
        <w:overflowPunct w:val="0"/>
        <w:topLinePunct/>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要严格落实领导在岗带班和24小时专人值班值守制度、突发事件信息报告制度，及时了解掌握和上报事故信息，不得迟报、漏报、瞒报，遇有事故及时启动指挥机制，确保第一时间响应，快速高效应对处置。</w:t>
      </w:r>
    </w:p>
    <w:p w14:paraId="70CC77E2">
      <w:pPr>
        <w:keepNext w:val="0"/>
        <w:keepLines w:val="0"/>
        <w:pageBreakBefore w:val="0"/>
        <w:widowControl w:val="0"/>
        <w:kinsoku/>
        <w:wordWrap/>
        <w:overflowPunct w:val="0"/>
        <w:topLinePunct/>
        <w:autoSpaceDE/>
        <w:autoSpaceDN/>
        <w:bidi w:val="0"/>
        <w:adjustRightInd/>
        <w:snapToGrid/>
        <w:spacing w:line="560" w:lineRule="exact"/>
        <w:jc w:val="left"/>
        <w:textAlignment w:val="auto"/>
        <w:rPr>
          <w:rFonts w:hint="eastAsia" w:ascii="仿宋_GB2312" w:hAnsi="仿宋_GB2312" w:eastAsia="仿宋_GB2312" w:cs="仿宋_GB2312"/>
          <w:sz w:val="32"/>
          <w:szCs w:val="32"/>
          <w:lang w:val="en-US" w:eastAsia="zh-CN"/>
        </w:rPr>
      </w:pPr>
    </w:p>
    <w:p w14:paraId="35E56EC0">
      <w:pPr>
        <w:keepNext w:val="0"/>
        <w:keepLines w:val="0"/>
        <w:pageBreakBefore w:val="0"/>
        <w:widowControl w:val="0"/>
        <w:kinsoku/>
        <w:wordWrap/>
        <w:overflowPunct w:val="0"/>
        <w:topLinePunct/>
        <w:autoSpaceDE/>
        <w:autoSpaceDN/>
        <w:bidi w:val="0"/>
        <w:adjustRightInd/>
        <w:snapToGrid/>
        <w:spacing w:line="560" w:lineRule="exact"/>
        <w:jc w:val="left"/>
        <w:textAlignment w:val="auto"/>
        <w:rPr>
          <w:rFonts w:hint="eastAsia" w:ascii="仿宋_GB2312" w:hAnsi="仿宋_GB2312" w:eastAsia="仿宋_GB2312" w:cs="仿宋_GB2312"/>
          <w:sz w:val="32"/>
          <w:szCs w:val="32"/>
          <w:lang w:val="en-US" w:eastAsia="zh-CN"/>
        </w:rPr>
      </w:pPr>
    </w:p>
    <w:p w14:paraId="75A2C777">
      <w:pPr>
        <w:keepNext w:val="0"/>
        <w:keepLines w:val="0"/>
        <w:pageBreakBefore w:val="0"/>
        <w:widowControl w:val="0"/>
        <w:kinsoku/>
        <w:wordWrap/>
        <w:overflowPunct w:val="0"/>
        <w:topLinePunct/>
        <w:autoSpaceDE/>
        <w:autoSpaceDN/>
        <w:bidi w:val="0"/>
        <w:adjustRightInd/>
        <w:snapToGrid/>
        <w:spacing w:line="560" w:lineRule="exact"/>
        <w:jc w:val="left"/>
        <w:textAlignment w:val="auto"/>
        <w:rPr>
          <w:rFonts w:hint="eastAsia" w:ascii="仿宋_GB2312" w:hAnsi="仿宋_GB2312" w:eastAsia="仿宋_GB2312" w:cs="仿宋_GB2312"/>
          <w:sz w:val="32"/>
          <w:szCs w:val="32"/>
          <w:lang w:val="en-US" w:eastAsia="zh-CN"/>
        </w:rPr>
      </w:pPr>
    </w:p>
    <w:p w14:paraId="51CF92E5">
      <w:pPr>
        <w:keepNext w:val="0"/>
        <w:keepLines w:val="0"/>
        <w:pageBreakBefore w:val="0"/>
        <w:widowControl w:val="0"/>
        <w:kinsoku/>
        <w:wordWrap/>
        <w:overflowPunct w:val="0"/>
        <w:topLinePunct/>
        <w:autoSpaceDE/>
        <w:autoSpaceDN/>
        <w:bidi w:val="0"/>
        <w:adjustRightInd/>
        <w:snapToGrid/>
        <w:spacing w:line="560" w:lineRule="exact"/>
        <w:jc w:val="left"/>
        <w:textAlignment w:val="auto"/>
        <w:rPr>
          <w:rFonts w:hint="eastAsia" w:ascii="仿宋_GB2312" w:hAnsi="仿宋_GB2312" w:eastAsia="仿宋_GB2312" w:cs="仿宋_GB2312"/>
          <w:sz w:val="32"/>
          <w:szCs w:val="32"/>
          <w:lang w:val="en-US" w:eastAsia="zh-CN"/>
        </w:rPr>
      </w:pPr>
    </w:p>
    <w:p w14:paraId="0DBBE0BA">
      <w:pPr>
        <w:keepNext w:val="0"/>
        <w:keepLines w:val="0"/>
        <w:pageBreakBefore w:val="0"/>
        <w:widowControl w:val="0"/>
        <w:kinsoku/>
        <w:wordWrap/>
        <w:overflowPunct w:val="0"/>
        <w:topLinePunct/>
        <w:autoSpaceDE/>
        <w:autoSpaceDN/>
        <w:bidi w:val="0"/>
        <w:adjustRightInd/>
        <w:snapToGrid/>
        <w:spacing w:line="560" w:lineRule="exact"/>
        <w:jc w:val="left"/>
        <w:textAlignment w:val="auto"/>
        <w:rPr>
          <w:rFonts w:hint="eastAsia" w:ascii="仿宋_GB2312" w:hAnsi="仿宋_GB2312" w:eastAsia="仿宋_GB2312" w:cs="仿宋_GB2312"/>
          <w:sz w:val="32"/>
          <w:szCs w:val="32"/>
          <w:lang w:val="en-US" w:eastAsia="zh-CN"/>
        </w:rPr>
      </w:pPr>
    </w:p>
    <w:p w14:paraId="229A90E9">
      <w:pPr>
        <w:keepNext w:val="0"/>
        <w:keepLines w:val="0"/>
        <w:pageBreakBefore w:val="0"/>
        <w:widowControl w:val="0"/>
        <w:kinsoku/>
        <w:wordWrap/>
        <w:overflowPunct w:val="0"/>
        <w:topLinePunct/>
        <w:autoSpaceDE/>
        <w:autoSpaceDN/>
        <w:bidi w:val="0"/>
        <w:adjustRightInd/>
        <w:snapToGrid/>
        <w:spacing w:line="560" w:lineRule="exact"/>
        <w:jc w:val="left"/>
        <w:textAlignment w:val="auto"/>
        <w:rPr>
          <w:rFonts w:hint="eastAsia" w:ascii="仿宋_GB2312" w:hAnsi="仿宋_GB2312" w:eastAsia="仿宋_GB2312" w:cs="仿宋_GB2312"/>
          <w:sz w:val="32"/>
          <w:szCs w:val="32"/>
          <w:lang w:val="en-US" w:eastAsia="zh-CN"/>
        </w:rPr>
      </w:pPr>
    </w:p>
    <w:p w14:paraId="44CFD66D">
      <w:pPr>
        <w:keepNext w:val="0"/>
        <w:keepLines w:val="0"/>
        <w:pageBreakBefore w:val="0"/>
        <w:widowControl w:val="0"/>
        <w:kinsoku/>
        <w:wordWrap/>
        <w:overflowPunct w:val="0"/>
        <w:topLinePunct/>
        <w:autoSpaceDE/>
        <w:autoSpaceDN/>
        <w:bidi w:val="0"/>
        <w:adjustRightInd/>
        <w:snapToGrid/>
        <w:spacing w:line="560" w:lineRule="exact"/>
        <w:jc w:val="left"/>
        <w:textAlignment w:val="auto"/>
        <w:rPr>
          <w:rFonts w:hint="eastAsia" w:ascii="仿宋_GB2312" w:hAnsi="仿宋_GB2312" w:eastAsia="仿宋_GB2312" w:cs="仿宋_GB2312"/>
          <w:sz w:val="32"/>
          <w:szCs w:val="32"/>
          <w:lang w:val="en-US" w:eastAsia="zh-CN"/>
        </w:rPr>
      </w:pPr>
    </w:p>
    <w:p w14:paraId="0A3728A8">
      <w:pPr>
        <w:keepNext w:val="0"/>
        <w:keepLines w:val="0"/>
        <w:pageBreakBefore w:val="0"/>
        <w:widowControl w:val="0"/>
        <w:kinsoku/>
        <w:wordWrap/>
        <w:overflowPunct w:val="0"/>
        <w:topLinePunct/>
        <w:autoSpaceDE/>
        <w:autoSpaceDN/>
        <w:bidi w:val="0"/>
        <w:adjustRightInd/>
        <w:snapToGrid/>
        <w:spacing w:line="560" w:lineRule="exact"/>
        <w:jc w:val="left"/>
        <w:textAlignment w:val="auto"/>
        <w:rPr>
          <w:rFonts w:hint="eastAsia" w:ascii="仿宋_GB2312" w:hAnsi="仿宋_GB2312" w:eastAsia="仿宋_GB2312" w:cs="仿宋_GB2312"/>
          <w:sz w:val="32"/>
          <w:szCs w:val="32"/>
          <w:lang w:val="en-US" w:eastAsia="zh-CN"/>
        </w:rPr>
      </w:pPr>
    </w:p>
    <w:p w14:paraId="2DCF0402">
      <w:pPr>
        <w:keepNext w:val="0"/>
        <w:keepLines w:val="0"/>
        <w:pageBreakBefore w:val="0"/>
        <w:widowControl w:val="0"/>
        <w:kinsoku/>
        <w:wordWrap/>
        <w:overflowPunct w:val="0"/>
        <w:topLinePunct/>
        <w:autoSpaceDE/>
        <w:autoSpaceDN/>
        <w:bidi w:val="0"/>
        <w:adjustRightInd/>
        <w:snapToGrid/>
        <w:spacing w:line="560" w:lineRule="exact"/>
        <w:jc w:val="left"/>
        <w:textAlignment w:val="auto"/>
        <w:rPr>
          <w:rFonts w:hint="eastAsia" w:ascii="仿宋_GB2312" w:hAnsi="仿宋_GB2312" w:eastAsia="仿宋_GB2312" w:cs="仿宋_GB2312"/>
          <w:sz w:val="32"/>
          <w:szCs w:val="32"/>
          <w:lang w:val="en-US" w:eastAsia="zh-CN"/>
        </w:rPr>
      </w:pPr>
    </w:p>
    <w:p w14:paraId="319568D4">
      <w:pPr>
        <w:keepNext w:val="0"/>
        <w:keepLines w:val="0"/>
        <w:pageBreakBefore w:val="0"/>
        <w:widowControl w:val="0"/>
        <w:kinsoku/>
        <w:wordWrap/>
        <w:overflowPunct w:val="0"/>
        <w:topLinePunct/>
        <w:autoSpaceDE/>
        <w:autoSpaceDN/>
        <w:bidi w:val="0"/>
        <w:adjustRightInd/>
        <w:snapToGrid/>
        <w:spacing w:line="560" w:lineRule="exact"/>
        <w:jc w:val="left"/>
        <w:textAlignment w:val="auto"/>
        <w:rPr>
          <w:rFonts w:hint="eastAsia" w:ascii="仿宋_GB2312" w:hAnsi="仿宋_GB2312" w:eastAsia="仿宋_GB2312" w:cs="仿宋_GB2312"/>
          <w:sz w:val="32"/>
          <w:szCs w:val="32"/>
          <w:lang w:val="en-US" w:eastAsia="zh-CN"/>
        </w:rPr>
      </w:pPr>
    </w:p>
    <w:p w14:paraId="2AD4D9CC">
      <w:pPr>
        <w:keepNext w:val="0"/>
        <w:keepLines w:val="0"/>
        <w:pageBreakBefore w:val="0"/>
        <w:widowControl w:val="0"/>
        <w:kinsoku/>
        <w:wordWrap/>
        <w:overflowPunct w:val="0"/>
        <w:topLinePunct/>
        <w:autoSpaceDE/>
        <w:autoSpaceDN/>
        <w:bidi w:val="0"/>
        <w:adjustRightInd/>
        <w:snapToGrid/>
        <w:spacing w:line="560" w:lineRule="exact"/>
        <w:jc w:val="left"/>
        <w:textAlignment w:val="auto"/>
        <w:rPr>
          <w:rFonts w:hint="eastAsia" w:ascii="仿宋_GB2312" w:hAnsi="仿宋_GB2312" w:eastAsia="仿宋_GB2312" w:cs="仿宋_GB2312"/>
          <w:sz w:val="32"/>
          <w:szCs w:val="32"/>
          <w:lang w:val="en-US" w:eastAsia="zh-CN"/>
        </w:rPr>
      </w:pPr>
    </w:p>
    <w:p w14:paraId="46502672">
      <w:pPr>
        <w:keepNext w:val="0"/>
        <w:keepLines w:val="0"/>
        <w:pageBreakBefore w:val="0"/>
        <w:widowControl w:val="0"/>
        <w:kinsoku/>
        <w:wordWrap/>
        <w:overflowPunct w:val="0"/>
        <w:topLinePunct/>
        <w:autoSpaceDE/>
        <w:autoSpaceDN/>
        <w:bidi w:val="0"/>
        <w:adjustRightInd/>
        <w:snapToGrid/>
        <w:spacing w:line="560" w:lineRule="exact"/>
        <w:jc w:val="left"/>
        <w:textAlignment w:val="auto"/>
        <w:rPr>
          <w:rFonts w:hint="eastAsia" w:ascii="仿宋_GB2312" w:hAnsi="仿宋_GB2312" w:eastAsia="仿宋_GB2312" w:cs="仿宋_GB2312"/>
          <w:sz w:val="32"/>
          <w:szCs w:val="32"/>
          <w:lang w:val="en-US" w:eastAsia="zh-CN"/>
        </w:rPr>
      </w:pPr>
    </w:p>
    <w:p w14:paraId="570D8079">
      <w:pPr>
        <w:keepNext w:val="0"/>
        <w:keepLines w:val="0"/>
        <w:pageBreakBefore w:val="0"/>
        <w:widowControl w:val="0"/>
        <w:kinsoku/>
        <w:wordWrap/>
        <w:overflowPunct w:val="0"/>
        <w:topLinePunct/>
        <w:autoSpaceDE/>
        <w:autoSpaceDN/>
        <w:bidi w:val="0"/>
        <w:adjustRightInd/>
        <w:snapToGrid/>
        <w:spacing w:line="560" w:lineRule="exact"/>
        <w:jc w:val="left"/>
        <w:textAlignment w:val="auto"/>
        <w:rPr>
          <w:rFonts w:hint="eastAsia" w:ascii="仿宋_GB2312" w:hAnsi="仿宋_GB2312" w:eastAsia="仿宋_GB2312" w:cs="仿宋_GB2312"/>
          <w:sz w:val="32"/>
          <w:szCs w:val="32"/>
          <w:lang w:val="en-US" w:eastAsia="zh-CN"/>
        </w:rPr>
      </w:pPr>
    </w:p>
    <w:p w14:paraId="52D48AFE">
      <w:pPr>
        <w:keepNext w:val="0"/>
        <w:keepLines w:val="0"/>
        <w:pageBreakBefore w:val="0"/>
        <w:widowControl w:val="0"/>
        <w:kinsoku/>
        <w:wordWrap/>
        <w:overflowPunct w:val="0"/>
        <w:topLinePunct/>
        <w:autoSpaceDE/>
        <w:autoSpaceDN/>
        <w:bidi w:val="0"/>
        <w:adjustRightInd/>
        <w:snapToGrid/>
        <w:spacing w:line="56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14:paraId="1E6DCE50">
      <w:pPr>
        <w:keepNext w:val="0"/>
        <w:keepLines w:val="0"/>
        <w:pageBreakBefore w:val="0"/>
        <w:widowControl w:val="0"/>
        <w:kinsoku/>
        <w:wordWrap/>
        <w:overflowPunct w:val="0"/>
        <w:topLinePunct/>
        <w:autoSpaceDE/>
        <w:autoSpaceDN/>
        <w:bidi w:val="0"/>
        <w:adjustRightInd/>
        <w:snapToGrid/>
        <w:spacing w:line="560" w:lineRule="exact"/>
        <w:jc w:val="left"/>
        <w:textAlignment w:val="auto"/>
        <w:rPr>
          <w:rFonts w:hint="eastAsia" w:ascii="仿宋_GB2312" w:hAnsi="仿宋_GB2312" w:eastAsia="仿宋_GB2312" w:cs="仿宋_GB2312"/>
          <w:sz w:val="32"/>
          <w:szCs w:val="32"/>
          <w:lang w:val="en-US" w:eastAsia="zh-CN"/>
        </w:rPr>
      </w:pPr>
    </w:p>
    <w:p w14:paraId="6CE63625">
      <w:pPr>
        <w:keepNext w:val="0"/>
        <w:keepLines w:val="0"/>
        <w:pageBreakBefore w:val="0"/>
        <w:widowControl w:val="0"/>
        <w:kinsoku/>
        <w:wordWrap/>
        <w:overflowPunct w:val="0"/>
        <w:topLinePunct/>
        <w:autoSpaceDE/>
        <w:autoSpaceDN/>
        <w:bidi w:val="0"/>
        <w:adjustRightInd/>
        <w:snapToGrid/>
        <w:spacing w:line="560" w:lineRule="exact"/>
        <w:jc w:val="left"/>
        <w:textAlignment w:val="auto"/>
        <w:rPr>
          <w:rFonts w:hint="eastAsia" w:ascii="仿宋_GB2312" w:hAnsi="仿宋_GB2312" w:eastAsia="仿宋_GB2312" w:cs="仿宋_GB2312"/>
          <w:sz w:val="32"/>
          <w:szCs w:val="32"/>
          <w:lang w:val="en-US" w:eastAsia="zh-CN"/>
        </w:rPr>
      </w:pPr>
    </w:p>
    <w:p w14:paraId="573B694F">
      <w:pPr>
        <w:keepNext w:val="0"/>
        <w:keepLines w:val="0"/>
        <w:pageBreakBefore w:val="0"/>
        <w:widowControl w:val="0"/>
        <w:kinsoku/>
        <w:wordWrap/>
        <w:overflowPunct w:val="0"/>
        <w:topLinePunct/>
        <w:autoSpaceDE/>
        <w:autoSpaceDN/>
        <w:bidi w:val="0"/>
        <w:adjustRightInd/>
        <w:snapToGrid/>
        <w:spacing w:line="560" w:lineRule="exact"/>
        <w:jc w:val="left"/>
        <w:textAlignment w:val="auto"/>
        <w:rPr>
          <w:rFonts w:hint="eastAsia" w:ascii="仿宋_GB2312" w:hAnsi="仿宋_GB2312" w:eastAsia="仿宋_GB2312" w:cs="仿宋_GB2312"/>
          <w:sz w:val="32"/>
          <w:szCs w:val="32"/>
          <w:lang w:val="en-US" w:eastAsia="zh-CN"/>
        </w:rPr>
      </w:pPr>
    </w:p>
    <w:p w14:paraId="381231F0">
      <w:pPr>
        <w:keepNext w:val="0"/>
        <w:keepLines w:val="0"/>
        <w:pageBreakBefore w:val="0"/>
        <w:widowControl w:val="0"/>
        <w:kinsoku/>
        <w:wordWrap/>
        <w:overflowPunct w:val="0"/>
        <w:topLinePunct/>
        <w:autoSpaceDE/>
        <w:autoSpaceDN/>
        <w:bidi w:val="0"/>
        <w:adjustRightInd/>
        <w:snapToGrid/>
        <w:spacing w:line="560" w:lineRule="exact"/>
        <w:jc w:val="left"/>
        <w:textAlignment w:val="auto"/>
        <w:rPr>
          <w:rFonts w:hint="eastAsia" w:ascii="仿宋_GB2312" w:hAnsi="仿宋_GB2312" w:eastAsia="仿宋_GB2312" w:cs="仿宋_GB2312"/>
          <w:sz w:val="32"/>
          <w:szCs w:val="32"/>
          <w:lang w:val="en-US" w:eastAsia="zh-CN"/>
        </w:rPr>
      </w:pPr>
    </w:p>
    <w:p w14:paraId="5ECAE084">
      <w:pPr>
        <w:keepNext w:val="0"/>
        <w:keepLines w:val="0"/>
        <w:pageBreakBefore w:val="0"/>
        <w:widowControl w:val="0"/>
        <w:kinsoku/>
        <w:wordWrap/>
        <w:overflowPunct w:val="0"/>
        <w:topLinePunct/>
        <w:autoSpaceDE/>
        <w:autoSpaceDN/>
        <w:bidi w:val="0"/>
        <w:adjustRightInd/>
        <w:snapToGrid/>
        <w:spacing w:line="560" w:lineRule="exact"/>
        <w:jc w:val="left"/>
        <w:textAlignment w:val="auto"/>
        <w:rPr>
          <w:rFonts w:hint="eastAsia" w:ascii="仿宋_GB2312" w:hAnsi="仿宋_GB2312" w:eastAsia="仿宋_GB2312" w:cs="仿宋_GB2312"/>
          <w:sz w:val="32"/>
          <w:szCs w:val="32"/>
          <w:lang w:val="en-US" w:eastAsia="zh-CN"/>
        </w:rPr>
      </w:pPr>
    </w:p>
    <w:p w14:paraId="408D5D6C">
      <w:pPr>
        <w:keepNext w:val="0"/>
        <w:keepLines w:val="0"/>
        <w:pageBreakBefore w:val="0"/>
        <w:widowControl w:val="0"/>
        <w:kinsoku/>
        <w:wordWrap/>
        <w:overflowPunct w:val="0"/>
        <w:topLinePunct/>
        <w:autoSpaceDE/>
        <w:autoSpaceDN/>
        <w:bidi w:val="0"/>
        <w:adjustRightInd/>
        <w:snapToGrid/>
        <w:spacing w:line="560" w:lineRule="exact"/>
        <w:jc w:val="left"/>
        <w:textAlignment w:val="auto"/>
        <w:rPr>
          <w:rFonts w:hint="eastAsia" w:ascii="仿宋_GB2312" w:hAnsi="仿宋_GB2312" w:eastAsia="仿宋_GB2312" w:cs="仿宋_GB2312"/>
          <w:sz w:val="32"/>
          <w:szCs w:val="32"/>
          <w:lang w:val="en-US" w:eastAsia="zh-CN"/>
        </w:rPr>
      </w:pPr>
    </w:p>
    <w:p w14:paraId="2E0DDABC">
      <w:pPr>
        <w:keepNext w:val="0"/>
        <w:keepLines w:val="0"/>
        <w:pageBreakBefore w:val="0"/>
        <w:widowControl w:val="0"/>
        <w:kinsoku/>
        <w:wordWrap/>
        <w:overflowPunct w:val="0"/>
        <w:topLinePunct/>
        <w:autoSpaceDE/>
        <w:autoSpaceDN/>
        <w:bidi w:val="0"/>
        <w:adjustRightInd/>
        <w:snapToGrid/>
        <w:spacing w:line="560" w:lineRule="exact"/>
        <w:jc w:val="left"/>
        <w:textAlignment w:val="auto"/>
        <w:rPr>
          <w:rFonts w:hint="eastAsia" w:ascii="仿宋_GB2312" w:hAnsi="仿宋_GB2312" w:eastAsia="仿宋_GB2312" w:cs="仿宋_GB2312"/>
          <w:sz w:val="32"/>
          <w:szCs w:val="32"/>
          <w:lang w:val="en-US" w:eastAsia="zh-CN"/>
        </w:rPr>
      </w:pPr>
    </w:p>
    <w:p w14:paraId="50AD0DE5">
      <w:pPr>
        <w:keepNext w:val="0"/>
        <w:keepLines w:val="0"/>
        <w:pageBreakBefore w:val="0"/>
        <w:widowControl w:val="0"/>
        <w:kinsoku/>
        <w:wordWrap/>
        <w:overflowPunct w:val="0"/>
        <w:topLinePunct/>
        <w:autoSpaceDE/>
        <w:autoSpaceDN/>
        <w:bidi w:val="0"/>
        <w:adjustRightInd/>
        <w:snapToGrid/>
        <w:spacing w:line="560" w:lineRule="exact"/>
        <w:jc w:val="left"/>
        <w:textAlignment w:val="auto"/>
        <w:rPr>
          <w:rFonts w:hint="eastAsia" w:ascii="仿宋_GB2312" w:hAnsi="仿宋_GB2312" w:eastAsia="仿宋_GB2312" w:cs="仿宋_GB2312"/>
          <w:sz w:val="32"/>
          <w:szCs w:val="32"/>
          <w:lang w:val="en-US" w:eastAsia="zh-CN"/>
        </w:rPr>
      </w:pPr>
    </w:p>
    <w:p w14:paraId="39434294">
      <w:pPr>
        <w:keepNext w:val="0"/>
        <w:keepLines w:val="0"/>
        <w:pageBreakBefore w:val="0"/>
        <w:widowControl w:val="0"/>
        <w:kinsoku/>
        <w:wordWrap/>
        <w:overflowPunct w:val="0"/>
        <w:topLinePunct/>
        <w:autoSpaceDE/>
        <w:autoSpaceDN/>
        <w:bidi w:val="0"/>
        <w:adjustRightInd/>
        <w:snapToGrid/>
        <w:spacing w:line="560" w:lineRule="exact"/>
        <w:jc w:val="left"/>
        <w:textAlignment w:val="auto"/>
        <w:rPr>
          <w:rFonts w:hint="eastAsia" w:ascii="仿宋_GB2312" w:hAnsi="仿宋_GB2312" w:eastAsia="仿宋_GB2312" w:cs="仿宋_GB2312"/>
          <w:sz w:val="32"/>
          <w:szCs w:val="32"/>
          <w:lang w:val="en-US" w:eastAsia="zh-CN"/>
        </w:rPr>
      </w:pPr>
    </w:p>
    <w:p w14:paraId="2B76B2D5">
      <w:pPr>
        <w:keepNext w:val="0"/>
        <w:keepLines w:val="0"/>
        <w:pageBreakBefore w:val="0"/>
        <w:widowControl w:val="0"/>
        <w:kinsoku/>
        <w:wordWrap/>
        <w:overflowPunct w:val="0"/>
        <w:topLinePunct/>
        <w:autoSpaceDE/>
        <w:autoSpaceDN/>
        <w:bidi w:val="0"/>
        <w:adjustRightInd/>
        <w:snapToGrid/>
        <w:spacing w:line="560" w:lineRule="exact"/>
        <w:jc w:val="left"/>
        <w:textAlignment w:val="auto"/>
        <w:rPr>
          <w:rFonts w:hint="eastAsia" w:ascii="仿宋_GB2312" w:hAnsi="仿宋_GB2312" w:eastAsia="仿宋_GB2312" w:cs="仿宋_GB2312"/>
          <w:sz w:val="32"/>
          <w:szCs w:val="32"/>
          <w:lang w:val="en-US" w:eastAsia="zh-CN"/>
        </w:rPr>
      </w:pPr>
    </w:p>
    <w:p w14:paraId="22EB67A0">
      <w:pPr>
        <w:keepNext w:val="0"/>
        <w:keepLines w:val="0"/>
        <w:pageBreakBefore w:val="0"/>
        <w:widowControl w:val="0"/>
        <w:kinsoku/>
        <w:wordWrap/>
        <w:overflowPunct w:val="0"/>
        <w:topLinePunct/>
        <w:autoSpaceDE/>
        <w:autoSpaceDN/>
        <w:bidi w:val="0"/>
        <w:adjustRightInd/>
        <w:snapToGrid/>
        <w:spacing w:line="560" w:lineRule="exact"/>
        <w:jc w:val="left"/>
        <w:textAlignment w:val="auto"/>
        <w:rPr>
          <w:rFonts w:hint="eastAsia" w:ascii="仿宋_GB2312" w:hAnsi="仿宋_GB2312" w:eastAsia="仿宋_GB2312" w:cs="仿宋_GB2312"/>
          <w:sz w:val="32"/>
          <w:szCs w:val="32"/>
          <w:lang w:val="en-US" w:eastAsia="zh-CN"/>
        </w:rPr>
      </w:pPr>
    </w:p>
    <w:p w14:paraId="20915279">
      <w:pPr>
        <w:keepNext w:val="0"/>
        <w:keepLines w:val="0"/>
        <w:pageBreakBefore w:val="0"/>
        <w:widowControl w:val="0"/>
        <w:kinsoku/>
        <w:wordWrap/>
        <w:overflowPunct w:val="0"/>
        <w:topLinePunct/>
        <w:autoSpaceDE/>
        <w:autoSpaceDN/>
        <w:bidi w:val="0"/>
        <w:adjustRightInd/>
        <w:snapToGrid/>
        <w:spacing w:line="560" w:lineRule="exact"/>
        <w:jc w:val="left"/>
        <w:textAlignment w:val="auto"/>
        <w:rPr>
          <w:rFonts w:hint="eastAsia" w:ascii="仿宋_GB2312" w:hAnsi="仿宋_GB2312" w:eastAsia="仿宋_GB2312" w:cs="仿宋_GB2312"/>
          <w:sz w:val="32"/>
          <w:szCs w:val="32"/>
          <w:lang w:val="en-US" w:eastAsia="zh-CN"/>
        </w:rPr>
      </w:pPr>
    </w:p>
    <w:p w14:paraId="3E16E31C">
      <w:pPr>
        <w:keepNext w:val="0"/>
        <w:keepLines w:val="0"/>
        <w:pageBreakBefore w:val="0"/>
        <w:widowControl w:val="0"/>
        <w:kinsoku/>
        <w:wordWrap/>
        <w:overflowPunct w:val="0"/>
        <w:topLinePunct/>
        <w:autoSpaceDE/>
        <w:autoSpaceDN/>
        <w:bidi w:val="0"/>
        <w:adjustRightInd/>
        <w:snapToGrid/>
        <w:spacing w:line="560" w:lineRule="exact"/>
        <w:jc w:val="left"/>
        <w:textAlignment w:val="auto"/>
        <w:rPr>
          <w:rFonts w:hint="eastAsia" w:ascii="仿宋_GB2312" w:hAnsi="仿宋_GB2312" w:eastAsia="仿宋_GB2312" w:cs="仿宋_GB2312"/>
          <w:sz w:val="32"/>
          <w:szCs w:val="32"/>
          <w:lang w:val="en-US" w:eastAsia="zh-CN"/>
        </w:rPr>
      </w:pPr>
    </w:p>
    <w:p w14:paraId="6FC47EB3">
      <w:pPr>
        <w:keepNext w:val="0"/>
        <w:keepLines w:val="0"/>
        <w:pageBreakBefore w:val="0"/>
        <w:widowControl w:val="0"/>
        <w:kinsoku/>
        <w:wordWrap/>
        <w:overflowPunct w:val="0"/>
        <w:topLinePunct/>
        <w:autoSpaceDE/>
        <w:autoSpaceDN/>
        <w:bidi w:val="0"/>
        <w:adjustRightInd/>
        <w:snapToGrid/>
        <w:spacing w:line="560" w:lineRule="exact"/>
        <w:jc w:val="left"/>
        <w:textAlignment w:val="auto"/>
        <w:rPr>
          <w:rFonts w:hint="eastAsia" w:ascii="仿宋_GB2312" w:hAnsi="仿宋_GB2312" w:eastAsia="仿宋_GB2312" w:cs="仿宋_GB2312"/>
          <w:sz w:val="32"/>
          <w:szCs w:val="32"/>
          <w:lang w:val="en-US" w:eastAsia="zh-CN"/>
        </w:rPr>
      </w:pPr>
    </w:p>
    <w:p w14:paraId="2016E44D">
      <w:pPr>
        <w:keepNext w:val="0"/>
        <w:keepLines w:val="0"/>
        <w:pageBreakBefore w:val="0"/>
        <w:widowControl w:val="0"/>
        <w:kinsoku/>
        <w:wordWrap/>
        <w:overflowPunct w:val="0"/>
        <w:topLinePunct/>
        <w:autoSpaceDE/>
        <w:autoSpaceDN/>
        <w:bidi w:val="0"/>
        <w:adjustRightInd/>
        <w:snapToGrid/>
        <w:spacing w:line="560" w:lineRule="exact"/>
        <w:jc w:val="left"/>
        <w:textAlignment w:val="auto"/>
        <w:rPr>
          <w:rFonts w:hint="eastAsia" w:ascii="仿宋_GB2312" w:hAnsi="仿宋_GB2312" w:eastAsia="仿宋_GB2312" w:cs="仿宋_GB2312"/>
          <w:sz w:val="32"/>
          <w:szCs w:val="32"/>
          <w:lang w:val="en-US" w:eastAsia="zh-CN"/>
        </w:rPr>
      </w:pPr>
    </w:p>
    <w:p w14:paraId="219DE761">
      <w:pPr>
        <w:keepNext w:val="0"/>
        <w:keepLines w:val="0"/>
        <w:pageBreakBefore w:val="0"/>
        <w:widowControl w:val="0"/>
        <w:kinsoku/>
        <w:wordWrap/>
        <w:overflowPunct w:val="0"/>
        <w:topLinePunct/>
        <w:autoSpaceDE/>
        <w:autoSpaceDN/>
        <w:bidi w:val="0"/>
        <w:adjustRightInd/>
        <w:snapToGrid/>
        <w:spacing w:line="560" w:lineRule="exact"/>
        <w:jc w:val="left"/>
        <w:textAlignment w:val="auto"/>
        <w:rPr>
          <w:rFonts w:hint="eastAsia" w:ascii="仿宋_GB2312" w:hAnsi="仿宋_GB2312" w:eastAsia="仿宋_GB2312" w:cs="仿宋_GB2312"/>
          <w:sz w:val="32"/>
          <w:szCs w:val="32"/>
          <w:lang w:val="en-US" w:eastAsia="zh-CN"/>
        </w:rPr>
      </w:pPr>
    </w:p>
    <w:p w14:paraId="7DC2324B">
      <w:pPr>
        <w:keepNext w:val="0"/>
        <w:keepLines w:val="0"/>
        <w:pageBreakBefore w:val="0"/>
        <w:widowControl w:val="0"/>
        <w:kinsoku/>
        <w:wordWrap/>
        <w:overflowPunct w:val="0"/>
        <w:topLinePunct/>
        <w:autoSpaceDE/>
        <w:autoSpaceDN/>
        <w:bidi w:val="0"/>
        <w:adjustRightInd/>
        <w:snapToGrid/>
        <w:spacing w:line="560" w:lineRule="exact"/>
        <w:jc w:val="left"/>
        <w:textAlignment w:val="auto"/>
        <w:rPr>
          <w:rFonts w:hint="eastAsia" w:ascii="仿宋_GB2312" w:hAnsi="仿宋_GB2312" w:eastAsia="仿宋_GB2312" w:cs="仿宋_GB2312"/>
          <w:sz w:val="32"/>
          <w:szCs w:val="32"/>
          <w:lang w:val="en-US" w:eastAsia="zh-CN"/>
        </w:rPr>
      </w:pPr>
    </w:p>
    <w:p w14:paraId="4E0C84CB">
      <w:pPr>
        <w:keepNext w:val="0"/>
        <w:keepLines w:val="0"/>
        <w:pageBreakBefore w:val="0"/>
        <w:widowControl w:val="0"/>
        <w:kinsoku/>
        <w:wordWrap/>
        <w:overflowPunct w:val="0"/>
        <w:topLinePunct/>
        <w:autoSpaceDE/>
        <w:autoSpaceDN/>
        <w:bidi w:val="0"/>
        <w:adjustRightInd/>
        <w:snapToGrid/>
        <w:spacing w:line="560" w:lineRule="exact"/>
        <w:jc w:val="left"/>
        <w:textAlignment w:val="auto"/>
        <w:rPr>
          <w:rFonts w:hint="eastAsia" w:ascii="仿宋_GB2312" w:hAnsi="仿宋_GB2312" w:eastAsia="仿宋_GB2312" w:cs="仿宋_GB2312"/>
          <w:sz w:val="32"/>
          <w:szCs w:val="32"/>
          <w:lang w:val="en-US" w:eastAsia="zh-CN"/>
        </w:rPr>
      </w:pPr>
    </w:p>
    <w:p w14:paraId="4A8605B7">
      <w:pPr>
        <w:keepNext w:val="0"/>
        <w:keepLines w:val="0"/>
        <w:pageBreakBefore w:val="0"/>
        <w:widowControl w:val="0"/>
        <w:kinsoku/>
        <w:wordWrap/>
        <w:overflowPunct w:val="0"/>
        <w:topLinePunct/>
        <w:autoSpaceDE/>
        <w:autoSpaceDN/>
        <w:bidi w:val="0"/>
        <w:adjustRightInd/>
        <w:snapToGrid/>
        <w:spacing w:line="560" w:lineRule="exact"/>
        <w:jc w:val="left"/>
        <w:textAlignment w:val="auto"/>
        <w:rPr>
          <w:rFonts w:hint="eastAsia" w:ascii="仿宋_GB2312" w:hAnsi="仿宋_GB2312" w:eastAsia="仿宋_GB2312" w:cs="仿宋_GB2312"/>
          <w:sz w:val="32"/>
          <w:szCs w:val="32"/>
          <w:lang w:val="en-US" w:eastAsia="zh-CN"/>
        </w:rPr>
      </w:pPr>
    </w:p>
    <w:p w14:paraId="44A9C7B9">
      <w:pPr>
        <w:keepNext w:val="0"/>
        <w:keepLines w:val="0"/>
        <w:pageBreakBefore w:val="0"/>
        <w:widowControl w:val="0"/>
        <w:kinsoku/>
        <w:wordWrap/>
        <w:overflowPunct w:val="0"/>
        <w:topLinePunct/>
        <w:autoSpaceDE/>
        <w:autoSpaceDN/>
        <w:bidi w:val="0"/>
        <w:adjustRightInd/>
        <w:snapToGrid/>
        <w:spacing w:line="560" w:lineRule="exact"/>
        <w:jc w:val="left"/>
        <w:textAlignment w:val="auto"/>
        <w:rPr>
          <w:rFonts w:hint="eastAsia" w:ascii="仿宋_GB2312" w:hAnsi="仿宋_GB2312" w:eastAsia="仿宋_GB2312" w:cs="仿宋_GB2312"/>
          <w:sz w:val="32"/>
          <w:szCs w:val="32"/>
          <w:lang w:val="en-US" w:eastAsia="zh-CN"/>
        </w:rPr>
      </w:pPr>
    </w:p>
    <w:p w14:paraId="1D6AA5CF">
      <w:pPr>
        <w:keepNext w:val="0"/>
        <w:keepLines w:val="0"/>
        <w:pageBreakBefore w:val="0"/>
        <w:widowControl w:val="0"/>
        <w:kinsoku/>
        <w:wordWrap/>
        <w:overflowPunct w:val="0"/>
        <w:topLinePunct/>
        <w:autoSpaceDE/>
        <w:autoSpaceDN/>
        <w:bidi w:val="0"/>
        <w:adjustRightInd/>
        <w:snapToGrid/>
        <w:spacing w:line="560" w:lineRule="exact"/>
        <w:jc w:val="left"/>
        <w:textAlignment w:val="auto"/>
        <w:rPr>
          <w:rFonts w:hint="eastAsia" w:ascii="仿宋_GB2312" w:hAnsi="仿宋_GB2312" w:eastAsia="仿宋_GB2312" w:cs="仿宋_GB2312"/>
          <w:sz w:val="32"/>
          <w:szCs w:val="32"/>
          <w:lang w:val="en-US" w:eastAsia="zh-CN"/>
        </w:rPr>
      </w:pPr>
    </w:p>
    <w:p w14:paraId="2B838CA6">
      <w:pPr>
        <w:keepNext w:val="0"/>
        <w:keepLines w:val="0"/>
        <w:pageBreakBefore w:val="0"/>
        <w:widowControl w:val="0"/>
        <w:kinsoku/>
        <w:wordWrap/>
        <w:overflowPunct w:val="0"/>
        <w:topLinePunct/>
        <w:autoSpaceDE/>
        <w:autoSpaceDN/>
        <w:bidi w:val="0"/>
        <w:adjustRightInd/>
        <w:snapToGrid/>
        <w:spacing w:line="560" w:lineRule="exact"/>
        <w:jc w:val="left"/>
        <w:textAlignment w:val="auto"/>
        <w:rPr>
          <w:rFonts w:hint="eastAsia" w:ascii="仿宋_GB2312" w:hAnsi="仿宋_GB2312" w:eastAsia="仿宋_GB2312" w:cs="仿宋_GB2312"/>
          <w:sz w:val="32"/>
          <w:szCs w:val="32"/>
          <w:lang w:val="en-US" w:eastAsia="zh-CN"/>
        </w:rPr>
      </w:pPr>
    </w:p>
    <w:p w14:paraId="27CED677">
      <w:pPr>
        <w:keepNext w:val="0"/>
        <w:keepLines w:val="0"/>
        <w:pageBreakBefore w:val="0"/>
        <w:widowControl w:val="0"/>
        <w:kinsoku/>
        <w:wordWrap/>
        <w:overflowPunct w:val="0"/>
        <w:topLinePunct/>
        <w:autoSpaceDE/>
        <w:autoSpaceDN/>
        <w:bidi w:val="0"/>
        <w:adjustRightInd/>
        <w:snapToGrid/>
        <w:spacing w:line="560" w:lineRule="exact"/>
        <w:jc w:val="left"/>
        <w:textAlignment w:val="auto"/>
        <w:rPr>
          <w:rFonts w:hint="eastAsia" w:ascii="仿宋_GB2312" w:hAnsi="仿宋_GB2312" w:eastAsia="仿宋_GB2312" w:cs="仿宋_GB2312"/>
          <w:sz w:val="32"/>
          <w:szCs w:val="32"/>
          <w:lang w:val="en-US" w:eastAsia="zh-CN"/>
        </w:rPr>
      </w:pPr>
    </w:p>
    <w:p w14:paraId="446D8BDE">
      <w:pPr>
        <w:keepNext w:val="0"/>
        <w:keepLines w:val="0"/>
        <w:pageBreakBefore w:val="0"/>
        <w:widowControl w:val="0"/>
        <w:kinsoku/>
        <w:wordWrap/>
        <w:overflowPunct w:val="0"/>
        <w:topLinePunct/>
        <w:autoSpaceDE/>
        <w:autoSpaceDN/>
        <w:bidi w:val="0"/>
        <w:adjustRightInd/>
        <w:snapToGrid/>
        <w:spacing w:line="560" w:lineRule="exact"/>
        <w:jc w:val="left"/>
        <w:textAlignment w:val="auto"/>
        <w:rPr>
          <w:rFonts w:hint="eastAsia" w:ascii="仿宋_GB2312" w:hAnsi="仿宋_GB2312" w:eastAsia="仿宋_GB2312" w:cs="仿宋_GB2312"/>
          <w:sz w:val="32"/>
          <w:szCs w:val="32"/>
          <w:lang w:val="en-US" w:eastAsia="zh-CN"/>
        </w:rPr>
      </w:pPr>
    </w:p>
    <w:p w14:paraId="6282AAA9">
      <w:pPr>
        <w:keepNext w:val="0"/>
        <w:keepLines w:val="0"/>
        <w:pageBreakBefore w:val="0"/>
        <w:widowControl w:val="0"/>
        <w:kinsoku/>
        <w:wordWrap/>
        <w:overflowPunct w:val="0"/>
        <w:topLinePunct/>
        <w:autoSpaceDE/>
        <w:autoSpaceDN/>
        <w:bidi w:val="0"/>
        <w:adjustRightInd/>
        <w:snapToGrid/>
        <w:spacing w:line="560" w:lineRule="exact"/>
        <w:jc w:val="left"/>
        <w:textAlignment w:val="auto"/>
        <w:rPr>
          <w:rFonts w:hint="eastAsia" w:ascii="仿宋_GB2312" w:hAnsi="仿宋_GB2312" w:eastAsia="仿宋_GB2312" w:cs="仿宋_GB2312"/>
          <w:sz w:val="32"/>
          <w:szCs w:val="32"/>
          <w:lang w:val="en-US" w:eastAsia="zh-CN"/>
        </w:rPr>
      </w:pPr>
    </w:p>
    <w:p w14:paraId="0D870183">
      <w:pPr>
        <w:keepNext w:val="0"/>
        <w:keepLines w:val="0"/>
        <w:pageBreakBefore w:val="0"/>
        <w:widowControl w:val="0"/>
        <w:pBdr>
          <w:top w:val="single" w:color="auto" w:sz="4" w:space="1"/>
          <w:left w:val="none" w:color="auto" w:sz="0" w:space="4"/>
          <w:bottom w:val="single" w:color="auto" w:sz="4" w:space="1"/>
          <w:right w:val="none" w:color="auto" w:sz="0" w:space="4"/>
          <w:between w:val="none" w:color="auto" w:sz="0" w:space="0"/>
        </w:pBdr>
        <w:kinsoku/>
        <w:wordWrap/>
        <w:overflowPunct w:val="0"/>
        <w:topLinePunct/>
        <w:autoSpaceDE/>
        <w:autoSpaceDN/>
        <w:bidi w:val="0"/>
        <w:adjustRightInd/>
        <w:snapToGrid/>
        <w:spacing w:line="560" w:lineRule="exact"/>
        <w:jc w:val="center"/>
        <w:textAlignment w:val="auto"/>
        <w:rPr>
          <w:rFonts w:hint="eastAsia" w:eastAsia="仿宋_GB2312"/>
          <w:lang w:val="en-US" w:eastAsia="zh-CN"/>
        </w:rPr>
      </w:pPr>
      <w:r>
        <w:rPr>
          <w:rFonts w:hint="eastAsia" w:ascii="仿宋_GB2312" w:eastAsia="仿宋_GB2312"/>
          <w:sz w:val="28"/>
          <w:szCs w:val="28"/>
        </w:rPr>
        <w:t xml:space="preserve">鄂托克旗能源局办公室     </w:t>
      </w:r>
      <w:r>
        <w:rPr>
          <w:rFonts w:hint="eastAsia" w:ascii="仿宋_GB2312" w:eastAsia="仿宋_GB2312"/>
          <w:sz w:val="28"/>
          <w:szCs w:val="28"/>
          <w:lang w:val="en-US" w:eastAsia="zh-CN"/>
        </w:rPr>
        <w:t xml:space="preserve">    </w:t>
      </w:r>
      <w:r>
        <w:rPr>
          <w:rFonts w:hint="eastAsia" w:ascii="仿宋_GB2312" w:eastAsia="仿宋_GB2312"/>
          <w:sz w:val="28"/>
          <w:szCs w:val="28"/>
        </w:rPr>
        <w:t xml:space="preserve">     </w:t>
      </w:r>
      <w:r>
        <w:rPr>
          <w:rFonts w:hint="eastAsia" w:ascii="仿宋_GB2312" w:eastAsia="仿宋_GB2312"/>
          <w:sz w:val="28"/>
          <w:szCs w:val="28"/>
          <w:lang w:val="en-US" w:eastAsia="zh-CN"/>
        </w:rPr>
        <w:t xml:space="preserve">       </w:t>
      </w:r>
      <w:r>
        <w:rPr>
          <w:rFonts w:hint="eastAsia" w:ascii="仿宋_GB2312" w:eastAsia="仿宋_GB2312"/>
          <w:sz w:val="28"/>
          <w:szCs w:val="28"/>
        </w:rPr>
        <w:t>202</w:t>
      </w:r>
      <w:r>
        <w:rPr>
          <w:rFonts w:hint="eastAsia" w:ascii="仿宋_GB2312" w:eastAsia="仿宋_GB2312"/>
          <w:sz w:val="28"/>
          <w:szCs w:val="28"/>
          <w:lang w:val="en-US" w:eastAsia="zh-CN"/>
        </w:rPr>
        <w:t>6</w:t>
      </w:r>
      <w:r>
        <w:rPr>
          <w:rFonts w:hint="eastAsia" w:ascii="仿宋_GB2312" w:eastAsia="仿宋_GB2312"/>
          <w:sz w:val="28"/>
          <w:szCs w:val="28"/>
        </w:rPr>
        <w:t>年</w:t>
      </w:r>
      <w:r>
        <w:rPr>
          <w:rFonts w:hint="eastAsia" w:ascii="仿宋_GB2312" w:eastAsia="仿宋_GB2312"/>
          <w:sz w:val="28"/>
          <w:szCs w:val="28"/>
          <w:lang w:val="en-US" w:eastAsia="zh-CN"/>
        </w:rPr>
        <w:t>7</w:t>
      </w:r>
      <w:r>
        <w:rPr>
          <w:rFonts w:hint="eastAsia" w:ascii="仿宋_GB2312" w:eastAsia="仿宋_GB2312"/>
          <w:sz w:val="28"/>
          <w:szCs w:val="28"/>
        </w:rPr>
        <w:t>月</w:t>
      </w:r>
      <w:r>
        <w:rPr>
          <w:rFonts w:hint="eastAsia" w:ascii="仿宋_GB2312" w:eastAsia="仿宋_GB2312"/>
          <w:sz w:val="28"/>
          <w:szCs w:val="28"/>
          <w:lang w:val="en-US" w:eastAsia="zh-CN"/>
        </w:rPr>
        <w:t>27</w:t>
      </w:r>
      <w:r>
        <w:rPr>
          <w:rFonts w:hint="eastAsia" w:ascii="仿宋_GB2312" w:eastAsia="仿宋_GB2312"/>
          <w:sz w:val="28"/>
          <w:szCs w:val="28"/>
        </w:rPr>
        <w:t>日印发</w:t>
      </w:r>
    </w:p>
    <w:sectPr>
      <w:footerReference r:id="rId3" w:type="default"/>
      <w:pgSz w:w="11906" w:h="16838"/>
      <w:pgMar w:top="2098" w:right="1474" w:bottom="1984" w:left="1587"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A09388">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827051">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5E827051">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NTM5NzYwMDRjMzkwZTVkZjY2ODkwMGIxNGU0OTUifQ=="/>
  </w:docVars>
  <w:rsids>
    <w:rsidRoot w:val="6E8C38DB"/>
    <w:rsid w:val="00B06028"/>
    <w:rsid w:val="02427F54"/>
    <w:rsid w:val="025A5D06"/>
    <w:rsid w:val="042B1E5C"/>
    <w:rsid w:val="051E130C"/>
    <w:rsid w:val="09581E0B"/>
    <w:rsid w:val="0A193F6C"/>
    <w:rsid w:val="0B3F4F47"/>
    <w:rsid w:val="0D001726"/>
    <w:rsid w:val="0D044784"/>
    <w:rsid w:val="0EA33EF7"/>
    <w:rsid w:val="0EFDA179"/>
    <w:rsid w:val="0F4515D6"/>
    <w:rsid w:val="0FAF67E7"/>
    <w:rsid w:val="0FE91A0F"/>
    <w:rsid w:val="107A6824"/>
    <w:rsid w:val="112A3471"/>
    <w:rsid w:val="112C6057"/>
    <w:rsid w:val="12FF445A"/>
    <w:rsid w:val="15177373"/>
    <w:rsid w:val="15DD5B72"/>
    <w:rsid w:val="16A5323E"/>
    <w:rsid w:val="17AC62E1"/>
    <w:rsid w:val="18561C0B"/>
    <w:rsid w:val="18DA45EA"/>
    <w:rsid w:val="1A187D5C"/>
    <w:rsid w:val="1C5F62DB"/>
    <w:rsid w:val="1D0C0A9A"/>
    <w:rsid w:val="1D8C5553"/>
    <w:rsid w:val="1DBB0448"/>
    <w:rsid w:val="1FC0097D"/>
    <w:rsid w:val="20AD0837"/>
    <w:rsid w:val="21C35F1E"/>
    <w:rsid w:val="21DC25DB"/>
    <w:rsid w:val="225447D5"/>
    <w:rsid w:val="240059CB"/>
    <w:rsid w:val="2758774E"/>
    <w:rsid w:val="27952D9B"/>
    <w:rsid w:val="29253660"/>
    <w:rsid w:val="2C0B1F53"/>
    <w:rsid w:val="2C8B71EF"/>
    <w:rsid w:val="2DCD2FD2"/>
    <w:rsid w:val="31471CF1"/>
    <w:rsid w:val="315253E7"/>
    <w:rsid w:val="3212499D"/>
    <w:rsid w:val="34086058"/>
    <w:rsid w:val="344D7F0F"/>
    <w:rsid w:val="374B14FE"/>
    <w:rsid w:val="37BC7885"/>
    <w:rsid w:val="38BF6A35"/>
    <w:rsid w:val="39800F1B"/>
    <w:rsid w:val="3AC3717D"/>
    <w:rsid w:val="3B7D4C92"/>
    <w:rsid w:val="3B8A37F6"/>
    <w:rsid w:val="3EFA6EDE"/>
    <w:rsid w:val="3FB26998"/>
    <w:rsid w:val="3FED77F5"/>
    <w:rsid w:val="41BD4926"/>
    <w:rsid w:val="44A75C7B"/>
    <w:rsid w:val="4520479C"/>
    <w:rsid w:val="45B556F5"/>
    <w:rsid w:val="46452395"/>
    <w:rsid w:val="46894C76"/>
    <w:rsid w:val="47D814D3"/>
    <w:rsid w:val="47DB1021"/>
    <w:rsid w:val="495C67D2"/>
    <w:rsid w:val="4997627F"/>
    <w:rsid w:val="49CA352F"/>
    <w:rsid w:val="4A622179"/>
    <w:rsid w:val="4D457367"/>
    <w:rsid w:val="4D545B95"/>
    <w:rsid w:val="4D5679DC"/>
    <w:rsid w:val="4DA76648"/>
    <w:rsid w:val="504F6FC7"/>
    <w:rsid w:val="51C55131"/>
    <w:rsid w:val="51F6685E"/>
    <w:rsid w:val="5427661A"/>
    <w:rsid w:val="54593D67"/>
    <w:rsid w:val="54CE1309"/>
    <w:rsid w:val="568B2AA9"/>
    <w:rsid w:val="56AF3248"/>
    <w:rsid w:val="56C74AC4"/>
    <w:rsid w:val="57BB31C7"/>
    <w:rsid w:val="58423CFE"/>
    <w:rsid w:val="58FC6B2B"/>
    <w:rsid w:val="5B85794B"/>
    <w:rsid w:val="5B8B2F47"/>
    <w:rsid w:val="5C1C740A"/>
    <w:rsid w:val="5CAC7399"/>
    <w:rsid w:val="5D172CE4"/>
    <w:rsid w:val="5D331B6F"/>
    <w:rsid w:val="5E73520E"/>
    <w:rsid w:val="60411696"/>
    <w:rsid w:val="613100ED"/>
    <w:rsid w:val="61370E69"/>
    <w:rsid w:val="613761A4"/>
    <w:rsid w:val="62307EA2"/>
    <w:rsid w:val="623F7531"/>
    <w:rsid w:val="62760B7B"/>
    <w:rsid w:val="63E36016"/>
    <w:rsid w:val="64B07925"/>
    <w:rsid w:val="663F32AC"/>
    <w:rsid w:val="6887550D"/>
    <w:rsid w:val="69C629F0"/>
    <w:rsid w:val="6A4E5DF8"/>
    <w:rsid w:val="6C152AE5"/>
    <w:rsid w:val="6C664C75"/>
    <w:rsid w:val="6CA91B93"/>
    <w:rsid w:val="6E0B4071"/>
    <w:rsid w:val="6E245261"/>
    <w:rsid w:val="6E8C38DB"/>
    <w:rsid w:val="6F2E2323"/>
    <w:rsid w:val="6FBD26F1"/>
    <w:rsid w:val="70E7440F"/>
    <w:rsid w:val="744A0AF3"/>
    <w:rsid w:val="75BE1A24"/>
    <w:rsid w:val="76AF2641"/>
    <w:rsid w:val="78D41F79"/>
    <w:rsid w:val="78E0439B"/>
    <w:rsid w:val="78E1748C"/>
    <w:rsid w:val="798D48F4"/>
    <w:rsid w:val="79E92285"/>
    <w:rsid w:val="7AD83B74"/>
    <w:rsid w:val="7B3341B1"/>
    <w:rsid w:val="7B5F6DC5"/>
    <w:rsid w:val="7C9E2682"/>
    <w:rsid w:val="7DE05E44"/>
    <w:rsid w:val="7F9B10FB"/>
    <w:rsid w:val="DFFC9C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Autospacing="0" w:after="330" w:afterAutospacing="0" w:line="576" w:lineRule="auto"/>
      <w:outlineLvl w:val="0"/>
    </w:pPr>
    <w:rPr>
      <w:b/>
      <w:kern w:val="44"/>
      <w:sz w:val="44"/>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420"/>
    </w:pPr>
    <w:rPr>
      <w:rFonts w:ascii="Times New Roman" w:hAnsi="Times New Roman" w:eastAsia="宋体" w:cs="Times New Roman"/>
    </w:rPr>
  </w:style>
  <w:style w:type="paragraph" w:styleId="4">
    <w:name w:val="Body Text"/>
    <w:basedOn w:val="1"/>
    <w:qFormat/>
    <w:uiPriority w:val="0"/>
  </w:style>
  <w:style w:type="paragraph" w:styleId="5">
    <w:name w:val="footer"/>
    <w:basedOn w:val="1"/>
    <w:qFormat/>
    <w:uiPriority w:val="0"/>
    <w:pPr>
      <w:tabs>
        <w:tab w:val="center" w:pos="4153"/>
        <w:tab w:val="right" w:pos="8306"/>
      </w:tabs>
      <w:snapToGrid w:val="0"/>
      <w:jc w:val="left"/>
    </w:pPr>
    <w:rPr>
      <w:sz w:val="18"/>
    </w:rPr>
  </w:style>
  <w:style w:type="paragraph" w:styleId="6">
    <w:name w:val="envelope return"/>
    <w:basedOn w:val="1"/>
    <w:unhideWhenUsed/>
    <w:qFormat/>
    <w:uiPriority w:val="99"/>
    <w:pPr>
      <w:widowControl w:val="0"/>
      <w:snapToGrid w:val="0"/>
      <w:jc w:val="both"/>
    </w:pPr>
    <w:rPr>
      <w:rFonts w:ascii="Arial" w:hAnsi="Arial" w:eastAsia="宋体" w:cs="Times New Roman"/>
      <w:kern w:val="2"/>
      <w:sz w:val="21"/>
      <w:szCs w:val="24"/>
      <w:lang w:val="en-US" w:eastAsia="zh-CN" w:bidi="ar-SA"/>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itle"/>
    <w:basedOn w:val="1"/>
    <w:next w:val="1"/>
    <w:qFormat/>
    <w:uiPriority w:val="0"/>
    <w:pPr>
      <w:spacing w:before="240" w:after="60"/>
      <w:jc w:val="center"/>
      <w:outlineLvl w:val="0"/>
    </w:pPr>
    <w:rPr>
      <w:rFonts w:ascii="Cambria" w:hAnsi="Cambria" w:eastAsia="宋体" w:cs="Times New Roman"/>
      <w:b/>
      <w:bCs/>
      <w:sz w:val="32"/>
      <w:szCs w:val="32"/>
    </w:rPr>
  </w:style>
  <w:style w:type="paragraph" w:customStyle="1" w:styleId="11">
    <w:name w:val="样式 设计说明书第三级 + 首行缩进:  2 字符"/>
    <w:basedOn w:val="1"/>
    <w:qFormat/>
    <w:uiPriority w:val="0"/>
    <w:pPr>
      <w:keepNext/>
      <w:keepLines/>
      <w:adjustRightInd/>
      <w:snapToGrid/>
      <w:spacing w:before="100" w:beforeLines="0" w:line="500" w:lineRule="exact"/>
      <w:ind w:firstLine="200" w:firstLineChars="200"/>
      <w:jc w:val="left"/>
      <w:outlineLvl w:val="2"/>
    </w:pPr>
    <w:rPr>
      <w:b/>
      <w:bCs/>
      <w:kern w:val="44"/>
      <w:szCs w:val="28"/>
    </w:rPr>
  </w:style>
  <w:style w:type="character" w:customStyle="1" w:styleId="12">
    <w:name w:val="NormalCharacter"/>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6093</Words>
  <Characters>6146</Characters>
  <Lines>0</Lines>
  <Paragraphs>0</Paragraphs>
  <TotalTime>50</TotalTime>
  <ScaleCrop>false</ScaleCrop>
  <LinksUpToDate>false</LinksUpToDate>
  <CharactersWithSpaces>6237</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2022-10-11T03:33:00Z</dcterms:created>
  <dc:creator>Sigh</dc:creator>
  <cp:lastModifiedBy>鄂托克旗能源局(拟稿)</cp:lastModifiedBy>
  <cp:lastPrinted>2026-07-28T07:00:10Z</cp:lastPrinted>
  <dcterms:modified xsi:type="dcterms:W3CDTF">2026-07-28T07:04:45Z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EA003F171B604B06AA28E390C34072B9_13</vt:lpwstr>
  </property>
  <property fmtid="{D5CDD505-2E9C-101B-9397-08002B2CF9AE}" pid="4" name="KSOTemplateDocerSaveRecord">
    <vt:lpwstr>eyJoZGlkIjoiYTk4Y2JhYmM5OTNiMTI4NTM1ZGY3YWQ3MzgzZDRiNjcifQ==</vt:lpwstr>
  </property>
</Properties>
</file>