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C7827">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sz w:val="32"/>
          <w:szCs w:val="32"/>
        </w:rPr>
      </w:pPr>
    </w:p>
    <w:p w14:paraId="4DFF4657">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0EB109FA">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15DFD821">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14:paraId="3444EC1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14:paraId="12548610">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14:paraId="7A96AA95">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14:paraId="4C60356A">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14:paraId="735A798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rPr>
        <w:t>鄂</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179 </w:t>
      </w:r>
      <w:r>
        <w:rPr>
          <w:rFonts w:hint="eastAsia" w:ascii="仿宋_GB2312" w:hAnsi="仿宋_GB2312" w:eastAsia="仿宋_GB2312" w:cs="仿宋_GB2312"/>
          <w:sz w:val="32"/>
          <w:szCs w:val="32"/>
        </w:rPr>
        <w:t>号</w:t>
      </w:r>
    </w:p>
    <w:p w14:paraId="1EF781BA">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lang w:eastAsia="zh-CN"/>
        </w:rPr>
      </w:pPr>
    </w:p>
    <w:p w14:paraId="5B5246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Cs/>
          <w:color w:val="000000"/>
          <w:kern w:val="2"/>
          <w:sz w:val="44"/>
          <w:szCs w:val="44"/>
          <w:lang w:val="en-US" w:eastAsia="zh-CN" w:bidi="ar"/>
        </w:rPr>
      </w:pPr>
      <w:r>
        <w:rPr>
          <w:rFonts w:hint="eastAsia" w:ascii="方正小标宋简体" w:hAnsi="方正小标宋简体" w:eastAsia="方正小标宋简体" w:cs="方正小标宋简体"/>
          <w:sz w:val="44"/>
          <w:szCs w:val="44"/>
          <w:lang w:eastAsia="zh-CN"/>
        </w:rPr>
        <w:t>鄂托克旗财政局关于</w:t>
      </w:r>
      <w:r>
        <w:rPr>
          <w:rFonts w:hint="default" w:ascii="方正小标宋简体" w:hAnsi="方正小标宋简体" w:eastAsia="方正小标宋简体" w:cs="方正小标宋简体"/>
          <w:bCs/>
          <w:color w:val="000000"/>
          <w:kern w:val="2"/>
          <w:sz w:val="44"/>
          <w:szCs w:val="44"/>
          <w:lang w:val="en-US" w:eastAsia="zh-CN" w:bidi="ar"/>
        </w:rPr>
        <w:t>202</w:t>
      </w:r>
      <w:r>
        <w:rPr>
          <w:rFonts w:hint="eastAsia" w:ascii="方正小标宋简体" w:hAnsi="方正小标宋简体" w:eastAsia="方正小标宋简体" w:cs="方正小标宋简体"/>
          <w:bCs/>
          <w:color w:val="000000"/>
          <w:kern w:val="2"/>
          <w:sz w:val="44"/>
          <w:szCs w:val="44"/>
          <w:lang w:val="en-US" w:eastAsia="zh-CN" w:bidi="ar"/>
        </w:rPr>
        <w:t>4</w:t>
      </w:r>
      <w:r>
        <w:rPr>
          <w:rFonts w:hint="default" w:ascii="方正小标宋简体" w:hAnsi="方正小标宋简体" w:eastAsia="方正小标宋简体" w:cs="方正小标宋简体"/>
          <w:bCs/>
          <w:color w:val="000000"/>
          <w:kern w:val="2"/>
          <w:sz w:val="44"/>
          <w:szCs w:val="44"/>
          <w:lang w:val="en-US" w:eastAsia="zh-CN" w:bidi="ar"/>
        </w:rPr>
        <w:t>年度会计</w:t>
      </w:r>
    </w:p>
    <w:p w14:paraId="7C5A4B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bCs/>
          <w:color w:val="000000"/>
          <w:kern w:val="2"/>
          <w:sz w:val="44"/>
          <w:szCs w:val="44"/>
          <w:lang w:val="en-US" w:eastAsia="zh-CN" w:bidi="ar"/>
        </w:rPr>
        <w:t>信息质量检查工作方案</w:t>
      </w:r>
    </w:p>
    <w:p w14:paraId="25A633FC">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p>
    <w:p w14:paraId="55C272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各相关单位：</w:t>
      </w:r>
    </w:p>
    <w:p w14:paraId="594FDE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一、检查指导思想和目的</w:t>
      </w:r>
    </w:p>
    <w:p w14:paraId="221E18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按照《内蒙古自治区财政厅关于组织盟市财政局开展2024年度会计信息质量检查工作的通知》（内财监检〔2024〕10号）、和《鄂尔多斯市财政局关于组织开展2024年度会计信息质量检查工作的通知》（鄂财监发〔2024〕136号）文件要求，鄂托克旗财政局组织开展2024年度全旗会计信息质量检查工作。其主要目的为聚焦会计准则、制度的有效执行，严肃查处财务舞弊和会计造假等违法违规行为，净化行业风气，切实提高会计信息质量。</w:t>
      </w:r>
    </w:p>
    <w:p w14:paraId="3F881F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二、检查组织领导</w:t>
      </w:r>
    </w:p>
    <w:p w14:paraId="7A51F8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为切实加强对国企及行政事业单位会计信息质量检查工作的组织领导，决定成立检查小组，组长：李思乾（财政局副局长）、副组长：边伟、宾德勒亚、成员：万媛、白璐、红梅、王建军、第三方机构。</w:t>
      </w:r>
    </w:p>
    <w:p w14:paraId="2303EE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三、检查范围和内容</w:t>
      </w:r>
    </w:p>
    <w:p w14:paraId="2B3FB7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（一）检查时间、范围</w:t>
      </w:r>
    </w:p>
    <w:p w14:paraId="4C84FD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1.开展时间：2024年10月8日-10月28日</w:t>
      </w:r>
    </w:p>
    <w:p w14:paraId="242E62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2.检查对象：根据实际情况抽出鄂托克旗行政事业单位共7家，具体单位：鄂托克旗政务服务局、鄂托克旗文化和</w:t>
      </w:r>
      <w:bookmarkStart w:id="0" w:name="_GoBack"/>
      <w:bookmarkEnd w:id="0"/>
      <w:r>
        <w:rPr>
          <w:rFonts w:hint="eastAsia" w:ascii="仿宋_GB2312" w:hAnsi="仿宋_GB2312" w:eastAsia="仿宋_GB2312" w:cs="仿宋_GB2312"/>
          <w:color w:val="000000"/>
          <w:kern w:val="2"/>
          <w:sz w:val="32"/>
          <w:szCs w:val="32"/>
          <w:lang w:val="en-US" w:eastAsia="zh-CN" w:bidi="ar"/>
        </w:rPr>
        <w:t>旅游局、鄂托克旗乌兰社区服务中心、鄂托克旗农畜产品质量安全工作站、鄂托克旗民政局、鄂托克旗保障性住房和房产交易中心、鄂托克旗宏泰粮油购销有限责任公司。</w:t>
      </w:r>
    </w:p>
    <w:p w14:paraId="3B21E5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（二）检查内容</w:t>
      </w:r>
    </w:p>
    <w:p w14:paraId="19BA92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 xml:space="preserve">检查各单位2023年度会计信息质量，重点检查是否依法设置会计账簿、会计资料是否真实及完整、会计核算是否符合《中华人民共和国会计法》和国家统一的会计制度的规定等情况。   </w:t>
      </w:r>
      <w:r>
        <w:rPr>
          <w:rFonts w:hint="eastAsia" w:ascii="黑体" w:hAnsi="黑体" w:eastAsia="黑体" w:cs="黑体"/>
          <w:color w:val="000000"/>
          <w:kern w:val="2"/>
          <w:sz w:val="32"/>
          <w:szCs w:val="32"/>
          <w:lang w:val="en-US" w:eastAsia="zh-CN" w:bidi="ar"/>
        </w:rPr>
        <w:t>四、检查程序和方法</w:t>
      </w:r>
    </w:p>
    <w:p w14:paraId="384C8F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（一）检查方式：国企及行政事业单位准备好相关检查资料，按照要求进行现场检查。</w:t>
      </w:r>
    </w:p>
    <w:p w14:paraId="0D6DBC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（二）检查程序：按照抽查单位名单，由旗财政局委托第三方机构实施开展现场检查，根据检查结果，情节严重的财政局依法依规处理处罚要求单位进行整改。</w:t>
      </w:r>
    </w:p>
    <w:p w14:paraId="5313D8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五、检查时间与人员组织</w:t>
      </w:r>
    </w:p>
    <w:p w14:paraId="029697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（一）时间安排</w:t>
      </w:r>
    </w:p>
    <w:p w14:paraId="208FC8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1.2024年10月8日至10月13日前给7家被查行政事业单位统一下达《会计信息质量检查通知书》，并于3日前通知被查单位。</w:t>
      </w:r>
    </w:p>
    <w:p w14:paraId="5B4629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2.2024年10月14日-28日财政局相关股室及第三方开展检查工作。</w:t>
      </w:r>
    </w:p>
    <w:p w14:paraId="39680A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（二）检查人员</w:t>
      </w:r>
    </w:p>
    <w:p w14:paraId="020149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财政局综合监督股工作人员、会计股工作人员及相关股室人员、第三方机构检查人员。</w:t>
      </w:r>
    </w:p>
    <w:p w14:paraId="07EC22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六、检查要求</w:t>
      </w:r>
    </w:p>
    <w:p w14:paraId="3FFA75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第三方机构人员要严格执行从业纪律，认真遵守职业道德和从业规范，接受社会监督，检查中既要坚持原则，遵守保密规定，又要对被查单位在加强财务会计管理、会计信息质量等方面做好检查工作并给予相关的业务指导服务。对违反工作纪律的行为，依法依规从严追究相关人员及单位的责任。</w:t>
      </w:r>
    </w:p>
    <w:p w14:paraId="2EBEE6A3">
      <w:pPr>
        <w:keepNext w:val="0"/>
        <w:keepLines w:val="0"/>
        <w:pageBreakBefore w:val="0"/>
        <w:widowControl w:val="0"/>
        <w:kinsoku/>
        <w:wordWrap/>
        <w:overflowPunct/>
        <w:topLinePunct w:val="0"/>
        <w:autoSpaceDE/>
        <w:autoSpaceDN/>
        <w:bidi w:val="0"/>
        <w:adjustRightInd/>
        <w:snapToGrid/>
        <w:spacing w:line="540" w:lineRule="exact"/>
        <w:ind w:firstLine="6080" w:firstLineChars="1900"/>
        <w:textAlignment w:val="auto"/>
        <w:rPr>
          <w:rFonts w:hint="eastAsia" w:ascii="仿宋_GB2312" w:hAnsi="仿宋_GB2312" w:eastAsia="仿宋_GB2312" w:cs="仿宋_GB2312"/>
          <w:color w:val="000000"/>
          <w:kern w:val="2"/>
          <w:sz w:val="32"/>
          <w:szCs w:val="32"/>
          <w:lang w:val="en-US" w:eastAsia="zh-CN" w:bidi="ar"/>
        </w:rPr>
      </w:pPr>
    </w:p>
    <w:p w14:paraId="2566070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kern w:val="2"/>
          <w:sz w:val="32"/>
          <w:szCs w:val="32"/>
          <w:lang w:val="en-US" w:eastAsia="zh-CN" w:bidi="ar"/>
        </w:rPr>
      </w:pPr>
    </w:p>
    <w:p w14:paraId="6A48554C">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right"/>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鄂托克旗财政局</w:t>
      </w:r>
    </w:p>
    <w:p w14:paraId="3EFC94EC">
      <w:pPr>
        <w:keepNext w:val="0"/>
        <w:keepLines w:val="0"/>
        <w:pageBreakBefore w:val="0"/>
        <w:widowControl w:val="0"/>
        <w:tabs>
          <w:tab w:val="left" w:pos="360"/>
        </w:tabs>
        <w:kinsoku/>
        <w:wordWrap/>
        <w:overflowPunct/>
        <w:topLinePunct w:val="0"/>
        <w:autoSpaceDE/>
        <w:autoSpaceDN/>
        <w:bidi w:val="0"/>
        <w:adjustRightInd/>
        <w:snapToGrid w:val="0"/>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2024年10月8日</w:t>
      </w:r>
    </w:p>
    <w:p w14:paraId="5F11DAB8">
      <w:pPr>
        <w:pStyle w:val="2"/>
        <w:rPr>
          <w:rFonts w:hint="eastAsia" w:ascii="仿宋_GB2312" w:hAnsi="仿宋_GB2312" w:eastAsia="仿宋_GB2312" w:cs="仿宋_GB2312"/>
          <w:sz w:val="32"/>
          <w:szCs w:val="32"/>
          <w:lang w:val="en-US" w:eastAsia="zh-CN"/>
        </w:rPr>
      </w:pPr>
    </w:p>
    <w:p w14:paraId="3C7628D2">
      <w:pPr>
        <w:pStyle w:val="2"/>
        <w:rPr>
          <w:rFonts w:hint="eastAsia" w:ascii="仿宋_GB2312" w:hAnsi="仿宋_GB2312" w:eastAsia="仿宋_GB2312" w:cs="仿宋_GB2312"/>
          <w:sz w:val="32"/>
          <w:szCs w:val="32"/>
          <w:lang w:val="en-US" w:eastAsia="zh-CN"/>
        </w:rPr>
      </w:pPr>
    </w:p>
    <w:p w14:paraId="27FBEDA0">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348615</wp:posOffset>
                </wp:positionV>
                <wp:extent cx="5552440" cy="825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52440" cy="825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7.45pt;height:0.65pt;width:437.2pt;z-index:251661312;mso-width-relative:page;mso-height-relative:page;" filled="f" stroked="t" coordsize="21600,21600" o:gfxdata="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K9MxLVAAAABgEAAA8AAAAAAAAAAQAgAAAAIgAAAGRycy9kb3ducmV2Lnht&#10;bFBLAQIUABQAAAAIAIdO4kD4Od9D/AEAAPEDAAAOAAAAAAAAAAEAIAAAACQBAABkcnMvZTJvRG9j&#10;LnhtbFBLBQYAAAAABgAGAFkBAACSBQAAAAA=&#10;">
                <v:fill on="f" focussize="0,0"/>
                <v:stroke weight="0.25pt" color="#00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wp:posOffset>
                </wp:positionV>
                <wp:extent cx="553275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27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pt;height:0.05pt;width:435.65pt;z-index:251660288;mso-width-relative:page;mso-height-relative:page;" filled="f" stroked="t" coordsize="21600,21600" o:gfxdata="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C0rQbTAAAABAEAAA8AAAAAAAAAAQAgAAAAIgAAAGRycy9kb3ducmV2LnhtbFBLAQIUABQA&#10;AAAIAIdO4kCdDEPT9QEAAOY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eastAsia="仿宋_GB2312"/>
          <w:sz w:val="32"/>
          <w:szCs w:val="32"/>
        </w:rPr>
        <w:t xml:space="preserve">鄂托克旗财政局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 xml:space="preserve">日印发  </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24B66F-466C-4692-AEF4-986DC2F915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3BDE89-0395-4A50-8F52-7333536A36C2}"/>
  </w:font>
  <w:font w:name="仿宋_GB2312">
    <w:panose1 w:val="02010609030101010101"/>
    <w:charset w:val="86"/>
    <w:family w:val="auto"/>
    <w:pitch w:val="default"/>
    <w:sig w:usb0="00000001" w:usb1="080E0000" w:usb2="00000000" w:usb3="00000000" w:csb0="00040000" w:csb1="00000000"/>
    <w:embedRegular r:id="rId3" w:fontKey="{89A705D1-C6DD-469C-B9BF-7367D225FA44}"/>
  </w:font>
  <w:font w:name="楷体">
    <w:panose1 w:val="02010609060101010101"/>
    <w:charset w:val="7A"/>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4" w:fontKey="{997DDA83-9E59-4F4E-A791-C8B28ED28E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57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12961">
                          <w:pPr>
                            <w:pStyle w:val="3"/>
                            <w:rPr>
                              <w:rFonts w:hint="eastAsia" w:eastAsia="宋体"/>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712961">
                    <w:pPr>
                      <w:pStyle w:val="3"/>
                      <w:rPr>
                        <w:rFonts w:hint="eastAsia" w:eastAsia="宋体"/>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YjBjYmI0ZDlkOTQ0NWEwODZlODgwZGM0NjE3MzAifQ=="/>
  </w:docVars>
  <w:rsids>
    <w:rsidRoot w:val="00000000"/>
    <w:rsid w:val="0A63651E"/>
    <w:rsid w:val="0B2D0C5B"/>
    <w:rsid w:val="0F040A6B"/>
    <w:rsid w:val="0F7F487A"/>
    <w:rsid w:val="0F877851"/>
    <w:rsid w:val="1D804381"/>
    <w:rsid w:val="1D9C7EAC"/>
    <w:rsid w:val="1E4214DA"/>
    <w:rsid w:val="1EF25D47"/>
    <w:rsid w:val="238B5097"/>
    <w:rsid w:val="27A70C50"/>
    <w:rsid w:val="28260CBD"/>
    <w:rsid w:val="28C67B3D"/>
    <w:rsid w:val="2F600C08"/>
    <w:rsid w:val="36583FED"/>
    <w:rsid w:val="3B6157C4"/>
    <w:rsid w:val="3EBE6863"/>
    <w:rsid w:val="3F0738E8"/>
    <w:rsid w:val="46184D8C"/>
    <w:rsid w:val="47D4596E"/>
    <w:rsid w:val="4A1E7DBF"/>
    <w:rsid w:val="4CE42D4E"/>
    <w:rsid w:val="55394773"/>
    <w:rsid w:val="59725008"/>
    <w:rsid w:val="59DA69A0"/>
    <w:rsid w:val="5BF06208"/>
    <w:rsid w:val="5D7A126B"/>
    <w:rsid w:val="5DC824C4"/>
    <w:rsid w:val="5F0C2943"/>
    <w:rsid w:val="630B30E5"/>
    <w:rsid w:val="63A54A0A"/>
    <w:rsid w:val="79FD3CDF"/>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Arial" w:hAnsi="Arial"/>
      <w:b/>
      <w:sz w:val="32"/>
    </w:rPr>
  </w:style>
  <w:style w:type="paragraph" w:customStyle="1" w:styleId="8">
    <w:name w:val="Default"/>
    <w:basedOn w:val="1"/>
    <w:qFormat/>
    <w:uiPriority w:val="0"/>
    <w:pPr>
      <w:keepNext w:val="0"/>
      <w:keepLines w:val="0"/>
      <w:widowControl w:val="0"/>
      <w:suppressLineNumbers w:val="0"/>
      <w:autoSpaceDE w:val="0"/>
      <w:autoSpaceDN w:val="0"/>
      <w:adjustRightInd w:val="0"/>
      <w:spacing w:before="0" w:beforeLines="0" w:beforeAutospacing="0" w:after="0" w:afterLines="0" w:afterAutospacing="0"/>
      <w:ind w:left="0" w:right="0"/>
      <w:jc w:val="left"/>
    </w:pPr>
    <w:rPr>
      <w:rFonts w:hint="eastAsia" w:ascii="宋体" w:hAnsi="宋体" w:eastAsia="宋体"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1003</Words>
  <Characters>1066</Characters>
  <Lines>0</Lines>
  <Paragraphs>0</Paragraphs>
  <TotalTime>4</TotalTime>
  <ScaleCrop>false</ScaleCrop>
  <LinksUpToDate>false</LinksUpToDate>
  <CharactersWithSpaces>1093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aying</cp:lastModifiedBy>
  <cp:lastPrinted>2024-10-29T08:10:00Z</cp:lastPrinted>
  <dcterms:modified xsi:type="dcterms:W3CDTF">2025-09-19T03:14:04Z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C452F25B967F48DE9C301820436ED405_13</vt:lpwstr>
  </property>
  <property fmtid="{D5CDD505-2E9C-101B-9397-08002B2CF9AE}" pid="4" name="KSOTemplateDocerSaveRecord">
    <vt:lpwstr>eyJoZGlkIjoiMjJkNTk5ODJkOWFhZjVjZTFiYmMzYzI2MjcwOWU1NGUiLCJ1c2VySWQiOiIxNzA4ODIyNTk1In0=</vt:lpwstr>
  </property>
</Properties>
</file>